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C90FF" w14:textId="77777777" w:rsidR="00E36257" w:rsidRDefault="00E36257" w:rsidP="00E36257">
      <w:pPr>
        <w:rPr>
          <w:rFonts w:asciiTheme="minorHAnsi" w:hAnsiTheme="minorHAnsi"/>
          <w:color w:val="000000"/>
        </w:rPr>
      </w:pPr>
    </w:p>
    <w:p w14:paraId="10E5E157" w14:textId="16A27092" w:rsidR="00B623E8" w:rsidRPr="00160CAA" w:rsidRDefault="00B623E8" w:rsidP="00B623E8">
      <w:pPr>
        <w:jc w:val="center"/>
        <w:rPr>
          <w:rFonts w:asciiTheme="minorHAnsi" w:hAnsiTheme="minorHAnsi"/>
          <w:color w:val="000000"/>
        </w:rPr>
      </w:pPr>
      <w:r w:rsidRPr="00160CAA">
        <w:rPr>
          <w:rFonts w:asciiTheme="minorHAnsi" w:hAnsiTheme="minorHAnsi"/>
          <w:color w:val="000000"/>
        </w:rPr>
        <w:t>PORTARIA N</w:t>
      </w:r>
      <w:r w:rsidRPr="00160CAA">
        <w:rPr>
          <w:rFonts w:asciiTheme="minorHAnsi" w:hAnsiTheme="minorHAnsi"/>
          <w:color w:val="000000"/>
          <w:u w:val="words"/>
          <w:vertAlign w:val="superscript"/>
        </w:rPr>
        <w:t>o</w:t>
      </w:r>
      <w:r w:rsidRPr="00160CAA">
        <w:rPr>
          <w:rFonts w:asciiTheme="minorHAnsi" w:hAnsiTheme="minorHAnsi"/>
          <w:color w:val="000000"/>
        </w:rPr>
        <w:t xml:space="preserve"> </w:t>
      </w:r>
      <w:r w:rsidR="00D05C15">
        <w:rPr>
          <w:rFonts w:asciiTheme="minorHAnsi" w:hAnsiTheme="minorHAnsi"/>
          <w:color w:val="000000"/>
        </w:rPr>
        <w:t>9.431 ,</w:t>
      </w:r>
      <w:r w:rsidRPr="00160CAA">
        <w:rPr>
          <w:rFonts w:asciiTheme="minorHAnsi" w:hAnsiTheme="minorHAnsi"/>
          <w:color w:val="000000"/>
        </w:rPr>
        <w:t xml:space="preserve"> DE </w:t>
      </w:r>
      <w:r w:rsidR="00D05C15">
        <w:rPr>
          <w:rFonts w:asciiTheme="minorHAnsi" w:hAnsiTheme="minorHAnsi"/>
          <w:color w:val="000000"/>
        </w:rPr>
        <w:t>7</w:t>
      </w:r>
      <w:r w:rsidRPr="00160CAA">
        <w:rPr>
          <w:rFonts w:asciiTheme="minorHAnsi" w:hAnsiTheme="minorHAnsi"/>
          <w:color w:val="000000"/>
        </w:rPr>
        <w:t xml:space="preserve"> DE </w:t>
      </w:r>
      <w:r w:rsidR="00EE40AF">
        <w:rPr>
          <w:rFonts w:asciiTheme="minorHAnsi" w:hAnsiTheme="minorHAnsi"/>
          <w:color w:val="000000"/>
        </w:rPr>
        <w:t>ABRIL</w:t>
      </w:r>
      <w:r w:rsidRPr="00160CAA">
        <w:rPr>
          <w:rFonts w:asciiTheme="minorHAnsi" w:hAnsiTheme="minorHAnsi"/>
          <w:color w:val="000000"/>
        </w:rPr>
        <w:t xml:space="preserve"> DE </w:t>
      </w:r>
      <w:r w:rsidRPr="00160CAA">
        <w:rPr>
          <w:rFonts w:asciiTheme="minorHAnsi" w:hAnsiTheme="minorHAnsi" w:cstheme="minorHAnsi"/>
          <w:color w:val="000000"/>
        </w:rPr>
        <w:t>2020</w:t>
      </w:r>
      <w:r w:rsidRPr="00160CAA">
        <w:rPr>
          <w:rFonts w:asciiTheme="minorHAnsi" w:hAnsiTheme="minorHAnsi"/>
          <w:color w:val="000000"/>
        </w:rPr>
        <w:t>.</w:t>
      </w:r>
    </w:p>
    <w:p w14:paraId="3B137621" w14:textId="77777777" w:rsidR="00E36257" w:rsidRDefault="00E36257">
      <w:pPr>
        <w:jc w:val="center"/>
        <w:rPr>
          <w:rFonts w:asciiTheme="minorHAnsi" w:hAnsiTheme="minorHAnsi"/>
          <w:color w:val="000000"/>
        </w:rPr>
      </w:pPr>
    </w:p>
    <w:p w14:paraId="35A17E55" w14:textId="6DECFE1A" w:rsidR="00B623E8" w:rsidRDefault="51AF19BD" w:rsidP="51AF19BD">
      <w:pPr>
        <w:ind w:left="5103"/>
        <w:jc w:val="both"/>
        <w:rPr>
          <w:rFonts w:asciiTheme="minorHAnsi" w:hAnsiTheme="minorHAnsi"/>
          <w:color w:val="000000"/>
        </w:rPr>
      </w:pPr>
      <w:r w:rsidRPr="51AF19BD">
        <w:rPr>
          <w:rFonts w:asciiTheme="minorHAnsi" w:hAnsiTheme="minorHAnsi"/>
          <w:color w:val="000000" w:themeColor="text1"/>
        </w:rPr>
        <w:t xml:space="preserve">Altera a Portaria SOF/SEF/ME nº 5.509, de 21 de fevereiro de 2020, que estabelece procedimentos e prazos para alterações orçamentárias dos Orçamentos Fiscal e da Seguridade Social da União, no exercício de </w:t>
      </w:r>
      <w:r w:rsidRPr="51AF19BD">
        <w:rPr>
          <w:rFonts w:asciiTheme="minorHAnsi" w:hAnsiTheme="minorHAnsi" w:cstheme="minorBidi"/>
          <w:color w:val="000000" w:themeColor="text1"/>
        </w:rPr>
        <w:t>2020</w:t>
      </w:r>
      <w:r w:rsidRPr="51AF19BD">
        <w:rPr>
          <w:rFonts w:asciiTheme="minorHAnsi" w:hAnsiTheme="minorHAnsi"/>
          <w:color w:val="000000" w:themeColor="text1"/>
        </w:rPr>
        <w:t>, a serem observados pelos órgãos dos Poderes Executivo, Legislativo e Judiciário, pelo Ministério Público da União e pela Defensoria Pública da União, e dá outras providências.</w:t>
      </w:r>
    </w:p>
    <w:p w14:paraId="74A7B49D" w14:textId="77777777" w:rsidR="00E36257" w:rsidRDefault="00E36257">
      <w:pPr>
        <w:jc w:val="center"/>
        <w:rPr>
          <w:rFonts w:asciiTheme="minorHAnsi" w:hAnsiTheme="minorHAnsi"/>
          <w:color w:val="000000"/>
        </w:rPr>
      </w:pPr>
    </w:p>
    <w:p w14:paraId="60C8E910" w14:textId="143F62FC" w:rsidR="00E36257" w:rsidRDefault="51AF19BD" w:rsidP="51AF19BD">
      <w:pPr>
        <w:ind w:firstLine="1418"/>
        <w:jc w:val="both"/>
        <w:rPr>
          <w:rFonts w:asciiTheme="minorHAnsi" w:hAnsiTheme="minorHAnsi" w:cstheme="minorBidi"/>
        </w:rPr>
      </w:pPr>
      <w:r w:rsidRPr="51AF19BD">
        <w:rPr>
          <w:rFonts w:asciiTheme="minorHAnsi" w:hAnsiTheme="minorHAnsi"/>
          <w:color w:val="000000" w:themeColor="text1"/>
        </w:rPr>
        <w:t>O</w:t>
      </w:r>
      <w:r w:rsidRPr="51AF19BD">
        <w:rPr>
          <w:rFonts w:asciiTheme="minorHAnsi" w:hAnsiTheme="minorHAnsi"/>
          <w:b/>
          <w:bCs/>
          <w:color w:val="000000" w:themeColor="text1"/>
        </w:rPr>
        <w:t xml:space="preserve"> SECRETÁRIO DE ORÇAMENTO </w:t>
      </w:r>
      <w:r w:rsidRPr="51AF19BD">
        <w:rPr>
          <w:rFonts w:asciiTheme="minorHAnsi" w:hAnsiTheme="minorHAnsi"/>
          <w:b/>
          <w:bCs/>
        </w:rPr>
        <w:t>FEDERAL</w:t>
      </w:r>
      <w:r w:rsidRPr="51AF19BD">
        <w:rPr>
          <w:rFonts w:asciiTheme="minorHAnsi" w:hAnsiTheme="minorHAnsi"/>
        </w:rPr>
        <w:t xml:space="preserve">, no uso das atribuições estabelecidas no </w:t>
      </w:r>
      <w:r w:rsidRPr="51AF19BD">
        <w:rPr>
          <w:rFonts w:ascii="Calibri" w:hAnsi="Calibri"/>
        </w:rPr>
        <w:t xml:space="preserve">art. </w:t>
      </w:r>
      <w:r w:rsidRPr="51AF19BD">
        <w:rPr>
          <w:rFonts w:ascii="Calibri" w:hAnsi="Calibri" w:cs="Calibri"/>
        </w:rPr>
        <w:t>57</w:t>
      </w:r>
      <w:r w:rsidRPr="51AF19BD">
        <w:rPr>
          <w:rFonts w:ascii="Calibri" w:hAnsi="Calibri"/>
        </w:rPr>
        <w:t xml:space="preserve">, inciso II, do Anexo I do </w:t>
      </w:r>
      <w:r w:rsidRPr="51AF19BD">
        <w:rPr>
          <w:rFonts w:asciiTheme="minorHAnsi" w:hAnsiTheme="minorHAnsi"/>
        </w:rPr>
        <w:t xml:space="preserve">Decreto </w:t>
      </w:r>
      <w:r w:rsidRPr="51AF19BD">
        <w:rPr>
          <w:rFonts w:asciiTheme="minorHAnsi" w:hAnsiTheme="minorHAnsi" w:cstheme="minorBidi"/>
        </w:rPr>
        <w:t>nº</w:t>
      </w:r>
      <w:r w:rsidRPr="51AF19BD">
        <w:rPr>
          <w:rFonts w:asciiTheme="minorHAnsi" w:hAnsiTheme="minorHAnsi"/>
        </w:rPr>
        <w:t xml:space="preserve"> 9.745, de 8 de abril de </w:t>
      </w:r>
      <w:r w:rsidRPr="51AF19BD">
        <w:rPr>
          <w:rFonts w:asciiTheme="minorHAnsi" w:hAnsiTheme="minorHAnsi" w:cstheme="minorBidi"/>
        </w:rPr>
        <w:t>2019; e</w:t>
      </w:r>
    </w:p>
    <w:p w14:paraId="1CF8EA40" w14:textId="77777777" w:rsidR="00B623E8" w:rsidRDefault="00B623E8" w:rsidP="005F6BC0">
      <w:pPr>
        <w:ind w:firstLine="1418"/>
        <w:jc w:val="both"/>
        <w:rPr>
          <w:rFonts w:asciiTheme="minorHAnsi" w:hAnsiTheme="minorHAnsi" w:cstheme="minorHAnsi"/>
        </w:rPr>
      </w:pPr>
    </w:p>
    <w:p w14:paraId="16A1F8BC" w14:textId="230D58EE" w:rsidR="00E36257" w:rsidRDefault="51AF19BD" w:rsidP="51AF19BD">
      <w:pPr>
        <w:ind w:firstLine="1418"/>
        <w:jc w:val="both"/>
        <w:rPr>
          <w:rFonts w:asciiTheme="minorHAnsi" w:hAnsiTheme="minorHAnsi"/>
          <w:color w:val="000000"/>
        </w:rPr>
      </w:pPr>
      <w:r w:rsidRPr="51AF19BD">
        <w:rPr>
          <w:rFonts w:asciiTheme="minorHAnsi" w:hAnsiTheme="minorHAnsi" w:cstheme="minorBidi"/>
        </w:rPr>
        <w:t xml:space="preserve">Considerando principalmente a inclusão do art. 58-A </w:t>
      </w:r>
      <w:r w:rsidR="00F87DF0">
        <w:rPr>
          <w:rFonts w:asciiTheme="minorHAnsi" w:hAnsiTheme="minorHAnsi" w:cstheme="minorBidi"/>
        </w:rPr>
        <w:t>por meio da Lei nº 13.983, de 3 de abril</w:t>
      </w:r>
      <w:r w:rsidRPr="51AF19BD">
        <w:rPr>
          <w:rFonts w:asciiTheme="minorHAnsi" w:hAnsiTheme="minorHAnsi" w:cstheme="minorBidi"/>
        </w:rPr>
        <w:t xml:space="preserve"> de 2020, que altera a Lei nº 13.898, de 11 de novembro de 2019, que dispõe sobre as diretrizes para a elaboração e a execução da Lei Orçamentária de 2020, </w:t>
      </w:r>
      <w:r w:rsidRPr="51AF19BD">
        <w:rPr>
          <w:rFonts w:asciiTheme="minorHAnsi" w:hAnsiTheme="minorHAnsi" w:cstheme="minorBidi"/>
          <w:b/>
          <w:bCs/>
        </w:rPr>
        <w:t>resolve</w:t>
      </w:r>
      <w:r w:rsidRPr="51AF19BD">
        <w:rPr>
          <w:rFonts w:asciiTheme="minorHAnsi" w:hAnsiTheme="minorHAnsi" w:cstheme="minorBidi"/>
        </w:rPr>
        <w:t>:</w:t>
      </w:r>
    </w:p>
    <w:p w14:paraId="75A16ED1" w14:textId="46A7D253" w:rsidR="005F6BC0" w:rsidRDefault="005F6BC0" w:rsidP="51AF19BD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</w:p>
    <w:p w14:paraId="37B80288" w14:textId="7D64A343" w:rsidR="00B623E8" w:rsidRDefault="51AF19BD" w:rsidP="51AF19BD">
      <w:pPr>
        <w:ind w:firstLine="1418"/>
        <w:jc w:val="both"/>
        <w:rPr>
          <w:rFonts w:asciiTheme="minorHAnsi" w:hAnsiTheme="minorHAnsi"/>
          <w:color w:val="000000" w:themeColor="text1"/>
        </w:rPr>
      </w:pPr>
      <w:r w:rsidRPr="51AF19BD">
        <w:rPr>
          <w:rFonts w:asciiTheme="minorHAnsi" w:hAnsiTheme="minorHAnsi"/>
          <w:color w:val="000000" w:themeColor="text1"/>
        </w:rPr>
        <w:t>Art. 1º A Portaria SOF/SEF/ME nº 5.509, de 21 de fevereiro de 2020, passa a vigorar com as seguintes alterações:</w:t>
      </w:r>
    </w:p>
    <w:p w14:paraId="6695BF1F" w14:textId="77777777" w:rsidR="00090190" w:rsidRDefault="00090190" w:rsidP="51AF19BD">
      <w:pPr>
        <w:ind w:firstLine="1418"/>
        <w:jc w:val="both"/>
        <w:rPr>
          <w:rFonts w:asciiTheme="minorHAnsi" w:hAnsiTheme="minorHAnsi"/>
          <w:color w:val="000000"/>
        </w:rPr>
      </w:pPr>
    </w:p>
    <w:p w14:paraId="3AC9E7F3" w14:textId="73DF1992" w:rsidR="00F86DA9" w:rsidRDefault="00342D62" w:rsidP="00342D62">
      <w:pPr>
        <w:ind w:left="1418" w:firstLine="141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 w:themeColor="text1"/>
        </w:rPr>
        <w:t xml:space="preserve">“Art. 2º </w:t>
      </w:r>
      <w:r w:rsidR="51AF19BD" w:rsidRPr="51AF19BD">
        <w:rPr>
          <w:rFonts w:asciiTheme="minorHAnsi" w:hAnsiTheme="minorHAnsi"/>
          <w:color w:val="000000" w:themeColor="text1"/>
        </w:rPr>
        <w:t>.....................................................................................</w:t>
      </w:r>
    </w:p>
    <w:p w14:paraId="185E571B" w14:textId="77777777" w:rsidR="00F86DA9" w:rsidRDefault="00F86DA9" w:rsidP="009A23D3">
      <w:pPr>
        <w:ind w:left="1418"/>
        <w:jc w:val="both"/>
        <w:rPr>
          <w:rFonts w:asciiTheme="minorHAnsi" w:hAnsiTheme="minorHAnsi"/>
          <w:color w:val="000000"/>
        </w:rPr>
      </w:pPr>
    </w:p>
    <w:p w14:paraId="13A1193C" w14:textId="77777777" w:rsidR="00196EEC" w:rsidRPr="00196EEC" w:rsidRDefault="51AF19BD" w:rsidP="51AF19BD">
      <w:pPr>
        <w:ind w:left="1418" w:firstLine="1418"/>
        <w:jc w:val="both"/>
        <w:rPr>
          <w:rFonts w:asciiTheme="minorHAnsi" w:hAnsiTheme="minorHAnsi"/>
        </w:rPr>
      </w:pPr>
      <w:r w:rsidRPr="51AF19BD">
        <w:rPr>
          <w:rFonts w:asciiTheme="minorHAnsi" w:hAnsiTheme="minorHAnsi"/>
        </w:rPr>
        <w:t xml:space="preserve">§ 1º Para fins do disposto no </w:t>
      </w:r>
      <w:r w:rsidRPr="51AF19BD">
        <w:rPr>
          <w:rFonts w:asciiTheme="minorHAnsi" w:hAnsiTheme="minorHAnsi"/>
          <w:b/>
          <w:bCs/>
        </w:rPr>
        <w:t>caput</w:t>
      </w:r>
      <w:r w:rsidRPr="51AF19BD">
        <w:rPr>
          <w:rFonts w:asciiTheme="minorHAnsi" w:hAnsiTheme="minorHAnsi"/>
        </w:rPr>
        <w:t>, entende-se como programação orçamentária o detalhamento da despesa por função, subfunção, unidade orçamentária, programa, ação e subtítulo.</w:t>
      </w:r>
    </w:p>
    <w:p w14:paraId="2651C97F" w14:textId="77777777" w:rsidR="00196EEC" w:rsidRDefault="00196EEC" w:rsidP="009A23D3">
      <w:pPr>
        <w:ind w:left="1418" w:firstLine="1418"/>
        <w:jc w:val="both"/>
        <w:rPr>
          <w:rFonts w:asciiTheme="minorHAnsi" w:hAnsiTheme="minorHAnsi"/>
        </w:rPr>
      </w:pPr>
    </w:p>
    <w:p w14:paraId="2AABD78B" w14:textId="1677D2BC" w:rsidR="00196EEC" w:rsidRPr="00196EEC" w:rsidRDefault="51AF19BD" w:rsidP="51AF19BD">
      <w:pPr>
        <w:ind w:left="1418" w:firstLine="1418"/>
        <w:jc w:val="both"/>
        <w:rPr>
          <w:rFonts w:asciiTheme="minorHAnsi" w:hAnsiTheme="minorHAnsi"/>
        </w:rPr>
      </w:pPr>
      <w:r w:rsidRPr="51AF19BD">
        <w:rPr>
          <w:rFonts w:asciiTheme="minorHAnsi" w:hAnsiTheme="minorHAnsi"/>
        </w:rPr>
        <w:t xml:space="preserve">§ 2º O dever de execução a que se referem o </w:t>
      </w:r>
      <w:r w:rsidRPr="51AF19BD">
        <w:rPr>
          <w:rFonts w:asciiTheme="minorHAnsi" w:hAnsiTheme="minorHAnsi"/>
          <w:b/>
          <w:bCs/>
        </w:rPr>
        <w:t>caput</w:t>
      </w:r>
      <w:r w:rsidRPr="51AF19BD">
        <w:rPr>
          <w:rFonts w:asciiTheme="minorHAnsi" w:hAnsiTheme="minorHAnsi"/>
        </w:rPr>
        <w:t xml:space="preserve"> corresponde à obrigação do gestor de adotar as medidas necessárias para executar as dotações orçamentárias disponíveis</w:t>
      </w:r>
      <w:r w:rsidR="004E38F4">
        <w:rPr>
          <w:rFonts w:asciiTheme="minorHAnsi" w:hAnsiTheme="minorHAnsi"/>
        </w:rPr>
        <w:t>.</w:t>
      </w:r>
    </w:p>
    <w:p w14:paraId="1D78B123" w14:textId="77777777" w:rsidR="00196EEC" w:rsidRDefault="00196EEC" w:rsidP="009A23D3">
      <w:pPr>
        <w:ind w:left="1418" w:firstLine="1418"/>
        <w:jc w:val="both"/>
        <w:rPr>
          <w:rFonts w:asciiTheme="minorHAnsi" w:hAnsiTheme="minorHAnsi"/>
        </w:rPr>
      </w:pPr>
    </w:p>
    <w:p w14:paraId="3A3043B0" w14:textId="7ECFEBCB" w:rsidR="00196EEC" w:rsidRDefault="51AF19BD" w:rsidP="51AF19BD">
      <w:pPr>
        <w:ind w:left="1418" w:firstLine="1418"/>
        <w:jc w:val="both"/>
        <w:rPr>
          <w:rFonts w:asciiTheme="minorHAnsi" w:hAnsiTheme="minorHAnsi"/>
        </w:rPr>
      </w:pPr>
      <w:r w:rsidRPr="51AF19BD">
        <w:rPr>
          <w:rFonts w:asciiTheme="minorHAnsi" w:hAnsiTheme="minorHAnsi"/>
        </w:rPr>
        <w:t>§ 3º  Para fins do disposto nos § 10 e § 11 do art. 165 da Constituição, consideram-se compatíveis com o dever de execução das programações as alterações orçamentárias referidas nesta Portaria.</w:t>
      </w:r>
    </w:p>
    <w:p w14:paraId="68A184B6" w14:textId="77777777" w:rsidR="00196EEC" w:rsidRDefault="00196EEC" w:rsidP="009A23D3">
      <w:pPr>
        <w:ind w:left="1418" w:firstLine="1418"/>
        <w:jc w:val="both"/>
        <w:rPr>
          <w:rFonts w:asciiTheme="minorHAnsi" w:hAnsiTheme="minorHAnsi"/>
        </w:rPr>
      </w:pPr>
    </w:p>
    <w:p w14:paraId="62E5641B" w14:textId="3BEA4374" w:rsidR="005D2B50" w:rsidRDefault="51AF19BD" w:rsidP="51AF19BD">
      <w:pPr>
        <w:ind w:left="1418" w:firstLine="1418"/>
        <w:jc w:val="both"/>
        <w:rPr>
          <w:rFonts w:asciiTheme="minorHAnsi" w:hAnsiTheme="minorHAnsi"/>
        </w:rPr>
      </w:pPr>
      <w:r w:rsidRPr="51AF19BD">
        <w:rPr>
          <w:rFonts w:asciiTheme="minorHAnsi" w:hAnsiTheme="minorHAnsi"/>
        </w:rPr>
        <w:t>§ 4º O dever de execução de que trata o § 10 do art. 165 da Constituição não obsta a escolha das programações que serão objeto de anulação, cancelamento ou redução e suplementação, aplicação ou acréscimo, por meio das alterações orçamentárias previstas nesta Portaria.</w:t>
      </w:r>
    </w:p>
    <w:p w14:paraId="0F7E43BF" w14:textId="77777777" w:rsidR="005D2B50" w:rsidRDefault="005D2B50" w:rsidP="00196EEC">
      <w:pPr>
        <w:ind w:left="1418" w:firstLine="1418"/>
        <w:jc w:val="both"/>
        <w:rPr>
          <w:rFonts w:asciiTheme="minorHAnsi" w:hAnsiTheme="minorHAnsi"/>
        </w:rPr>
      </w:pPr>
    </w:p>
    <w:p w14:paraId="031B1B3E" w14:textId="0BCD9CD5" w:rsidR="00F86DA9" w:rsidRDefault="51AF19BD" w:rsidP="51AF19BD">
      <w:pPr>
        <w:ind w:left="1418" w:firstLine="1418"/>
        <w:jc w:val="both"/>
        <w:rPr>
          <w:rFonts w:asciiTheme="minorHAnsi" w:hAnsiTheme="minorHAnsi"/>
          <w:color w:val="000000"/>
        </w:rPr>
      </w:pPr>
      <w:r w:rsidRPr="51AF19BD">
        <w:rPr>
          <w:rFonts w:asciiTheme="minorHAnsi" w:hAnsiTheme="minorHAnsi"/>
        </w:rPr>
        <w:t>§ 5º As justificativas para a inexecução das programações orçamentárias primárias discricionárias serão elaboradas pelos gestores responsáveis pela execução das respectivas programações, nos órgãos setoriais e nas unidades orçamentárias, observado o disposto na LDO-2020.”</w:t>
      </w:r>
      <w:r w:rsidRPr="51AF19BD">
        <w:rPr>
          <w:rFonts w:asciiTheme="minorHAnsi" w:hAnsiTheme="minorHAnsi"/>
          <w:color w:val="000000" w:themeColor="text1"/>
        </w:rPr>
        <w:t xml:space="preserve"> (NR)</w:t>
      </w:r>
    </w:p>
    <w:p w14:paraId="41F0C9C7" w14:textId="77777777" w:rsidR="00F86DA9" w:rsidRDefault="00F86DA9" w:rsidP="00235470">
      <w:pPr>
        <w:ind w:firstLine="1418"/>
        <w:jc w:val="both"/>
        <w:rPr>
          <w:rFonts w:asciiTheme="minorHAnsi" w:hAnsiTheme="minorHAnsi"/>
          <w:color w:val="000000"/>
        </w:rPr>
      </w:pPr>
    </w:p>
    <w:p w14:paraId="773459FB" w14:textId="605B04F4" w:rsidR="009A23D3" w:rsidRDefault="009A23D3" w:rsidP="00B65433">
      <w:pPr>
        <w:ind w:left="1418" w:firstLine="141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“Art. 5º .....................................................................</w:t>
      </w:r>
      <w:r w:rsidR="0057030B">
        <w:rPr>
          <w:rFonts w:asciiTheme="minorHAnsi" w:hAnsiTheme="minorHAnsi"/>
          <w:color w:val="000000"/>
        </w:rPr>
        <w:t>........................</w:t>
      </w:r>
    </w:p>
    <w:p w14:paraId="716783D7" w14:textId="77777777" w:rsidR="009A23D3" w:rsidRDefault="009A23D3" w:rsidP="0021103E">
      <w:pPr>
        <w:ind w:left="1418" w:firstLine="1418"/>
        <w:jc w:val="both"/>
        <w:rPr>
          <w:rFonts w:asciiTheme="minorHAnsi" w:hAnsiTheme="minorHAnsi"/>
          <w:color w:val="000000"/>
        </w:rPr>
      </w:pPr>
    </w:p>
    <w:p w14:paraId="361CF1CA" w14:textId="385E3480" w:rsidR="006B2294" w:rsidRDefault="006B2294" w:rsidP="006B2294">
      <w:pPr>
        <w:ind w:left="1418" w:firstLine="1418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 xml:space="preserve">§ 1º Em atendimento à possibilidade de devolução referida no </w:t>
      </w:r>
      <w:r w:rsidRPr="004C40D2">
        <w:rPr>
          <w:rFonts w:ascii="Calibri" w:hAnsi="Calibri" w:cs="Calibri"/>
          <w:b/>
          <w:bCs/>
          <w:color w:val="000000"/>
        </w:rPr>
        <w:t>caput</w:t>
      </w:r>
      <w:r>
        <w:rPr>
          <w:rFonts w:ascii="Calibri" w:hAnsi="Calibri" w:cs="Calibri"/>
          <w:bCs/>
          <w:color w:val="000000"/>
        </w:rPr>
        <w:t xml:space="preserve">, os órgãos setoriais deverão, quando viável, encaminhar à SOF/SEF/ME as solicitações que impactem o atendimento das disposições sobre aplicações de recursos de que trata o </w:t>
      </w:r>
      <w:r w:rsidRPr="000B06A1">
        <w:rPr>
          <w:rFonts w:ascii="Calibri" w:hAnsi="Calibri" w:cs="Calibri"/>
          <w:b/>
          <w:bCs/>
          <w:color w:val="000000"/>
        </w:rPr>
        <w:t>caput</w:t>
      </w:r>
      <w:r>
        <w:rPr>
          <w:rFonts w:ascii="Calibri" w:hAnsi="Calibri" w:cs="Calibri"/>
          <w:bCs/>
          <w:color w:val="000000"/>
        </w:rPr>
        <w:t xml:space="preserve"> em pedidos de alteração orçamentária separados das solicitações que não impacte</w:t>
      </w:r>
      <w:r w:rsidR="00F87DF0">
        <w:rPr>
          <w:rFonts w:ascii="Calibri" w:hAnsi="Calibri" w:cs="Calibri"/>
          <w:bCs/>
          <w:color w:val="000000"/>
        </w:rPr>
        <w:t>m</w:t>
      </w:r>
      <w:r>
        <w:rPr>
          <w:rFonts w:ascii="Calibri" w:hAnsi="Calibri" w:cs="Calibri"/>
          <w:bCs/>
          <w:color w:val="000000"/>
        </w:rPr>
        <w:t xml:space="preserve"> o atendimento das referidas disposições. </w:t>
      </w:r>
    </w:p>
    <w:p w14:paraId="5946F33B" w14:textId="77777777" w:rsidR="006B2294" w:rsidRDefault="006B2294" w:rsidP="006B2294">
      <w:pPr>
        <w:ind w:left="1418" w:firstLine="1418"/>
        <w:jc w:val="both"/>
        <w:rPr>
          <w:rFonts w:ascii="Calibri" w:hAnsi="Calibri" w:cs="Calibri"/>
          <w:bCs/>
          <w:color w:val="000000"/>
        </w:rPr>
      </w:pPr>
    </w:p>
    <w:p w14:paraId="4F318CEC" w14:textId="1AF384A2" w:rsidR="009A23D3" w:rsidRDefault="51AF19BD" w:rsidP="51AF19BD">
      <w:pPr>
        <w:ind w:left="1418" w:firstLine="1418"/>
        <w:jc w:val="both"/>
        <w:rPr>
          <w:rFonts w:asciiTheme="minorHAnsi" w:hAnsiTheme="minorHAnsi"/>
          <w:color w:val="000000"/>
        </w:rPr>
      </w:pPr>
      <w:r w:rsidRPr="51AF19BD">
        <w:rPr>
          <w:rFonts w:ascii="Calibri" w:hAnsi="Calibri" w:cs="Calibri"/>
          <w:color w:val="000000" w:themeColor="text1"/>
        </w:rPr>
        <w:t xml:space="preserve">§ 2º </w:t>
      </w:r>
      <w:r w:rsidR="00344B7C" w:rsidRPr="00344B7C">
        <w:rPr>
          <w:rFonts w:ascii="Calibri" w:hAnsi="Calibri" w:cs="Calibri"/>
          <w:color w:val="000000" w:themeColor="text1"/>
        </w:rPr>
        <w:t xml:space="preserve">Salvo se dispensada a observância do </w:t>
      </w:r>
      <w:r w:rsidR="00344B7C">
        <w:rPr>
          <w:rFonts w:ascii="Calibri" w:hAnsi="Calibri" w:cs="Calibri"/>
          <w:color w:val="000000" w:themeColor="text1"/>
        </w:rPr>
        <w:t xml:space="preserve">disposto </w:t>
      </w:r>
      <w:r w:rsidRPr="51AF19BD">
        <w:rPr>
          <w:rFonts w:ascii="Calibri" w:hAnsi="Calibri" w:cs="Calibri"/>
          <w:color w:val="000000" w:themeColor="text1"/>
        </w:rPr>
        <w:t xml:space="preserve">no inciso III do </w:t>
      </w:r>
      <w:r w:rsidRPr="51AF19BD">
        <w:rPr>
          <w:rFonts w:ascii="Calibri" w:hAnsi="Calibri" w:cs="Calibri"/>
          <w:b/>
          <w:bCs/>
          <w:color w:val="000000" w:themeColor="text1"/>
        </w:rPr>
        <w:t>caput</w:t>
      </w:r>
      <w:r w:rsidRPr="51AF19BD">
        <w:rPr>
          <w:rFonts w:ascii="Calibri" w:hAnsi="Calibri" w:cs="Calibri"/>
          <w:color w:val="000000" w:themeColor="text1"/>
        </w:rPr>
        <w:t xml:space="preserve"> do art. 167 da Constituição, enquanto houver receitas e despesas condicionadas, nos termos do art. 21 da LDO-2020, as alterações orçamentárias realizadas por atos dos Poderes Legislativo e Judiciário, do Ministério Público da União e da Defensoria Pública da União devem ser equilibradas, em relação à variação no montante de receitas de operações de crédito e de despesas de capital.</w:t>
      </w:r>
      <w:r w:rsidR="00EE7D07">
        <w:rPr>
          <w:rFonts w:ascii="Calibri" w:hAnsi="Calibri" w:cs="Calibri"/>
          <w:color w:val="000000" w:themeColor="text1"/>
        </w:rPr>
        <w:t xml:space="preserve">” </w:t>
      </w:r>
      <w:r w:rsidRPr="51AF19BD">
        <w:rPr>
          <w:rFonts w:asciiTheme="minorHAnsi" w:hAnsiTheme="minorHAnsi"/>
          <w:color w:val="000000" w:themeColor="text1"/>
        </w:rPr>
        <w:t>(NR)</w:t>
      </w:r>
    </w:p>
    <w:p w14:paraId="047D43CF" w14:textId="549F1D50" w:rsidR="009A23D3" w:rsidRDefault="009A23D3" w:rsidP="00235470">
      <w:pPr>
        <w:ind w:firstLine="141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</w:p>
    <w:p w14:paraId="7DD47E5B" w14:textId="206761D1" w:rsidR="00666DDF" w:rsidRDefault="00666DDF" w:rsidP="00235470">
      <w:pPr>
        <w:ind w:firstLine="141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“Art. 6º .......................................................................................</w:t>
      </w:r>
    </w:p>
    <w:p w14:paraId="7DB83F75" w14:textId="77777777" w:rsidR="00666DDF" w:rsidRDefault="00666DDF" w:rsidP="00235470">
      <w:pPr>
        <w:ind w:firstLine="1418"/>
        <w:jc w:val="both"/>
        <w:rPr>
          <w:rFonts w:asciiTheme="minorHAnsi" w:hAnsiTheme="minorHAnsi"/>
          <w:color w:val="000000"/>
        </w:rPr>
      </w:pPr>
    </w:p>
    <w:p w14:paraId="39206193" w14:textId="6A9DB656" w:rsidR="00666DDF" w:rsidRDefault="00666DDF" w:rsidP="00666DDF">
      <w:pPr>
        <w:ind w:left="1418" w:firstLine="141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 - </w:t>
      </w:r>
      <w:r w:rsidRPr="00666DDF">
        <w:rPr>
          <w:rFonts w:asciiTheme="minorHAnsi" w:hAnsiTheme="minorHAnsi"/>
          <w:color w:val="000000"/>
        </w:rPr>
        <w:t>conter suplementação, aplicação ou acréscimo de recursos na modalidade de aplicação “99 - A Definir”, exceto quando for a</w:t>
      </w:r>
      <w:r>
        <w:rPr>
          <w:rFonts w:asciiTheme="minorHAnsi" w:hAnsiTheme="minorHAnsi"/>
          <w:color w:val="000000"/>
        </w:rPr>
        <w:t>nulada essa mesma modalidade ou</w:t>
      </w:r>
      <w:r w:rsidRPr="00666DDF">
        <w:rPr>
          <w:rFonts w:asciiTheme="minorHAnsi" w:hAnsiTheme="minorHAnsi"/>
          <w:color w:val="000000"/>
        </w:rPr>
        <w:t xml:space="preserve"> os tipos constantes do Anexo desta Portaria forem 600, 601, 602, 700a, 710, 910, 911 ou 920, sem prejuízo ao disposto § 8º do art. 6º da LDO-2020;</w:t>
      </w:r>
      <w:r>
        <w:rPr>
          <w:rFonts w:asciiTheme="minorHAnsi" w:hAnsiTheme="minorHAnsi"/>
          <w:color w:val="000000"/>
        </w:rPr>
        <w:t xml:space="preserve"> e </w:t>
      </w:r>
    </w:p>
    <w:p w14:paraId="3868493E" w14:textId="77777777" w:rsidR="003D0B77" w:rsidRDefault="003D0B77" w:rsidP="00666DDF">
      <w:pPr>
        <w:ind w:left="1418" w:firstLine="1418"/>
        <w:jc w:val="both"/>
        <w:rPr>
          <w:rFonts w:asciiTheme="minorHAnsi" w:hAnsiTheme="minorHAnsi"/>
          <w:color w:val="000000"/>
        </w:rPr>
      </w:pPr>
    </w:p>
    <w:p w14:paraId="141AFE62" w14:textId="13CEB308" w:rsidR="00666DDF" w:rsidRDefault="00666DDF" w:rsidP="003D0B77">
      <w:pPr>
        <w:ind w:firstLine="141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................................................................................</w:t>
      </w:r>
      <w:r w:rsidR="003D0B77">
        <w:rPr>
          <w:rFonts w:asciiTheme="minorHAnsi" w:hAnsiTheme="minorHAnsi"/>
          <w:color w:val="000000"/>
        </w:rPr>
        <w:t>............</w:t>
      </w:r>
      <w:r>
        <w:rPr>
          <w:rFonts w:asciiTheme="minorHAnsi" w:hAnsiTheme="minorHAnsi"/>
          <w:color w:val="000000"/>
        </w:rPr>
        <w:t xml:space="preserve"> “ (NR)</w:t>
      </w:r>
    </w:p>
    <w:p w14:paraId="63E2C76F" w14:textId="77777777" w:rsidR="00666DDF" w:rsidRDefault="00666DDF" w:rsidP="00666DDF">
      <w:pPr>
        <w:ind w:left="1418" w:firstLine="1418"/>
        <w:jc w:val="both"/>
        <w:rPr>
          <w:rFonts w:asciiTheme="minorHAnsi" w:hAnsiTheme="minorHAnsi"/>
          <w:color w:val="000000"/>
        </w:rPr>
      </w:pPr>
    </w:p>
    <w:p w14:paraId="2E41C69B" w14:textId="27E27EBA" w:rsidR="005F6BC0" w:rsidRDefault="005F6BC0" w:rsidP="00FE2E54">
      <w:pPr>
        <w:ind w:left="1418" w:firstLine="141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“Art. 12. ......................................................................</w:t>
      </w:r>
      <w:r w:rsidR="0057030B">
        <w:rPr>
          <w:rFonts w:asciiTheme="minorHAnsi" w:hAnsiTheme="minorHAnsi"/>
          <w:color w:val="000000"/>
        </w:rPr>
        <w:t>.................</w:t>
      </w:r>
    </w:p>
    <w:p w14:paraId="6A59C011" w14:textId="77777777" w:rsidR="00F23F18" w:rsidRDefault="00F23F18" w:rsidP="51AF19BD">
      <w:pPr>
        <w:pStyle w:val="Recuodecorpodetexto3"/>
        <w:ind w:left="1418"/>
        <w:rPr>
          <w:rFonts w:asciiTheme="minorHAnsi" w:hAnsiTheme="minorHAnsi"/>
          <w:b w:val="0"/>
          <w:bCs w:val="0"/>
        </w:rPr>
      </w:pPr>
    </w:p>
    <w:p w14:paraId="6F227598" w14:textId="0C3627F8" w:rsidR="51AF19BD" w:rsidRDefault="51AF19BD" w:rsidP="51AF19BD">
      <w:pPr>
        <w:ind w:left="1418" w:firstLine="1418"/>
        <w:jc w:val="both"/>
        <w:rPr>
          <w:rFonts w:asciiTheme="minorHAnsi" w:hAnsiTheme="minorHAnsi"/>
          <w:color w:val="000000" w:themeColor="text1"/>
        </w:rPr>
      </w:pPr>
      <w:r w:rsidRPr="51AF19BD">
        <w:rPr>
          <w:rFonts w:asciiTheme="minorHAnsi" w:hAnsiTheme="minorHAnsi"/>
        </w:rPr>
        <w:t xml:space="preserve">I - </w:t>
      </w:r>
      <w:r w:rsidRPr="51AF19BD">
        <w:rPr>
          <w:rFonts w:asciiTheme="minorHAnsi" w:hAnsiTheme="minorHAnsi"/>
          <w:color w:val="000000" w:themeColor="text1"/>
        </w:rPr>
        <w:t>.....................................................................</w:t>
      </w:r>
      <w:r w:rsidR="0057030B">
        <w:rPr>
          <w:rFonts w:asciiTheme="minorHAnsi" w:hAnsiTheme="minorHAnsi"/>
          <w:color w:val="000000" w:themeColor="text1"/>
        </w:rPr>
        <w:t>.............................</w:t>
      </w:r>
      <w:r w:rsidRPr="51AF19BD">
        <w:rPr>
          <w:rFonts w:asciiTheme="minorHAnsi" w:hAnsiTheme="minorHAnsi"/>
          <w:color w:val="000000" w:themeColor="text1"/>
        </w:rPr>
        <w:t>; e</w:t>
      </w:r>
    </w:p>
    <w:p w14:paraId="32FA1AF2" w14:textId="178ADB56" w:rsidR="51AF19BD" w:rsidRDefault="51AF19BD" w:rsidP="51AF19BD">
      <w:pPr>
        <w:pStyle w:val="Recuodecorpodetexto3"/>
        <w:ind w:left="1418"/>
        <w:rPr>
          <w:rFonts w:asciiTheme="minorHAnsi" w:hAnsiTheme="minorHAnsi"/>
          <w:b w:val="0"/>
          <w:bCs w:val="0"/>
        </w:rPr>
      </w:pPr>
    </w:p>
    <w:p w14:paraId="32255A73" w14:textId="0E9CAC5C" w:rsidR="51AF19BD" w:rsidRDefault="51AF19BD" w:rsidP="51AF19BD">
      <w:pPr>
        <w:ind w:left="1418" w:firstLine="1418"/>
        <w:jc w:val="both"/>
        <w:rPr>
          <w:rFonts w:asciiTheme="minorHAnsi" w:hAnsiTheme="minorHAnsi"/>
          <w:color w:val="000000" w:themeColor="text1"/>
        </w:rPr>
      </w:pPr>
      <w:r w:rsidRPr="51AF19BD">
        <w:rPr>
          <w:rFonts w:asciiTheme="minorHAnsi" w:hAnsiTheme="minorHAnsi"/>
        </w:rPr>
        <w:t xml:space="preserve">II - </w:t>
      </w:r>
      <w:r w:rsidRPr="51AF19BD">
        <w:rPr>
          <w:rFonts w:asciiTheme="minorHAnsi" w:hAnsiTheme="minorHAnsi"/>
          <w:color w:val="000000" w:themeColor="text1"/>
        </w:rPr>
        <w:t>......................................................................</w:t>
      </w:r>
      <w:r w:rsidR="0057030B">
        <w:rPr>
          <w:rFonts w:asciiTheme="minorHAnsi" w:hAnsiTheme="minorHAnsi"/>
          <w:color w:val="000000" w:themeColor="text1"/>
        </w:rPr>
        <w:t>..........................</w:t>
      </w:r>
      <w:r w:rsidR="007A5AE7">
        <w:rPr>
          <w:rFonts w:asciiTheme="minorHAnsi" w:hAnsiTheme="minorHAnsi"/>
          <w:color w:val="000000" w:themeColor="text1"/>
        </w:rPr>
        <w:t>.</w:t>
      </w:r>
    </w:p>
    <w:p w14:paraId="55F6A8A6" w14:textId="6269B99E" w:rsidR="51AF19BD" w:rsidRDefault="51AF19BD" w:rsidP="51AF19BD">
      <w:pPr>
        <w:pStyle w:val="Recuodecorpodetexto3"/>
        <w:ind w:left="1418"/>
        <w:rPr>
          <w:rFonts w:asciiTheme="minorHAnsi" w:hAnsiTheme="minorHAnsi"/>
          <w:b w:val="0"/>
          <w:bCs w:val="0"/>
        </w:rPr>
      </w:pPr>
    </w:p>
    <w:p w14:paraId="19D20219" w14:textId="752D967C" w:rsidR="00090190" w:rsidRDefault="51AF19BD" w:rsidP="00090190">
      <w:pPr>
        <w:pStyle w:val="Recuodecorpodetexto3"/>
        <w:ind w:left="1418"/>
        <w:rPr>
          <w:rFonts w:asciiTheme="minorHAnsi" w:hAnsiTheme="minorHAnsi"/>
          <w:b w:val="0"/>
          <w:bCs w:val="0"/>
        </w:rPr>
      </w:pPr>
      <w:r w:rsidRPr="51AF19BD">
        <w:rPr>
          <w:rFonts w:asciiTheme="minorHAnsi" w:hAnsiTheme="minorHAnsi"/>
          <w:b w:val="0"/>
          <w:bCs w:val="0"/>
        </w:rPr>
        <w:t xml:space="preserve">§ 1º  O limite de remanejamento de dotações, de que </w:t>
      </w:r>
      <w:r w:rsidRPr="51AF19BD">
        <w:rPr>
          <w:rFonts w:asciiTheme="minorHAnsi" w:hAnsiTheme="minorHAnsi"/>
          <w:b w:val="0"/>
          <w:bCs w:val="0"/>
          <w:color w:val="auto"/>
        </w:rPr>
        <w:t xml:space="preserve">tratam a alínea “e” do inciso I e a alínea “j” do inciso III do </w:t>
      </w:r>
      <w:r w:rsidRPr="51AF19BD">
        <w:rPr>
          <w:rFonts w:asciiTheme="minorHAnsi" w:hAnsiTheme="minorHAnsi"/>
          <w:color w:val="auto"/>
        </w:rPr>
        <w:t>caput</w:t>
      </w:r>
      <w:r w:rsidRPr="51AF19BD">
        <w:rPr>
          <w:rFonts w:asciiTheme="minorHAnsi" w:hAnsiTheme="minorHAnsi"/>
          <w:b w:val="0"/>
          <w:bCs w:val="0"/>
          <w:color w:val="auto"/>
        </w:rPr>
        <w:t xml:space="preserve"> art. 4</w:t>
      </w:r>
      <w:r w:rsidRPr="51AF19BD">
        <w:rPr>
          <w:rFonts w:asciiTheme="minorHAnsi" w:hAnsiTheme="minorHAnsi"/>
          <w:b w:val="0"/>
          <w:bCs w:val="0"/>
          <w:color w:val="auto"/>
          <w:u w:val="words"/>
          <w:vertAlign w:val="superscript"/>
        </w:rPr>
        <w:t>o</w:t>
      </w:r>
      <w:r w:rsidRPr="51AF19BD">
        <w:rPr>
          <w:rFonts w:asciiTheme="minorHAnsi" w:hAnsiTheme="minorHAnsi"/>
          <w:b w:val="0"/>
          <w:bCs w:val="0"/>
          <w:color w:val="auto"/>
        </w:rPr>
        <w:t xml:space="preserve"> da LOA-</w:t>
      </w:r>
      <w:r w:rsidRPr="51AF19BD">
        <w:rPr>
          <w:rFonts w:asciiTheme="minorHAnsi" w:hAnsiTheme="minorHAnsi" w:cstheme="minorBidi"/>
          <w:b w:val="0"/>
          <w:bCs w:val="0"/>
          <w:color w:val="auto"/>
        </w:rPr>
        <w:t>2020</w:t>
      </w:r>
      <w:r w:rsidRPr="51AF19BD">
        <w:rPr>
          <w:rFonts w:asciiTheme="minorHAnsi" w:hAnsiTheme="minorHAnsi"/>
          <w:b w:val="0"/>
          <w:bCs w:val="0"/>
          <w:color w:val="auto"/>
        </w:rPr>
        <w:t>, entr</w:t>
      </w:r>
      <w:r w:rsidRPr="51AF19BD">
        <w:rPr>
          <w:rFonts w:asciiTheme="minorHAnsi" w:hAnsiTheme="minorHAnsi"/>
          <w:b w:val="0"/>
          <w:bCs w:val="0"/>
        </w:rPr>
        <w:t>e subtítulos de ações do mesmo programa, aprovadas na referida Lei, no âmbito de cada órgão orçamentário, mediante a utilização dos tipos de alteração orçamentária “107”, no âmbito do Poder Executivo, ou “407”, nos Poderes Legislativo e Judiciário, no MPU e na DPU, constantes das respectivas Tabelas do Anexo desta Portaria, poderá ser ampliado para até 30% (trinta por cento)</w:t>
      </w:r>
      <w:r w:rsidRPr="51AF19BD">
        <w:rPr>
          <w:rFonts w:asciiTheme="minorHAnsi" w:hAnsiTheme="minorHAnsi"/>
        </w:rPr>
        <w:t xml:space="preserve"> </w:t>
      </w:r>
      <w:r w:rsidRPr="51AF19BD">
        <w:rPr>
          <w:rFonts w:asciiTheme="minorHAnsi" w:hAnsiTheme="minorHAnsi"/>
          <w:b w:val="0"/>
          <w:bCs w:val="0"/>
        </w:rPr>
        <w:t>do valor do respectivo subtítulo, consideradas as alterações já efetivadas por intermédio dos tipos 101e e 103f, no Poder Executivo, ou dos tipos 401e e 403f, nos Poderes Legislativo e Judiciário, no MPU e na DPU, observadas as restrições conti</w:t>
      </w:r>
      <w:r w:rsidR="000614EE">
        <w:rPr>
          <w:rFonts w:asciiTheme="minorHAnsi" w:hAnsiTheme="minorHAnsi"/>
          <w:b w:val="0"/>
          <w:bCs w:val="0"/>
        </w:rPr>
        <w:t xml:space="preserve">das nas aludidas alíneas. </w:t>
      </w:r>
    </w:p>
    <w:p w14:paraId="32A6B9A6" w14:textId="77777777" w:rsidR="00091791" w:rsidRPr="00160CAA" w:rsidRDefault="00091791" w:rsidP="00090190">
      <w:pPr>
        <w:pStyle w:val="Recuodecorpodetexto3"/>
        <w:ind w:left="1418"/>
        <w:rPr>
          <w:rFonts w:asciiTheme="minorHAnsi" w:hAnsiTheme="minorHAnsi"/>
          <w:b w:val="0"/>
          <w:bCs w:val="0"/>
        </w:rPr>
      </w:pPr>
    </w:p>
    <w:p w14:paraId="28A739E6" w14:textId="5A943CF5" w:rsidR="00090190" w:rsidRDefault="51AF19BD" w:rsidP="00090190">
      <w:pPr>
        <w:pStyle w:val="Recuodecorpodetexto3"/>
        <w:rPr>
          <w:rFonts w:asciiTheme="minorHAnsi" w:hAnsiTheme="minorHAnsi"/>
          <w:b w:val="0"/>
          <w:bCs w:val="0"/>
        </w:rPr>
      </w:pPr>
      <w:r w:rsidRPr="51AF19BD">
        <w:rPr>
          <w:rFonts w:asciiTheme="minorHAnsi" w:hAnsiTheme="minorHAnsi"/>
          <w:b w:val="0"/>
          <w:bCs w:val="0"/>
        </w:rPr>
        <w:t>....................................................................................................</w:t>
      </w:r>
      <w:r w:rsidR="000614EE" w:rsidRPr="000614EE">
        <w:rPr>
          <w:rFonts w:asciiTheme="minorHAnsi" w:hAnsiTheme="minorHAnsi"/>
          <w:b w:val="0"/>
          <w:bCs w:val="0"/>
        </w:rPr>
        <w:t>.</w:t>
      </w:r>
      <w:r w:rsidR="0057030B">
        <w:rPr>
          <w:rFonts w:asciiTheme="minorHAnsi" w:hAnsiTheme="minorHAnsi"/>
          <w:b w:val="0"/>
          <w:bCs w:val="0"/>
        </w:rPr>
        <w:t>.........................</w:t>
      </w:r>
    </w:p>
    <w:p w14:paraId="412CD13F" w14:textId="77777777" w:rsidR="00091791" w:rsidRPr="00090190" w:rsidRDefault="00091791" w:rsidP="00090190">
      <w:pPr>
        <w:pStyle w:val="Recuodecorpodetexto3"/>
        <w:rPr>
          <w:rFonts w:asciiTheme="minorHAnsi" w:hAnsiTheme="minorHAnsi"/>
          <w:b w:val="0"/>
          <w:bCs w:val="0"/>
        </w:rPr>
      </w:pPr>
    </w:p>
    <w:p w14:paraId="14A58059" w14:textId="3264E49A" w:rsidR="005F6BC0" w:rsidRDefault="005F6BC0" w:rsidP="00090190">
      <w:pPr>
        <w:ind w:left="1418" w:firstLine="1418"/>
        <w:jc w:val="both"/>
        <w:rPr>
          <w:rFonts w:asciiTheme="minorHAnsi" w:hAnsiTheme="minorHAnsi"/>
        </w:rPr>
      </w:pPr>
      <w:r w:rsidRPr="51AF19BD">
        <w:rPr>
          <w:rFonts w:asciiTheme="minorHAnsi" w:hAnsiTheme="minorHAnsi"/>
          <w:color w:val="000000"/>
        </w:rPr>
        <w:t xml:space="preserve">§ 3º </w:t>
      </w:r>
      <w:r w:rsidRPr="51AF19BD">
        <w:rPr>
          <w:rFonts w:asciiTheme="minorHAnsi" w:hAnsiTheme="minorHAnsi"/>
        </w:rPr>
        <w:t>Para fins do disposto no art. 4</w:t>
      </w:r>
      <w:r w:rsidRPr="51AF19BD">
        <w:rPr>
          <w:rFonts w:asciiTheme="minorHAnsi" w:hAnsiTheme="minorHAnsi"/>
          <w:u w:val="words"/>
          <w:vertAlign w:val="superscript"/>
        </w:rPr>
        <w:t>o</w:t>
      </w:r>
      <w:r w:rsidRPr="51AF19BD">
        <w:rPr>
          <w:rFonts w:asciiTheme="minorHAnsi" w:hAnsiTheme="minorHAnsi"/>
        </w:rPr>
        <w:t xml:space="preserve">, </w:t>
      </w:r>
      <w:r w:rsidRPr="51AF19BD">
        <w:rPr>
          <w:rFonts w:asciiTheme="minorHAnsi" w:hAnsiTheme="minorHAnsi"/>
          <w:b/>
          <w:bCs/>
        </w:rPr>
        <w:t>caput</w:t>
      </w:r>
      <w:r w:rsidRPr="51AF19BD">
        <w:rPr>
          <w:rFonts w:asciiTheme="minorHAnsi" w:hAnsiTheme="minorHAnsi"/>
        </w:rPr>
        <w:t>, incisos I, alíneas “a”, item “3”, “b”, item “3”, e “e”, item “2”, II, alíneas “a”, item “3”, e “e”, item “2”, III, alíneas “f”, item “2”, “g”, item “2” e “j”, item “2”, da LOA-</w:t>
      </w:r>
      <w:r w:rsidRPr="51AF19BD">
        <w:rPr>
          <w:rFonts w:asciiTheme="minorHAnsi" w:hAnsiTheme="minorHAnsi" w:cstheme="minorBidi"/>
        </w:rPr>
        <w:t>2020</w:t>
      </w:r>
      <w:r w:rsidRPr="51AF19BD">
        <w:rPr>
          <w:rFonts w:asciiTheme="minorHAnsi" w:hAnsiTheme="minorHAnsi"/>
        </w:rPr>
        <w:t>, entende-se como recursos próprios, tal qual definido no art. 3</w:t>
      </w:r>
      <w:r w:rsidRPr="51AF19BD">
        <w:rPr>
          <w:rFonts w:asciiTheme="minorHAnsi" w:hAnsiTheme="minorHAnsi"/>
          <w:u w:val="words"/>
          <w:vertAlign w:val="superscript"/>
        </w:rPr>
        <w:t>o</w:t>
      </w:r>
      <w:r w:rsidRPr="51AF19BD">
        <w:rPr>
          <w:rFonts w:asciiTheme="minorHAnsi" w:hAnsiTheme="minorHAnsi"/>
        </w:rPr>
        <w:t xml:space="preserve"> da Portaria SECAD/SOF n</w:t>
      </w:r>
      <w:r w:rsidRPr="51AF19BD">
        <w:rPr>
          <w:rFonts w:asciiTheme="minorHAnsi" w:hAnsiTheme="minorHAnsi"/>
          <w:u w:val="words"/>
          <w:vertAlign w:val="superscript"/>
        </w:rPr>
        <w:t xml:space="preserve">o </w:t>
      </w:r>
      <w:r w:rsidRPr="51AF19BD">
        <w:rPr>
          <w:rFonts w:asciiTheme="minorHAnsi" w:hAnsiTheme="minorHAnsi"/>
        </w:rPr>
        <w:t xml:space="preserve">15.073, de 26 de dezembro de 2019, </w:t>
      </w:r>
      <w:r w:rsidRPr="51AF19BD">
        <w:rPr>
          <w:rFonts w:asciiTheme="minorHAnsi" w:hAnsiTheme="minorHAnsi"/>
          <w:color w:val="000000"/>
        </w:rPr>
        <w:t>e alterações posteriores,</w:t>
      </w:r>
      <w:r w:rsidRPr="51AF19BD">
        <w:rPr>
          <w:rFonts w:asciiTheme="minorHAnsi" w:hAnsiTheme="minorHAnsi"/>
        </w:rPr>
        <w:t xml:space="preserve"> os classificados nas fontes “50 - Recursos Próprios Primários de Livre Aplicação”, “63 - Recursos Próprios Decorrentes da Alienação de Bens e Direitos do Patrimônio Público”</w:t>
      </w:r>
      <w:r w:rsidR="00C65D95" w:rsidRPr="51AF19BD">
        <w:rPr>
          <w:rFonts w:asciiTheme="minorHAnsi" w:hAnsiTheme="minorHAnsi"/>
        </w:rPr>
        <w:t xml:space="preserve">, “70 - Recursos Próprios </w:t>
      </w:r>
      <w:r w:rsidR="00C65D95" w:rsidRPr="51AF19BD">
        <w:rPr>
          <w:rFonts w:asciiTheme="minorHAnsi" w:hAnsiTheme="minorHAnsi"/>
        </w:rPr>
        <w:lastRenderedPageBreak/>
        <w:t>Primários com Aplicação Específica”</w:t>
      </w:r>
      <w:r w:rsidRPr="51AF19BD">
        <w:rPr>
          <w:rFonts w:asciiTheme="minorHAnsi" w:hAnsiTheme="minorHAnsi"/>
        </w:rPr>
        <w:t xml:space="preserve"> e “80 - Recursos Próprios Financeiros”, observado, no caso da fonte 63,</w:t>
      </w:r>
      <w:r w:rsidR="000614EE">
        <w:rPr>
          <w:rFonts w:asciiTheme="minorHAnsi" w:hAnsiTheme="minorHAnsi"/>
        </w:rPr>
        <w:t xml:space="preserve"> o disposto no art. 44 da LRF.</w:t>
      </w:r>
    </w:p>
    <w:p w14:paraId="6F6443B6" w14:textId="77777777" w:rsidR="00091791" w:rsidRDefault="00091791" w:rsidP="00090190">
      <w:pPr>
        <w:ind w:left="1418" w:firstLine="1418"/>
        <w:jc w:val="both"/>
        <w:rPr>
          <w:rFonts w:asciiTheme="minorHAnsi" w:hAnsiTheme="minorHAnsi"/>
        </w:rPr>
      </w:pPr>
    </w:p>
    <w:p w14:paraId="0B0ABA03" w14:textId="7DADC73D" w:rsidR="00F938C1" w:rsidRDefault="51AF19BD" w:rsidP="51AF19BD">
      <w:pPr>
        <w:pStyle w:val="Recuodecorpodetexto3"/>
        <w:rPr>
          <w:rFonts w:asciiTheme="minorHAnsi" w:hAnsiTheme="minorHAnsi"/>
          <w:b w:val="0"/>
        </w:rPr>
      </w:pPr>
      <w:r w:rsidRPr="51AF19BD">
        <w:rPr>
          <w:rFonts w:asciiTheme="minorHAnsi" w:hAnsiTheme="minorHAnsi"/>
          <w:b w:val="0"/>
          <w:bCs w:val="0"/>
        </w:rPr>
        <w:t>....................................................................................................</w:t>
      </w:r>
      <w:r w:rsidR="000614EE">
        <w:rPr>
          <w:rFonts w:asciiTheme="minorHAnsi" w:hAnsiTheme="minorHAnsi"/>
          <w:b w:val="0"/>
          <w:bCs w:val="0"/>
        </w:rPr>
        <w:t>”</w:t>
      </w:r>
      <w:r w:rsidR="000614EE" w:rsidRPr="000614EE">
        <w:rPr>
          <w:rFonts w:asciiTheme="minorHAnsi" w:hAnsiTheme="minorHAnsi"/>
        </w:rPr>
        <w:t xml:space="preserve"> </w:t>
      </w:r>
      <w:r w:rsidR="000614EE" w:rsidRPr="000614EE">
        <w:rPr>
          <w:rFonts w:asciiTheme="minorHAnsi" w:hAnsiTheme="minorHAnsi"/>
          <w:b w:val="0"/>
        </w:rPr>
        <w:t>(NR)</w:t>
      </w:r>
    </w:p>
    <w:p w14:paraId="63A2BCB0" w14:textId="77777777" w:rsidR="00090190" w:rsidRPr="00235470" w:rsidRDefault="00090190" w:rsidP="51AF19BD">
      <w:pPr>
        <w:pStyle w:val="Recuodecorpodetexto3"/>
        <w:rPr>
          <w:rFonts w:asciiTheme="minorHAnsi" w:hAnsiTheme="minorHAnsi"/>
          <w:b w:val="0"/>
          <w:bCs w:val="0"/>
        </w:rPr>
      </w:pPr>
    </w:p>
    <w:p w14:paraId="7486978C" w14:textId="37E15868" w:rsidR="00091791" w:rsidRDefault="51AF19BD" w:rsidP="000614EE">
      <w:pPr>
        <w:pStyle w:val="Recuodecorpodetexto3"/>
        <w:ind w:left="1418"/>
        <w:rPr>
          <w:rFonts w:asciiTheme="minorHAnsi" w:hAnsiTheme="minorHAnsi"/>
          <w:b w:val="0"/>
          <w:bCs w:val="0"/>
        </w:rPr>
      </w:pPr>
      <w:r w:rsidRPr="51AF19BD">
        <w:rPr>
          <w:rFonts w:asciiTheme="minorHAnsi" w:hAnsiTheme="minorHAnsi"/>
          <w:b w:val="0"/>
          <w:bCs w:val="0"/>
        </w:rPr>
        <w:t>“Art. 13. Na abertura de créditos suplementares autorizados na LOA-2020, somente poderão ser cancelados valores incluídos ou acrescidos em decorrência da aprovação de emendas, classificadas com “RP 6”, “RP 7”, “RP 8” ou “RP 9”, quando cumulativamente oc</w:t>
      </w:r>
      <w:r w:rsidR="000614EE">
        <w:rPr>
          <w:rFonts w:asciiTheme="minorHAnsi" w:hAnsiTheme="minorHAnsi"/>
          <w:b w:val="0"/>
          <w:bCs w:val="0"/>
        </w:rPr>
        <w:t xml:space="preserve">orrerem as seguintes condições:  </w:t>
      </w:r>
    </w:p>
    <w:p w14:paraId="6E1C3043" w14:textId="6A70CE91" w:rsidR="00F938C1" w:rsidRPr="0073613B" w:rsidRDefault="51AF19BD" w:rsidP="00091791">
      <w:pPr>
        <w:pStyle w:val="Recuodecorpodetexto3"/>
        <w:rPr>
          <w:rFonts w:asciiTheme="minorHAnsi" w:hAnsiTheme="minorHAnsi"/>
          <w:b w:val="0"/>
          <w:bCs w:val="0"/>
        </w:rPr>
      </w:pPr>
      <w:r w:rsidRPr="51AF19BD">
        <w:rPr>
          <w:rFonts w:asciiTheme="minorHAnsi" w:hAnsiTheme="minorHAnsi"/>
          <w:b w:val="0"/>
          <w:bCs w:val="0"/>
        </w:rPr>
        <w:t>....................................................................................................” (NR)</w:t>
      </w:r>
    </w:p>
    <w:p w14:paraId="037C9D30" w14:textId="77777777" w:rsidR="00F23F18" w:rsidRDefault="00F23F18" w:rsidP="00946B89">
      <w:pPr>
        <w:ind w:left="1418" w:firstLine="1440"/>
        <w:jc w:val="both"/>
        <w:rPr>
          <w:rFonts w:ascii="Calibri" w:hAnsi="Calibri" w:cs="Calibri"/>
          <w:bCs/>
          <w:color w:val="000000"/>
        </w:rPr>
      </w:pPr>
    </w:p>
    <w:p w14:paraId="05AB379D" w14:textId="2F8B5E04" w:rsidR="00F23F18" w:rsidRPr="00160CAA" w:rsidRDefault="51AF19BD" w:rsidP="00FE2E54">
      <w:pPr>
        <w:ind w:left="1418" w:firstLine="1417"/>
        <w:jc w:val="both"/>
        <w:rPr>
          <w:rFonts w:ascii="Calibri" w:hAnsi="Calibri" w:cs="Calibri"/>
          <w:color w:val="000000"/>
        </w:rPr>
      </w:pPr>
      <w:r w:rsidRPr="51AF19BD">
        <w:rPr>
          <w:rFonts w:ascii="Calibri" w:hAnsi="Calibri" w:cs="Calibri"/>
          <w:color w:val="000000" w:themeColor="text1"/>
        </w:rPr>
        <w:t xml:space="preserve">“Art. 15. Na reabertura dos créditos extraordinários, e reabertura de créditos especiais para atendimento de despesas que não excederem o limite de que trata o § 2º do art. 3º desta Portaria, deverão ser utilizados, conforme o caso, os grupos de fontes “3 - Recursos do Tesouro - Exercícios Anteriores” ou “6 - Recursos de Outras Fontes - Exercícios Anteriores”, de acordo com a </w:t>
      </w:r>
      <w:r w:rsidRPr="51AF19BD">
        <w:rPr>
          <w:rFonts w:asciiTheme="minorHAnsi" w:hAnsiTheme="minorHAnsi"/>
        </w:rPr>
        <w:t>Portaria SECAD/SOF n</w:t>
      </w:r>
      <w:r w:rsidRPr="51AF19BD">
        <w:rPr>
          <w:rFonts w:asciiTheme="minorHAnsi" w:hAnsiTheme="minorHAnsi"/>
          <w:u w:val="words"/>
          <w:vertAlign w:val="superscript"/>
        </w:rPr>
        <w:t xml:space="preserve">o </w:t>
      </w:r>
      <w:r w:rsidRPr="51AF19BD">
        <w:rPr>
          <w:rFonts w:asciiTheme="minorHAnsi" w:hAnsiTheme="minorHAnsi"/>
        </w:rPr>
        <w:t>15.073, de 2019</w:t>
      </w:r>
      <w:r w:rsidRPr="51AF19BD">
        <w:rPr>
          <w:rFonts w:ascii="Calibri" w:hAnsi="Calibri" w:cs="Calibri"/>
          <w:color w:val="000000" w:themeColor="text1"/>
        </w:rPr>
        <w:t xml:space="preserve">, </w:t>
      </w:r>
      <w:r w:rsidRPr="51AF19BD">
        <w:rPr>
          <w:rFonts w:asciiTheme="minorHAnsi" w:hAnsiTheme="minorHAnsi"/>
          <w:color w:val="000000" w:themeColor="text1"/>
        </w:rPr>
        <w:t>e alterações posteriores,</w:t>
      </w:r>
      <w:r w:rsidRPr="51AF19BD">
        <w:rPr>
          <w:rFonts w:ascii="Calibri" w:hAnsi="Calibri" w:cs="Calibri"/>
          <w:color w:val="000000" w:themeColor="text1"/>
        </w:rPr>
        <w:t xml:space="preserve"> mantendo-se as mesmas fontes de recursos da abertura do crédito, representadas pelos dois últimos dígitos do código de fonte da mencionada abertura, conforme relação constante do Anexo da referida Portaria.” (NR)</w:t>
      </w:r>
    </w:p>
    <w:p w14:paraId="7A4B47D1" w14:textId="77777777" w:rsidR="00EE0542" w:rsidRDefault="00EE0542" w:rsidP="000877F0">
      <w:pPr>
        <w:jc w:val="both"/>
        <w:rPr>
          <w:rFonts w:asciiTheme="minorHAnsi" w:hAnsiTheme="minorHAnsi"/>
          <w:color w:val="000000"/>
        </w:rPr>
      </w:pPr>
    </w:p>
    <w:p w14:paraId="1FE61276" w14:textId="2CCA1EC9" w:rsidR="00C27BB4" w:rsidRDefault="51AF19BD" w:rsidP="51AF19BD">
      <w:pPr>
        <w:ind w:left="1418" w:firstLine="1418"/>
        <w:jc w:val="both"/>
        <w:rPr>
          <w:rFonts w:asciiTheme="minorHAnsi" w:hAnsiTheme="minorHAnsi"/>
          <w:color w:val="000000"/>
        </w:rPr>
      </w:pPr>
      <w:r w:rsidRPr="51AF19BD">
        <w:rPr>
          <w:rFonts w:asciiTheme="minorHAnsi" w:hAnsiTheme="minorHAnsi"/>
          <w:color w:val="000000" w:themeColor="text1"/>
        </w:rPr>
        <w:t>“Art. 31. .....................................................................</w:t>
      </w:r>
      <w:r w:rsidR="0057030B">
        <w:rPr>
          <w:rFonts w:asciiTheme="minorHAnsi" w:hAnsiTheme="minorHAnsi"/>
          <w:color w:val="000000" w:themeColor="text1"/>
        </w:rPr>
        <w:t>......................</w:t>
      </w:r>
    </w:p>
    <w:p w14:paraId="5CE955F2" w14:textId="27160DA7" w:rsidR="00C27BB4" w:rsidRDefault="00C27BB4" w:rsidP="00090190">
      <w:pPr>
        <w:ind w:firstLine="1418"/>
        <w:jc w:val="both"/>
        <w:rPr>
          <w:rFonts w:asciiTheme="minorHAnsi" w:hAnsiTheme="minorHAnsi"/>
          <w:color w:val="000000"/>
        </w:rPr>
      </w:pPr>
      <w:r w:rsidRPr="00C27BB4">
        <w:rPr>
          <w:rFonts w:asciiTheme="minorHAnsi" w:hAnsiTheme="minorHAnsi"/>
          <w:color w:val="000000"/>
        </w:rPr>
        <w:t>.....................................................................................................</w:t>
      </w:r>
    </w:p>
    <w:p w14:paraId="04B1827F" w14:textId="77777777" w:rsidR="00091791" w:rsidRDefault="00091791" w:rsidP="00090190">
      <w:pPr>
        <w:ind w:firstLine="1418"/>
        <w:jc w:val="both"/>
        <w:rPr>
          <w:rFonts w:asciiTheme="minorHAnsi" w:hAnsiTheme="minorHAnsi"/>
          <w:color w:val="000000"/>
        </w:rPr>
      </w:pPr>
    </w:p>
    <w:p w14:paraId="678EEBEE" w14:textId="7B802B05" w:rsidR="00C27BB4" w:rsidRDefault="51AF19BD" w:rsidP="51AF19BD">
      <w:pPr>
        <w:ind w:left="1418" w:firstLine="1418"/>
        <w:jc w:val="both"/>
        <w:rPr>
          <w:rFonts w:asciiTheme="minorHAnsi" w:hAnsiTheme="minorHAnsi"/>
          <w:color w:val="000000"/>
        </w:rPr>
      </w:pPr>
      <w:r w:rsidRPr="51AF19BD">
        <w:rPr>
          <w:rFonts w:asciiTheme="minorHAnsi" w:hAnsiTheme="minorHAnsi"/>
          <w:color w:val="000000" w:themeColor="text1"/>
        </w:rPr>
        <w:t>§ 4º Em decorrência de fato superveniente, a SOF/SEF/ME poderá solicitar que o órgão setorial realize procedimento distinto do descrito neste artigo.” (NR)</w:t>
      </w:r>
    </w:p>
    <w:p w14:paraId="6579E7DB" w14:textId="77777777" w:rsidR="00C27BB4" w:rsidRDefault="00C27BB4" w:rsidP="00F23F18">
      <w:pPr>
        <w:ind w:left="1418" w:firstLine="1418"/>
        <w:jc w:val="both"/>
        <w:rPr>
          <w:rFonts w:asciiTheme="minorHAnsi" w:hAnsiTheme="minorHAnsi"/>
          <w:color w:val="000000"/>
        </w:rPr>
      </w:pPr>
    </w:p>
    <w:p w14:paraId="6D3F7439" w14:textId="1D29E9D9" w:rsidR="00640729" w:rsidRDefault="51AF19BD" w:rsidP="00F23F18">
      <w:pPr>
        <w:ind w:left="1418" w:firstLine="1418"/>
        <w:jc w:val="both"/>
        <w:rPr>
          <w:rFonts w:asciiTheme="minorHAnsi" w:hAnsiTheme="minorHAnsi"/>
          <w:color w:val="000000"/>
        </w:rPr>
      </w:pPr>
      <w:r w:rsidRPr="51AF19BD">
        <w:rPr>
          <w:rFonts w:asciiTheme="minorHAnsi" w:hAnsiTheme="minorHAnsi"/>
          <w:color w:val="000000" w:themeColor="text1"/>
        </w:rPr>
        <w:t>“Art. 33. .....................................................................</w:t>
      </w:r>
      <w:r w:rsidR="0057030B">
        <w:rPr>
          <w:rFonts w:asciiTheme="minorHAnsi" w:hAnsiTheme="minorHAnsi"/>
          <w:color w:val="000000" w:themeColor="text1"/>
        </w:rPr>
        <w:t>....................</w:t>
      </w:r>
    </w:p>
    <w:p w14:paraId="6F42A32C" w14:textId="6AF59C39" w:rsidR="51AF19BD" w:rsidRDefault="51AF19BD" w:rsidP="51AF19BD">
      <w:pPr>
        <w:ind w:left="1418" w:firstLine="1418"/>
        <w:jc w:val="both"/>
        <w:rPr>
          <w:rFonts w:asciiTheme="minorHAnsi" w:hAnsiTheme="minorHAnsi"/>
          <w:color w:val="000000" w:themeColor="text1"/>
        </w:rPr>
      </w:pPr>
    </w:p>
    <w:p w14:paraId="17D6A802" w14:textId="63EE0287" w:rsidR="00640729" w:rsidRDefault="51AF19BD" w:rsidP="51AF19BD">
      <w:pPr>
        <w:ind w:left="1418" w:firstLine="1418"/>
        <w:jc w:val="both"/>
        <w:rPr>
          <w:rFonts w:asciiTheme="minorHAnsi" w:hAnsiTheme="minorHAnsi"/>
          <w:color w:val="000000"/>
        </w:rPr>
      </w:pPr>
      <w:r w:rsidRPr="51AF19BD">
        <w:rPr>
          <w:rFonts w:asciiTheme="minorHAnsi" w:hAnsiTheme="minorHAnsi"/>
          <w:color w:val="000000" w:themeColor="text1"/>
        </w:rPr>
        <w:t>I - ..............................................................................</w:t>
      </w:r>
      <w:r w:rsidR="007A5AE7">
        <w:rPr>
          <w:rFonts w:asciiTheme="minorHAnsi" w:hAnsiTheme="minorHAnsi"/>
          <w:color w:val="000000" w:themeColor="text1"/>
        </w:rPr>
        <w:t>........................</w:t>
      </w:r>
      <w:r w:rsidRPr="51AF19BD">
        <w:rPr>
          <w:rFonts w:asciiTheme="minorHAnsi" w:hAnsiTheme="minorHAnsi"/>
          <w:color w:val="000000" w:themeColor="text1"/>
        </w:rPr>
        <w:t xml:space="preserve"> :</w:t>
      </w:r>
    </w:p>
    <w:p w14:paraId="6523C7DE" w14:textId="028BB845" w:rsidR="51AF19BD" w:rsidRDefault="51AF19BD" w:rsidP="51AF19BD">
      <w:pPr>
        <w:ind w:left="1418" w:firstLine="1418"/>
        <w:jc w:val="both"/>
        <w:rPr>
          <w:rFonts w:asciiTheme="minorHAnsi" w:hAnsiTheme="minorHAnsi"/>
          <w:color w:val="000000" w:themeColor="text1"/>
        </w:rPr>
      </w:pPr>
    </w:p>
    <w:p w14:paraId="18581FB7" w14:textId="2DF3A11D" w:rsidR="000614EE" w:rsidRDefault="51AF19BD" w:rsidP="51AF19BD">
      <w:pPr>
        <w:ind w:left="1418" w:firstLine="1418"/>
        <w:jc w:val="both"/>
        <w:rPr>
          <w:rFonts w:asciiTheme="minorHAnsi" w:hAnsiTheme="minorHAnsi"/>
          <w:color w:val="000000" w:themeColor="text1"/>
        </w:rPr>
      </w:pPr>
      <w:r w:rsidRPr="51AF19BD">
        <w:rPr>
          <w:rFonts w:asciiTheme="minorHAnsi" w:hAnsiTheme="minorHAnsi"/>
          <w:color w:val="000000" w:themeColor="text1"/>
        </w:rPr>
        <w:t xml:space="preserve">a) a importância da alteração proposta para a execução da política, programação ou programa de trabalho do Órgão ou Unidade Orçamentária, bem como a relevância da alteração </w:t>
      </w:r>
      <w:r w:rsidR="00F87DF0">
        <w:rPr>
          <w:rFonts w:asciiTheme="minorHAnsi" w:hAnsiTheme="minorHAnsi"/>
          <w:color w:val="000000" w:themeColor="text1"/>
        </w:rPr>
        <w:t>visando à</w:t>
      </w:r>
      <w:r w:rsidRPr="51AF19BD">
        <w:rPr>
          <w:rFonts w:asciiTheme="minorHAnsi" w:hAnsiTheme="minorHAnsi"/>
          <w:color w:val="000000" w:themeColor="text1"/>
        </w:rPr>
        <w:t xml:space="preserve"> garantia de entrega de bens e serviços à sociedade, quando se tratar de despesas primárias discricionárias, em observância </w:t>
      </w:r>
      <w:r w:rsidR="00F87DF0">
        <w:rPr>
          <w:rFonts w:asciiTheme="minorHAnsi" w:hAnsiTheme="minorHAnsi"/>
          <w:color w:val="000000" w:themeColor="text1"/>
        </w:rPr>
        <w:t>ao</w:t>
      </w:r>
      <w:r w:rsidRPr="51AF19BD">
        <w:rPr>
          <w:rFonts w:asciiTheme="minorHAnsi" w:hAnsiTheme="minorHAnsi"/>
          <w:color w:val="000000" w:themeColor="text1"/>
        </w:rPr>
        <w:t xml:space="preserve"> § 1</w:t>
      </w:r>
      <w:r w:rsidR="000614EE">
        <w:rPr>
          <w:rFonts w:asciiTheme="minorHAnsi" w:hAnsiTheme="minorHAnsi"/>
          <w:color w:val="000000" w:themeColor="text1"/>
        </w:rPr>
        <w:t>0 do art. 165 da Constituição;</w:t>
      </w:r>
    </w:p>
    <w:p w14:paraId="75232525" w14:textId="5797210E" w:rsidR="00640729" w:rsidRDefault="000614EE" w:rsidP="00FB177E">
      <w:pPr>
        <w:ind w:left="1418"/>
        <w:jc w:val="both"/>
        <w:rPr>
          <w:rFonts w:asciiTheme="minorHAnsi" w:hAnsiTheme="minorHAnsi"/>
          <w:color w:val="000000"/>
        </w:rPr>
      </w:pPr>
      <w:r w:rsidRPr="51AF19BD">
        <w:rPr>
          <w:rFonts w:asciiTheme="minorHAnsi" w:hAnsiTheme="minorHAnsi"/>
          <w:color w:val="000000" w:themeColor="text1"/>
        </w:rPr>
        <w:t>...............................................</w:t>
      </w:r>
      <w:r w:rsidR="00FB177E">
        <w:rPr>
          <w:rFonts w:asciiTheme="minorHAnsi" w:hAnsiTheme="minorHAnsi"/>
          <w:color w:val="000000" w:themeColor="text1"/>
        </w:rPr>
        <w:t>...........................</w:t>
      </w:r>
      <w:r w:rsidRPr="51AF19BD">
        <w:rPr>
          <w:rFonts w:asciiTheme="minorHAnsi" w:hAnsiTheme="minorHAnsi"/>
          <w:color w:val="000000" w:themeColor="text1"/>
        </w:rPr>
        <w:t>...............................</w:t>
      </w:r>
      <w:r>
        <w:rPr>
          <w:rFonts w:asciiTheme="minorHAnsi" w:hAnsiTheme="minorHAnsi"/>
          <w:color w:val="000000" w:themeColor="text1"/>
        </w:rPr>
        <w:t>”</w:t>
      </w:r>
      <w:r w:rsidRPr="51AF19BD">
        <w:rPr>
          <w:rFonts w:asciiTheme="minorHAnsi" w:hAnsiTheme="minorHAnsi"/>
          <w:color w:val="000000" w:themeColor="text1"/>
        </w:rPr>
        <w:t xml:space="preserve"> </w:t>
      </w:r>
      <w:r w:rsidR="51AF19BD" w:rsidRPr="51AF19BD">
        <w:rPr>
          <w:rFonts w:asciiTheme="minorHAnsi" w:hAnsiTheme="minorHAnsi"/>
          <w:color w:val="000000" w:themeColor="text1"/>
        </w:rPr>
        <w:t>(NR)</w:t>
      </w:r>
    </w:p>
    <w:p w14:paraId="16F918F7" w14:textId="77777777" w:rsidR="00640729" w:rsidRDefault="00640729" w:rsidP="00F23F18">
      <w:pPr>
        <w:ind w:left="1418" w:firstLine="1418"/>
        <w:jc w:val="both"/>
        <w:rPr>
          <w:rFonts w:asciiTheme="minorHAnsi" w:hAnsiTheme="minorHAnsi"/>
          <w:color w:val="000000"/>
        </w:rPr>
      </w:pPr>
    </w:p>
    <w:p w14:paraId="2BC04B05" w14:textId="6354DCBC" w:rsidR="00F938C1" w:rsidRDefault="51AF19BD" w:rsidP="51AF19BD">
      <w:pPr>
        <w:ind w:left="1418" w:firstLine="1418"/>
        <w:jc w:val="both"/>
        <w:rPr>
          <w:rFonts w:asciiTheme="minorHAnsi" w:hAnsiTheme="minorHAnsi"/>
          <w:color w:val="000000"/>
        </w:rPr>
      </w:pPr>
      <w:r w:rsidRPr="51AF19BD">
        <w:rPr>
          <w:rFonts w:asciiTheme="minorHAnsi" w:hAnsiTheme="minorHAnsi"/>
          <w:color w:val="000000" w:themeColor="text1"/>
        </w:rPr>
        <w:t>“Art. 38. ...............................................................................</w:t>
      </w:r>
      <w:r w:rsidR="00463AE2">
        <w:rPr>
          <w:rFonts w:asciiTheme="minorHAnsi" w:hAnsiTheme="minorHAnsi"/>
          <w:color w:val="000000" w:themeColor="text1"/>
        </w:rPr>
        <w:t>........</w:t>
      </w:r>
      <w:r w:rsidR="0057030B">
        <w:rPr>
          <w:rFonts w:asciiTheme="minorHAnsi" w:hAnsiTheme="minorHAnsi"/>
          <w:color w:val="000000" w:themeColor="text1"/>
        </w:rPr>
        <w:t>..</w:t>
      </w:r>
    </w:p>
    <w:p w14:paraId="56F4042A" w14:textId="7854F700" w:rsidR="51AF19BD" w:rsidRDefault="51AF19BD" w:rsidP="51AF19BD">
      <w:pPr>
        <w:ind w:left="1418" w:firstLine="1418"/>
        <w:jc w:val="both"/>
        <w:rPr>
          <w:rFonts w:asciiTheme="minorHAnsi" w:hAnsiTheme="minorHAnsi"/>
          <w:color w:val="000000" w:themeColor="text1"/>
        </w:rPr>
      </w:pPr>
    </w:p>
    <w:p w14:paraId="50F2214D" w14:textId="22B95B03" w:rsidR="51AF19BD" w:rsidRDefault="51AF19BD" w:rsidP="51AF19BD">
      <w:pPr>
        <w:pStyle w:val="Cabealho"/>
        <w:ind w:left="1418" w:firstLine="1418"/>
        <w:jc w:val="both"/>
        <w:rPr>
          <w:rFonts w:asciiTheme="minorHAnsi" w:hAnsiTheme="minorHAnsi"/>
          <w:color w:val="000000" w:themeColor="text1"/>
          <w:sz w:val="24"/>
        </w:rPr>
      </w:pPr>
      <w:r w:rsidRPr="51AF19BD">
        <w:rPr>
          <w:rFonts w:ascii="Calibri" w:hAnsi="Calibri"/>
          <w:sz w:val="24"/>
          <w:szCs w:val="24"/>
        </w:rPr>
        <w:t>I</w:t>
      </w:r>
      <w:r w:rsidR="00F80F4D">
        <w:rPr>
          <w:rFonts w:ascii="Calibri" w:hAnsi="Calibri"/>
          <w:sz w:val="24"/>
          <w:szCs w:val="24"/>
        </w:rPr>
        <w:t>I</w:t>
      </w:r>
      <w:bookmarkStart w:id="0" w:name="_GoBack"/>
      <w:bookmarkEnd w:id="0"/>
      <w:r w:rsidRPr="51AF19BD">
        <w:rPr>
          <w:rFonts w:ascii="Calibri" w:hAnsi="Calibri"/>
          <w:sz w:val="24"/>
          <w:szCs w:val="24"/>
        </w:rPr>
        <w:t xml:space="preserve"> - </w:t>
      </w:r>
      <w:r w:rsidRPr="000614EE">
        <w:rPr>
          <w:rFonts w:asciiTheme="minorHAnsi" w:hAnsiTheme="minorHAnsi"/>
          <w:color w:val="000000" w:themeColor="text1"/>
          <w:sz w:val="24"/>
        </w:rPr>
        <w:t>..................................................................................................... :</w:t>
      </w:r>
    </w:p>
    <w:p w14:paraId="28E7F23E" w14:textId="77777777" w:rsidR="00091791" w:rsidRPr="000614EE" w:rsidRDefault="00091791" w:rsidP="51AF19BD">
      <w:pPr>
        <w:pStyle w:val="Cabealho"/>
        <w:ind w:left="1418" w:firstLine="1418"/>
        <w:jc w:val="both"/>
        <w:rPr>
          <w:rFonts w:asciiTheme="minorHAnsi" w:hAnsiTheme="minorHAnsi"/>
          <w:color w:val="000000" w:themeColor="text1"/>
          <w:sz w:val="24"/>
        </w:rPr>
      </w:pPr>
    </w:p>
    <w:p w14:paraId="73D1865B" w14:textId="7CFF7BC7" w:rsidR="000614EE" w:rsidRPr="000614EE" w:rsidRDefault="000614EE" w:rsidP="000614EE">
      <w:pPr>
        <w:pStyle w:val="Cabealho"/>
        <w:jc w:val="both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ab/>
      </w:r>
      <w:r w:rsidRPr="000614EE">
        <w:rPr>
          <w:rFonts w:asciiTheme="minorHAnsi" w:hAnsiTheme="minorHAnsi"/>
          <w:color w:val="000000" w:themeColor="text1"/>
          <w:sz w:val="24"/>
        </w:rPr>
        <w:t>.....................................................................................................</w:t>
      </w:r>
    </w:p>
    <w:p w14:paraId="35EE8202" w14:textId="65C85CFF" w:rsidR="51AF19BD" w:rsidRDefault="51AF19BD" w:rsidP="000614EE">
      <w:pPr>
        <w:pStyle w:val="Cabealho"/>
        <w:jc w:val="both"/>
        <w:rPr>
          <w:rFonts w:ascii="Calibri" w:hAnsi="Calibri"/>
          <w:sz w:val="24"/>
          <w:szCs w:val="24"/>
        </w:rPr>
      </w:pPr>
    </w:p>
    <w:p w14:paraId="47A79EC9" w14:textId="77777777" w:rsidR="00F23F18" w:rsidRDefault="51AF19BD" w:rsidP="00946B89">
      <w:pPr>
        <w:pStyle w:val="Cabealho"/>
        <w:ind w:left="1418" w:firstLine="1418"/>
        <w:jc w:val="both"/>
        <w:rPr>
          <w:rFonts w:ascii="Calibri" w:hAnsi="Calibri" w:cs="Calibri"/>
          <w:sz w:val="24"/>
          <w:szCs w:val="24"/>
        </w:rPr>
      </w:pPr>
      <w:r w:rsidRPr="51AF19BD">
        <w:rPr>
          <w:rFonts w:ascii="Calibri" w:hAnsi="Calibri"/>
          <w:sz w:val="24"/>
          <w:szCs w:val="24"/>
        </w:rPr>
        <w:t xml:space="preserve">b) </w:t>
      </w:r>
      <w:r w:rsidRPr="51AF19BD">
        <w:rPr>
          <w:rFonts w:ascii="Calibri" w:hAnsi="Calibri" w:cs="Calibri"/>
          <w:sz w:val="24"/>
          <w:szCs w:val="24"/>
        </w:rPr>
        <w:t>para suplementação de despesas classificadas com “RP 2”, “RP 7”, “RP 8” ou “RP 9”:</w:t>
      </w:r>
    </w:p>
    <w:p w14:paraId="6B3C2256" w14:textId="77777777" w:rsidR="00EE7D07" w:rsidRPr="00160CAA" w:rsidRDefault="00EE7D07" w:rsidP="00946B89">
      <w:pPr>
        <w:pStyle w:val="Cabealho"/>
        <w:ind w:left="1418" w:firstLine="1418"/>
        <w:jc w:val="both"/>
        <w:rPr>
          <w:rFonts w:ascii="Calibri" w:hAnsi="Calibri" w:cs="Calibri"/>
          <w:sz w:val="24"/>
          <w:szCs w:val="24"/>
        </w:rPr>
      </w:pPr>
    </w:p>
    <w:p w14:paraId="3E39F6D6" w14:textId="09D9C13C" w:rsidR="00F23F18" w:rsidRPr="00160CAA" w:rsidRDefault="00F23F18" w:rsidP="51AF19BD">
      <w:pPr>
        <w:pStyle w:val="Cabealho"/>
        <w:ind w:left="1418" w:firstLine="1418"/>
        <w:jc w:val="both"/>
        <w:rPr>
          <w:rFonts w:ascii="Calibri" w:hAnsi="Calibri" w:cs="Calibri"/>
          <w:sz w:val="24"/>
          <w:szCs w:val="24"/>
        </w:rPr>
      </w:pPr>
      <w:r w:rsidRPr="00160CAA">
        <w:rPr>
          <w:rFonts w:ascii="Calibri" w:hAnsi="Calibri" w:cs="Calibri"/>
          <w:sz w:val="24"/>
          <w:szCs w:val="24"/>
        </w:rPr>
        <w:lastRenderedPageBreak/>
        <w:t>1. nos primeiros dez dias dos meses de abril, de junho, de outubro e de novembro; e</w:t>
      </w:r>
    </w:p>
    <w:p w14:paraId="50BF49BB" w14:textId="77777777" w:rsidR="00F23F18" w:rsidRPr="00160CAA" w:rsidRDefault="00F23F18" w:rsidP="00946B89">
      <w:pPr>
        <w:pStyle w:val="Cabealho"/>
        <w:ind w:left="1418" w:firstLine="1418"/>
        <w:jc w:val="both"/>
        <w:rPr>
          <w:rFonts w:ascii="Calibri" w:hAnsi="Calibri" w:cs="Calibri"/>
          <w:sz w:val="24"/>
          <w:szCs w:val="24"/>
        </w:rPr>
      </w:pPr>
    </w:p>
    <w:p w14:paraId="557C6A8B" w14:textId="77777777" w:rsidR="00F23F18" w:rsidRDefault="00F23F18" w:rsidP="00946B89">
      <w:pPr>
        <w:pStyle w:val="Cabealho"/>
        <w:ind w:left="1418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60CAA">
        <w:rPr>
          <w:rFonts w:ascii="Calibri" w:hAnsi="Calibri" w:cs="Calibri"/>
          <w:sz w:val="24"/>
          <w:szCs w:val="24"/>
        </w:rPr>
        <w:t xml:space="preserve">2. nos primeiros dez dias do mês de dezembro, </w:t>
      </w:r>
      <w:r w:rsidRPr="00160CAA">
        <w:rPr>
          <w:rFonts w:asciiTheme="minorHAnsi" w:hAnsiTheme="minorHAnsi"/>
          <w:sz w:val="24"/>
        </w:rPr>
        <w:t xml:space="preserve">somente para as alterações previstas no inciso III, alíneas “b” e “g”, do </w:t>
      </w:r>
      <w:r w:rsidRPr="00160CAA">
        <w:rPr>
          <w:rFonts w:asciiTheme="minorHAnsi" w:hAnsiTheme="minorHAnsi"/>
          <w:b/>
          <w:sz w:val="24"/>
        </w:rPr>
        <w:t>caput</w:t>
      </w:r>
      <w:r w:rsidRPr="00160CAA">
        <w:rPr>
          <w:rFonts w:asciiTheme="minorHAnsi" w:hAnsiTheme="minorHAnsi"/>
          <w:sz w:val="24"/>
        </w:rPr>
        <w:t xml:space="preserve"> do art. 4º da LOA-</w:t>
      </w:r>
      <w:r w:rsidRPr="00160CAA">
        <w:rPr>
          <w:rFonts w:ascii="Calibri" w:hAnsi="Calibri" w:cs="Calibri"/>
          <w:sz w:val="24"/>
          <w:szCs w:val="24"/>
        </w:rPr>
        <w:t>2020</w:t>
      </w:r>
      <w:r w:rsidRPr="00160CAA">
        <w:rPr>
          <w:rFonts w:asciiTheme="minorHAnsi" w:hAnsiTheme="minorHAnsi"/>
          <w:sz w:val="24"/>
        </w:rPr>
        <w:t xml:space="preserve">, de que tratam os tipos 103c e 103i, respectivamente, constantes do Anexo desta </w:t>
      </w:r>
      <w:r w:rsidRPr="00160CAA">
        <w:rPr>
          <w:rFonts w:asciiTheme="minorHAnsi" w:hAnsiTheme="minorHAnsi" w:cstheme="minorHAnsi"/>
          <w:sz w:val="24"/>
          <w:szCs w:val="24"/>
        </w:rPr>
        <w:t>Portaria; e</w:t>
      </w:r>
    </w:p>
    <w:p w14:paraId="2C3C1324" w14:textId="3E1C6CD7" w:rsidR="004F0AE7" w:rsidRDefault="004F0AE7" w:rsidP="004F0AE7">
      <w:pPr>
        <w:ind w:firstLine="141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.....................................................................................................” (NR)</w:t>
      </w:r>
    </w:p>
    <w:p w14:paraId="5A2E7458" w14:textId="77777777" w:rsidR="000A4F60" w:rsidRPr="00160CAA" w:rsidRDefault="000A4F60" w:rsidP="000A4F60">
      <w:pPr>
        <w:pStyle w:val="Cabealho"/>
        <w:jc w:val="both"/>
        <w:rPr>
          <w:rFonts w:ascii="Calibri" w:hAnsi="Calibri"/>
          <w:sz w:val="24"/>
        </w:rPr>
      </w:pPr>
    </w:p>
    <w:p w14:paraId="78746ADF" w14:textId="09DA67AD" w:rsidR="00B623E8" w:rsidRDefault="51AF19BD" w:rsidP="00235470">
      <w:pPr>
        <w:ind w:firstLine="1418"/>
        <w:jc w:val="both"/>
        <w:rPr>
          <w:rFonts w:ascii="Calibri" w:hAnsi="Calibri" w:cs="Calibri"/>
        </w:rPr>
      </w:pPr>
      <w:r w:rsidRPr="51AF19BD">
        <w:rPr>
          <w:rFonts w:ascii="Calibri" w:hAnsi="Calibri" w:cs="Calibri"/>
        </w:rPr>
        <w:t>Art. 2</w:t>
      </w:r>
      <w:r w:rsidRPr="51AF19BD">
        <w:rPr>
          <w:rFonts w:ascii="Calibri" w:hAnsi="Calibri" w:cs="Calibri"/>
          <w:u w:val="single"/>
          <w:vertAlign w:val="superscript"/>
        </w:rPr>
        <w:t>o</w:t>
      </w:r>
      <w:r w:rsidRPr="51AF19BD">
        <w:rPr>
          <w:rFonts w:ascii="Calibri" w:hAnsi="Calibri" w:cs="Calibri"/>
        </w:rPr>
        <w:t xml:space="preserve"> Os tipos de alteração orçamentária 101a, 101d, 101e, 101f, 102a, 102d, 107, 119 e 300 do Anexo da Portaria SOF/SEF/ME </w:t>
      </w:r>
      <w:r w:rsidRPr="51AF19BD">
        <w:rPr>
          <w:rFonts w:asciiTheme="minorHAnsi" w:hAnsiTheme="minorHAnsi"/>
          <w:color w:val="000000" w:themeColor="text1"/>
        </w:rPr>
        <w:t>nº 5.509, de 21 de fevereiro de 2020</w:t>
      </w:r>
      <w:r w:rsidRPr="51AF19BD">
        <w:rPr>
          <w:rFonts w:ascii="Calibri" w:hAnsi="Calibri" w:cs="Calibri"/>
        </w:rPr>
        <w:t>, passam a vigorar com as alterações constantes do Anexo I desta Portaria.</w:t>
      </w:r>
    </w:p>
    <w:p w14:paraId="674BE2FD" w14:textId="77777777" w:rsidR="00565F9D" w:rsidRDefault="00565F9D" w:rsidP="00235470">
      <w:pPr>
        <w:ind w:firstLine="1418"/>
        <w:jc w:val="both"/>
        <w:rPr>
          <w:rFonts w:ascii="Calibri" w:hAnsi="Calibri" w:cs="Calibri"/>
        </w:rPr>
      </w:pPr>
    </w:p>
    <w:p w14:paraId="5740ED21" w14:textId="3DA7F477" w:rsidR="00565F9D" w:rsidRPr="00853BEE" w:rsidRDefault="51AF19BD" w:rsidP="00235470">
      <w:pPr>
        <w:ind w:firstLine="1418"/>
        <w:jc w:val="both"/>
        <w:rPr>
          <w:rFonts w:ascii="Calibri" w:hAnsi="Calibri" w:cs="Calibri"/>
        </w:rPr>
      </w:pPr>
      <w:r w:rsidRPr="51AF19BD">
        <w:rPr>
          <w:rFonts w:ascii="Calibri" w:hAnsi="Calibri" w:cs="Calibri"/>
        </w:rPr>
        <w:t>Art. 3º Os tipos de alteração orçamentária 103a, 103c, 103e, 103f, 103g, 103h, 103i, 10</w:t>
      </w:r>
      <w:r w:rsidR="00090190">
        <w:rPr>
          <w:rFonts w:ascii="Calibri" w:hAnsi="Calibri" w:cs="Calibri"/>
        </w:rPr>
        <w:t>3j, 103l, 103m, 103n, 104a, 188 e</w:t>
      </w:r>
      <w:r w:rsidRPr="51AF19BD">
        <w:rPr>
          <w:rFonts w:ascii="Calibri" w:hAnsi="Calibri" w:cs="Calibri"/>
        </w:rPr>
        <w:t xml:space="preserve"> 190 passam a constar do Anexo da Portaria SOF/SEF/ME nº 5.509, de 21 de fevereiro de 2020, com as redações constantes do Anexo II desta Portaria.</w:t>
      </w:r>
    </w:p>
    <w:p w14:paraId="3B3796CD" w14:textId="575D456B" w:rsidR="00562F74" w:rsidRDefault="00562F74" w:rsidP="51AF19BD">
      <w:pPr>
        <w:jc w:val="both"/>
        <w:rPr>
          <w:rFonts w:asciiTheme="minorHAnsi" w:hAnsiTheme="minorHAnsi"/>
          <w:color w:val="000000"/>
        </w:rPr>
      </w:pPr>
    </w:p>
    <w:p w14:paraId="34B77BE2" w14:textId="6FCAC87A" w:rsidR="51AF19BD" w:rsidRDefault="51AF19BD" w:rsidP="51AF19BD">
      <w:pPr>
        <w:ind w:firstLine="1418"/>
        <w:jc w:val="both"/>
        <w:rPr>
          <w:rFonts w:asciiTheme="minorHAnsi" w:hAnsiTheme="minorHAnsi"/>
          <w:color w:val="000000" w:themeColor="text1"/>
        </w:rPr>
      </w:pPr>
      <w:r w:rsidRPr="51AF19BD">
        <w:rPr>
          <w:rFonts w:asciiTheme="minorHAnsi" w:hAnsiTheme="minorHAnsi"/>
          <w:color w:val="000000" w:themeColor="text1"/>
        </w:rPr>
        <w:t>Art. 4º Ficam revogados os seguintes dispositivos da Portaria SOF/SEF/ME nº 5.509, de 21 de fevereiro de 2020:</w:t>
      </w:r>
    </w:p>
    <w:p w14:paraId="260F95DE" w14:textId="4268048C" w:rsidR="51AF19BD" w:rsidRDefault="51AF19BD" w:rsidP="51AF19BD">
      <w:pPr>
        <w:ind w:firstLine="1418"/>
        <w:jc w:val="both"/>
        <w:rPr>
          <w:rFonts w:asciiTheme="minorHAnsi" w:hAnsiTheme="minorHAnsi"/>
          <w:color w:val="000000" w:themeColor="text1"/>
        </w:rPr>
      </w:pPr>
    </w:p>
    <w:p w14:paraId="0B66349E" w14:textId="72915626" w:rsidR="51AF19BD" w:rsidRDefault="51AF19BD" w:rsidP="51AF19BD">
      <w:pPr>
        <w:ind w:firstLine="1418"/>
        <w:jc w:val="both"/>
        <w:rPr>
          <w:rFonts w:asciiTheme="minorHAnsi" w:hAnsiTheme="minorHAnsi"/>
          <w:color w:val="000000" w:themeColor="text1"/>
        </w:rPr>
      </w:pPr>
      <w:r w:rsidRPr="51AF19BD">
        <w:rPr>
          <w:rFonts w:asciiTheme="minorHAnsi" w:hAnsiTheme="minorHAnsi"/>
          <w:color w:val="000000" w:themeColor="text1"/>
        </w:rPr>
        <w:t>I - § 2º do art. 13; e</w:t>
      </w:r>
    </w:p>
    <w:p w14:paraId="2DD79631" w14:textId="77777777" w:rsidR="51AF19BD" w:rsidRDefault="51AF19BD" w:rsidP="51AF19BD">
      <w:pPr>
        <w:jc w:val="both"/>
        <w:rPr>
          <w:rFonts w:asciiTheme="minorHAnsi" w:hAnsiTheme="minorHAnsi"/>
          <w:color w:val="000000" w:themeColor="text1"/>
        </w:rPr>
      </w:pPr>
    </w:p>
    <w:p w14:paraId="25C71DAA" w14:textId="4CA2E764" w:rsidR="51AF19BD" w:rsidRDefault="51AF19BD" w:rsidP="51AF19BD">
      <w:pPr>
        <w:ind w:firstLine="1418"/>
        <w:jc w:val="both"/>
        <w:rPr>
          <w:rFonts w:asciiTheme="minorHAnsi" w:hAnsiTheme="minorHAnsi"/>
          <w:color w:val="000000" w:themeColor="text1"/>
        </w:rPr>
      </w:pPr>
      <w:r w:rsidRPr="51AF19BD">
        <w:rPr>
          <w:rFonts w:asciiTheme="minorHAnsi" w:hAnsiTheme="minorHAnsi"/>
          <w:color w:val="000000" w:themeColor="text1"/>
        </w:rPr>
        <w:t>II – alínea “i” do inciso III do art. 33.</w:t>
      </w:r>
    </w:p>
    <w:p w14:paraId="299C48FA" w14:textId="5AEF490E" w:rsidR="51AF19BD" w:rsidRDefault="51AF19BD" w:rsidP="51AF19BD">
      <w:pPr>
        <w:jc w:val="both"/>
        <w:rPr>
          <w:rFonts w:asciiTheme="minorHAnsi" w:hAnsiTheme="minorHAnsi"/>
          <w:color w:val="000000" w:themeColor="text1"/>
        </w:rPr>
      </w:pPr>
    </w:p>
    <w:p w14:paraId="2C716D4B" w14:textId="02D0D10C" w:rsidR="00B623E8" w:rsidRDefault="00B623E8" w:rsidP="002B1870">
      <w:pPr>
        <w:jc w:val="both"/>
        <w:rPr>
          <w:rFonts w:ascii="Calibri" w:hAnsi="Calibri" w:cs="Calibri"/>
        </w:rPr>
      </w:pPr>
      <w:r>
        <w:rPr>
          <w:rFonts w:asciiTheme="minorHAnsi" w:hAnsiTheme="minorHAnsi"/>
          <w:color w:val="000000"/>
        </w:rPr>
        <w:tab/>
      </w:r>
      <w:r>
        <w:rPr>
          <w:rFonts w:ascii="Calibri" w:hAnsi="Calibri" w:cs="Calibri"/>
        </w:rPr>
        <w:t xml:space="preserve">Art. </w:t>
      </w:r>
      <w:r w:rsidR="007940B5">
        <w:rPr>
          <w:rFonts w:ascii="Calibri" w:hAnsi="Calibri" w:cs="Calibri"/>
        </w:rPr>
        <w:t>5</w:t>
      </w:r>
      <w:r w:rsidRPr="00853BEE">
        <w:rPr>
          <w:rFonts w:ascii="Calibri" w:hAnsi="Calibri" w:cs="Calibri"/>
          <w:u w:val="single"/>
          <w:vertAlign w:val="superscript"/>
        </w:rPr>
        <w:t>o</w:t>
      </w:r>
      <w:r w:rsidRPr="00853BEE">
        <w:rPr>
          <w:rFonts w:ascii="Calibri" w:hAnsi="Calibri" w:cs="Calibri"/>
        </w:rPr>
        <w:t xml:space="preserve"> </w:t>
      </w:r>
      <w:r w:rsidR="00340B8E">
        <w:rPr>
          <w:rFonts w:ascii="Calibri" w:hAnsi="Calibri" w:cs="Calibri"/>
        </w:rPr>
        <w:t>E</w:t>
      </w:r>
      <w:r w:rsidRPr="00853BEE">
        <w:rPr>
          <w:rFonts w:ascii="Calibri" w:hAnsi="Calibri" w:cs="Calibri"/>
        </w:rPr>
        <w:t xml:space="preserve">sta Portaria entra em vigor </w:t>
      </w:r>
      <w:r w:rsidR="00340B8E">
        <w:rPr>
          <w:rFonts w:ascii="Calibri" w:hAnsi="Calibri" w:cs="Calibri"/>
        </w:rPr>
        <w:t>na data de sua publicação.</w:t>
      </w:r>
    </w:p>
    <w:p w14:paraId="25796496" w14:textId="77777777" w:rsidR="00B623E8" w:rsidRDefault="00B623E8" w:rsidP="00B623E8">
      <w:pPr>
        <w:rPr>
          <w:rFonts w:ascii="Calibri" w:hAnsi="Calibri" w:cs="Calibri"/>
        </w:rPr>
      </w:pPr>
    </w:p>
    <w:p w14:paraId="3D149B4B" w14:textId="77777777" w:rsidR="00B623E8" w:rsidRDefault="00B623E8" w:rsidP="00B623E8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GEORGE SOARES</w:t>
      </w:r>
    </w:p>
    <w:p w14:paraId="54D31FC4" w14:textId="77777777" w:rsidR="007A63D7" w:rsidRDefault="007946F1" w:rsidP="007A63D7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14:paraId="03B540B0" w14:textId="3700C62F" w:rsidR="007940B5" w:rsidRDefault="007940B5" w:rsidP="007940B5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Anexo I</w:t>
      </w:r>
    </w:p>
    <w:p w14:paraId="1BB7F791" w14:textId="16EAB9C7" w:rsidR="007940B5" w:rsidRDefault="51AF19BD" w:rsidP="51AF19BD">
      <w:pPr>
        <w:jc w:val="center"/>
        <w:rPr>
          <w:rFonts w:asciiTheme="minorHAnsi" w:hAnsiTheme="minorHAnsi"/>
          <w:color w:val="000000"/>
        </w:rPr>
      </w:pPr>
      <w:r w:rsidRPr="51AF19BD">
        <w:rPr>
          <w:rFonts w:asciiTheme="minorHAnsi" w:hAnsiTheme="minorHAnsi"/>
          <w:color w:val="000000" w:themeColor="text1"/>
        </w:rPr>
        <w:t>Ajuste na redação dos tipos de alteração orçamentária constantes do Anexo da Portaria SOF/SEF/ME nº 5.509</w:t>
      </w:r>
      <w:r w:rsidR="00AB5C4C">
        <w:rPr>
          <w:rFonts w:asciiTheme="minorHAnsi" w:hAnsiTheme="minorHAnsi"/>
          <w:color w:val="000000" w:themeColor="text1"/>
        </w:rPr>
        <w:t>,</w:t>
      </w:r>
      <w:r w:rsidRPr="51AF19BD">
        <w:rPr>
          <w:rFonts w:asciiTheme="minorHAnsi" w:hAnsiTheme="minorHAnsi"/>
          <w:color w:val="000000" w:themeColor="text1"/>
        </w:rPr>
        <w:t xml:space="preserve"> de 2020.</w:t>
      </w:r>
    </w:p>
    <w:p w14:paraId="7BA145FF" w14:textId="77777777" w:rsidR="007940B5" w:rsidRDefault="007940B5" w:rsidP="007940B5">
      <w:pPr>
        <w:jc w:val="center"/>
        <w:rPr>
          <w:rFonts w:asciiTheme="minorHAnsi" w:hAnsiTheme="minorHAnsi"/>
          <w:color w:val="000000"/>
        </w:rPr>
      </w:pPr>
    </w:p>
    <w:tbl>
      <w:tblPr>
        <w:tblW w:w="10434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5"/>
        <w:gridCol w:w="22"/>
        <w:gridCol w:w="3578"/>
        <w:gridCol w:w="26"/>
        <w:gridCol w:w="4328"/>
        <w:gridCol w:w="66"/>
        <w:gridCol w:w="1517"/>
        <w:gridCol w:w="42"/>
      </w:tblGrid>
      <w:tr w:rsidR="007940B5" w:rsidRPr="00160CAA" w14:paraId="7752E5D0" w14:textId="77777777" w:rsidTr="51AF19BD">
        <w:trPr>
          <w:cantSplit/>
          <w:trHeight w:val="13"/>
        </w:trPr>
        <w:tc>
          <w:tcPr>
            <w:tcW w:w="877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2502D4E2" w14:textId="51F41434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</w:rPr>
              <w:br w:type="page"/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ADB44B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à Contribuição da União, de suas Autarquias e Fundações para o custeio do Regime de Previdência dos Servidores Públicos Federais.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EAAB6A" w14:textId="77777777" w:rsidR="007940B5" w:rsidRPr="00160CAA" w:rsidRDefault="007940B5" w:rsidP="00AF0F50">
            <w:pPr>
              <w:pStyle w:val="Corpodetexto3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anulação de dotações consignadas a essas despesas;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2. anulação de dotações classificadas com “RP 1” e “RP 2”, até o limite de 20% (vinte por cento);</w:t>
            </w:r>
          </w:p>
          <w:p w14:paraId="57BED93F" w14:textId="77777777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3. reserva de contingência, inclusive à conta de recursos próprios e vinculados, observado o disposto no § 2º do art. 13 da LDO-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14:paraId="4FA13AA0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LOA-2020,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I, alínea “a”.</w:t>
            </w:r>
          </w:p>
        </w:tc>
      </w:tr>
      <w:tr w:rsidR="007940B5" w:rsidRPr="00160CAA" w14:paraId="04EDAD10" w14:textId="77777777" w:rsidTr="51AF19BD">
        <w:trPr>
          <w:cantSplit/>
          <w:trHeight w:val="13"/>
        </w:trPr>
        <w:tc>
          <w:tcPr>
            <w:tcW w:w="877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424746A9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EA307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5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11106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2020; e</w:t>
            </w:r>
          </w:p>
          <w:p w14:paraId="3AA6BF9D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4. </w:t>
            </w:r>
            <w:r w:rsidRPr="00160CA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superavit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financeiro apurado no balanço patrimonial do exercício de 2019.</w:t>
            </w:r>
          </w:p>
        </w:tc>
        <w:tc>
          <w:tcPr>
            <w:tcW w:w="1625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2A11B8DD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940B5" w:rsidRPr="00160CAA" w14:paraId="4D2AD26A" w14:textId="77777777" w:rsidTr="51AF19BD">
        <w:trPr>
          <w:cantSplit/>
          <w:trHeight w:val="13"/>
        </w:trPr>
        <w:tc>
          <w:tcPr>
            <w:tcW w:w="8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14E9D3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101d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B012C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às transferências aos fundos constitucionais de financiamento do Norte, Nordeste e Centro-Oeste, nos termos da Lei nº 7.827, de 27 de setembro de 1989.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8AD55" w14:textId="77777777" w:rsidR="007940B5" w:rsidRPr="00160CAA" w:rsidRDefault="007940B5" w:rsidP="00AF0F50">
            <w:pPr>
              <w:pStyle w:val="Corpodetexto3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1. anulação de dotações que lhe tenham sido consignadas; 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2. excesso de arrecadação ou </w:t>
            </w:r>
            <w:r w:rsidRPr="00160CA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superavit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financeiro de recursos relativos a fontes que tenham vinculação constitucional ou legal a esses fundos; e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2E6022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LOA-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I, alínea “d”.</w:t>
            </w:r>
          </w:p>
        </w:tc>
      </w:tr>
      <w:tr w:rsidR="007940B5" w:rsidRPr="00160CAA" w14:paraId="67DD5116" w14:textId="77777777" w:rsidTr="51AF19BD">
        <w:trPr>
          <w:cantSplit/>
          <w:trHeight w:val="13"/>
        </w:trPr>
        <w:tc>
          <w:tcPr>
            <w:tcW w:w="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D71315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005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F2A" w14:textId="2CAC62E7" w:rsidR="007940B5" w:rsidRPr="00160CAA" w:rsidRDefault="007940B5" w:rsidP="00AF0F50">
            <w:pPr>
              <w:pStyle w:val="Corpodetexto3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 anulação de dotações classificadas com “RP 0”, “RP 1” e “RP 2”, até o limite de 20% (vinte por cento).</w:t>
            </w:r>
          </w:p>
        </w:tc>
        <w:tc>
          <w:tcPr>
            <w:tcW w:w="16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5E25CF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940B5" w:rsidRPr="00160CAA" w14:paraId="69CC7B62" w14:textId="77777777" w:rsidTr="51AF19BD">
        <w:trPr>
          <w:cantSplit/>
          <w:trHeight w:val="13"/>
        </w:trPr>
        <w:tc>
          <w:tcPr>
            <w:tcW w:w="877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307C9F7F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FF9132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 cada subtítulo, exceto nos casos em que possa ser suplementado com fundamento nas demais alíneas do inciso I do </w:t>
            </w:r>
            <w:r w:rsidRPr="00160CA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art. 4º da LOA-2020, até o limite de 20% (vinte por cento) do respectivo valor.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71FEA2" w14:textId="79D11328" w:rsidR="007940B5" w:rsidRPr="00160CAA" w:rsidRDefault="007940B5" w:rsidP="00AF0F50">
            <w:pPr>
              <w:pStyle w:val="Corpodetexto3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anulação de dotações, limitada a 20% (vinte por cento) do valor do subtítulo objeto da anulação;</w:t>
            </w:r>
          </w:p>
          <w:p w14:paraId="4A427407" w14:textId="77777777" w:rsidR="007940B5" w:rsidRPr="00160CAA" w:rsidRDefault="007940B5" w:rsidP="00AF0F50">
            <w:pPr>
              <w:pStyle w:val="Corpodetexto3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reserva de contingência, inclusive à conta de recursos próprios e vinculados, observado o disposto no § 2º do art. 13 da LDO-2020; e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14:paraId="726A0EF3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LOA-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I, alínea “e”.</w:t>
            </w:r>
          </w:p>
        </w:tc>
      </w:tr>
      <w:tr w:rsidR="007940B5" w:rsidRPr="00160CAA" w14:paraId="581A4C9B" w14:textId="77777777" w:rsidTr="51AF19BD">
        <w:trPr>
          <w:cantSplit/>
          <w:trHeight w:val="13"/>
        </w:trPr>
        <w:tc>
          <w:tcPr>
            <w:tcW w:w="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A64939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BC1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21A" w14:textId="77777777" w:rsidR="007940B5" w:rsidRPr="00160CAA" w:rsidRDefault="007940B5" w:rsidP="00AF0F50">
            <w:pPr>
              <w:pStyle w:val="Corpodetexto3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 </w:t>
            </w:r>
            <w:r w:rsidRPr="00160CA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superavit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financeiro apurado no balanço patrimonial do exercício de 2019.</w:t>
            </w:r>
          </w:p>
        </w:tc>
        <w:tc>
          <w:tcPr>
            <w:tcW w:w="1625" w:type="dxa"/>
            <w:gridSpan w:val="3"/>
            <w:tcBorders>
              <w:left w:val="single" w:sz="4" w:space="0" w:color="auto"/>
            </w:tcBorders>
          </w:tcPr>
          <w:p w14:paraId="5D6DCB3A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940B5" w:rsidRPr="00160CAA" w14:paraId="4FB8E658" w14:textId="77777777" w:rsidTr="51AF19BD">
        <w:trPr>
          <w:cantSplit/>
          <w:trHeight w:val="13"/>
        </w:trPr>
        <w:tc>
          <w:tcPr>
            <w:tcW w:w="87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F9BCAA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101f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77DE2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à reserva de contingência.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4FC73" w14:textId="71569F01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Anulação de dotações sujeitas aos limites estabelecidos no art. 107 do ADCT, quando for demonstrado, no relatório da avaliação bimestral de que trata o art. 9º da LRF, a necessidade de redução do total de despesas sujeitas aos referidos limites.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9C5AE35" w14:textId="77777777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  <w:lang w:val="en-IE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IE"/>
              </w:rPr>
              <w:t xml:space="preserve">LOA-2020, art. 4º, </w:t>
            </w:r>
            <w:r w:rsidRPr="51AF19BD">
              <w:rPr>
                <w:rFonts w:asciiTheme="minorHAnsi" w:hAnsiTheme="minorHAnsi" w:cstheme="minorBidi"/>
                <w:b/>
                <w:bCs/>
                <w:color w:val="000000" w:themeColor="text1"/>
                <w:sz w:val="16"/>
                <w:szCs w:val="16"/>
                <w:lang w:val="en-IE"/>
              </w:rPr>
              <w:t>caput</w:t>
            </w: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IE"/>
              </w:rPr>
              <w:t>, inciso I, alínea “f”.</w:t>
            </w:r>
          </w:p>
        </w:tc>
      </w:tr>
      <w:tr w:rsidR="007940B5" w:rsidRPr="00160CAA" w14:paraId="329786D4" w14:textId="77777777" w:rsidTr="51AF19BD">
        <w:trPr>
          <w:cantSplit/>
          <w:trHeight w:val="581"/>
        </w:trPr>
        <w:tc>
          <w:tcPr>
            <w:tcW w:w="877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03699590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9B75C1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 despesas constantes de item do Quadro 9A, exceto as que possam ser suplementadas com fundamento nas demais alíneas do inciso II do </w:t>
            </w:r>
            <w:r w:rsidRPr="00160CA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art. 4º da LOA-2020.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0128AE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anulação de 20% (vinte por cento) das dotações consignadas em “RP 1";</w:t>
            </w:r>
          </w:p>
          <w:p w14:paraId="5682848F" w14:textId="231EE3CC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anulação de dotações classificadas com “RP 2”;</w:t>
            </w:r>
          </w:p>
          <w:p w14:paraId="68244A9F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 reserva de contingência, inclusive à conta de recursos próprios e vinculados, observado o disposto no § 2º do art. 13 da LDO-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14:paraId="534FAC73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LOA-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II, alínea “a”.</w:t>
            </w:r>
          </w:p>
        </w:tc>
      </w:tr>
      <w:tr w:rsidR="007940B5" w:rsidRPr="00160CAA" w14:paraId="19A6DAA4" w14:textId="77777777" w:rsidTr="51AF19BD">
        <w:trPr>
          <w:cantSplit/>
          <w:trHeight w:val="13"/>
        </w:trPr>
        <w:tc>
          <w:tcPr>
            <w:tcW w:w="87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A1C3EB1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F7AD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6690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2020; e</w:t>
            </w:r>
          </w:p>
          <w:p w14:paraId="01F27D6E" w14:textId="7315DB74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4. </w:t>
            </w:r>
            <w:r w:rsidRPr="51AF19BD">
              <w:rPr>
                <w:rFonts w:asciiTheme="minorHAnsi" w:hAnsiTheme="minorHAnsi" w:cstheme="minorBidi"/>
                <w:b/>
                <w:bCs/>
                <w:color w:val="000000" w:themeColor="text1"/>
                <w:sz w:val="16"/>
                <w:szCs w:val="16"/>
              </w:rPr>
              <w:t>superavit</w:t>
            </w: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financeiro apurado no balanço patrimonial do exercício de 2019. </w:t>
            </w:r>
          </w:p>
        </w:tc>
        <w:tc>
          <w:tcPr>
            <w:tcW w:w="162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EC293A4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940B5" w:rsidRPr="00160CAA" w14:paraId="1896E753" w14:textId="77777777" w:rsidTr="51AF19BD">
        <w:trPr>
          <w:cantSplit/>
          <w:trHeight w:val="13"/>
        </w:trPr>
        <w:tc>
          <w:tcPr>
            <w:tcW w:w="8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11E8AD0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102d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0211B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 despesas decorrentes de variação cambial.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2F6F5" w14:textId="2890E2E2" w:rsidR="007940B5" w:rsidRPr="00160CAA" w:rsidRDefault="007940B5" w:rsidP="00AF0F5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anulação de dotações, limitada a 30% (trinta por cento) do valor do subtítulo objeto da anulação; e 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2. reserva de contingência, inclusive à conta de recursos próprios e vinculados, observado o disposto no § 2º do art. 13 da LDO-2020.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688C915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LOA-2020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II, alínea “e”.</w:t>
            </w:r>
          </w:p>
        </w:tc>
      </w:tr>
      <w:tr w:rsidR="007940B5" w:rsidRPr="00160CAA" w14:paraId="069F8D7F" w14:textId="77777777" w:rsidTr="51AF19BD">
        <w:trPr>
          <w:cantSplit/>
          <w:trHeight w:val="547"/>
        </w:trPr>
        <w:tc>
          <w:tcPr>
            <w:tcW w:w="87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0351392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3CBFA0" w14:textId="595CC7C0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Remanejamento de dotações entre subtítulos integrantes de ações do mesmo programa, no âmbito de cada órgão orçamentário, desde que não ultrapasse o limite de 30% do respectivo valor constante da LOA-2020, consideradas as alterações 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903312" w14:textId="491B0EF7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Anulação de dotações, limitada a 30% do valor dos subtítulos de ações integrantes do mesmo programa objeto de suplementação, no âmbito de cada órgão orçamentário, consideradas as anulações já efetivadas por meio dos tipos 101e e 103f.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F03FA20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art. 4º, </w:t>
            </w:r>
            <w:r w:rsidRPr="00160CA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inciso I, alínea “e”, item “1”, ou inciso III, alínea “j”, item “1”, e § 3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da LOA-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2020.</w:t>
            </w:r>
            <w:r w:rsidRPr="00160CAA" w:rsidDel="00DB265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7940B5" w:rsidRPr="00160CAA" w14:paraId="30ACA009" w14:textId="77777777" w:rsidTr="51AF19BD">
        <w:trPr>
          <w:cantSplit/>
          <w:trHeight w:val="80"/>
        </w:trPr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14:paraId="3203FBF5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</w:tcPr>
          <w:p w14:paraId="5DE5B008" w14:textId="36C14145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já efetivadas por meio dos tipos 101e e 103f.</w:t>
            </w:r>
          </w:p>
        </w:tc>
        <w:tc>
          <w:tcPr>
            <w:tcW w:w="4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9F0E6D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</w:tcBorders>
          </w:tcPr>
          <w:p w14:paraId="23F95E8A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940B5" w:rsidRPr="00160CAA" w14:paraId="1AED43EE" w14:textId="77777777" w:rsidTr="51AF19BD">
        <w:trPr>
          <w:cantSplit/>
          <w:trHeight w:val="552"/>
        </w:trPr>
        <w:tc>
          <w:tcPr>
            <w:tcW w:w="87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984532E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80AB8" w14:textId="2EF1C1D8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Recomposição do valor de subtítulos até o limite dos valores dos subtítulos que constaram do PLOA-2020, correspondente à diferença negativa entre o valor do subtítulo no PLOA-2020 e na LOA-2020,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FE3BF" w14:textId="0482E7A3" w:rsidR="007940B5" w:rsidRPr="00160CAA" w:rsidRDefault="007940B5" w:rsidP="00AF0F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Anulação de dotações orçamentárias de outros subtítulos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A110B5A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LOA-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V.</w:t>
            </w:r>
          </w:p>
        </w:tc>
      </w:tr>
      <w:tr w:rsidR="007940B5" w:rsidRPr="00160CAA" w14:paraId="0C2635B2" w14:textId="77777777" w:rsidTr="51AF19BD">
        <w:trPr>
          <w:cantSplit/>
          <w:trHeight w:val="552"/>
        </w:trPr>
        <w:tc>
          <w:tcPr>
            <w:tcW w:w="8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53B8D6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622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independentemente da classificação por RP, fonte, IDUSO ou GND.</w:t>
            </w:r>
          </w:p>
        </w:tc>
        <w:tc>
          <w:tcPr>
            <w:tcW w:w="4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FA1" w14:textId="77777777" w:rsidR="007940B5" w:rsidRPr="00160CAA" w:rsidRDefault="007940B5" w:rsidP="00AF0F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17B8EE8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940B5" w:rsidRPr="00160CAA" w14:paraId="46B61297" w14:textId="77777777" w:rsidTr="00215331">
        <w:trPr>
          <w:gridAfter w:val="1"/>
          <w:wAfter w:w="42" w:type="dxa"/>
          <w:cantSplit/>
          <w:trHeight w:val="141"/>
        </w:trPr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B838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0BEC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Reabertura de crédito especial do Poder Executivo, abertos nos últimos quatro meses do exercício anterior, atendendo os limites dos saldos apurados no SIAFI, em 31 de dezembro do exercício anterior.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0C77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 anulação de dotações orçamentárias abrangidas nos limites de que trata o art. 107 do ADCT, se a despesa reaberta for abrangida nos referidos limites; e</w:t>
            </w:r>
          </w:p>
          <w:p w14:paraId="710EFFC1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2. </w:t>
            </w:r>
            <w:r w:rsidRPr="00160CA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superavit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financeiro apurado no balanço patrimonial do exercício de 2019.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7676BD" w14:textId="77777777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§ 2º do art. 167 da Constituição, </w:t>
            </w:r>
            <w:r w:rsidRPr="51AF19BD">
              <w:rPr>
                <w:rFonts w:asciiTheme="minorHAnsi" w:hAnsiTheme="minorHAnsi" w:cstheme="minorBidi"/>
                <w:b/>
                <w:bCs/>
                <w:color w:val="000000" w:themeColor="text1"/>
                <w:sz w:val="16"/>
                <w:szCs w:val="16"/>
              </w:rPr>
              <w:t>caput</w:t>
            </w: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e  § 4º do art. 51, da LDO-2020.</w:t>
            </w:r>
          </w:p>
        </w:tc>
      </w:tr>
    </w:tbl>
    <w:p w14:paraId="40C21761" w14:textId="77777777" w:rsidR="007940B5" w:rsidRDefault="007940B5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14:paraId="572C20C9" w14:textId="77777777" w:rsidR="007940B5" w:rsidRDefault="007940B5" w:rsidP="007940B5">
      <w:pPr>
        <w:jc w:val="center"/>
        <w:rPr>
          <w:rFonts w:asciiTheme="minorHAnsi" w:hAnsiTheme="minorHAnsi"/>
          <w:color w:val="000000"/>
        </w:rPr>
      </w:pPr>
    </w:p>
    <w:p w14:paraId="3DF5C047" w14:textId="339A9EEB" w:rsidR="007940B5" w:rsidRDefault="007940B5" w:rsidP="007940B5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Anexo II</w:t>
      </w:r>
    </w:p>
    <w:p w14:paraId="17DE292E" w14:textId="45E5CF39" w:rsidR="007940B5" w:rsidRDefault="51AF19BD" w:rsidP="51AF19BD">
      <w:pPr>
        <w:jc w:val="center"/>
        <w:rPr>
          <w:rFonts w:asciiTheme="minorHAnsi" w:hAnsiTheme="minorHAnsi"/>
          <w:color w:val="000000"/>
        </w:rPr>
      </w:pPr>
      <w:r w:rsidRPr="51AF19BD">
        <w:rPr>
          <w:rFonts w:asciiTheme="minorHAnsi" w:hAnsiTheme="minorHAnsi"/>
          <w:color w:val="000000" w:themeColor="text1"/>
        </w:rPr>
        <w:t>Inclusão de tipos de alteração orçamentária no Anexo da Portaria SOF/SEF/ME nº 5.509</w:t>
      </w:r>
      <w:r w:rsidR="00AB5C4C">
        <w:rPr>
          <w:rFonts w:asciiTheme="minorHAnsi" w:hAnsiTheme="minorHAnsi"/>
          <w:color w:val="000000" w:themeColor="text1"/>
        </w:rPr>
        <w:t>,</w:t>
      </w:r>
      <w:r w:rsidRPr="51AF19BD">
        <w:rPr>
          <w:rFonts w:asciiTheme="minorHAnsi" w:hAnsiTheme="minorHAnsi"/>
          <w:color w:val="000000" w:themeColor="text1"/>
        </w:rPr>
        <w:t xml:space="preserve"> de 2020. </w:t>
      </w:r>
    </w:p>
    <w:p w14:paraId="4E690334" w14:textId="77777777" w:rsidR="007940B5" w:rsidRDefault="007940B5" w:rsidP="007940B5">
      <w:pPr>
        <w:jc w:val="center"/>
        <w:rPr>
          <w:rFonts w:asciiTheme="minorHAnsi" w:hAnsiTheme="minorHAnsi"/>
          <w:color w:val="000000"/>
        </w:rPr>
      </w:pPr>
    </w:p>
    <w:tbl>
      <w:tblPr>
        <w:tblW w:w="10434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7"/>
        <w:gridCol w:w="3578"/>
        <w:gridCol w:w="4354"/>
        <w:gridCol w:w="1625"/>
      </w:tblGrid>
      <w:tr w:rsidR="007940B5" w:rsidRPr="00160CAA" w14:paraId="55923B4F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4" w:space="0" w:color="auto"/>
              <w:right w:val="single" w:sz="6" w:space="0" w:color="auto"/>
            </w:tcBorders>
          </w:tcPr>
          <w:p w14:paraId="1B976542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103a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465AD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às contribuições, anuidades e integralizações de cotas, constantes dos programas “0910” e “0913 “.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D6961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anulação de dotações contidas em subtítulos das referidas ações; e </w:t>
            </w:r>
          </w:p>
          <w:p w14:paraId="1B106550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recursos constantes dos grupos de natureza de despesa “3”, “4” e “5” de outros subtítulos, até o limite de 20% (vinte por cento).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</w:tcBorders>
          </w:tcPr>
          <w:p w14:paraId="5F0B74F1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LOA-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III, alínea “a”.</w:t>
            </w:r>
          </w:p>
        </w:tc>
      </w:tr>
      <w:tr w:rsidR="007940B5" w:rsidRPr="00160CAA" w14:paraId="78D4B6CF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14:paraId="65FA25E8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103c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D17D0" w14:textId="77777777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às despesas abrangidas pela subfunção defesa civil, no âmbito do </w:t>
            </w:r>
            <w:r w:rsidRPr="51AF19BD">
              <w:rPr>
                <w:rFonts w:asciiTheme="minorHAnsi" w:hAnsiTheme="minorHAnsi" w:cstheme="minorBidi"/>
                <w:sz w:val="16"/>
                <w:szCs w:val="16"/>
              </w:rPr>
              <w:t>Ministério do Desenvolvimento Regional.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75AEE" w14:textId="77777777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1. anulação de dotações consignadas a ações compreendidas na referida subfunção; e</w:t>
            </w:r>
          </w:p>
          <w:p w14:paraId="4BC84A88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anulação de dotações, limitada a 30% (trinta por cento) do valor do subtítulo objeto da anulação.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14:paraId="5DE016BA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LOA-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III, alínea “b”.</w:t>
            </w:r>
          </w:p>
        </w:tc>
      </w:tr>
      <w:tr w:rsidR="007940B5" w:rsidRPr="00160CAA" w14:paraId="06BF665F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9DB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4C457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 despesas que decorram de variação cambial.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D16C5" w14:textId="77777777" w:rsidR="007940B5" w:rsidRPr="00160CAA" w:rsidRDefault="007940B5" w:rsidP="00AF0F5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anulação de dotações, limitada a 30% (trinta por cento) do valor do subtítulo objeto da anulação; e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2. Reserva de contingência, inclusive à conta de recursos próprios e vinculados.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14:paraId="7CEF633F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LOA-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III, alínea “f”.</w:t>
            </w:r>
          </w:p>
        </w:tc>
      </w:tr>
      <w:tr w:rsidR="007940B5" w:rsidRPr="00160CAA" w14:paraId="1EFF073C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4" w:space="0" w:color="auto"/>
              <w:right w:val="single" w:sz="6" w:space="0" w:color="auto"/>
            </w:tcBorders>
          </w:tcPr>
          <w:p w14:paraId="77C6EF00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103f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BBE73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 cada subtítulo, exceto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nos casos em que possa ser suplementado com fundamento nas demais alíneas do inciso III do art. 4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 LOA-2020, até o limite de 20% (vinte por cento) do respectivo valor.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56078A" w14:textId="77777777" w:rsidR="007940B5" w:rsidRPr="00160CAA" w:rsidRDefault="007940B5" w:rsidP="00AF0F5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anulação de dotações, limitada a 20% (vinte por cento) do valor do subtítulo objeto da anulação;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2.reserva de contingência, inclusive à conta de recursos próprios e vinculados, observado o disposto no § 2º do art. 13 da LDO-2020; e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</w:tcBorders>
          </w:tcPr>
          <w:p w14:paraId="436BF0BB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LOA-2020,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inciso III, alínea “j”. </w:t>
            </w:r>
          </w:p>
        </w:tc>
      </w:tr>
      <w:tr w:rsidR="007940B5" w:rsidRPr="00160CAA" w14:paraId="201D42F9" w14:textId="77777777" w:rsidTr="51AF19BD">
        <w:trPr>
          <w:cantSplit/>
          <w:trHeight w:val="13"/>
        </w:trPr>
        <w:tc>
          <w:tcPr>
            <w:tcW w:w="877" w:type="dxa"/>
            <w:tcBorders>
              <w:right w:val="single" w:sz="4" w:space="0" w:color="auto"/>
            </w:tcBorders>
          </w:tcPr>
          <w:p w14:paraId="38C53F58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</w:tcPr>
          <w:p w14:paraId="021BF5CE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</w:tcPr>
          <w:p w14:paraId="05B1835B" w14:textId="77777777" w:rsidR="007940B5" w:rsidRPr="00160CAA" w:rsidRDefault="007940B5" w:rsidP="00AF0F5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 </w:t>
            </w:r>
            <w:r w:rsidRPr="00160CA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superavit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financeiro apurado no balanço patrimonial do exercício de 2019.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14:paraId="0608F149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40B5" w:rsidRPr="00160CAA" w14:paraId="1BEDF029" w14:textId="77777777" w:rsidTr="51AF19BD">
        <w:trPr>
          <w:cantSplit/>
          <w:trHeight w:val="442"/>
        </w:trPr>
        <w:tc>
          <w:tcPr>
            <w:tcW w:w="877" w:type="dxa"/>
            <w:tcBorders>
              <w:top w:val="single" w:sz="6" w:space="0" w:color="auto"/>
              <w:right w:val="single" w:sz="4" w:space="0" w:color="auto"/>
            </w:tcBorders>
          </w:tcPr>
          <w:p w14:paraId="1D9EFD4A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103g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7C09E" w14:textId="0B580283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à Fundação Joaquim Nabuco, ao Instituto Nacional de Educação de Surdos, ao Instituto Benjamin Constant, ao Colégio Pedro II, às Instituições Federais de Ensino Superior, aos Hospitais Universitários, à Empresa Brasileira de Serviços Hospitalares e às instituições que compõem a Rede Federal de</w:t>
            </w:r>
            <w:r w:rsidR="000614EE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</w:t>
            </w:r>
            <w:r w:rsidR="000614EE"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Educação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556B34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Anulação de até 50% (cinquenta por cento) das dotações consignadas aos referidos grupos de natureza de despesa, devendo o remanejamento ocorrer no âmbito da mesma unidade orçamentária.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</w:tcBorders>
          </w:tcPr>
          <w:p w14:paraId="01FE82D6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LOA-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III, alínea “d”.</w:t>
            </w:r>
          </w:p>
        </w:tc>
      </w:tr>
      <w:tr w:rsidR="007940B5" w:rsidRPr="00160CAA" w14:paraId="4C6801E7" w14:textId="77777777" w:rsidTr="51AF19BD">
        <w:trPr>
          <w:cantSplit/>
          <w:trHeight w:val="442"/>
        </w:trPr>
        <w:tc>
          <w:tcPr>
            <w:tcW w:w="877" w:type="dxa"/>
            <w:tcBorders>
              <w:right w:val="single" w:sz="4" w:space="0" w:color="auto"/>
            </w:tcBorders>
          </w:tcPr>
          <w:p w14:paraId="12231304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</w:tcPr>
          <w:p w14:paraId="669D3AD2" w14:textId="688FAAEA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Profissional, Científica e Tecnológica, integrantes do Ministério da Educação, nos grupos de natureza de despesa “3”, “4” e “5”, em até 50% (cinquenta por  cento) das dotações consignadas a</w:t>
            </w:r>
            <w:r w:rsidR="000614EE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</w:t>
            </w:r>
            <w:r w:rsidR="000614EE"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esses grupos,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</w:tcPr>
          <w:p w14:paraId="38E6773C" w14:textId="77777777" w:rsidR="007940B5" w:rsidRPr="00160CAA" w:rsidDel="00BD5688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14:paraId="7C7916AE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940B5" w:rsidRPr="00160CAA" w14:paraId="3BD9D281" w14:textId="77777777" w:rsidTr="51AF19BD">
        <w:trPr>
          <w:cantSplit/>
          <w:trHeight w:val="63"/>
        </w:trPr>
        <w:tc>
          <w:tcPr>
            <w:tcW w:w="877" w:type="dxa"/>
            <w:tcBorders>
              <w:bottom w:val="single" w:sz="6" w:space="0" w:color="auto"/>
              <w:right w:val="single" w:sz="4" w:space="0" w:color="auto"/>
            </w:tcBorders>
          </w:tcPr>
          <w:p w14:paraId="4D1DDBF3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</w:tcPr>
          <w:p w14:paraId="0D8BDBBD" w14:textId="1F7A0588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no âmbito de cada unidade orçamentária.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</w:tcPr>
          <w:p w14:paraId="497988B3" w14:textId="77777777" w:rsidR="007940B5" w:rsidRPr="00160CAA" w:rsidDel="00BD5688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14:paraId="567E06DB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940B5" w:rsidRPr="00160CAA" w14:paraId="6645151D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6" w:space="0" w:color="auto"/>
              <w:right w:val="single" w:sz="4" w:space="0" w:color="auto"/>
            </w:tcBorders>
          </w:tcPr>
          <w:p w14:paraId="2E6D7BA0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103h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C7E05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ao Conselho Nacional de Desenvolvimento Científico e Tecnológico - CNPq, ao Fundo Nacional de Desenvolvimento Científico e Tecnológico - FNDCT, às Instituições Científicas, Tecnológicas e de Inovação, assim definidas no art. 2º, inciso V, da Lei nº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AEB57EF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Anulação de até 30% (trinta por cento) das dotações consignadas aos referidos grupos de natureza de despesa, devendo o remanejamento ocorrer no âmbito da mesma unidade orçamentária.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</w:tcBorders>
          </w:tcPr>
          <w:p w14:paraId="31996F06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LOA-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III, alínea “e”.</w:t>
            </w:r>
            <w:r w:rsidRPr="00160CA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</w:tr>
      <w:tr w:rsidR="007940B5" w:rsidRPr="00160CAA" w14:paraId="6650E62E" w14:textId="77777777" w:rsidTr="51AF19BD">
        <w:trPr>
          <w:cantSplit/>
          <w:trHeight w:val="13"/>
        </w:trPr>
        <w:tc>
          <w:tcPr>
            <w:tcW w:w="877" w:type="dxa"/>
            <w:tcBorders>
              <w:right w:val="single" w:sz="4" w:space="0" w:color="auto"/>
            </w:tcBorders>
          </w:tcPr>
          <w:p w14:paraId="0347F4DF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</w:tcPr>
          <w:p w14:paraId="7A89C1BC" w14:textId="77777777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10.973/2004, e às instituições de pesquisa integrantes da administração direta do Ministério da Ciência, Tecnologia, Inovações e Comunicações, nos grupos de natureza de despesa “3”, “4” e “5”, em até 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</w:tcPr>
          <w:p w14:paraId="11DA4861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14:paraId="7E177E30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940B5" w:rsidRPr="00160CAA" w14:paraId="29D4715F" w14:textId="77777777" w:rsidTr="51AF19BD">
        <w:trPr>
          <w:cantSplit/>
          <w:trHeight w:val="13"/>
        </w:trPr>
        <w:tc>
          <w:tcPr>
            <w:tcW w:w="877" w:type="dxa"/>
            <w:tcBorders>
              <w:right w:val="single" w:sz="4" w:space="0" w:color="auto"/>
            </w:tcBorders>
          </w:tcPr>
          <w:p w14:paraId="489B5E88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</w:tcPr>
          <w:p w14:paraId="0B866FDC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30% (trinta por cento) das dotações consignadas a esses grupos, no âmbito de cada unidade orçamentária.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</w:tcPr>
          <w:p w14:paraId="3F7E0657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14:paraId="60C61304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940B5" w:rsidRPr="00160CAA" w14:paraId="35DB30C4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6" w:space="0" w:color="auto"/>
              <w:right w:val="single" w:sz="6" w:space="0" w:color="auto"/>
            </w:tcBorders>
          </w:tcPr>
          <w:p w14:paraId="560E1916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103i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5E53715" w14:textId="21AFF56C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Style w:val="nfase"/>
                <w:rFonts w:asciiTheme="minorHAnsi" w:hAnsiTheme="minorHAnsi" w:cstheme="minorHAnsi"/>
                <w:i w:val="0"/>
                <w:color w:val="000000"/>
                <w:sz w:val="16"/>
                <w:szCs w:val="16"/>
              </w:rPr>
              <w:t>a despesas com operações de Garantia da Lei e da Ordem (GLO), no âmbito do Ministério da Defesa, e de Acolhimento Humanitário e Interiorização de Migrantes em Situação de Vulnerabilidade e Fortalecimento do</w:t>
            </w:r>
            <w:r w:rsidR="000614EE" w:rsidRPr="00160CAA">
              <w:rPr>
                <w:rStyle w:val="nfase"/>
                <w:rFonts w:asciiTheme="minorHAnsi" w:hAnsiTheme="minorHAnsi" w:cstheme="minorHAnsi"/>
                <w:i w:val="0"/>
                <w:color w:val="000000"/>
                <w:sz w:val="16"/>
                <w:szCs w:val="16"/>
              </w:rPr>
              <w:t xml:space="preserve"> Controle de Fronteiras.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7F1584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anulação de dotações classificadas com “RP 2”;</w:t>
            </w:r>
          </w:p>
          <w:p w14:paraId="27695095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reserva de contingência, inclusive à conta de recursos próprios e vinculados, observado o disposto no § 2º do art. 13 da LDO-2020; e</w:t>
            </w:r>
          </w:p>
          <w:p w14:paraId="0E451FB3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3. </w:t>
            </w:r>
            <w:r w:rsidRPr="00160CA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superavit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financeiro apurado no balanço patrimonial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</w:tcBorders>
          </w:tcPr>
          <w:p w14:paraId="0CDDD904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LOA-2020,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III, alínea “g”.</w:t>
            </w:r>
          </w:p>
        </w:tc>
      </w:tr>
      <w:tr w:rsidR="007940B5" w:rsidRPr="00160CAA" w14:paraId="2300E5D1" w14:textId="77777777" w:rsidTr="51AF19BD">
        <w:trPr>
          <w:cantSplit/>
          <w:trHeight w:val="13"/>
        </w:trPr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14:paraId="34EA9F87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D18" w14:textId="58CE1791" w:rsidR="007940B5" w:rsidRPr="00160CAA" w:rsidRDefault="007940B5" w:rsidP="00AF0F50">
            <w:pPr>
              <w:jc w:val="both"/>
              <w:rPr>
                <w:rStyle w:val="nfase"/>
                <w:rFonts w:asciiTheme="minorHAnsi" w:hAnsiTheme="minorHAnsi" w:cstheme="minorHAnsi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D66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 exercício de 2019.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</w:tcPr>
          <w:p w14:paraId="68085710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40B5" w:rsidRPr="00160CAA" w14:paraId="6A4CCA73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14:paraId="747D5711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103j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226B5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às ações e serviços públicos de saúde, identificadas nesta Lei com “IU 6”.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3A73A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Anulação de dotações classificadas com “RP 2” identificadas nesta Lei com “IU 6”.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14:paraId="38031BC3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LOA-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2020, art. 4</w:t>
            </w:r>
            <w:r w:rsidRPr="00160CAA">
              <w:rPr>
                <w:rFonts w:asciiTheme="minorHAnsi" w:hAnsiTheme="minorHAnsi" w:cstheme="minorHAnsi"/>
                <w:sz w:val="16"/>
                <w:szCs w:val="16"/>
                <w:u w:val="words"/>
                <w:vertAlign w:val="superscript"/>
              </w:rPr>
              <w:t>o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60CAA">
              <w:rPr>
                <w:rFonts w:asciiTheme="minorHAnsi" w:hAnsiTheme="minorHAnsi" w:cstheme="minorHAnsi"/>
                <w:b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sz w:val="16"/>
                <w:szCs w:val="16"/>
              </w:rPr>
              <w:t>, inciso III, alínea “h”.</w:t>
            </w:r>
          </w:p>
        </w:tc>
      </w:tr>
      <w:tr w:rsidR="007940B5" w:rsidRPr="00160CAA" w14:paraId="22B3A619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14:paraId="1EFF89FA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103l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CFA63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à ação “218Y – Despesas Judiciais da União, de suas Autarquias e Fundações Públicas”, no âmbito da Advocacia-Geral da União.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7525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Anulação de dotações, limitada a 20% (vinte por cento) do valor do subtítulo objeto de anulação.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14:paraId="2DE0C35E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LOA-2020, art. 4º, </w:t>
            </w:r>
            <w:r w:rsidRPr="00160CA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caput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inciso III, alínea “i”.</w:t>
            </w:r>
            <w:r w:rsidRPr="00160CA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</w:tr>
      <w:tr w:rsidR="007940B5" w:rsidRPr="00160CAA" w14:paraId="59863D4C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14:paraId="60F7C25B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7FC85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à ação “20RX - Reestruturação e Modernização dos Hospitais Universitários Federais, no âmbito da Empresa Brasileira de Serviços Hospitalares”.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F3D87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Anulação de dotações orçamentárias da ação “20G8 - Reestruturação dos Serviços Ambulatoriais e Hospitalares Prestados pelos Hospitais Universitários Federais (Financiamento Partilhado - REHUF)”, do Ministério da Saúde.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14:paraId="02783B43" w14:textId="77777777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  <w:lang w:val="en-IE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IE"/>
              </w:rPr>
              <w:t>LOA-2020, art. 4º, caput, inciso III, alínea “k”.</w:t>
            </w:r>
          </w:p>
        </w:tc>
      </w:tr>
      <w:tr w:rsidR="007940B5" w:rsidRPr="00160CAA" w14:paraId="7AF37C1A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14:paraId="0DEA8327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103n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20EB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à ação "20WY – Difusão Cultural e Divulgação do Brasil no Exterior", no âmbito do Ministério das Relações Exteriores.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9C896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Excesso de arrecadação e </w:t>
            </w:r>
            <w:r w:rsidRPr="00160CA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superavit</w:t>
            </w: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financeiro relativos a convênios celebrados com Estados, Distrito Federal e Municípios.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14:paraId="3E310E04" w14:textId="77777777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  <w:lang w:val="en-IE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IE"/>
              </w:rPr>
              <w:t>LOA-2020, art. 4º, caput, inciso III, alínea “l”.</w:t>
            </w:r>
          </w:p>
        </w:tc>
      </w:tr>
      <w:tr w:rsidR="007940B5" w:rsidRPr="00160CAA" w14:paraId="25E9C450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AAD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B27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aos grupos de natureza de despesa “4” e “5”, limitada a 15% (quinze por cento) do montante das dotações consignadas a esses grupos de natureza, classificados com “RP 2”.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1E1E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Anulação de até 15% (quinze por cento) do montante das dotações consignadas aos grupos de natureza de despesa “4” e “5” classificadas como “RP 2”.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D54C5" w14:textId="77777777" w:rsidR="007940B5" w:rsidRPr="00160CAA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  <w:lang w:val="en-IE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IE"/>
              </w:rPr>
              <w:t>LOA-2020, art. 4º, inciso IV.</w:t>
            </w:r>
          </w:p>
        </w:tc>
      </w:tr>
      <w:tr w:rsidR="007940B5" w:rsidRPr="00565F9D" w14:paraId="54CD661D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14:paraId="141CF420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188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E38E8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Suplementação de programações incluídas ou acrescidas por emenda de comissão permanente (“RP 8”), no caso de impedimento parcial ou total da emenda anulada, ou para uma única programação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9E87C" w14:textId="77777777" w:rsidR="007940B5" w:rsidRPr="00565F9D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Anulação de dotação de emenda da mesma comissão permanente (“RP 8”), sem redução das dotações de emendas do autor destinadas a ações e serviços públicos de saúde (IU 6), desde que haja impedimento técnico ou legal à execução da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14:paraId="5108AC78" w14:textId="6EFD03A2" w:rsidR="007940B5" w:rsidRPr="00565F9D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  <w:lang w:val="en-IE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IE"/>
              </w:rPr>
              <w:t>LOA-2020, art. 4º, § 7º.</w:t>
            </w:r>
          </w:p>
        </w:tc>
      </w:tr>
      <w:tr w:rsidR="007940B5" w:rsidRPr="00565F9D" w14:paraId="3DEFFEF2" w14:textId="77777777" w:rsidTr="51AF19BD">
        <w:trPr>
          <w:cantSplit/>
          <w:trHeight w:val="13"/>
        </w:trPr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14:paraId="66D33D4D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9D9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constante da LOA, no caso de impedimento total da emenda anulada.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2BB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65F9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programação orçamentária que se pretenda anular.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</w:tcPr>
          <w:p w14:paraId="6A7FA529" w14:textId="77777777" w:rsidR="007940B5" w:rsidRPr="00565F9D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IE"/>
              </w:rPr>
            </w:pPr>
          </w:p>
        </w:tc>
      </w:tr>
      <w:tr w:rsidR="007940B5" w:rsidRPr="00565F9D" w14:paraId="7F6A040E" w14:textId="77777777" w:rsidTr="51AF19BD">
        <w:trPr>
          <w:cantSplit/>
          <w:trHeight w:val="13"/>
        </w:trPr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14:paraId="3B1456B7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F8B4A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Suplementação de programações incluídas ou acrescidas por emenda de relator-geral do PLOA (“RP 9”), no caso de impedimento parcial ou total da emenda anulada, ou para uma única programação constante da LOA, no caso de impedimento total da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F6370" w14:textId="77777777" w:rsidR="007940B5" w:rsidRPr="00565F9D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Anulação de dotação de emenda do mesmo relator-geral (“RP 9”), sem redução das dotações de emendas do autor destinadas a ações e serviços públicos de saúde (IU 6), desde que haja impedimento técnico ou legal à execução da programação orçamentária que se pretenda anular.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14:paraId="71B67316" w14:textId="29FE590A" w:rsidR="007940B5" w:rsidRPr="00565F9D" w:rsidRDefault="51AF19BD" w:rsidP="51AF19BD">
            <w:pPr>
              <w:jc w:val="both"/>
              <w:rPr>
                <w:rFonts w:asciiTheme="minorHAnsi" w:hAnsiTheme="minorHAnsi" w:cstheme="minorBidi"/>
                <w:color w:val="000000"/>
                <w:sz w:val="16"/>
                <w:szCs w:val="16"/>
                <w:lang w:val="en-IE"/>
              </w:rPr>
            </w:pPr>
            <w:r w:rsidRPr="51AF19BD">
              <w:rPr>
                <w:rFonts w:asciiTheme="minorHAnsi" w:hAnsiTheme="minorHAnsi" w:cstheme="minorBidi"/>
                <w:color w:val="000000" w:themeColor="text1"/>
                <w:sz w:val="16"/>
                <w:szCs w:val="16"/>
                <w:lang w:val="en-IE"/>
              </w:rPr>
              <w:t>LOA-2020, art. 4º, § 7º.</w:t>
            </w:r>
          </w:p>
        </w:tc>
      </w:tr>
      <w:tr w:rsidR="007940B5" w:rsidRPr="00565F9D" w14:paraId="5FE0CEC3" w14:textId="77777777" w:rsidTr="51AF19BD">
        <w:trPr>
          <w:cantSplit/>
          <w:trHeight w:val="13"/>
        </w:trPr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14:paraId="212A9109" w14:textId="77777777" w:rsidR="007940B5" w:rsidRPr="00160CAA" w:rsidRDefault="007940B5" w:rsidP="00AF0F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B29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0C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emenda anulada.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C61" w14:textId="77777777" w:rsidR="007940B5" w:rsidRPr="00160CAA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</w:tcPr>
          <w:p w14:paraId="398FE213" w14:textId="77777777" w:rsidR="007940B5" w:rsidRPr="00565F9D" w:rsidRDefault="007940B5" w:rsidP="00AF0F50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IE"/>
              </w:rPr>
            </w:pPr>
          </w:p>
        </w:tc>
      </w:tr>
    </w:tbl>
    <w:p w14:paraId="5C81EDFC" w14:textId="69AE9CF6" w:rsidR="007940B5" w:rsidRDefault="007940B5">
      <w:pPr>
        <w:rPr>
          <w:rFonts w:asciiTheme="minorHAnsi" w:hAnsiTheme="minorHAnsi"/>
          <w:color w:val="000000"/>
        </w:rPr>
      </w:pPr>
    </w:p>
    <w:p w14:paraId="606FF3A9" w14:textId="6AB31EEA" w:rsidR="00F65A11" w:rsidRDefault="00F65A11">
      <w:pPr>
        <w:rPr>
          <w:rFonts w:asciiTheme="minorHAnsi" w:hAnsiTheme="minorHAnsi"/>
          <w:color w:val="000000"/>
        </w:rPr>
      </w:pPr>
    </w:p>
    <w:sectPr w:rsidR="00F65A11" w:rsidSect="006008F6">
      <w:headerReference w:type="default" r:id="rId39"/>
      <w:pgSz w:w="11907" w:h="16840" w:code="9"/>
      <w:pgMar w:top="567" w:right="1134" w:bottom="1418" w:left="1134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1EE83" w14:textId="77777777" w:rsidR="004A37EB" w:rsidRDefault="004A37EB">
      <w:r>
        <w:separator/>
      </w:r>
    </w:p>
  </w:endnote>
  <w:endnote w:type="continuationSeparator" w:id="0">
    <w:p w14:paraId="43CD5A4E" w14:textId="77777777" w:rsidR="004A37EB" w:rsidRDefault="004A37EB">
      <w:r>
        <w:continuationSeparator/>
      </w:r>
    </w:p>
  </w:endnote>
  <w:endnote w:type="continuationNotice" w:id="1">
    <w:p w14:paraId="1347519F" w14:textId="77777777" w:rsidR="004A37EB" w:rsidRDefault="004A3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57B7F" w14:textId="77777777" w:rsidR="004A37EB" w:rsidRDefault="004A37EB">
      <w:r>
        <w:separator/>
      </w:r>
    </w:p>
  </w:footnote>
  <w:footnote w:type="continuationSeparator" w:id="0">
    <w:p w14:paraId="78BBE106" w14:textId="77777777" w:rsidR="004A37EB" w:rsidRDefault="004A37EB">
      <w:r>
        <w:continuationSeparator/>
      </w:r>
    </w:p>
  </w:footnote>
  <w:footnote w:type="continuationNotice" w:id="1">
    <w:p w14:paraId="5F5FB32C" w14:textId="77777777" w:rsidR="004A37EB" w:rsidRDefault="004A37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7985" w14:textId="77777777" w:rsidR="004A37EB" w:rsidRDefault="004A37EB">
    <w:pPr>
      <w:pStyle w:val="Cabealho"/>
      <w:ind w:right="821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FA3"/>
    <w:multiLevelType w:val="singleLevel"/>
    <w:tmpl w:val="E2F69858"/>
    <w:lvl w:ilvl="0">
      <w:start w:val="1"/>
      <w:numFmt w:val="lowerRoman"/>
      <w:lvlText w:val="%1)"/>
      <w:lvlJc w:val="left"/>
      <w:pPr>
        <w:tabs>
          <w:tab w:val="num" w:pos="2145"/>
        </w:tabs>
        <w:ind w:left="2145" w:hanging="720"/>
      </w:pPr>
      <w:rPr>
        <w:rFonts w:hint="default"/>
        <w:b w:val="0"/>
      </w:rPr>
    </w:lvl>
  </w:abstractNum>
  <w:abstractNum w:abstractNumId="1">
    <w:nsid w:val="02C603DA"/>
    <w:multiLevelType w:val="hybridMultilevel"/>
    <w:tmpl w:val="CA92D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246"/>
    <w:multiLevelType w:val="hybridMultilevel"/>
    <w:tmpl w:val="CCD0FFEC"/>
    <w:lvl w:ilvl="0" w:tplc="DAF0D6E0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A651C9"/>
    <w:multiLevelType w:val="hybridMultilevel"/>
    <w:tmpl w:val="9B662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5B8E"/>
    <w:multiLevelType w:val="hybridMultilevel"/>
    <w:tmpl w:val="80EEA7AA"/>
    <w:lvl w:ilvl="0" w:tplc="AB009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15FC4"/>
    <w:multiLevelType w:val="hybridMultilevel"/>
    <w:tmpl w:val="586C8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34CF4"/>
    <w:multiLevelType w:val="hybridMultilevel"/>
    <w:tmpl w:val="EAC89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811A3"/>
    <w:multiLevelType w:val="hybridMultilevel"/>
    <w:tmpl w:val="649E816C"/>
    <w:lvl w:ilvl="0" w:tplc="912CDF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898011C"/>
    <w:multiLevelType w:val="singleLevel"/>
    <w:tmpl w:val="99E8E55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35344CDC"/>
    <w:multiLevelType w:val="hybridMultilevel"/>
    <w:tmpl w:val="06D09D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356558"/>
    <w:multiLevelType w:val="hybridMultilevel"/>
    <w:tmpl w:val="4A68F88E"/>
    <w:lvl w:ilvl="0" w:tplc="A3360168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45FF0E7D"/>
    <w:multiLevelType w:val="hybridMultilevel"/>
    <w:tmpl w:val="1CEAB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47C2E"/>
    <w:multiLevelType w:val="hybridMultilevel"/>
    <w:tmpl w:val="1D2ED79A"/>
    <w:lvl w:ilvl="0" w:tplc="7E8E77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A715E90"/>
    <w:multiLevelType w:val="hybridMultilevel"/>
    <w:tmpl w:val="ACE65F38"/>
    <w:lvl w:ilvl="0" w:tplc="3780AA9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01E1F2D"/>
    <w:multiLevelType w:val="hybridMultilevel"/>
    <w:tmpl w:val="E7D202C6"/>
    <w:lvl w:ilvl="0" w:tplc="157EE2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24C4D0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41B196B"/>
    <w:multiLevelType w:val="hybridMultilevel"/>
    <w:tmpl w:val="99524F74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8D27D73"/>
    <w:multiLevelType w:val="hybridMultilevel"/>
    <w:tmpl w:val="33209D7E"/>
    <w:lvl w:ilvl="0" w:tplc="FCC0195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E2D04A1"/>
    <w:multiLevelType w:val="hybridMultilevel"/>
    <w:tmpl w:val="D03E5DDC"/>
    <w:lvl w:ilvl="0" w:tplc="9EDAA7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F34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937A52"/>
    <w:multiLevelType w:val="hybridMultilevel"/>
    <w:tmpl w:val="A3E057E4"/>
    <w:lvl w:ilvl="0" w:tplc="57F4C8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50F1E35"/>
    <w:multiLevelType w:val="hybridMultilevel"/>
    <w:tmpl w:val="F9665D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81915"/>
    <w:multiLevelType w:val="hybridMultilevel"/>
    <w:tmpl w:val="AA52992C"/>
    <w:lvl w:ilvl="0" w:tplc="C2E43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33DE8"/>
    <w:multiLevelType w:val="hybridMultilevel"/>
    <w:tmpl w:val="325E9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9"/>
  </w:num>
  <w:num w:numId="5">
    <w:abstractNumId w:val="21"/>
  </w:num>
  <w:num w:numId="6">
    <w:abstractNumId w:val="4"/>
  </w:num>
  <w:num w:numId="7">
    <w:abstractNumId w:val="18"/>
  </w:num>
  <w:num w:numId="8">
    <w:abstractNumId w:val="16"/>
  </w:num>
  <w:num w:numId="9">
    <w:abstractNumId w:val="7"/>
  </w:num>
  <w:num w:numId="10">
    <w:abstractNumId w:val="10"/>
  </w:num>
  <w:num w:numId="11">
    <w:abstractNumId w:val="12"/>
  </w:num>
  <w:num w:numId="12">
    <w:abstractNumId w:val="20"/>
  </w:num>
  <w:num w:numId="13">
    <w:abstractNumId w:val="13"/>
  </w:num>
  <w:num w:numId="14">
    <w:abstractNumId w:val="6"/>
  </w:num>
  <w:num w:numId="15">
    <w:abstractNumId w:val="5"/>
  </w:num>
  <w:num w:numId="16">
    <w:abstractNumId w:val="22"/>
  </w:num>
  <w:num w:numId="17">
    <w:abstractNumId w:val="11"/>
  </w:num>
  <w:num w:numId="18">
    <w:abstractNumId w:val="3"/>
  </w:num>
  <w:num w:numId="19">
    <w:abstractNumId w:val="23"/>
  </w:num>
  <w:num w:numId="20">
    <w:abstractNumId w:val="1"/>
  </w:num>
  <w:num w:numId="21">
    <w:abstractNumId w:val="14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pt-BR" w:vendorID="64" w:dllVersion="131078" w:nlCheck="1" w:checkStyle="0"/>
  <w:activeWritingStyle w:appName="MSWord" w:lang="en-IE" w:vendorID="64" w:dllVersion="131078" w:nlCheck="1" w:checkStyle="1"/>
  <w:activeWritingStyle w:appName="MSWord" w:lang="en-US" w:vendorID="64" w:dllVersion="131078" w:nlCheck="1" w:checkStyle="1"/>
  <w:doNotTrackMoves/>
  <w:defaultTabStop w:val="141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EB"/>
    <w:rsid w:val="00000E1B"/>
    <w:rsid w:val="0000103F"/>
    <w:rsid w:val="00002D99"/>
    <w:rsid w:val="00003464"/>
    <w:rsid w:val="00003A71"/>
    <w:rsid w:val="000048EE"/>
    <w:rsid w:val="00005E86"/>
    <w:rsid w:val="00006545"/>
    <w:rsid w:val="00006669"/>
    <w:rsid w:val="00006EAB"/>
    <w:rsid w:val="00011288"/>
    <w:rsid w:val="0001134E"/>
    <w:rsid w:val="00011A67"/>
    <w:rsid w:val="00011A71"/>
    <w:rsid w:val="00011A89"/>
    <w:rsid w:val="000127FE"/>
    <w:rsid w:val="00013F98"/>
    <w:rsid w:val="000149B1"/>
    <w:rsid w:val="00017195"/>
    <w:rsid w:val="00017D0C"/>
    <w:rsid w:val="000208BD"/>
    <w:rsid w:val="00020C90"/>
    <w:rsid w:val="000210EA"/>
    <w:rsid w:val="00021A4E"/>
    <w:rsid w:val="00021BB0"/>
    <w:rsid w:val="00022CD5"/>
    <w:rsid w:val="000243C0"/>
    <w:rsid w:val="000249CF"/>
    <w:rsid w:val="0002508D"/>
    <w:rsid w:val="000255CE"/>
    <w:rsid w:val="00026DD9"/>
    <w:rsid w:val="00026EE3"/>
    <w:rsid w:val="0003117C"/>
    <w:rsid w:val="000311A3"/>
    <w:rsid w:val="000311B9"/>
    <w:rsid w:val="000315B2"/>
    <w:rsid w:val="0003181F"/>
    <w:rsid w:val="00031C40"/>
    <w:rsid w:val="00031CDA"/>
    <w:rsid w:val="0003343A"/>
    <w:rsid w:val="00034CF1"/>
    <w:rsid w:val="00035109"/>
    <w:rsid w:val="00035171"/>
    <w:rsid w:val="0003529A"/>
    <w:rsid w:val="000359B5"/>
    <w:rsid w:val="00035DAA"/>
    <w:rsid w:val="0003630B"/>
    <w:rsid w:val="00037DB3"/>
    <w:rsid w:val="0004004E"/>
    <w:rsid w:val="00041973"/>
    <w:rsid w:val="000429EA"/>
    <w:rsid w:val="0004331D"/>
    <w:rsid w:val="00043529"/>
    <w:rsid w:val="000437F9"/>
    <w:rsid w:val="0004423C"/>
    <w:rsid w:val="00044DC7"/>
    <w:rsid w:val="00044E4D"/>
    <w:rsid w:val="000468C4"/>
    <w:rsid w:val="00046C4D"/>
    <w:rsid w:val="00046D31"/>
    <w:rsid w:val="00050971"/>
    <w:rsid w:val="00051AD3"/>
    <w:rsid w:val="000526DC"/>
    <w:rsid w:val="00054C31"/>
    <w:rsid w:val="00054F0D"/>
    <w:rsid w:val="0005765F"/>
    <w:rsid w:val="00060168"/>
    <w:rsid w:val="000606D9"/>
    <w:rsid w:val="000609B0"/>
    <w:rsid w:val="00060D08"/>
    <w:rsid w:val="000614EE"/>
    <w:rsid w:val="00061D8A"/>
    <w:rsid w:val="000638CB"/>
    <w:rsid w:val="0006553C"/>
    <w:rsid w:val="0006668C"/>
    <w:rsid w:val="00067AF7"/>
    <w:rsid w:val="00067E40"/>
    <w:rsid w:val="0007004F"/>
    <w:rsid w:val="00070358"/>
    <w:rsid w:val="00070714"/>
    <w:rsid w:val="00070F0A"/>
    <w:rsid w:val="000713E2"/>
    <w:rsid w:val="00071B0E"/>
    <w:rsid w:val="00071BCB"/>
    <w:rsid w:val="00072B14"/>
    <w:rsid w:val="000766E1"/>
    <w:rsid w:val="00076E51"/>
    <w:rsid w:val="0007725A"/>
    <w:rsid w:val="00077883"/>
    <w:rsid w:val="000778BA"/>
    <w:rsid w:val="0008039F"/>
    <w:rsid w:val="000809BB"/>
    <w:rsid w:val="000816D5"/>
    <w:rsid w:val="00081C70"/>
    <w:rsid w:val="000825C6"/>
    <w:rsid w:val="00083563"/>
    <w:rsid w:val="00084225"/>
    <w:rsid w:val="0008482D"/>
    <w:rsid w:val="0008618E"/>
    <w:rsid w:val="0008730A"/>
    <w:rsid w:val="000874E7"/>
    <w:rsid w:val="00087799"/>
    <w:rsid w:val="000877F0"/>
    <w:rsid w:val="00087BF9"/>
    <w:rsid w:val="00090190"/>
    <w:rsid w:val="000901E7"/>
    <w:rsid w:val="000909B9"/>
    <w:rsid w:val="00091791"/>
    <w:rsid w:val="00091824"/>
    <w:rsid w:val="00091B0B"/>
    <w:rsid w:val="00092425"/>
    <w:rsid w:val="000926F7"/>
    <w:rsid w:val="00093C3A"/>
    <w:rsid w:val="0009664A"/>
    <w:rsid w:val="0009774F"/>
    <w:rsid w:val="000A020B"/>
    <w:rsid w:val="000A0546"/>
    <w:rsid w:val="000A1210"/>
    <w:rsid w:val="000A35C2"/>
    <w:rsid w:val="000A4F60"/>
    <w:rsid w:val="000A6105"/>
    <w:rsid w:val="000A64BF"/>
    <w:rsid w:val="000A6A7F"/>
    <w:rsid w:val="000A6E50"/>
    <w:rsid w:val="000A72B6"/>
    <w:rsid w:val="000A78E4"/>
    <w:rsid w:val="000A7A3E"/>
    <w:rsid w:val="000B06A1"/>
    <w:rsid w:val="000B1884"/>
    <w:rsid w:val="000B30AA"/>
    <w:rsid w:val="000B366F"/>
    <w:rsid w:val="000B3BDD"/>
    <w:rsid w:val="000B45ED"/>
    <w:rsid w:val="000B5CE3"/>
    <w:rsid w:val="000B5D4F"/>
    <w:rsid w:val="000B5F3B"/>
    <w:rsid w:val="000B6036"/>
    <w:rsid w:val="000B6DBB"/>
    <w:rsid w:val="000B6F46"/>
    <w:rsid w:val="000B70A0"/>
    <w:rsid w:val="000B7942"/>
    <w:rsid w:val="000B7A52"/>
    <w:rsid w:val="000C1F83"/>
    <w:rsid w:val="000C2E9F"/>
    <w:rsid w:val="000C3252"/>
    <w:rsid w:val="000C3D1C"/>
    <w:rsid w:val="000C5769"/>
    <w:rsid w:val="000D214C"/>
    <w:rsid w:val="000D2777"/>
    <w:rsid w:val="000D2D04"/>
    <w:rsid w:val="000D2F64"/>
    <w:rsid w:val="000D37A3"/>
    <w:rsid w:val="000D382D"/>
    <w:rsid w:val="000D4C5C"/>
    <w:rsid w:val="000D5257"/>
    <w:rsid w:val="000D54FC"/>
    <w:rsid w:val="000D606A"/>
    <w:rsid w:val="000D6DE8"/>
    <w:rsid w:val="000D770D"/>
    <w:rsid w:val="000E02A0"/>
    <w:rsid w:val="000E0F08"/>
    <w:rsid w:val="000E1699"/>
    <w:rsid w:val="000E2017"/>
    <w:rsid w:val="000E286D"/>
    <w:rsid w:val="000E299C"/>
    <w:rsid w:val="000E2DAA"/>
    <w:rsid w:val="000E322F"/>
    <w:rsid w:val="000E3308"/>
    <w:rsid w:val="000E37B1"/>
    <w:rsid w:val="000E3A3A"/>
    <w:rsid w:val="000E4B58"/>
    <w:rsid w:val="000E5036"/>
    <w:rsid w:val="000E5E88"/>
    <w:rsid w:val="000E6E5A"/>
    <w:rsid w:val="000F03D4"/>
    <w:rsid w:val="000F0FEF"/>
    <w:rsid w:val="000F1FC4"/>
    <w:rsid w:val="000F39DC"/>
    <w:rsid w:val="000F5B3A"/>
    <w:rsid w:val="000F651E"/>
    <w:rsid w:val="000F6898"/>
    <w:rsid w:val="000F71AF"/>
    <w:rsid w:val="000F71BB"/>
    <w:rsid w:val="000F743A"/>
    <w:rsid w:val="000F7D6C"/>
    <w:rsid w:val="000F7D9C"/>
    <w:rsid w:val="001007E1"/>
    <w:rsid w:val="00102C88"/>
    <w:rsid w:val="00102FA7"/>
    <w:rsid w:val="0010448D"/>
    <w:rsid w:val="00104B69"/>
    <w:rsid w:val="00104B6E"/>
    <w:rsid w:val="00104BA8"/>
    <w:rsid w:val="001050CE"/>
    <w:rsid w:val="00105E34"/>
    <w:rsid w:val="00106603"/>
    <w:rsid w:val="00110FC3"/>
    <w:rsid w:val="0011127D"/>
    <w:rsid w:val="001112D8"/>
    <w:rsid w:val="00114944"/>
    <w:rsid w:val="00114C21"/>
    <w:rsid w:val="00115D63"/>
    <w:rsid w:val="001168F2"/>
    <w:rsid w:val="00116B01"/>
    <w:rsid w:val="001176C9"/>
    <w:rsid w:val="00117EA6"/>
    <w:rsid w:val="001200FF"/>
    <w:rsid w:val="00120781"/>
    <w:rsid w:val="00120A1E"/>
    <w:rsid w:val="00120C72"/>
    <w:rsid w:val="00120D9F"/>
    <w:rsid w:val="00121B76"/>
    <w:rsid w:val="00121FDB"/>
    <w:rsid w:val="00122040"/>
    <w:rsid w:val="00122566"/>
    <w:rsid w:val="00122601"/>
    <w:rsid w:val="00124CB3"/>
    <w:rsid w:val="00125CC5"/>
    <w:rsid w:val="0012646B"/>
    <w:rsid w:val="0012705A"/>
    <w:rsid w:val="0012730D"/>
    <w:rsid w:val="00127E95"/>
    <w:rsid w:val="0013032D"/>
    <w:rsid w:val="00131F62"/>
    <w:rsid w:val="00132569"/>
    <w:rsid w:val="00132A2E"/>
    <w:rsid w:val="00132E4A"/>
    <w:rsid w:val="001346DA"/>
    <w:rsid w:val="00134719"/>
    <w:rsid w:val="00134CA6"/>
    <w:rsid w:val="001350FA"/>
    <w:rsid w:val="00136BD9"/>
    <w:rsid w:val="00137220"/>
    <w:rsid w:val="00137824"/>
    <w:rsid w:val="00137E52"/>
    <w:rsid w:val="00137F81"/>
    <w:rsid w:val="00140DDF"/>
    <w:rsid w:val="001417BF"/>
    <w:rsid w:val="00141D36"/>
    <w:rsid w:val="00141F52"/>
    <w:rsid w:val="00142957"/>
    <w:rsid w:val="00142AAA"/>
    <w:rsid w:val="0014311B"/>
    <w:rsid w:val="00143E7E"/>
    <w:rsid w:val="00144A14"/>
    <w:rsid w:val="0015004B"/>
    <w:rsid w:val="00150B77"/>
    <w:rsid w:val="00150F8F"/>
    <w:rsid w:val="001519C7"/>
    <w:rsid w:val="00151C8B"/>
    <w:rsid w:val="001522EB"/>
    <w:rsid w:val="00152495"/>
    <w:rsid w:val="00153529"/>
    <w:rsid w:val="00154728"/>
    <w:rsid w:val="00154850"/>
    <w:rsid w:val="00154D54"/>
    <w:rsid w:val="00157C52"/>
    <w:rsid w:val="00157D6F"/>
    <w:rsid w:val="0016062F"/>
    <w:rsid w:val="00160CAA"/>
    <w:rsid w:val="00161413"/>
    <w:rsid w:val="00163761"/>
    <w:rsid w:val="0016467D"/>
    <w:rsid w:val="001654CA"/>
    <w:rsid w:val="00167595"/>
    <w:rsid w:val="0016777C"/>
    <w:rsid w:val="00170A3F"/>
    <w:rsid w:val="001718A8"/>
    <w:rsid w:val="001724A9"/>
    <w:rsid w:val="00172A35"/>
    <w:rsid w:val="00173293"/>
    <w:rsid w:val="00173778"/>
    <w:rsid w:val="00173908"/>
    <w:rsid w:val="00176926"/>
    <w:rsid w:val="00177EB0"/>
    <w:rsid w:val="001809CC"/>
    <w:rsid w:val="0018142A"/>
    <w:rsid w:val="001821DA"/>
    <w:rsid w:val="00182B72"/>
    <w:rsid w:val="00185A73"/>
    <w:rsid w:val="001864A0"/>
    <w:rsid w:val="00186833"/>
    <w:rsid w:val="001870F5"/>
    <w:rsid w:val="00187B63"/>
    <w:rsid w:val="00187C45"/>
    <w:rsid w:val="0019031C"/>
    <w:rsid w:val="00190B25"/>
    <w:rsid w:val="001918A3"/>
    <w:rsid w:val="001942A0"/>
    <w:rsid w:val="001942BE"/>
    <w:rsid w:val="0019523F"/>
    <w:rsid w:val="00195F99"/>
    <w:rsid w:val="00196EEC"/>
    <w:rsid w:val="0019763B"/>
    <w:rsid w:val="00197F8B"/>
    <w:rsid w:val="001A0793"/>
    <w:rsid w:val="001A0F39"/>
    <w:rsid w:val="001A1239"/>
    <w:rsid w:val="001A48D0"/>
    <w:rsid w:val="001A51DC"/>
    <w:rsid w:val="001A605C"/>
    <w:rsid w:val="001A75A5"/>
    <w:rsid w:val="001B0B71"/>
    <w:rsid w:val="001B1315"/>
    <w:rsid w:val="001B1592"/>
    <w:rsid w:val="001B3001"/>
    <w:rsid w:val="001B4316"/>
    <w:rsid w:val="001B6532"/>
    <w:rsid w:val="001B6E67"/>
    <w:rsid w:val="001B7454"/>
    <w:rsid w:val="001B77FD"/>
    <w:rsid w:val="001C01BE"/>
    <w:rsid w:val="001C1603"/>
    <w:rsid w:val="001C2ECB"/>
    <w:rsid w:val="001C31E4"/>
    <w:rsid w:val="001C5D90"/>
    <w:rsid w:val="001C64E4"/>
    <w:rsid w:val="001D1699"/>
    <w:rsid w:val="001D2500"/>
    <w:rsid w:val="001D2743"/>
    <w:rsid w:val="001D34AA"/>
    <w:rsid w:val="001D3E22"/>
    <w:rsid w:val="001D5E33"/>
    <w:rsid w:val="001D6194"/>
    <w:rsid w:val="001D6393"/>
    <w:rsid w:val="001D7BBC"/>
    <w:rsid w:val="001E0D91"/>
    <w:rsid w:val="001E0E96"/>
    <w:rsid w:val="001E3689"/>
    <w:rsid w:val="001E36ED"/>
    <w:rsid w:val="001E3AF1"/>
    <w:rsid w:val="001E41CF"/>
    <w:rsid w:val="001E6BF9"/>
    <w:rsid w:val="001E6FC0"/>
    <w:rsid w:val="001F1126"/>
    <w:rsid w:val="001F2162"/>
    <w:rsid w:val="001F5FEF"/>
    <w:rsid w:val="00200DAD"/>
    <w:rsid w:val="0020170A"/>
    <w:rsid w:val="00201870"/>
    <w:rsid w:val="00201C0F"/>
    <w:rsid w:val="00202A92"/>
    <w:rsid w:val="00202F30"/>
    <w:rsid w:val="002032C5"/>
    <w:rsid w:val="00203D54"/>
    <w:rsid w:val="00204233"/>
    <w:rsid w:val="00205657"/>
    <w:rsid w:val="002059B8"/>
    <w:rsid w:val="0020613A"/>
    <w:rsid w:val="00207D46"/>
    <w:rsid w:val="0021103E"/>
    <w:rsid w:val="002110BA"/>
    <w:rsid w:val="00211576"/>
    <w:rsid w:val="002119B2"/>
    <w:rsid w:val="00211ACD"/>
    <w:rsid w:val="00211B24"/>
    <w:rsid w:val="00211F27"/>
    <w:rsid w:val="00212FF3"/>
    <w:rsid w:val="00213D79"/>
    <w:rsid w:val="0021445B"/>
    <w:rsid w:val="002147F6"/>
    <w:rsid w:val="00215331"/>
    <w:rsid w:val="0021536D"/>
    <w:rsid w:val="0022024F"/>
    <w:rsid w:val="0022065E"/>
    <w:rsid w:val="0022133B"/>
    <w:rsid w:val="002213B1"/>
    <w:rsid w:val="00221B5D"/>
    <w:rsid w:val="0022221A"/>
    <w:rsid w:val="002224FE"/>
    <w:rsid w:val="002236FF"/>
    <w:rsid w:val="002257A6"/>
    <w:rsid w:val="002266F2"/>
    <w:rsid w:val="00226D70"/>
    <w:rsid w:val="00227378"/>
    <w:rsid w:val="0023181C"/>
    <w:rsid w:val="002323A6"/>
    <w:rsid w:val="002335CC"/>
    <w:rsid w:val="002342AC"/>
    <w:rsid w:val="002345F0"/>
    <w:rsid w:val="00234F96"/>
    <w:rsid w:val="00235470"/>
    <w:rsid w:val="002367B7"/>
    <w:rsid w:val="00237F95"/>
    <w:rsid w:val="0024090E"/>
    <w:rsid w:val="00240A09"/>
    <w:rsid w:val="00240E5D"/>
    <w:rsid w:val="002423C5"/>
    <w:rsid w:val="00242C0F"/>
    <w:rsid w:val="00242DA3"/>
    <w:rsid w:val="00243B71"/>
    <w:rsid w:val="00243D7D"/>
    <w:rsid w:val="00243E50"/>
    <w:rsid w:val="002456A0"/>
    <w:rsid w:val="00246C65"/>
    <w:rsid w:val="0025001B"/>
    <w:rsid w:val="00250A44"/>
    <w:rsid w:val="00251354"/>
    <w:rsid w:val="002516BB"/>
    <w:rsid w:val="00251D55"/>
    <w:rsid w:val="00251E74"/>
    <w:rsid w:val="002537DB"/>
    <w:rsid w:val="00254371"/>
    <w:rsid w:val="00254450"/>
    <w:rsid w:val="00255340"/>
    <w:rsid w:val="0025555F"/>
    <w:rsid w:val="00257781"/>
    <w:rsid w:val="00257C22"/>
    <w:rsid w:val="002607D6"/>
    <w:rsid w:val="00260C86"/>
    <w:rsid w:val="00261609"/>
    <w:rsid w:val="00263235"/>
    <w:rsid w:val="00263288"/>
    <w:rsid w:val="002653BA"/>
    <w:rsid w:val="00265782"/>
    <w:rsid w:val="002658C9"/>
    <w:rsid w:val="002667D8"/>
    <w:rsid w:val="002671BC"/>
    <w:rsid w:val="00270733"/>
    <w:rsid w:val="00271546"/>
    <w:rsid w:val="00271C3C"/>
    <w:rsid w:val="00271E3C"/>
    <w:rsid w:val="002725F9"/>
    <w:rsid w:val="00273FC4"/>
    <w:rsid w:val="0027406D"/>
    <w:rsid w:val="00274082"/>
    <w:rsid w:val="00274A6C"/>
    <w:rsid w:val="002758A8"/>
    <w:rsid w:val="0027747A"/>
    <w:rsid w:val="00277A01"/>
    <w:rsid w:val="0028051E"/>
    <w:rsid w:val="00280A65"/>
    <w:rsid w:val="00281965"/>
    <w:rsid w:val="00281AD8"/>
    <w:rsid w:val="0028346C"/>
    <w:rsid w:val="00283ACE"/>
    <w:rsid w:val="00284C06"/>
    <w:rsid w:val="00286961"/>
    <w:rsid w:val="00287A49"/>
    <w:rsid w:val="002906CB"/>
    <w:rsid w:val="00291CB2"/>
    <w:rsid w:val="0029257F"/>
    <w:rsid w:val="00292DF0"/>
    <w:rsid w:val="002931CD"/>
    <w:rsid w:val="00293433"/>
    <w:rsid w:val="00293586"/>
    <w:rsid w:val="00295547"/>
    <w:rsid w:val="002A05C7"/>
    <w:rsid w:val="002A060D"/>
    <w:rsid w:val="002A06EB"/>
    <w:rsid w:val="002A0962"/>
    <w:rsid w:val="002A1447"/>
    <w:rsid w:val="002A1776"/>
    <w:rsid w:val="002A2026"/>
    <w:rsid w:val="002A218E"/>
    <w:rsid w:val="002A24F0"/>
    <w:rsid w:val="002A2594"/>
    <w:rsid w:val="002A3810"/>
    <w:rsid w:val="002A3DCD"/>
    <w:rsid w:val="002A4973"/>
    <w:rsid w:val="002A4C08"/>
    <w:rsid w:val="002A5102"/>
    <w:rsid w:val="002A6B08"/>
    <w:rsid w:val="002A6D91"/>
    <w:rsid w:val="002A70B3"/>
    <w:rsid w:val="002A7530"/>
    <w:rsid w:val="002A7E47"/>
    <w:rsid w:val="002B0BC7"/>
    <w:rsid w:val="002B1870"/>
    <w:rsid w:val="002B230E"/>
    <w:rsid w:val="002B2FFC"/>
    <w:rsid w:val="002B468C"/>
    <w:rsid w:val="002B4A7C"/>
    <w:rsid w:val="002B4B7A"/>
    <w:rsid w:val="002B55EB"/>
    <w:rsid w:val="002B5D3F"/>
    <w:rsid w:val="002B64D4"/>
    <w:rsid w:val="002B697C"/>
    <w:rsid w:val="002B6FD0"/>
    <w:rsid w:val="002B7189"/>
    <w:rsid w:val="002B75B3"/>
    <w:rsid w:val="002C28DB"/>
    <w:rsid w:val="002C293E"/>
    <w:rsid w:val="002C45F8"/>
    <w:rsid w:val="002C5123"/>
    <w:rsid w:val="002C64F3"/>
    <w:rsid w:val="002C68AA"/>
    <w:rsid w:val="002C7E57"/>
    <w:rsid w:val="002D271E"/>
    <w:rsid w:val="002D2DCF"/>
    <w:rsid w:val="002D3792"/>
    <w:rsid w:val="002D44AF"/>
    <w:rsid w:val="002D49CA"/>
    <w:rsid w:val="002D4E9A"/>
    <w:rsid w:val="002D6337"/>
    <w:rsid w:val="002D6431"/>
    <w:rsid w:val="002D6452"/>
    <w:rsid w:val="002D67AC"/>
    <w:rsid w:val="002D7E96"/>
    <w:rsid w:val="002E1018"/>
    <w:rsid w:val="002E1372"/>
    <w:rsid w:val="002E15E3"/>
    <w:rsid w:val="002E21ED"/>
    <w:rsid w:val="002E2C4C"/>
    <w:rsid w:val="002E2D77"/>
    <w:rsid w:val="002E37F6"/>
    <w:rsid w:val="002E4DA8"/>
    <w:rsid w:val="002E54AA"/>
    <w:rsid w:val="002E571A"/>
    <w:rsid w:val="002E674F"/>
    <w:rsid w:val="002E6DEF"/>
    <w:rsid w:val="002F02F2"/>
    <w:rsid w:val="002F0FE3"/>
    <w:rsid w:val="002F3C47"/>
    <w:rsid w:val="002F5745"/>
    <w:rsid w:val="002F5E44"/>
    <w:rsid w:val="002F6009"/>
    <w:rsid w:val="00300076"/>
    <w:rsid w:val="00300080"/>
    <w:rsid w:val="00300749"/>
    <w:rsid w:val="003018CB"/>
    <w:rsid w:val="00301958"/>
    <w:rsid w:val="003020A8"/>
    <w:rsid w:val="00302DFD"/>
    <w:rsid w:val="0030371B"/>
    <w:rsid w:val="003045B4"/>
    <w:rsid w:val="00304D24"/>
    <w:rsid w:val="00304EE8"/>
    <w:rsid w:val="00305327"/>
    <w:rsid w:val="00306D84"/>
    <w:rsid w:val="0030708C"/>
    <w:rsid w:val="00307510"/>
    <w:rsid w:val="003075CF"/>
    <w:rsid w:val="0030770F"/>
    <w:rsid w:val="003104F4"/>
    <w:rsid w:val="003105A3"/>
    <w:rsid w:val="00310A1E"/>
    <w:rsid w:val="003113A9"/>
    <w:rsid w:val="00311743"/>
    <w:rsid w:val="003134A9"/>
    <w:rsid w:val="00314111"/>
    <w:rsid w:val="00314544"/>
    <w:rsid w:val="003151CC"/>
    <w:rsid w:val="0031746B"/>
    <w:rsid w:val="00317F40"/>
    <w:rsid w:val="003209C0"/>
    <w:rsid w:val="003220A7"/>
    <w:rsid w:val="003223E4"/>
    <w:rsid w:val="003228B7"/>
    <w:rsid w:val="00322B4A"/>
    <w:rsid w:val="00323435"/>
    <w:rsid w:val="0032371E"/>
    <w:rsid w:val="00323744"/>
    <w:rsid w:val="00323E55"/>
    <w:rsid w:val="00326C0C"/>
    <w:rsid w:val="0032749A"/>
    <w:rsid w:val="003276DD"/>
    <w:rsid w:val="00327866"/>
    <w:rsid w:val="00327A89"/>
    <w:rsid w:val="00327CC9"/>
    <w:rsid w:val="00330556"/>
    <w:rsid w:val="00331FED"/>
    <w:rsid w:val="0033381B"/>
    <w:rsid w:val="00333B11"/>
    <w:rsid w:val="003344CA"/>
    <w:rsid w:val="00334C8B"/>
    <w:rsid w:val="003352EE"/>
    <w:rsid w:val="00335D2A"/>
    <w:rsid w:val="00337889"/>
    <w:rsid w:val="00340B8E"/>
    <w:rsid w:val="00342759"/>
    <w:rsid w:val="0034276D"/>
    <w:rsid w:val="00342BED"/>
    <w:rsid w:val="00342D62"/>
    <w:rsid w:val="00344B7C"/>
    <w:rsid w:val="00345485"/>
    <w:rsid w:val="00345A43"/>
    <w:rsid w:val="00346368"/>
    <w:rsid w:val="00350CE6"/>
    <w:rsid w:val="00351063"/>
    <w:rsid w:val="00351BBC"/>
    <w:rsid w:val="00351E5D"/>
    <w:rsid w:val="003541A9"/>
    <w:rsid w:val="00355A74"/>
    <w:rsid w:val="003563F6"/>
    <w:rsid w:val="0035648F"/>
    <w:rsid w:val="00356EC4"/>
    <w:rsid w:val="0036028D"/>
    <w:rsid w:val="00361503"/>
    <w:rsid w:val="0036213F"/>
    <w:rsid w:val="0036235F"/>
    <w:rsid w:val="00363C0C"/>
    <w:rsid w:val="00365004"/>
    <w:rsid w:val="003657EB"/>
    <w:rsid w:val="00366517"/>
    <w:rsid w:val="00367E06"/>
    <w:rsid w:val="0037186A"/>
    <w:rsid w:val="00372229"/>
    <w:rsid w:val="00372277"/>
    <w:rsid w:val="00372ED9"/>
    <w:rsid w:val="0037361A"/>
    <w:rsid w:val="0037560D"/>
    <w:rsid w:val="00376939"/>
    <w:rsid w:val="00376CCA"/>
    <w:rsid w:val="0038173E"/>
    <w:rsid w:val="0038262B"/>
    <w:rsid w:val="0038291B"/>
    <w:rsid w:val="00383B03"/>
    <w:rsid w:val="00385A35"/>
    <w:rsid w:val="00385E17"/>
    <w:rsid w:val="0038673A"/>
    <w:rsid w:val="00386769"/>
    <w:rsid w:val="00386AFE"/>
    <w:rsid w:val="00386FD0"/>
    <w:rsid w:val="00390733"/>
    <w:rsid w:val="0039189D"/>
    <w:rsid w:val="00392097"/>
    <w:rsid w:val="003922AF"/>
    <w:rsid w:val="003922CD"/>
    <w:rsid w:val="00395DE0"/>
    <w:rsid w:val="00396F7C"/>
    <w:rsid w:val="0039731B"/>
    <w:rsid w:val="003975BF"/>
    <w:rsid w:val="003A0A85"/>
    <w:rsid w:val="003A13F3"/>
    <w:rsid w:val="003A1A9B"/>
    <w:rsid w:val="003A2716"/>
    <w:rsid w:val="003A27E0"/>
    <w:rsid w:val="003A2A81"/>
    <w:rsid w:val="003A2B99"/>
    <w:rsid w:val="003A30C0"/>
    <w:rsid w:val="003A38DF"/>
    <w:rsid w:val="003A40FB"/>
    <w:rsid w:val="003A4C3F"/>
    <w:rsid w:val="003A52F9"/>
    <w:rsid w:val="003A55F2"/>
    <w:rsid w:val="003A56D4"/>
    <w:rsid w:val="003A58FC"/>
    <w:rsid w:val="003A7170"/>
    <w:rsid w:val="003A7B51"/>
    <w:rsid w:val="003B07BA"/>
    <w:rsid w:val="003B09A9"/>
    <w:rsid w:val="003B48FF"/>
    <w:rsid w:val="003B51C4"/>
    <w:rsid w:val="003B640A"/>
    <w:rsid w:val="003B6A3D"/>
    <w:rsid w:val="003C0B8B"/>
    <w:rsid w:val="003C100B"/>
    <w:rsid w:val="003C198D"/>
    <w:rsid w:val="003C2CF4"/>
    <w:rsid w:val="003C395F"/>
    <w:rsid w:val="003C3B45"/>
    <w:rsid w:val="003C3F05"/>
    <w:rsid w:val="003C4143"/>
    <w:rsid w:val="003C4A18"/>
    <w:rsid w:val="003C5049"/>
    <w:rsid w:val="003C560C"/>
    <w:rsid w:val="003C5D6A"/>
    <w:rsid w:val="003C62BE"/>
    <w:rsid w:val="003C7534"/>
    <w:rsid w:val="003D084A"/>
    <w:rsid w:val="003D0B77"/>
    <w:rsid w:val="003D0D9B"/>
    <w:rsid w:val="003D20C4"/>
    <w:rsid w:val="003D35D2"/>
    <w:rsid w:val="003D4049"/>
    <w:rsid w:val="003D42D0"/>
    <w:rsid w:val="003D4319"/>
    <w:rsid w:val="003D63F6"/>
    <w:rsid w:val="003D67B2"/>
    <w:rsid w:val="003D6EDB"/>
    <w:rsid w:val="003D79C4"/>
    <w:rsid w:val="003D7E0B"/>
    <w:rsid w:val="003E1A68"/>
    <w:rsid w:val="003E1B22"/>
    <w:rsid w:val="003E4BD2"/>
    <w:rsid w:val="003E5E5B"/>
    <w:rsid w:val="003E5FA5"/>
    <w:rsid w:val="003E7231"/>
    <w:rsid w:val="003E7456"/>
    <w:rsid w:val="003E7C90"/>
    <w:rsid w:val="003F0283"/>
    <w:rsid w:val="003F0290"/>
    <w:rsid w:val="003F1079"/>
    <w:rsid w:val="003F10EF"/>
    <w:rsid w:val="003F21C2"/>
    <w:rsid w:val="003F266C"/>
    <w:rsid w:val="003F30ED"/>
    <w:rsid w:val="003F350F"/>
    <w:rsid w:val="003F5579"/>
    <w:rsid w:val="003F5A2A"/>
    <w:rsid w:val="003F68D5"/>
    <w:rsid w:val="003F78FF"/>
    <w:rsid w:val="003F7BB0"/>
    <w:rsid w:val="003F7F90"/>
    <w:rsid w:val="0040014F"/>
    <w:rsid w:val="00403B81"/>
    <w:rsid w:val="004048CB"/>
    <w:rsid w:val="004061F3"/>
    <w:rsid w:val="00406F9E"/>
    <w:rsid w:val="00411891"/>
    <w:rsid w:val="00411C1C"/>
    <w:rsid w:val="00411E79"/>
    <w:rsid w:val="00412BA7"/>
    <w:rsid w:val="00412D08"/>
    <w:rsid w:val="00412D7C"/>
    <w:rsid w:val="004139A4"/>
    <w:rsid w:val="00413BCB"/>
    <w:rsid w:val="00414D44"/>
    <w:rsid w:val="00415891"/>
    <w:rsid w:val="00420A2D"/>
    <w:rsid w:val="00421120"/>
    <w:rsid w:val="00421E0F"/>
    <w:rsid w:val="00421EA6"/>
    <w:rsid w:val="004223A4"/>
    <w:rsid w:val="00423686"/>
    <w:rsid w:val="00424813"/>
    <w:rsid w:val="004249D6"/>
    <w:rsid w:val="00425FD0"/>
    <w:rsid w:val="004271F0"/>
    <w:rsid w:val="0042759B"/>
    <w:rsid w:val="00430282"/>
    <w:rsid w:val="00431BC7"/>
    <w:rsid w:val="00433929"/>
    <w:rsid w:val="00433A22"/>
    <w:rsid w:val="004356E6"/>
    <w:rsid w:val="00435FE8"/>
    <w:rsid w:val="004361A5"/>
    <w:rsid w:val="00436660"/>
    <w:rsid w:val="00437291"/>
    <w:rsid w:val="00437D10"/>
    <w:rsid w:val="00440140"/>
    <w:rsid w:val="00440B20"/>
    <w:rsid w:val="0044209D"/>
    <w:rsid w:val="00442578"/>
    <w:rsid w:val="00443053"/>
    <w:rsid w:val="00443847"/>
    <w:rsid w:val="00445CA9"/>
    <w:rsid w:val="00445E18"/>
    <w:rsid w:val="004509BE"/>
    <w:rsid w:val="00450B85"/>
    <w:rsid w:val="00450EFA"/>
    <w:rsid w:val="004510CF"/>
    <w:rsid w:val="004512A3"/>
    <w:rsid w:val="00451A18"/>
    <w:rsid w:val="00451FC0"/>
    <w:rsid w:val="0045214E"/>
    <w:rsid w:val="004525FB"/>
    <w:rsid w:val="00453CD2"/>
    <w:rsid w:val="00454165"/>
    <w:rsid w:val="0045462E"/>
    <w:rsid w:val="004553BA"/>
    <w:rsid w:val="00457BC4"/>
    <w:rsid w:val="0046042C"/>
    <w:rsid w:val="00460F6F"/>
    <w:rsid w:val="00461155"/>
    <w:rsid w:val="00461393"/>
    <w:rsid w:val="0046277F"/>
    <w:rsid w:val="00462D20"/>
    <w:rsid w:val="00462E47"/>
    <w:rsid w:val="00463AE2"/>
    <w:rsid w:val="004641B3"/>
    <w:rsid w:val="0046652E"/>
    <w:rsid w:val="00470999"/>
    <w:rsid w:val="004716FB"/>
    <w:rsid w:val="004721DD"/>
    <w:rsid w:val="00472D6A"/>
    <w:rsid w:val="00473525"/>
    <w:rsid w:val="0047432D"/>
    <w:rsid w:val="0047489E"/>
    <w:rsid w:val="0047507B"/>
    <w:rsid w:val="004756E5"/>
    <w:rsid w:val="00477074"/>
    <w:rsid w:val="0048049E"/>
    <w:rsid w:val="00482695"/>
    <w:rsid w:val="00483365"/>
    <w:rsid w:val="00483A65"/>
    <w:rsid w:val="00483C0A"/>
    <w:rsid w:val="00484A44"/>
    <w:rsid w:val="00487429"/>
    <w:rsid w:val="004874FF"/>
    <w:rsid w:val="0048794C"/>
    <w:rsid w:val="0049323C"/>
    <w:rsid w:val="00493E3D"/>
    <w:rsid w:val="00494420"/>
    <w:rsid w:val="00495457"/>
    <w:rsid w:val="0049589D"/>
    <w:rsid w:val="00495D6E"/>
    <w:rsid w:val="0049644D"/>
    <w:rsid w:val="0049678F"/>
    <w:rsid w:val="004A2CF7"/>
    <w:rsid w:val="004A2D1A"/>
    <w:rsid w:val="004A35E7"/>
    <w:rsid w:val="004A37EB"/>
    <w:rsid w:val="004A3E22"/>
    <w:rsid w:val="004A4F05"/>
    <w:rsid w:val="004A5211"/>
    <w:rsid w:val="004A536E"/>
    <w:rsid w:val="004A54D2"/>
    <w:rsid w:val="004A5DF5"/>
    <w:rsid w:val="004A604E"/>
    <w:rsid w:val="004A68E1"/>
    <w:rsid w:val="004A6ACC"/>
    <w:rsid w:val="004A74FF"/>
    <w:rsid w:val="004A7BB6"/>
    <w:rsid w:val="004B0677"/>
    <w:rsid w:val="004B23CB"/>
    <w:rsid w:val="004B3583"/>
    <w:rsid w:val="004B4147"/>
    <w:rsid w:val="004B4179"/>
    <w:rsid w:val="004B52D0"/>
    <w:rsid w:val="004B5864"/>
    <w:rsid w:val="004B5C8E"/>
    <w:rsid w:val="004B624F"/>
    <w:rsid w:val="004C015E"/>
    <w:rsid w:val="004C1ED9"/>
    <w:rsid w:val="004C2A4B"/>
    <w:rsid w:val="004C2AA9"/>
    <w:rsid w:val="004C3457"/>
    <w:rsid w:val="004C3541"/>
    <w:rsid w:val="004C40D2"/>
    <w:rsid w:val="004C42D8"/>
    <w:rsid w:val="004C6AA0"/>
    <w:rsid w:val="004C70B0"/>
    <w:rsid w:val="004C7E5A"/>
    <w:rsid w:val="004D020B"/>
    <w:rsid w:val="004D0447"/>
    <w:rsid w:val="004D14B8"/>
    <w:rsid w:val="004D15DE"/>
    <w:rsid w:val="004D15EF"/>
    <w:rsid w:val="004D17AA"/>
    <w:rsid w:val="004D227A"/>
    <w:rsid w:val="004D2CEC"/>
    <w:rsid w:val="004D39A6"/>
    <w:rsid w:val="004D46CB"/>
    <w:rsid w:val="004D4736"/>
    <w:rsid w:val="004D5057"/>
    <w:rsid w:val="004D5489"/>
    <w:rsid w:val="004D630E"/>
    <w:rsid w:val="004D6626"/>
    <w:rsid w:val="004D67BD"/>
    <w:rsid w:val="004E0637"/>
    <w:rsid w:val="004E0AB9"/>
    <w:rsid w:val="004E1351"/>
    <w:rsid w:val="004E1372"/>
    <w:rsid w:val="004E38F4"/>
    <w:rsid w:val="004E4E56"/>
    <w:rsid w:val="004E5115"/>
    <w:rsid w:val="004E55A8"/>
    <w:rsid w:val="004E5CC4"/>
    <w:rsid w:val="004E64AD"/>
    <w:rsid w:val="004E7146"/>
    <w:rsid w:val="004E73DC"/>
    <w:rsid w:val="004F0AE7"/>
    <w:rsid w:val="004F15CA"/>
    <w:rsid w:val="004F1BEE"/>
    <w:rsid w:val="004F3316"/>
    <w:rsid w:val="004F34BA"/>
    <w:rsid w:val="004F3580"/>
    <w:rsid w:val="004F3B2D"/>
    <w:rsid w:val="004F3B99"/>
    <w:rsid w:val="004F5B60"/>
    <w:rsid w:val="004F6121"/>
    <w:rsid w:val="004F77A2"/>
    <w:rsid w:val="004F7C0D"/>
    <w:rsid w:val="004F7C1E"/>
    <w:rsid w:val="005006A9"/>
    <w:rsid w:val="005015CE"/>
    <w:rsid w:val="00501610"/>
    <w:rsid w:val="005022A7"/>
    <w:rsid w:val="005028FF"/>
    <w:rsid w:val="00504A0B"/>
    <w:rsid w:val="00504B80"/>
    <w:rsid w:val="00505253"/>
    <w:rsid w:val="00506464"/>
    <w:rsid w:val="00506AC8"/>
    <w:rsid w:val="005072E7"/>
    <w:rsid w:val="005076EA"/>
    <w:rsid w:val="005078CC"/>
    <w:rsid w:val="00510668"/>
    <w:rsid w:val="00511C53"/>
    <w:rsid w:val="00511E7A"/>
    <w:rsid w:val="00513246"/>
    <w:rsid w:val="0051351C"/>
    <w:rsid w:val="00513BB2"/>
    <w:rsid w:val="00513E12"/>
    <w:rsid w:val="005151E1"/>
    <w:rsid w:val="00516B74"/>
    <w:rsid w:val="00521327"/>
    <w:rsid w:val="00521343"/>
    <w:rsid w:val="005213F4"/>
    <w:rsid w:val="00521544"/>
    <w:rsid w:val="005219D9"/>
    <w:rsid w:val="00521B1C"/>
    <w:rsid w:val="00521D59"/>
    <w:rsid w:val="0052222B"/>
    <w:rsid w:val="00522395"/>
    <w:rsid w:val="00522E88"/>
    <w:rsid w:val="00523542"/>
    <w:rsid w:val="005236AE"/>
    <w:rsid w:val="005248A0"/>
    <w:rsid w:val="00524E89"/>
    <w:rsid w:val="005251E4"/>
    <w:rsid w:val="00525939"/>
    <w:rsid w:val="00525A61"/>
    <w:rsid w:val="00527C67"/>
    <w:rsid w:val="0053079A"/>
    <w:rsid w:val="00533C42"/>
    <w:rsid w:val="00534518"/>
    <w:rsid w:val="0053480C"/>
    <w:rsid w:val="00534E75"/>
    <w:rsid w:val="00535376"/>
    <w:rsid w:val="00535415"/>
    <w:rsid w:val="005364E0"/>
    <w:rsid w:val="00536DFF"/>
    <w:rsid w:val="00536F77"/>
    <w:rsid w:val="0053726D"/>
    <w:rsid w:val="0053772A"/>
    <w:rsid w:val="00540180"/>
    <w:rsid w:val="005401FC"/>
    <w:rsid w:val="00541CD6"/>
    <w:rsid w:val="00542E01"/>
    <w:rsid w:val="005431D3"/>
    <w:rsid w:val="0054360F"/>
    <w:rsid w:val="00543A18"/>
    <w:rsid w:val="00543A24"/>
    <w:rsid w:val="00545683"/>
    <w:rsid w:val="00545AF2"/>
    <w:rsid w:val="005462DA"/>
    <w:rsid w:val="00546DF9"/>
    <w:rsid w:val="00550391"/>
    <w:rsid w:val="0055118A"/>
    <w:rsid w:val="0055355A"/>
    <w:rsid w:val="0055698E"/>
    <w:rsid w:val="00557596"/>
    <w:rsid w:val="00557F1A"/>
    <w:rsid w:val="00560C40"/>
    <w:rsid w:val="00561740"/>
    <w:rsid w:val="00562F74"/>
    <w:rsid w:val="0056317E"/>
    <w:rsid w:val="00563B70"/>
    <w:rsid w:val="00565C88"/>
    <w:rsid w:val="00565F9D"/>
    <w:rsid w:val="00566177"/>
    <w:rsid w:val="00567661"/>
    <w:rsid w:val="00567F98"/>
    <w:rsid w:val="0057030B"/>
    <w:rsid w:val="0057088B"/>
    <w:rsid w:val="005733F8"/>
    <w:rsid w:val="00573EEE"/>
    <w:rsid w:val="0057408F"/>
    <w:rsid w:val="00575E59"/>
    <w:rsid w:val="0058075C"/>
    <w:rsid w:val="005809BE"/>
    <w:rsid w:val="00581F03"/>
    <w:rsid w:val="00582985"/>
    <w:rsid w:val="00585372"/>
    <w:rsid w:val="0058576C"/>
    <w:rsid w:val="0058657A"/>
    <w:rsid w:val="005866E0"/>
    <w:rsid w:val="00587176"/>
    <w:rsid w:val="00587524"/>
    <w:rsid w:val="00587C55"/>
    <w:rsid w:val="00590588"/>
    <w:rsid w:val="00590868"/>
    <w:rsid w:val="005918B2"/>
    <w:rsid w:val="00595122"/>
    <w:rsid w:val="0059636B"/>
    <w:rsid w:val="005968CB"/>
    <w:rsid w:val="00596DF1"/>
    <w:rsid w:val="0059757C"/>
    <w:rsid w:val="005A106F"/>
    <w:rsid w:val="005A20BA"/>
    <w:rsid w:val="005A3B4A"/>
    <w:rsid w:val="005A4E43"/>
    <w:rsid w:val="005A5C2A"/>
    <w:rsid w:val="005A6C04"/>
    <w:rsid w:val="005A7F39"/>
    <w:rsid w:val="005B057E"/>
    <w:rsid w:val="005B082E"/>
    <w:rsid w:val="005B2828"/>
    <w:rsid w:val="005B5465"/>
    <w:rsid w:val="005B6288"/>
    <w:rsid w:val="005B6376"/>
    <w:rsid w:val="005B688E"/>
    <w:rsid w:val="005B6CA3"/>
    <w:rsid w:val="005B7028"/>
    <w:rsid w:val="005B7254"/>
    <w:rsid w:val="005B7BEC"/>
    <w:rsid w:val="005C0EDA"/>
    <w:rsid w:val="005C15FE"/>
    <w:rsid w:val="005C1F08"/>
    <w:rsid w:val="005C2298"/>
    <w:rsid w:val="005C23E4"/>
    <w:rsid w:val="005C2D38"/>
    <w:rsid w:val="005C2F22"/>
    <w:rsid w:val="005C32A3"/>
    <w:rsid w:val="005C379B"/>
    <w:rsid w:val="005C4004"/>
    <w:rsid w:val="005C4E66"/>
    <w:rsid w:val="005C6C6D"/>
    <w:rsid w:val="005C77ED"/>
    <w:rsid w:val="005C7F03"/>
    <w:rsid w:val="005D0756"/>
    <w:rsid w:val="005D1613"/>
    <w:rsid w:val="005D2B50"/>
    <w:rsid w:val="005D3358"/>
    <w:rsid w:val="005D4555"/>
    <w:rsid w:val="005D46BE"/>
    <w:rsid w:val="005D7D6F"/>
    <w:rsid w:val="005E0112"/>
    <w:rsid w:val="005E105E"/>
    <w:rsid w:val="005E1A07"/>
    <w:rsid w:val="005E2F22"/>
    <w:rsid w:val="005E5018"/>
    <w:rsid w:val="005E5FD9"/>
    <w:rsid w:val="005E6499"/>
    <w:rsid w:val="005E6647"/>
    <w:rsid w:val="005E68BA"/>
    <w:rsid w:val="005E6BCD"/>
    <w:rsid w:val="005E7AE7"/>
    <w:rsid w:val="005F05CD"/>
    <w:rsid w:val="005F392A"/>
    <w:rsid w:val="005F3B8C"/>
    <w:rsid w:val="005F3C83"/>
    <w:rsid w:val="005F3F71"/>
    <w:rsid w:val="005F43A5"/>
    <w:rsid w:val="005F58A1"/>
    <w:rsid w:val="005F5A15"/>
    <w:rsid w:val="005F640D"/>
    <w:rsid w:val="005F67A1"/>
    <w:rsid w:val="005F6936"/>
    <w:rsid w:val="005F6BC0"/>
    <w:rsid w:val="005F7CD2"/>
    <w:rsid w:val="00600270"/>
    <w:rsid w:val="0060040E"/>
    <w:rsid w:val="006008F6"/>
    <w:rsid w:val="00601A7F"/>
    <w:rsid w:val="006026C2"/>
    <w:rsid w:val="00602E94"/>
    <w:rsid w:val="006043D0"/>
    <w:rsid w:val="00604B97"/>
    <w:rsid w:val="00605C9C"/>
    <w:rsid w:val="00606906"/>
    <w:rsid w:val="00607467"/>
    <w:rsid w:val="006128D1"/>
    <w:rsid w:val="00612AF1"/>
    <w:rsid w:val="006133EA"/>
    <w:rsid w:val="006141E1"/>
    <w:rsid w:val="006151AC"/>
    <w:rsid w:val="00615AA9"/>
    <w:rsid w:val="00615CA2"/>
    <w:rsid w:val="00616649"/>
    <w:rsid w:val="00616838"/>
    <w:rsid w:val="00616FBF"/>
    <w:rsid w:val="00620B26"/>
    <w:rsid w:val="00620C92"/>
    <w:rsid w:val="00620E26"/>
    <w:rsid w:val="00622AC8"/>
    <w:rsid w:val="00622E5B"/>
    <w:rsid w:val="00624110"/>
    <w:rsid w:val="00624812"/>
    <w:rsid w:val="0062657D"/>
    <w:rsid w:val="00626739"/>
    <w:rsid w:val="006274C5"/>
    <w:rsid w:val="0063008B"/>
    <w:rsid w:val="0063068C"/>
    <w:rsid w:val="006307CB"/>
    <w:rsid w:val="00630A27"/>
    <w:rsid w:val="00630A8E"/>
    <w:rsid w:val="00631323"/>
    <w:rsid w:val="00631F45"/>
    <w:rsid w:val="00632935"/>
    <w:rsid w:val="00634359"/>
    <w:rsid w:val="00634AFB"/>
    <w:rsid w:val="00635288"/>
    <w:rsid w:val="00635495"/>
    <w:rsid w:val="006356BB"/>
    <w:rsid w:val="00635D67"/>
    <w:rsid w:val="00635F7D"/>
    <w:rsid w:val="006360B5"/>
    <w:rsid w:val="006373F8"/>
    <w:rsid w:val="00637D39"/>
    <w:rsid w:val="00640729"/>
    <w:rsid w:val="00640A8A"/>
    <w:rsid w:val="006410E6"/>
    <w:rsid w:val="006417BB"/>
    <w:rsid w:val="00641AF8"/>
    <w:rsid w:val="00642577"/>
    <w:rsid w:val="006430DC"/>
    <w:rsid w:val="00644D3B"/>
    <w:rsid w:val="0064506C"/>
    <w:rsid w:val="00645ED9"/>
    <w:rsid w:val="00646348"/>
    <w:rsid w:val="00646A05"/>
    <w:rsid w:val="006471A1"/>
    <w:rsid w:val="00647A30"/>
    <w:rsid w:val="0065078F"/>
    <w:rsid w:val="00651A2D"/>
    <w:rsid w:val="006525D3"/>
    <w:rsid w:val="00652731"/>
    <w:rsid w:val="00652BB1"/>
    <w:rsid w:val="00653274"/>
    <w:rsid w:val="00653287"/>
    <w:rsid w:val="00656D4C"/>
    <w:rsid w:val="006570A6"/>
    <w:rsid w:val="00660ED3"/>
    <w:rsid w:val="00661C05"/>
    <w:rsid w:val="00661ED8"/>
    <w:rsid w:val="0066222C"/>
    <w:rsid w:val="006633A9"/>
    <w:rsid w:val="00663697"/>
    <w:rsid w:val="00663AF4"/>
    <w:rsid w:val="006647D3"/>
    <w:rsid w:val="00664D26"/>
    <w:rsid w:val="00665137"/>
    <w:rsid w:val="006665C6"/>
    <w:rsid w:val="00666DDF"/>
    <w:rsid w:val="0066737C"/>
    <w:rsid w:val="00670F05"/>
    <w:rsid w:val="00671C23"/>
    <w:rsid w:val="0067311F"/>
    <w:rsid w:val="00674AD1"/>
    <w:rsid w:val="00674B1C"/>
    <w:rsid w:val="00675403"/>
    <w:rsid w:val="006769AF"/>
    <w:rsid w:val="00677670"/>
    <w:rsid w:val="0068010B"/>
    <w:rsid w:val="006803B7"/>
    <w:rsid w:val="00680D8E"/>
    <w:rsid w:val="00682544"/>
    <w:rsid w:val="00683C6E"/>
    <w:rsid w:val="00683FCF"/>
    <w:rsid w:val="006840E5"/>
    <w:rsid w:val="00684D32"/>
    <w:rsid w:val="006854DF"/>
    <w:rsid w:val="006858EC"/>
    <w:rsid w:val="00685BF3"/>
    <w:rsid w:val="00686656"/>
    <w:rsid w:val="00687905"/>
    <w:rsid w:val="00690061"/>
    <w:rsid w:val="00691C6B"/>
    <w:rsid w:val="00692025"/>
    <w:rsid w:val="00692174"/>
    <w:rsid w:val="00693DDE"/>
    <w:rsid w:val="006944E1"/>
    <w:rsid w:val="006946B0"/>
    <w:rsid w:val="006950F6"/>
    <w:rsid w:val="006954D9"/>
    <w:rsid w:val="0069597D"/>
    <w:rsid w:val="006966CD"/>
    <w:rsid w:val="00696E97"/>
    <w:rsid w:val="006A025E"/>
    <w:rsid w:val="006A0A00"/>
    <w:rsid w:val="006A0CE3"/>
    <w:rsid w:val="006A0D78"/>
    <w:rsid w:val="006A130F"/>
    <w:rsid w:val="006A1AF1"/>
    <w:rsid w:val="006A3257"/>
    <w:rsid w:val="006A465E"/>
    <w:rsid w:val="006A694D"/>
    <w:rsid w:val="006A7A81"/>
    <w:rsid w:val="006A7CEE"/>
    <w:rsid w:val="006A7D45"/>
    <w:rsid w:val="006B171C"/>
    <w:rsid w:val="006B2294"/>
    <w:rsid w:val="006B22F8"/>
    <w:rsid w:val="006B27F7"/>
    <w:rsid w:val="006B3507"/>
    <w:rsid w:val="006B58E1"/>
    <w:rsid w:val="006B6490"/>
    <w:rsid w:val="006B68B8"/>
    <w:rsid w:val="006C0545"/>
    <w:rsid w:val="006C1E75"/>
    <w:rsid w:val="006C3559"/>
    <w:rsid w:val="006C3E84"/>
    <w:rsid w:val="006C46D4"/>
    <w:rsid w:val="006C52A3"/>
    <w:rsid w:val="006C66ED"/>
    <w:rsid w:val="006C7708"/>
    <w:rsid w:val="006C7994"/>
    <w:rsid w:val="006D02EA"/>
    <w:rsid w:val="006D051D"/>
    <w:rsid w:val="006D0A93"/>
    <w:rsid w:val="006D0EC7"/>
    <w:rsid w:val="006D2E87"/>
    <w:rsid w:val="006D3259"/>
    <w:rsid w:val="006D4B7C"/>
    <w:rsid w:val="006D5215"/>
    <w:rsid w:val="006D5DCC"/>
    <w:rsid w:val="006D6435"/>
    <w:rsid w:val="006D6486"/>
    <w:rsid w:val="006D6963"/>
    <w:rsid w:val="006E06F5"/>
    <w:rsid w:val="006E0761"/>
    <w:rsid w:val="006E0B85"/>
    <w:rsid w:val="006E15F3"/>
    <w:rsid w:val="006E1ADD"/>
    <w:rsid w:val="006E4D34"/>
    <w:rsid w:val="006E57ED"/>
    <w:rsid w:val="006E6CAB"/>
    <w:rsid w:val="006E73CC"/>
    <w:rsid w:val="006E7406"/>
    <w:rsid w:val="006E787D"/>
    <w:rsid w:val="006E7E13"/>
    <w:rsid w:val="006F0DC6"/>
    <w:rsid w:val="006F1058"/>
    <w:rsid w:val="006F11B3"/>
    <w:rsid w:val="006F1D58"/>
    <w:rsid w:val="006F2FEE"/>
    <w:rsid w:val="006F3C71"/>
    <w:rsid w:val="006F5C30"/>
    <w:rsid w:val="006F66B9"/>
    <w:rsid w:val="006F7847"/>
    <w:rsid w:val="00700545"/>
    <w:rsid w:val="007005E6"/>
    <w:rsid w:val="00700800"/>
    <w:rsid w:val="00700BD1"/>
    <w:rsid w:val="00700DCD"/>
    <w:rsid w:val="00701B43"/>
    <w:rsid w:val="00701BA5"/>
    <w:rsid w:val="00701F42"/>
    <w:rsid w:val="007026AC"/>
    <w:rsid w:val="0070568F"/>
    <w:rsid w:val="0070577E"/>
    <w:rsid w:val="00706B6F"/>
    <w:rsid w:val="007104EA"/>
    <w:rsid w:val="007108B9"/>
    <w:rsid w:val="00710B9C"/>
    <w:rsid w:val="00712956"/>
    <w:rsid w:val="00713746"/>
    <w:rsid w:val="0071547E"/>
    <w:rsid w:val="007166BD"/>
    <w:rsid w:val="00716B5B"/>
    <w:rsid w:val="00717081"/>
    <w:rsid w:val="007175BA"/>
    <w:rsid w:val="00720376"/>
    <w:rsid w:val="0072057C"/>
    <w:rsid w:val="00720C7C"/>
    <w:rsid w:val="00720CCB"/>
    <w:rsid w:val="00723701"/>
    <w:rsid w:val="0072521A"/>
    <w:rsid w:val="0072577C"/>
    <w:rsid w:val="00726EA1"/>
    <w:rsid w:val="00727DBD"/>
    <w:rsid w:val="00727EF2"/>
    <w:rsid w:val="00730793"/>
    <w:rsid w:val="00731461"/>
    <w:rsid w:val="00731BFB"/>
    <w:rsid w:val="00731C44"/>
    <w:rsid w:val="0073254F"/>
    <w:rsid w:val="00732734"/>
    <w:rsid w:val="00732A13"/>
    <w:rsid w:val="00732BE9"/>
    <w:rsid w:val="007337B6"/>
    <w:rsid w:val="00734108"/>
    <w:rsid w:val="00734A78"/>
    <w:rsid w:val="0073613B"/>
    <w:rsid w:val="00736F10"/>
    <w:rsid w:val="00737272"/>
    <w:rsid w:val="00737E80"/>
    <w:rsid w:val="00740DDD"/>
    <w:rsid w:val="00740DE9"/>
    <w:rsid w:val="007425DA"/>
    <w:rsid w:val="00742CD3"/>
    <w:rsid w:val="007430A2"/>
    <w:rsid w:val="007438DD"/>
    <w:rsid w:val="007439EA"/>
    <w:rsid w:val="00743DF7"/>
    <w:rsid w:val="00744203"/>
    <w:rsid w:val="007443A6"/>
    <w:rsid w:val="007472F4"/>
    <w:rsid w:val="007539C4"/>
    <w:rsid w:val="00754259"/>
    <w:rsid w:val="00755A98"/>
    <w:rsid w:val="00755C57"/>
    <w:rsid w:val="0075615B"/>
    <w:rsid w:val="00757669"/>
    <w:rsid w:val="00757967"/>
    <w:rsid w:val="00757AD5"/>
    <w:rsid w:val="007614FA"/>
    <w:rsid w:val="007618D0"/>
    <w:rsid w:val="00761C99"/>
    <w:rsid w:val="00761E88"/>
    <w:rsid w:val="00762483"/>
    <w:rsid w:val="007632FD"/>
    <w:rsid w:val="007636A9"/>
    <w:rsid w:val="007637C0"/>
    <w:rsid w:val="00764D67"/>
    <w:rsid w:val="0076516F"/>
    <w:rsid w:val="0076560A"/>
    <w:rsid w:val="00765E45"/>
    <w:rsid w:val="007669A5"/>
    <w:rsid w:val="00766BDE"/>
    <w:rsid w:val="007676FB"/>
    <w:rsid w:val="00770207"/>
    <w:rsid w:val="007712B1"/>
    <w:rsid w:val="00771A8B"/>
    <w:rsid w:val="007724BB"/>
    <w:rsid w:val="007725AA"/>
    <w:rsid w:val="00772F9A"/>
    <w:rsid w:val="00773339"/>
    <w:rsid w:val="00773744"/>
    <w:rsid w:val="00773E7B"/>
    <w:rsid w:val="00773F42"/>
    <w:rsid w:val="00774579"/>
    <w:rsid w:val="00775847"/>
    <w:rsid w:val="0077598E"/>
    <w:rsid w:val="00776A93"/>
    <w:rsid w:val="00780285"/>
    <w:rsid w:val="0078054E"/>
    <w:rsid w:val="0078112C"/>
    <w:rsid w:val="0078153B"/>
    <w:rsid w:val="007833AC"/>
    <w:rsid w:val="00783FA6"/>
    <w:rsid w:val="00784345"/>
    <w:rsid w:val="00784674"/>
    <w:rsid w:val="00784A56"/>
    <w:rsid w:val="00785261"/>
    <w:rsid w:val="00785FD3"/>
    <w:rsid w:val="00786C3A"/>
    <w:rsid w:val="00787C61"/>
    <w:rsid w:val="00790A0A"/>
    <w:rsid w:val="00791085"/>
    <w:rsid w:val="00791793"/>
    <w:rsid w:val="00791D5E"/>
    <w:rsid w:val="00793346"/>
    <w:rsid w:val="007940B5"/>
    <w:rsid w:val="0079468C"/>
    <w:rsid w:val="007946F1"/>
    <w:rsid w:val="00794D79"/>
    <w:rsid w:val="00795273"/>
    <w:rsid w:val="0079568E"/>
    <w:rsid w:val="00797956"/>
    <w:rsid w:val="00797C73"/>
    <w:rsid w:val="007A04A3"/>
    <w:rsid w:val="007A124F"/>
    <w:rsid w:val="007A18B1"/>
    <w:rsid w:val="007A1DD9"/>
    <w:rsid w:val="007A3544"/>
    <w:rsid w:val="007A39CF"/>
    <w:rsid w:val="007A3C6B"/>
    <w:rsid w:val="007A40AB"/>
    <w:rsid w:val="007A4E9C"/>
    <w:rsid w:val="007A5AE7"/>
    <w:rsid w:val="007A63D7"/>
    <w:rsid w:val="007A6A6E"/>
    <w:rsid w:val="007A74E9"/>
    <w:rsid w:val="007B036E"/>
    <w:rsid w:val="007B052F"/>
    <w:rsid w:val="007B09E1"/>
    <w:rsid w:val="007B0BEC"/>
    <w:rsid w:val="007B161A"/>
    <w:rsid w:val="007B2B81"/>
    <w:rsid w:val="007B32EA"/>
    <w:rsid w:val="007B3BD8"/>
    <w:rsid w:val="007B4E7B"/>
    <w:rsid w:val="007B58AD"/>
    <w:rsid w:val="007B6660"/>
    <w:rsid w:val="007B682F"/>
    <w:rsid w:val="007B6A4F"/>
    <w:rsid w:val="007B77A4"/>
    <w:rsid w:val="007B7A13"/>
    <w:rsid w:val="007C027D"/>
    <w:rsid w:val="007C0DC4"/>
    <w:rsid w:val="007C1476"/>
    <w:rsid w:val="007C2A30"/>
    <w:rsid w:val="007C36E4"/>
    <w:rsid w:val="007C3B94"/>
    <w:rsid w:val="007C5528"/>
    <w:rsid w:val="007C5639"/>
    <w:rsid w:val="007C64EE"/>
    <w:rsid w:val="007C69EF"/>
    <w:rsid w:val="007C6DDE"/>
    <w:rsid w:val="007D09D1"/>
    <w:rsid w:val="007D0BC3"/>
    <w:rsid w:val="007D0D94"/>
    <w:rsid w:val="007D20BE"/>
    <w:rsid w:val="007D3356"/>
    <w:rsid w:val="007D49AA"/>
    <w:rsid w:val="007D4A0B"/>
    <w:rsid w:val="007D546E"/>
    <w:rsid w:val="007D5BFB"/>
    <w:rsid w:val="007D6637"/>
    <w:rsid w:val="007D6F3E"/>
    <w:rsid w:val="007D72DB"/>
    <w:rsid w:val="007E14D1"/>
    <w:rsid w:val="007E2457"/>
    <w:rsid w:val="007E30A1"/>
    <w:rsid w:val="007E4754"/>
    <w:rsid w:val="007E4999"/>
    <w:rsid w:val="007E4AF4"/>
    <w:rsid w:val="007E513C"/>
    <w:rsid w:val="007E52D6"/>
    <w:rsid w:val="007E543E"/>
    <w:rsid w:val="007E6088"/>
    <w:rsid w:val="007E7311"/>
    <w:rsid w:val="007F0167"/>
    <w:rsid w:val="007F12D0"/>
    <w:rsid w:val="007F1720"/>
    <w:rsid w:val="007F17EA"/>
    <w:rsid w:val="007F3EC3"/>
    <w:rsid w:val="007F42E4"/>
    <w:rsid w:val="007F51DE"/>
    <w:rsid w:val="007F5884"/>
    <w:rsid w:val="007F5DFB"/>
    <w:rsid w:val="007F6847"/>
    <w:rsid w:val="007F6CFE"/>
    <w:rsid w:val="007F78D4"/>
    <w:rsid w:val="0080148A"/>
    <w:rsid w:val="00801839"/>
    <w:rsid w:val="00801FB1"/>
    <w:rsid w:val="00802499"/>
    <w:rsid w:val="00802578"/>
    <w:rsid w:val="00804957"/>
    <w:rsid w:val="008055CB"/>
    <w:rsid w:val="00807C63"/>
    <w:rsid w:val="00810455"/>
    <w:rsid w:val="008112FB"/>
    <w:rsid w:val="008122BC"/>
    <w:rsid w:val="00813BDD"/>
    <w:rsid w:val="008146E4"/>
    <w:rsid w:val="00814F44"/>
    <w:rsid w:val="00814F58"/>
    <w:rsid w:val="00815F53"/>
    <w:rsid w:val="00815FA2"/>
    <w:rsid w:val="0081609F"/>
    <w:rsid w:val="0081738F"/>
    <w:rsid w:val="008178B0"/>
    <w:rsid w:val="00817A6E"/>
    <w:rsid w:val="00817F5C"/>
    <w:rsid w:val="00822328"/>
    <w:rsid w:val="0082246B"/>
    <w:rsid w:val="008226E1"/>
    <w:rsid w:val="0082392C"/>
    <w:rsid w:val="008256C9"/>
    <w:rsid w:val="00825EB9"/>
    <w:rsid w:val="00826823"/>
    <w:rsid w:val="008268E3"/>
    <w:rsid w:val="00827827"/>
    <w:rsid w:val="00827885"/>
    <w:rsid w:val="00827A21"/>
    <w:rsid w:val="00827FD6"/>
    <w:rsid w:val="00831694"/>
    <w:rsid w:val="00831C97"/>
    <w:rsid w:val="00832031"/>
    <w:rsid w:val="00832226"/>
    <w:rsid w:val="00832469"/>
    <w:rsid w:val="00832B47"/>
    <w:rsid w:val="00832C07"/>
    <w:rsid w:val="008341AE"/>
    <w:rsid w:val="0083445B"/>
    <w:rsid w:val="00834AC7"/>
    <w:rsid w:val="00834EC8"/>
    <w:rsid w:val="0083513C"/>
    <w:rsid w:val="008355E0"/>
    <w:rsid w:val="008367FE"/>
    <w:rsid w:val="0084051A"/>
    <w:rsid w:val="00841BD8"/>
    <w:rsid w:val="0084292F"/>
    <w:rsid w:val="00842B49"/>
    <w:rsid w:val="00842E60"/>
    <w:rsid w:val="00843908"/>
    <w:rsid w:val="008442FF"/>
    <w:rsid w:val="00845AAE"/>
    <w:rsid w:val="00846B4D"/>
    <w:rsid w:val="00847769"/>
    <w:rsid w:val="0085056E"/>
    <w:rsid w:val="00851038"/>
    <w:rsid w:val="008527B9"/>
    <w:rsid w:val="00852BB1"/>
    <w:rsid w:val="00853A5B"/>
    <w:rsid w:val="00853C06"/>
    <w:rsid w:val="00854054"/>
    <w:rsid w:val="00855DF3"/>
    <w:rsid w:val="00856286"/>
    <w:rsid w:val="008615D9"/>
    <w:rsid w:val="0086286B"/>
    <w:rsid w:val="00862D2A"/>
    <w:rsid w:val="00863D3F"/>
    <w:rsid w:val="00864830"/>
    <w:rsid w:val="008654D4"/>
    <w:rsid w:val="008655A3"/>
    <w:rsid w:val="00865A4F"/>
    <w:rsid w:val="00867AE1"/>
    <w:rsid w:val="00867C63"/>
    <w:rsid w:val="00871063"/>
    <w:rsid w:val="008719EB"/>
    <w:rsid w:val="00871D84"/>
    <w:rsid w:val="00872483"/>
    <w:rsid w:val="00873133"/>
    <w:rsid w:val="008731EB"/>
    <w:rsid w:val="008731FD"/>
    <w:rsid w:val="00873D41"/>
    <w:rsid w:val="0087571C"/>
    <w:rsid w:val="00875BD4"/>
    <w:rsid w:val="008760EF"/>
    <w:rsid w:val="00877556"/>
    <w:rsid w:val="00877610"/>
    <w:rsid w:val="00877806"/>
    <w:rsid w:val="00877B1C"/>
    <w:rsid w:val="00877B68"/>
    <w:rsid w:val="00877D9E"/>
    <w:rsid w:val="00877E76"/>
    <w:rsid w:val="00881494"/>
    <w:rsid w:val="008820AA"/>
    <w:rsid w:val="00882BD9"/>
    <w:rsid w:val="00882ED7"/>
    <w:rsid w:val="0088470F"/>
    <w:rsid w:val="008861CD"/>
    <w:rsid w:val="00886578"/>
    <w:rsid w:val="00886E16"/>
    <w:rsid w:val="00886FD7"/>
    <w:rsid w:val="00886FEA"/>
    <w:rsid w:val="008873A7"/>
    <w:rsid w:val="00890137"/>
    <w:rsid w:val="008903A1"/>
    <w:rsid w:val="0089092E"/>
    <w:rsid w:val="00891941"/>
    <w:rsid w:val="00891E54"/>
    <w:rsid w:val="00892D0E"/>
    <w:rsid w:val="00892D7E"/>
    <w:rsid w:val="00893A43"/>
    <w:rsid w:val="00894168"/>
    <w:rsid w:val="0089672A"/>
    <w:rsid w:val="00896B41"/>
    <w:rsid w:val="00897670"/>
    <w:rsid w:val="00897952"/>
    <w:rsid w:val="00897E36"/>
    <w:rsid w:val="00897F57"/>
    <w:rsid w:val="008A10F0"/>
    <w:rsid w:val="008A254E"/>
    <w:rsid w:val="008A28C5"/>
    <w:rsid w:val="008A2E7E"/>
    <w:rsid w:val="008A3616"/>
    <w:rsid w:val="008A3BD6"/>
    <w:rsid w:val="008A424A"/>
    <w:rsid w:val="008A4374"/>
    <w:rsid w:val="008A47FD"/>
    <w:rsid w:val="008A480A"/>
    <w:rsid w:val="008A4927"/>
    <w:rsid w:val="008A6CC4"/>
    <w:rsid w:val="008A6E14"/>
    <w:rsid w:val="008A772D"/>
    <w:rsid w:val="008B0595"/>
    <w:rsid w:val="008B129F"/>
    <w:rsid w:val="008B5678"/>
    <w:rsid w:val="008B5A20"/>
    <w:rsid w:val="008B616E"/>
    <w:rsid w:val="008B7850"/>
    <w:rsid w:val="008C4ABE"/>
    <w:rsid w:val="008C636B"/>
    <w:rsid w:val="008C653A"/>
    <w:rsid w:val="008C72FB"/>
    <w:rsid w:val="008C785B"/>
    <w:rsid w:val="008D0A43"/>
    <w:rsid w:val="008D169E"/>
    <w:rsid w:val="008D19A4"/>
    <w:rsid w:val="008D1DDC"/>
    <w:rsid w:val="008D2238"/>
    <w:rsid w:val="008D2564"/>
    <w:rsid w:val="008D2C4C"/>
    <w:rsid w:val="008D405F"/>
    <w:rsid w:val="008D5AA6"/>
    <w:rsid w:val="008D618A"/>
    <w:rsid w:val="008D62F6"/>
    <w:rsid w:val="008D6F1B"/>
    <w:rsid w:val="008E06DA"/>
    <w:rsid w:val="008E13EA"/>
    <w:rsid w:val="008E1509"/>
    <w:rsid w:val="008E15E3"/>
    <w:rsid w:val="008E1BED"/>
    <w:rsid w:val="008E1DFC"/>
    <w:rsid w:val="008E240B"/>
    <w:rsid w:val="008E2510"/>
    <w:rsid w:val="008E305B"/>
    <w:rsid w:val="008E32BD"/>
    <w:rsid w:val="008E439C"/>
    <w:rsid w:val="008E74ED"/>
    <w:rsid w:val="008E7CC0"/>
    <w:rsid w:val="008E7ECA"/>
    <w:rsid w:val="008F247D"/>
    <w:rsid w:val="008F313A"/>
    <w:rsid w:val="008F4029"/>
    <w:rsid w:val="008F49BE"/>
    <w:rsid w:val="008F584F"/>
    <w:rsid w:val="008F5A9F"/>
    <w:rsid w:val="008F5F30"/>
    <w:rsid w:val="008F7955"/>
    <w:rsid w:val="0090018A"/>
    <w:rsid w:val="00900858"/>
    <w:rsid w:val="00901523"/>
    <w:rsid w:val="00901B1A"/>
    <w:rsid w:val="00902D69"/>
    <w:rsid w:val="00902E81"/>
    <w:rsid w:val="00904475"/>
    <w:rsid w:val="0090519D"/>
    <w:rsid w:val="0090600F"/>
    <w:rsid w:val="00906CAA"/>
    <w:rsid w:val="0091008B"/>
    <w:rsid w:val="009116F8"/>
    <w:rsid w:val="00911CB6"/>
    <w:rsid w:val="00913CA3"/>
    <w:rsid w:val="009147BE"/>
    <w:rsid w:val="00914B09"/>
    <w:rsid w:val="00915170"/>
    <w:rsid w:val="009159D7"/>
    <w:rsid w:val="0091642B"/>
    <w:rsid w:val="009200E4"/>
    <w:rsid w:val="009209EE"/>
    <w:rsid w:val="00920D59"/>
    <w:rsid w:val="0092282D"/>
    <w:rsid w:val="009232C6"/>
    <w:rsid w:val="009259F9"/>
    <w:rsid w:val="00925C67"/>
    <w:rsid w:val="009264C5"/>
    <w:rsid w:val="009271FA"/>
    <w:rsid w:val="0092776B"/>
    <w:rsid w:val="009279DC"/>
    <w:rsid w:val="00927BE4"/>
    <w:rsid w:val="00927BFD"/>
    <w:rsid w:val="00927D3D"/>
    <w:rsid w:val="009300FE"/>
    <w:rsid w:val="00930353"/>
    <w:rsid w:val="009315FE"/>
    <w:rsid w:val="0093160C"/>
    <w:rsid w:val="00931A8C"/>
    <w:rsid w:val="009334C7"/>
    <w:rsid w:val="00934753"/>
    <w:rsid w:val="00934B38"/>
    <w:rsid w:val="00934BFD"/>
    <w:rsid w:val="00934FB8"/>
    <w:rsid w:val="0093600F"/>
    <w:rsid w:val="009362C4"/>
    <w:rsid w:val="0093660F"/>
    <w:rsid w:val="009374B4"/>
    <w:rsid w:val="00941ADB"/>
    <w:rsid w:val="009459F4"/>
    <w:rsid w:val="00945B27"/>
    <w:rsid w:val="0094683E"/>
    <w:rsid w:val="00946B89"/>
    <w:rsid w:val="00946CAA"/>
    <w:rsid w:val="0094704B"/>
    <w:rsid w:val="00947470"/>
    <w:rsid w:val="00947690"/>
    <w:rsid w:val="00947F9E"/>
    <w:rsid w:val="0095079B"/>
    <w:rsid w:val="00950F74"/>
    <w:rsid w:val="0095344F"/>
    <w:rsid w:val="009540A6"/>
    <w:rsid w:val="009550C0"/>
    <w:rsid w:val="00955B69"/>
    <w:rsid w:val="009566C6"/>
    <w:rsid w:val="00957980"/>
    <w:rsid w:val="00960DC1"/>
    <w:rsid w:val="00960F16"/>
    <w:rsid w:val="00961424"/>
    <w:rsid w:val="009624A0"/>
    <w:rsid w:val="00963531"/>
    <w:rsid w:val="009637CF"/>
    <w:rsid w:val="00964CE3"/>
    <w:rsid w:val="009668C2"/>
    <w:rsid w:val="00967349"/>
    <w:rsid w:val="00970ED6"/>
    <w:rsid w:val="00971330"/>
    <w:rsid w:val="00971B6D"/>
    <w:rsid w:val="00975EC8"/>
    <w:rsid w:val="00976289"/>
    <w:rsid w:val="0097666B"/>
    <w:rsid w:val="00976727"/>
    <w:rsid w:val="00976CDF"/>
    <w:rsid w:val="00976DB1"/>
    <w:rsid w:val="00977B41"/>
    <w:rsid w:val="009805F9"/>
    <w:rsid w:val="0098065A"/>
    <w:rsid w:val="00982381"/>
    <w:rsid w:val="00982EF6"/>
    <w:rsid w:val="00983F10"/>
    <w:rsid w:val="00984393"/>
    <w:rsid w:val="00984EE9"/>
    <w:rsid w:val="009858A9"/>
    <w:rsid w:val="00985CF1"/>
    <w:rsid w:val="00985D02"/>
    <w:rsid w:val="00986B94"/>
    <w:rsid w:val="009874F2"/>
    <w:rsid w:val="009905EE"/>
    <w:rsid w:val="00992665"/>
    <w:rsid w:val="00992B3A"/>
    <w:rsid w:val="009940E1"/>
    <w:rsid w:val="00995017"/>
    <w:rsid w:val="009952B2"/>
    <w:rsid w:val="0099542C"/>
    <w:rsid w:val="00996416"/>
    <w:rsid w:val="00996F46"/>
    <w:rsid w:val="00996FBB"/>
    <w:rsid w:val="0099734E"/>
    <w:rsid w:val="00997513"/>
    <w:rsid w:val="009975CA"/>
    <w:rsid w:val="00997C31"/>
    <w:rsid w:val="009A23D3"/>
    <w:rsid w:val="009A3FF3"/>
    <w:rsid w:val="009A456E"/>
    <w:rsid w:val="009A66C1"/>
    <w:rsid w:val="009A76A0"/>
    <w:rsid w:val="009A773C"/>
    <w:rsid w:val="009B0E8D"/>
    <w:rsid w:val="009B21D9"/>
    <w:rsid w:val="009B302B"/>
    <w:rsid w:val="009B3AF1"/>
    <w:rsid w:val="009B3B73"/>
    <w:rsid w:val="009B4040"/>
    <w:rsid w:val="009B412C"/>
    <w:rsid w:val="009B5EC1"/>
    <w:rsid w:val="009B71D2"/>
    <w:rsid w:val="009B7714"/>
    <w:rsid w:val="009B7F5E"/>
    <w:rsid w:val="009C0898"/>
    <w:rsid w:val="009C0F9D"/>
    <w:rsid w:val="009C1138"/>
    <w:rsid w:val="009C13A2"/>
    <w:rsid w:val="009C13D3"/>
    <w:rsid w:val="009C14BE"/>
    <w:rsid w:val="009C15F6"/>
    <w:rsid w:val="009C190F"/>
    <w:rsid w:val="009C3775"/>
    <w:rsid w:val="009C4A2B"/>
    <w:rsid w:val="009C54F2"/>
    <w:rsid w:val="009C5B26"/>
    <w:rsid w:val="009C5C73"/>
    <w:rsid w:val="009C615C"/>
    <w:rsid w:val="009C6459"/>
    <w:rsid w:val="009C66C9"/>
    <w:rsid w:val="009C78F1"/>
    <w:rsid w:val="009C7C48"/>
    <w:rsid w:val="009D0BDC"/>
    <w:rsid w:val="009D2F54"/>
    <w:rsid w:val="009D4DAF"/>
    <w:rsid w:val="009D4EE3"/>
    <w:rsid w:val="009D4FAB"/>
    <w:rsid w:val="009D5172"/>
    <w:rsid w:val="009D58B3"/>
    <w:rsid w:val="009D5C11"/>
    <w:rsid w:val="009D7059"/>
    <w:rsid w:val="009D774C"/>
    <w:rsid w:val="009E0938"/>
    <w:rsid w:val="009E09D2"/>
    <w:rsid w:val="009E16C9"/>
    <w:rsid w:val="009E244C"/>
    <w:rsid w:val="009E2A48"/>
    <w:rsid w:val="009E56D4"/>
    <w:rsid w:val="009E6238"/>
    <w:rsid w:val="009E6EDF"/>
    <w:rsid w:val="009E755C"/>
    <w:rsid w:val="009F31D0"/>
    <w:rsid w:val="009F3A9F"/>
    <w:rsid w:val="009F4473"/>
    <w:rsid w:val="009F58C0"/>
    <w:rsid w:val="009F5E6F"/>
    <w:rsid w:val="009F6227"/>
    <w:rsid w:val="009F6557"/>
    <w:rsid w:val="009F7393"/>
    <w:rsid w:val="009F7E1B"/>
    <w:rsid w:val="00A00A37"/>
    <w:rsid w:val="00A0274D"/>
    <w:rsid w:val="00A03146"/>
    <w:rsid w:val="00A0347A"/>
    <w:rsid w:val="00A03BA6"/>
    <w:rsid w:val="00A04A39"/>
    <w:rsid w:val="00A05EC9"/>
    <w:rsid w:val="00A073F9"/>
    <w:rsid w:val="00A1019E"/>
    <w:rsid w:val="00A1020D"/>
    <w:rsid w:val="00A1038B"/>
    <w:rsid w:val="00A11815"/>
    <w:rsid w:val="00A11AF2"/>
    <w:rsid w:val="00A1264C"/>
    <w:rsid w:val="00A12EDA"/>
    <w:rsid w:val="00A13591"/>
    <w:rsid w:val="00A13A86"/>
    <w:rsid w:val="00A13F69"/>
    <w:rsid w:val="00A14BB2"/>
    <w:rsid w:val="00A1514F"/>
    <w:rsid w:val="00A16262"/>
    <w:rsid w:val="00A166FA"/>
    <w:rsid w:val="00A1774F"/>
    <w:rsid w:val="00A17E34"/>
    <w:rsid w:val="00A200FE"/>
    <w:rsid w:val="00A2160A"/>
    <w:rsid w:val="00A2240B"/>
    <w:rsid w:val="00A2276D"/>
    <w:rsid w:val="00A237A1"/>
    <w:rsid w:val="00A23C49"/>
    <w:rsid w:val="00A24697"/>
    <w:rsid w:val="00A253CA"/>
    <w:rsid w:val="00A25F49"/>
    <w:rsid w:val="00A2691C"/>
    <w:rsid w:val="00A301AA"/>
    <w:rsid w:val="00A30391"/>
    <w:rsid w:val="00A30C33"/>
    <w:rsid w:val="00A31AB7"/>
    <w:rsid w:val="00A332F7"/>
    <w:rsid w:val="00A34B5A"/>
    <w:rsid w:val="00A35568"/>
    <w:rsid w:val="00A360BC"/>
    <w:rsid w:val="00A3611B"/>
    <w:rsid w:val="00A36E3A"/>
    <w:rsid w:val="00A4087F"/>
    <w:rsid w:val="00A40CE1"/>
    <w:rsid w:val="00A40E9B"/>
    <w:rsid w:val="00A42986"/>
    <w:rsid w:val="00A42A7D"/>
    <w:rsid w:val="00A42F7F"/>
    <w:rsid w:val="00A43D6E"/>
    <w:rsid w:val="00A46FB9"/>
    <w:rsid w:val="00A4716A"/>
    <w:rsid w:val="00A47698"/>
    <w:rsid w:val="00A47D15"/>
    <w:rsid w:val="00A500D7"/>
    <w:rsid w:val="00A5037B"/>
    <w:rsid w:val="00A50988"/>
    <w:rsid w:val="00A509BB"/>
    <w:rsid w:val="00A51DCB"/>
    <w:rsid w:val="00A52133"/>
    <w:rsid w:val="00A52F91"/>
    <w:rsid w:val="00A546E7"/>
    <w:rsid w:val="00A548DF"/>
    <w:rsid w:val="00A5662E"/>
    <w:rsid w:val="00A56CBA"/>
    <w:rsid w:val="00A57F58"/>
    <w:rsid w:val="00A60695"/>
    <w:rsid w:val="00A61B63"/>
    <w:rsid w:val="00A62061"/>
    <w:rsid w:val="00A62D3D"/>
    <w:rsid w:val="00A637EB"/>
    <w:rsid w:val="00A64C3B"/>
    <w:rsid w:val="00A66274"/>
    <w:rsid w:val="00A67B38"/>
    <w:rsid w:val="00A721C4"/>
    <w:rsid w:val="00A73D85"/>
    <w:rsid w:val="00A742AA"/>
    <w:rsid w:val="00A74B55"/>
    <w:rsid w:val="00A75210"/>
    <w:rsid w:val="00A76C00"/>
    <w:rsid w:val="00A76CCF"/>
    <w:rsid w:val="00A771DD"/>
    <w:rsid w:val="00A8043F"/>
    <w:rsid w:val="00A80A8F"/>
    <w:rsid w:val="00A813E5"/>
    <w:rsid w:val="00A8140A"/>
    <w:rsid w:val="00A8361F"/>
    <w:rsid w:val="00A84B79"/>
    <w:rsid w:val="00A85090"/>
    <w:rsid w:val="00A86001"/>
    <w:rsid w:val="00A86FAB"/>
    <w:rsid w:val="00A87CAC"/>
    <w:rsid w:val="00A90067"/>
    <w:rsid w:val="00A90231"/>
    <w:rsid w:val="00A905AB"/>
    <w:rsid w:val="00A90AEA"/>
    <w:rsid w:val="00A913FB"/>
    <w:rsid w:val="00A921A8"/>
    <w:rsid w:val="00A92B54"/>
    <w:rsid w:val="00A93D3A"/>
    <w:rsid w:val="00A95456"/>
    <w:rsid w:val="00A95FB2"/>
    <w:rsid w:val="00A96323"/>
    <w:rsid w:val="00A968EA"/>
    <w:rsid w:val="00A974DE"/>
    <w:rsid w:val="00AA026E"/>
    <w:rsid w:val="00AA11F6"/>
    <w:rsid w:val="00AA2953"/>
    <w:rsid w:val="00AA2BA3"/>
    <w:rsid w:val="00AA2EF1"/>
    <w:rsid w:val="00AA4827"/>
    <w:rsid w:val="00AA58FC"/>
    <w:rsid w:val="00AA66FB"/>
    <w:rsid w:val="00AA687E"/>
    <w:rsid w:val="00AA7085"/>
    <w:rsid w:val="00AA796C"/>
    <w:rsid w:val="00AA7CD8"/>
    <w:rsid w:val="00AB024E"/>
    <w:rsid w:val="00AB15F5"/>
    <w:rsid w:val="00AB3219"/>
    <w:rsid w:val="00AB362C"/>
    <w:rsid w:val="00AB3650"/>
    <w:rsid w:val="00AB4CC9"/>
    <w:rsid w:val="00AB52E7"/>
    <w:rsid w:val="00AB584A"/>
    <w:rsid w:val="00AB5C4C"/>
    <w:rsid w:val="00AB6D8A"/>
    <w:rsid w:val="00AC014D"/>
    <w:rsid w:val="00AC04C0"/>
    <w:rsid w:val="00AC0E7E"/>
    <w:rsid w:val="00AC2A98"/>
    <w:rsid w:val="00AC2ACB"/>
    <w:rsid w:val="00AC2D6D"/>
    <w:rsid w:val="00AC3821"/>
    <w:rsid w:val="00AC4C94"/>
    <w:rsid w:val="00AC602A"/>
    <w:rsid w:val="00AD07B3"/>
    <w:rsid w:val="00AD16B4"/>
    <w:rsid w:val="00AD1895"/>
    <w:rsid w:val="00AD1DDC"/>
    <w:rsid w:val="00AD3F4B"/>
    <w:rsid w:val="00AD46DE"/>
    <w:rsid w:val="00AD5922"/>
    <w:rsid w:val="00AD635D"/>
    <w:rsid w:val="00AD6637"/>
    <w:rsid w:val="00AD6994"/>
    <w:rsid w:val="00AE05D6"/>
    <w:rsid w:val="00AE0A78"/>
    <w:rsid w:val="00AE2738"/>
    <w:rsid w:val="00AE52A1"/>
    <w:rsid w:val="00AE5993"/>
    <w:rsid w:val="00AE60BE"/>
    <w:rsid w:val="00AF0F50"/>
    <w:rsid w:val="00AF2086"/>
    <w:rsid w:val="00AF3057"/>
    <w:rsid w:val="00AF3DF3"/>
    <w:rsid w:val="00AF46D2"/>
    <w:rsid w:val="00AF4DC3"/>
    <w:rsid w:val="00AF51D5"/>
    <w:rsid w:val="00AF5964"/>
    <w:rsid w:val="00AF60A5"/>
    <w:rsid w:val="00AF61CD"/>
    <w:rsid w:val="00AF6868"/>
    <w:rsid w:val="00AF69F6"/>
    <w:rsid w:val="00AF7408"/>
    <w:rsid w:val="00AF7873"/>
    <w:rsid w:val="00B0010E"/>
    <w:rsid w:val="00B004B2"/>
    <w:rsid w:val="00B012DF"/>
    <w:rsid w:val="00B0249F"/>
    <w:rsid w:val="00B032A8"/>
    <w:rsid w:val="00B0388E"/>
    <w:rsid w:val="00B049D3"/>
    <w:rsid w:val="00B04C5E"/>
    <w:rsid w:val="00B04DB3"/>
    <w:rsid w:val="00B0514D"/>
    <w:rsid w:val="00B05463"/>
    <w:rsid w:val="00B06096"/>
    <w:rsid w:val="00B063E1"/>
    <w:rsid w:val="00B07589"/>
    <w:rsid w:val="00B07D91"/>
    <w:rsid w:val="00B13C8D"/>
    <w:rsid w:val="00B1434D"/>
    <w:rsid w:val="00B15F1E"/>
    <w:rsid w:val="00B17321"/>
    <w:rsid w:val="00B17CDB"/>
    <w:rsid w:val="00B20385"/>
    <w:rsid w:val="00B20409"/>
    <w:rsid w:val="00B20B0A"/>
    <w:rsid w:val="00B212DA"/>
    <w:rsid w:val="00B21599"/>
    <w:rsid w:val="00B21A09"/>
    <w:rsid w:val="00B252E5"/>
    <w:rsid w:val="00B258CD"/>
    <w:rsid w:val="00B268DF"/>
    <w:rsid w:val="00B27EAF"/>
    <w:rsid w:val="00B27FC4"/>
    <w:rsid w:val="00B32034"/>
    <w:rsid w:val="00B323C1"/>
    <w:rsid w:val="00B353E1"/>
    <w:rsid w:val="00B356F4"/>
    <w:rsid w:val="00B40D5F"/>
    <w:rsid w:val="00B40E39"/>
    <w:rsid w:val="00B417A6"/>
    <w:rsid w:val="00B41EF3"/>
    <w:rsid w:val="00B42B40"/>
    <w:rsid w:val="00B4339C"/>
    <w:rsid w:val="00B44166"/>
    <w:rsid w:val="00B46132"/>
    <w:rsid w:val="00B46DB0"/>
    <w:rsid w:val="00B478B7"/>
    <w:rsid w:val="00B5136D"/>
    <w:rsid w:val="00B5137F"/>
    <w:rsid w:val="00B51D19"/>
    <w:rsid w:val="00B5216A"/>
    <w:rsid w:val="00B53A45"/>
    <w:rsid w:val="00B54476"/>
    <w:rsid w:val="00B55D5D"/>
    <w:rsid w:val="00B562D4"/>
    <w:rsid w:val="00B564DD"/>
    <w:rsid w:val="00B61B1B"/>
    <w:rsid w:val="00B61FCA"/>
    <w:rsid w:val="00B621FA"/>
    <w:rsid w:val="00B623E8"/>
    <w:rsid w:val="00B62BE9"/>
    <w:rsid w:val="00B634C4"/>
    <w:rsid w:val="00B63B92"/>
    <w:rsid w:val="00B64176"/>
    <w:rsid w:val="00B65433"/>
    <w:rsid w:val="00B657ED"/>
    <w:rsid w:val="00B668F4"/>
    <w:rsid w:val="00B670CC"/>
    <w:rsid w:val="00B6713B"/>
    <w:rsid w:val="00B70478"/>
    <w:rsid w:val="00B7067F"/>
    <w:rsid w:val="00B709A4"/>
    <w:rsid w:val="00B71930"/>
    <w:rsid w:val="00B7257E"/>
    <w:rsid w:val="00B72783"/>
    <w:rsid w:val="00B74FB6"/>
    <w:rsid w:val="00B754A1"/>
    <w:rsid w:val="00B775D0"/>
    <w:rsid w:val="00B8210A"/>
    <w:rsid w:val="00B83B55"/>
    <w:rsid w:val="00B83CA1"/>
    <w:rsid w:val="00B83DD5"/>
    <w:rsid w:val="00B845CC"/>
    <w:rsid w:val="00B85785"/>
    <w:rsid w:val="00B860B3"/>
    <w:rsid w:val="00B86638"/>
    <w:rsid w:val="00B905A0"/>
    <w:rsid w:val="00B90C0A"/>
    <w:rsid w:val="00B9286A"/>
    <w:rsid w:val="00B939AD"/>
    <w:rsid w:val="00B93C5E"/>
    <w:rsid w:val="00B93F85"/>
    <w:rsid w:val="00B94681"/>
    <w:rsid w:val="00B95FF7"/>
    <w:rsid w:val="00B961A6"/>
    <w:rsid w:val="00B963EB"/>
    <w:rsid w:val="00B9697F"/>
    <w:rsid w:val="00BA0F1D"/>
    <w:rsid w:val="00BA125C"/>
    <w:rsid w:val="00BA1398"/>
    <w:rsid w:val="00BA1E9B"/>
    <w:rsid w:val="00BA2B6C"/>
    <w:rsid w:val="00BA3C0C"/>
    <w:rsid w:val="00BA408A"/>
    <w:rsid w:val="00BA5945"/>
    <w:rsid w:val="00BA757E"/>
    <w:rsid w:val="00BA774D"/>
    <w:rsid w:val="00BB143F"/>
    <w:rsid w:val="00BB1B75"/>
    <w:rsid w:val="00BB1C3F"/>
    <w:rsid w:val="00BB1D7C"/>
    <w:rsid w:val="00BB310C"/>
    <w:rsid w:val="00BB322F"/>
    <w:rsid w:val="00BB3365"/>
    <w:rsid w:val="00BB405D"/>
    <w:rsid w:val="00BB6329"/>
    <w:rsid w:val="00BB6476"/>
    <w:rsid w:val="00BB66CE"/>
    <w:rsid w:val="00BB68F1"/>
    <w:rsid w:val="00BB6CC7"/>
    <w:rsid w:val="00BC1B19"/>
    <w:rsid w:val="00BC2C15"/>
    <w:rsid w:val="00BC2C6D"/>
    <w:rsid w:val="00BC4091"/>
    <w:rsid w:val="00BC41CF"/>
    <w:rsid w:val="00BC4715"/>
    <w:rsid w:val="00BC56F1"/>
    <w:rsid w:val="00BC5A60"/>
    <w:rsid w:val="00BC7A2A"/>
    <w:rsid w:val="00BD0BA3"/>
    <w:rsid w:val="00BD2937"/>
    <w:rsid w:val="00BD3025"/>
    <w:rsid w:val="00BD3EE6"/>
    <w:rsid w:val="00BD41F6"/>
    <w:rsid w:val="00BD547E"/>
    <w:rsid w:val="00BD554D"/>
    <w:rsid w:val="00BD5688"/>
    <w:rsid w:val="00BD57CA"/>
    <w:rsid w:val="00BE00E5"/>
    <w:rsid w:val="00BE078A"/>
    <w:rsid w:val="00BE0C65"/>
    <w:rsid w:val="00BE29BA"/>
    <w:rsid w:val="00BE2E62"/>
    <w:rsid w:val="00BE3137"/>
    <w:rsid w:val="00BE3D5D"/>
    <w:rsid w:val="00BE418C"/>
    <w:rsid w:val="00BE44C7"/>
    <w:rsid w:val="00BE44D6"/>
    <w:rsid w:val="00BE60A4"/>
    <w:rsid w:val="00BE6515"/>
    <w:rsid w:val="00BE694E"/>
    <w:rsid w:val="00BE717A"/>
    <w:rsid w:val="00BE78C4"/>
    <w:rsid w:val="00BE7D9D"/>
    <w:rsid w:val="00BF020C"/>
    <w:rsid w:val="00BF058E"/>
    <w:rsid w:val="00BF2879"/>
    <w:rsid w:val="00BF2AA6"/>
    <w:rsid w:val="00BF3141"/>
    <w:rsid w:val="00BF413B"/>
    <w:rsid w:val="00BF4D1E"/>
    <w:rsid w:val="00BF4F72"/>
    <w:rsid w:val="00BF6511"/>
    <w:rsid w:val="00BF66A5"/>
    <w:rsid w:val="00C01370"/>
    <w:rsid w:val="00C014C4"/>
    <w:rsid w:val="00C01E33"/>
    <w:rsid w:val="00C022FF"/>
    <w:rsid w:val="00C0267E"/>
    <w:rsid w:val="00C0277B"/>
    <w:rsid w:val="00C02EFE"/>
    <w:rsid w:val="00C034DC"/>
    <w:rsid w:val="00C04E68"/>
    <w:rsid w:val="00C05883"/>
    <w:rsid w:val="00C07E54"/>
    <w:rsid w:val="00C10195"/>
    <w:rsid w:val="00C11B97"/>
    <w:rsid w:val="00C12A1E"/>
    <w:rsid w:val="00C12D35"/>
    <w:rsid w:val="00C133CA"/>
    <w:rsid w:val="00C13982"/>
    <w:rsid w:val="00C13AA5"/>
    <w:rsid w:val="00C15892"/>
    <w:rsid w:val="00C17374"/>
    <w:rsid w:val="00C203B6"/>
    <w:rsid w:val="00C207CE"/>
    <w:rsid w:val="00C209D5"/>
    <w:rsid w:val="00C20BFE"/>
    <w:rsid w:val="00C22D6A"/>
    <w:rsid w:val="00C22E6F"/>
    <w:rsid w:val="00C23244"/>
    <w:rsid w:val="00C249AF"/>
    <w:rsid w:val="00C26416"/>
    <w:rsid w:val="00C26B5F"/>
    <w:rsid w:val="00C26BD3"/>
    <w:rsid w:val="00C26D45"/>
    <w:rsid w:val="00C271D4"/>
    <w:rsid w:val="00C27584"/>
    <w:rsid w:val="00C27BB4"/>
    <w:rsid w:val="00C30A9F"/>
    <w:rsid w:val="00C314B0"/>
    <w:rsid w:val="00C3168A"/>
    <w:rsid w:val="00C3290E"/>
    <w:rsid w:val="00C32BB0"/>
    <w:rsid w:val="00C33298"/>
    <w:rsid w:val="00C33FE7"/>
    <w:rsid w:val="00C34213"/>
    <w:rsid w:val="00C34E52"/>
    <w:rsid w:val="00C36625"/>
    <w:rsid w:val="00C37248"/>
    <w:rsid w:val="00C415BB"/>
    <w:rsid w:val="00C42F89"/>
    <w:rsid w:val="00C43995"/>
    <w:rsid w:val="00C43D58"/>
    <w:rsid w:val="00C44EC6"/>
    <w:rsid w:val="00C45C8B"/>
    <w:rsid w:val="00C46413"/>
    <w:rsid w:val="00C5115D"/>
    <w:rsid w:val="00C51D7B"/>
    <w:rsid w:val="00C52D20"/>
    <w:rsid w:val="00C538FB"/>
    <w:rsid w:val="00C539C2"/>
    <w:rsid w:val="00C539F4"/>
    <w:rsid w:val="00C54130"/>
    <w:rsid w:val="00C550D0"/>
    <w:rsid w:val="00C56B58"/>
    <w:rsid w:val="00C57E91"/>
    <w:rsid w:val="00C6182D"/>
    <w:rsid w:val="00C61C43"/>
    <w:rsid w:val="00C62FAC"/>
    <w:rsid w:val="00C6341A"/>
    <w:rsid w:val="00C639E9"/>
    <w:rsid w:val="00C643A3"/>
    <w:rsid w:val="00C65D95"/>
    <w:rsid w:val="00C66833"/>
    <w:rsid w:val="00C668A5"/>
    <w:rsid w:val="00C6714D"/>
    <w:rsid w:val="00C7017D"/>
    <w:rsid w:val="00C70AC6"/>
    <w:rsid w:val="00C70F0E"/>
    <w:rsid w:val="00C718F5"/>
    <w:rsid w:val="00C71D00"/>
    <w:rsid w:val="00C71D70"/>
    <w:rsid w:val="00C72305"/>
    <w:rsid w:val="00C726CC"/>
    <w:rsid w:val="00C75784"/>
    <w:rsid w:val="00C75DB5"/>
    <w:rsid w:val="00C76B3E"/>
    <w:rsid w:val="00C80641"/>
    <w:rsid w:val="00C80AD6"/>
    <w:rsid w:val="00C8156E"/>
    <w:rsid w:val="00C81F95"/>
    <w:rsid w:val="00C82559"/>
    <w:rsid w:val="00C82DF7"/>
    <w:rsid w:val="00C83029"/>
    <w:rsid w:val="00C8348B"/>
    <w:rsid w:val="00C8382E"/>
    <w:rsid w:val="00C85A2B"/>
    <w:rsid w:val="00C86F7A"/>
    <w:rsid w:val="00C87101"/>
    <w:rsid w:val="00C878F9"/>
    <w:rsid w:val="00C91235"/>
    <w:rsid w:val="00C9185A"/>
    <w:rsid w:val="00C91FF5"/>
    <w:rsid w:val="00C931BE"/>
    <w:rsid w:val="00C93864"/>
    <w:rsid w:val="00C93D29"/>
    <w:rsid w:val="00C94068"/>
    <w:rsid w:val="00C948D7"/>
    <w:rsid w:val="00C94CB2"/>
    <w:rsid w:val="00C957CB"/>
    <w:rsid w:val="00C96D33"/>
    <w:rsid w:val="00C96FC2"/>
    <w:rsid w:val="00C97F18"/>
    <w:rsid w:val="00CA067A"/>
    <w:rsid w:val="00CA300F"/>
    <w:rsid w:val="00CA38D4"/>
    <w:rsid w:val="00CA47C9"/>
    <w:rsid w:val="00CA4EC3"/>
    <w:rsid w:val="00CA63C9"/>
    <w:rsid w:val="00CB26AF"/>
    <w:rsid w:val="00CB4730"/>
    <w:rsid w:val="00CB6B6C"/>
    <w:rsid w:val="00CB757B"/>
    <w:rsid w:val="00CC0ED5"/>
    <w:rsid w:val="00CC1EE1"/>
    <w:rsid w:val="00CC2280"/>
    <w:rsid w:val="00CC674B"/>
    <w:rsid w:val="00CD0817"/>
    <w:rsid w:val="00CD1CC7"/>
    <w:rsid w:val="00CD40F7"/>
    <w:rsid w:val="00CD4207"/>
    <w:rsid w:val="00CD4DFB"/>
    <w:rsid w:val="00CD646D"/>
    <w:rsid w:val="00CD7556"/>
    <w:rsid w:val="00CE071F"/>
    <w:rsid w:val="00CE1B03"/>
    <w:rsid w:val="00CE251B"/>
    <w:rsid w:val="00CE29E5"/>
    <w:rsid w:val="00CE2DE6"/>
    <w:rsid w:val="00CE2FE3"/>
    <w:rsid w:val="00CE35DF"/>
    <w:rsid w:val="00CE365A"/>
    <w:rsid w:val="00CE3AEF"/>
    <w:rsid w:val="00CE438D"/>
    <w:rsid w:val="00CE5B47"/>
    <w:rsid w:val="00CE66A4"/>
    <w:rsid w:val="00CE7D81"/>
    <w:rsid w:val="00CF0268"/>
    <w:rsid w:val="00CF0724"/>
    <w:rsid w:val="00CF0F86"/>
    <w:rsid w:val="00CF1104"/>
    <w:rsid w:val="00CF1DAE"/>
    <w:rsid w:val="00CF204C"/>
    <w:rsid w:val="00CF3EF3"/>
    <w:rsid w:val="00CF4A38"/>
    <w:rsid w:val="00CF57C7"/>
    <w:rsid w:val="00CF5A2F"/>
    <w:rsid w:val="00CF6C2D"/>
    <w:rsid w:val="00CF6E0F"/>
    <w:rsid w:val="00CF70C0"/>
    <w:rsid w:val="00D01370"/>
    <w:rsid w:val="00D0207D"/>
    <w:rsid w:val="00D02FBA"/>
    <w:rsid w:val="00D03BBD"/>
    <w:rsid w:val="00D04443"/>
    <w:rsid w:val="00D047CD"/>
    <w:rsid w:val="00D05C15"/>
    <w:rsid w:val="00D05E92"/>
    <w:rsid w:val="00D06B86"/>
    <w:rsid w:val="00D077E5"/>
    <w:rsid w:val="00D101FB"/>
    <w:rsid w:val="00D1213D"/>
    <w:rsid w:val="00D12BD8"/>
    <w:rsid w:val="00D13731"/>
    <w:rsid w:val="00D137C8"/>
    <w:rsid w:val="00D14EE5"/>
    <w:rsid w:val="00D163B9"/>
    <w:rsid w:val="00D1779D"/>
    <w:rsid w:val="00D2125D"/>
    <w:rsid w:val="00D21329"/>
    <w:rsid w:val="00D22A7F"/>
    <w:rsid w:val="00D233CC"/>
    <w:rsid w:val="00D23B53"/>
    <w:rsid w:val="00D245B3"/>
    <w:rsid w:val="00D2584D"/>
    <w:rsid w:val="00D27DC9"/>
    <w:rsid w:val="00D3009F"/>
    <w:rsid w:val="00D30DCA"/>
    <w:rsid w:val="00D30F05"/>
    <w:rsid w:val="00D3101B"/>
    <w:rsid w:val="00D32A17"/>
    <w:rsid w:val="00D33008"/>
    <w:rsid w:val="00D33AA3"/>
    <w:rsid w:val="00D33DAA"/>
    <w:rsid w:val="00D33F4C"/>
    <w:rsid w:val="00D346FF"/>
    <w:rsid w:val="00D34E06"/>
    <w:rsid w:val="00D35180"/>
    <w:rsid w:val="00D379C3"/>
    <w:rsid w:val="00D37F56"/>
    <w:rsid w:val="00D40E04"/>
    <w:rsid w:val="00D40F3A"/>
    <w:rsid w:val="00D41AAA"/>
    <w:rsid w:val="00D425FC"/>
    <w:rsid w:val="00D42EE3"/>
    <w:rsid w:val="00D43399"/>
    <w:rsid w:val="00D44136"/>
    <w:rsid w:val="00D443D0"/>
    <w:rsid w:val="00D449DE"/>
    <w:rsid w:val="00D46A50"/>
    <w:rsid w:val="00D46D47"/>
    <w:rsid w:val="00D46FA9"/>
    <w:rsid w:val="00D47204"/>
    <w:rsid w:val="00D473B4"/>
    <w:rsid w:val="00D47E75"/>
    <w:rsid w:val="00D503CA"/>
    <w:rsid w:val="00D50AA0"/>
    <w:rsid w:val="00D52BDB"/>
    <w:rsid w:val="00D52D29"/>
    <w:rsid w:val="00D5391A"/>
    <w:rsid w:val="00D53FEF"/>
    <w:rsid w:val="00D54414"/>
    <w:rsid w:val="00D56F18"/>
    <w:rsid w:val="00D600D7"/>
    <w:rsid w:val="00D603EA"/>
    <w:rsid w:val="00D60414"/>
    <w:rsid w:val="00D616B0"/>
    <w:rsid w:val="00D6297E"/>
    <w:rsid w:val="00D6485D"/>
    <w:rsid w:val="00D64A89"/>
    <w:rsid w:val="00D64CA7"/>
    <w:rsid w:val="00D64EDF"/>
    <w:rsid w:val="00D65084"/>
    <w:rsid w:val="00D65D5F"/>
    <w:rsid w:val="00D673DE"/>
    <w:rsid w:val="00D679E6"/>
    <w:rsid w:val="00D72909"/>
    <w:rsid w:val="00D72E25"/>
    <w:rsid w:val="00D754CA"/>
    <w:rsid w:val="00D76083"/>
    <w:rsid w:val="00D76168"/>
    <w:rsid w:val="00D76EE1"/>
    <w:rsid w:val="00D77CEB"/>
    <w:rsid w:val="00D810CF"/>
    <w:rsid w:val="00D836F1"/>
    <w:rsid w:val="00D83C4C"/>
    <w:rsid w:val="00D83C80"/>
    <w:rsid w:val="00D8428F"/>
    <w:rsid w:val="00D85BB5"/>
    <w:rsid w:val="00D86A17"/>
    <w:rsid w:val="00D86B25"/>
    <w:rsid w:val="00D8723B"/>
    <w:rsid w:val="00D90BA1"/>
    <w:rsid w:val="00D91336"/>
    <w:rsid w:val="00D913C2"/>
    <w:rsid w:val="00D9219A"/>
    <w:rsid w:val="00D92EDA"/>
    <w:rsid w:val="00D93B07"/>
    <w:rsid w:val="00D962AC"/>
    <w:rsid w:val="00D96869"/>
    <w:rsid w:val="00D973A1"/>
    <w:rsid w:val="00D97CD5"/>
    <w:rsid w:val="00DA0643"/>
    <w:rsid w:val="00DA0A6A"/>
    <w:rsid w:val="00DA1741"/>
    <w:rsid w:val="00DA25CB"/>
    <w:rsid w:val="00DA3282"/>
    <w:rsid w:val="00DA6019"/>
    <w:rsid w:val="00DA63FF"/>
    <w:rsid w:val="00DA67BE"/>
    <w:rsid w:val="00DA6ED9"/>
    <w:rsid w:val="00DA7975"/>
    <w:rsid w:val="00DA7B39"/>
    <w:rsid w:val="00DB2654"/>
    <w:rsid w:val="00DB26FD"/>
    <w:rsid w:val="00DB2AD0"/>
    <w:rsid w:val="00DB2C07"/>
    <w:rsid w:val="00DB30C7"/>
    <w:rsid w:val="00DB33CB"/>
    <w:rsid w:val="00DB62D9"/>
    <w:rsid w:val="00DB69EE"/>
    <w:rsid w:val="00DB6E76"/>
    <w:rsid w:val="00DC0ABD"/>
    <w:rsid w:val="00DC0B6F"/>
    <w:rsid w:val="00DC10FA"/>
    <w:rsid w:val="00DC11DA"/>
    <w:rsid w:val="00DC160D"/>
    <w:rsid w:val="00DC1A7E"/>
    <w:rsid w:val="00DC3041"/>
    <w:rsid w:val="00DC312C"/>
    <w:rsid w:val="00DC31D5"/>
    <w:rsid w:val="00DC3C54"/>
    <w:rsid w:val="00DC4A68"/>
    <w:rsid w:val="00DC4C4D"/>
    <w:rsid w:val="00DC4D70"/>
    <w:rsid w:val="00DC55D0"/>
    <w:rsid w:val="00DC7EB6"/>
    <w:rsid w:val="00DD111F"/>
    <w:rsid w:val="00DD186F"/>
    <w:rsid w:val="00DD1B00"/>
    <w:rsid w:val="00DD1FA0"/>
    <w:rsid w:val="00DD2606"/>
    <w:rsid w:val="00DD32E8"/>
    <w:rsid w:val="00DD3CED"/>
    <w:rsid w:val="00DD5231"/>
    <w:rsid w:val="00DD5250"/>
    <w:rsid w:val="00DD5426"/>
    <w:rsid w:val="00DD55D3"/>
    <w:rsid w:val="00DD5839"/>
    <w:rsid w:val="00DD633D"/>
    <w:rsid w:val="00DE0953"/>
    <w:rsid w:val="00DE0956"/>
    <w:rsid w:val="00DE0960"/>
    <w:rsid w:val="00DE1761"/>
    <w:rsid w:val="00DE17BB"/>
    <w:rsid w:val="00DE1FE6"/>
    <w:rsid w:val="00DE2622"/>
    <w:rsid w:val="00DE263C"/>
    <w:rsid w:val="00DE289B"/>
    <w:rsid w:val="00DE2A90"/>
    <w:rsid w:val="00DE3604"/>
    <w:rsid w:val="00DE3C4A"/>
    <w:rsid w:val="00DE4B26"/>
    <w:rsid w:val="00DE5420"/>
    <w:rsid w:val="00DE69E4"/>
    <w:rsid w:val="00DE7E2A"/>
    <w:rsid w:val="00DF0643"/>
    <w:rsid w:val="00DF239C"/>
    <w:rsid w:val="00DF4215"/>
    <w:rsid w:val="00DF4387"/>
    <w:rsid w:val="00DF58AC"/>
    <w:rsid w:val="00DF6FF3"/>
    <w:rsid w:val="00DF72AF"/>
    <w:rsid w:val="00DF78AC"/>
    <w:rsid w:val="00E00581"/>
    <w:rsid w:val="00E0143D"/>
    <w:rsid w:val="00E01A9F"/>
    <w:rsid w:val="00E02BCC"/>
    <w:rsid w:val="00E05037"/>
    <w:rsid w:val="00E0515A"/>
    <w:rsid w:val="00E05782"/>
    <w:rsid w:val="00E05CBC"/>
    <w:rsid w:val="00E063EF"/>
    <w:rsid w:val="00E06FEC"/>
    <w:rsid w:val="00E07E29"/>
    <w:rsid w:val="00E07FBC"/>
    <w:rsid w:val="00E10427"/>
    <w:rsid w:val="00E109A7"/>
    <w:rsid w:val="00E12125"/>
    <w:rsid w:val="00E13913"/>
    <w:rsid w:val="00E145B5"/>
    <w:rsid w:val="00E1558F"/>
    <w:rsid w:val="00E15F00"/>
    <w:rsid w:val="00E1651D"/>
    <w:rsid w:val="00E2054A"/>
    <w:rsid w:val="00E2377A"/>
    <w:rsid w:val="00E25B71"/>
    <w:rsid w:val="00E26268"/>
    <w:rsid w:val="00E26DD1"/>
    <w:rsid w:val="00E30F83"/>
    <w:rsid w:val="00E31DA7"/>
    <w:rsid w:val="00E31FCE"/>
    <w:rsid w:val="00E32B60"/>
    <w:rsid w:val="00E337EC"/>
    <w:rsid w:val="00E33F6A"/>
    <w:rsid w:val="00E34792"/>
    <w:rsid w:val="00E36257"/>
    <w:rsid w:val="00E3782D"/>
    <w:rsid w:val="00E37B7D"/>
    <w:rsid w:val="00E37DA8"/>
    <w:rsid w:val="00E40389"/>
    <w:rsid w:val="00E411A4"/>
    <w:rsid w:val="00E41C41"/>
    <w:rsid w:val="00E4282F"/>
    <w:rsid w:val="00E433B1"/>
    <w:rsid w:val="00E437AD"/>
    <w:rsid w:val="00E44A3E"/>
    <w:rsid w:val="00E4540A"/>
    <w:rsid w:val="00E46D44"/>
    <w:rsid w:val="00E47EE2"/>
    <w:rsid w:val="00E47F62"/>
    <w:rsid w:val="00E50F99"/>
    <w:rsid w:val="00E52071"/>
    <w:rsid w:val="00E521DE"/>
    <w:rsid w:val="00E52774"/>
    <w:rsid w:val="00E53866"/>
    <w:rsid w:val="00E54DD4"/>
    <w:rsid w:val="00E5719C"/>
    <w:rsid w:val="00E57318"/>
    <w:rsid w:val="00E574D5"/>
    <w:rsid w:val="00E57A9A"/>
    <w:rsid w:val="00E603C8"/>
    <w:rsid w:val="00E60903"/>
    <w:rsid w:val="00E61557"/>
    <w:rsid w:val="00E61DB9"/>
    <w:rsid w:val="00E62366"/>
    <w:rsid w:val="00E64855"/>
    <w:rsid w:val="00E64990"/>
    <w:rsid w:val="00E66494"/>
    <w:rsid w:val="00E67511"/>
    <w:rsid w:val="00E704DD"/>
    <w:rsid w:val="00E71429"/>
    <w:rsid w:val="00E7311C"/>
    <w:rsid w:val="00E73793"/>
    <w:rsid w:val="00E74556"/>
    <w:rsid w:val="00E74DA4"/>
    <w:rsid w:val="00E7580B"/>
    <w:rsid w:val="00E75C83"/>
    <w:rsid w:val="00E76CEB"/>
    <w:rsid w:val="00E77756"/>
    <w:rsid w:val="00E777A5"/>
    <w:rsid w:val="00E8256B"/>
    <w:rsid w:val="00E825AE"/>
    <w:rsid w:val="00E825B0"/>
    <w:rsid w:val="00E83EFF"/>
    <w:rsid w:val="00E85044"/>
    <w:rsid w:val="00E854A8"/>
    <w:rsid w:val="00E8587A"/>
    <w:rsid w:val="00E85B74"/>
    <w:rsid w:val="00E86D11"/>
    <w:rsid w:val="00E8731A"/>
    <w:rsid w:val="00E87DAE"/>
    <w:rsid w:val="00E87FB4"/>
    <w:rsid w:val="00E90498"/>
    <w:rsid w:val="00E904CC"/>
    <w:rsid w:val="00E909E2"/>
    <w:rsid w:val="00E9125B"/>
    <w:rsid w:val="00E91954"/>
    <w:rsid w:val="00E920C4"/>
    <w:rsid w:val="00E92330"/>
    <w:rsid w:val="00E93EAD"/>
    <w:rsid w:val="00E943BA"/>
    <w:rsid w:val="00E94486"/>
    <w:rsid w:val="00E9525C"/>
    <w:rsid w:val="00E952F6"/>
    <w:rsid w:val="00E956F1"/>
    <w:rsid w:val="00E974D9"/>
    <w:rsid w:val="00E97DBF"/>
    <w:rsid w:val="00EA0D5A"/>
    <w:rsid w:val="00EA197A"/>
    <w:rsid w:val="00EA1ECA"/>
    <w:rsid w:val="00EA36CA"/>
    <w:rsid w:val="00EA3CC9"/>
    <w:rsid w:val="00EA4D58"/>
    <w:rsid w:val="00EA5AAB"/>
    <w:rsid w:val="00EA6FBC"/>
    <w:rsid w:val="00EA7AF8"/>
    <w:rsid w:val="00EB0299"/>
    <w:rsid w:val="00EB1453"/>
    <w:rsid w:val="00EB291B"/>
    <w:rsid w:val="00EB3BE0"/>
    <w:rsid w:val="00EB3BE3"/>
    <w:rsid w:val="00EB40DF"/>
    <w:rsid w:val="00EB4B1B"/>
    <w:rsid w:val="00EB4BAF"/>
    <w:rsid w:val="00EB505B"/>
    <w:rsid w:val="00EB5E99"/>
    <w:rsid w:val="00EB621D"/>
    <w:rsid w:val="00EB63A5"/>
    <w:rsid w:val="00EB6486"/>
    <w:rsid w:val="00EB6A58"/>
    <w:rsid w:val="00EB6C2F"/>
    <w:rsid w:val="00EC005E"/>
    <w:rsid w:val="00EC0ED3"/>
    <w:rsid w:val="00EC112A"/>
    <w:rsid w:val="00EC1302"/>
    <w:rsid w:val="00EC167A"/>
    <w:rsid w:val="00EC25FC"/>
    <w:rsid w:val="00EC336E"/>
    <w:rsid w:val="00EC3736"/>
    <w:rsid w:val="00EC44A4"/>
    <w:rsid w:val="00EC4DAB"/>
    <w:rsid w:val="00EC4DE0"/>
    <w:rsid w:val="00ED0297"/>
    <w:rsid w:val="00ED08B3"/>
    <w:rsid w:val="00ED262B"/>
    <w:rsid w:val="00ED2791"/>
    <w:rsid w:val="00ED42D0"/>
    <w:rsid w:val="00ED4AA9"/>
    <w:rsid w:val="00ED4B4F"/>
    <w:rsid w:val="00ED5AAA"/>
    <w:rsid w:val="00ED657E"/>
    <w:rsid w:val="00ED6A2C"/>
    <w:rsid w:val="00ED6EBF"/>
    <w:rsid w:val="00ED6F40"/>
    <w:rsid w:val="00EE0061"/>
    <w:rsid w:val="00EE0280"/>
    <w:rsid w:val="00EE0542"/>
    <w:rsid w:val="00EE11F3"/>
    <w:rsid w:val="00EE3B27"/>
    <w:rsid w:val="00EE40AF"/>
    <w:rsid w:val="00EE4C1E"/>
    <w:rsid w:val="00EE4C97"/>
    <w:rsid w:val="00EE7D07"/>
    <w:rsid w:val="00EE7FE8"/>
    <w:rsid w:val="00EF1330"/>
    <w:rsid w:val="00EF1395"/>
    <w:rsid w:val="00EF1E2C"/>
    <w:rsid w:val="00EF24DB"/>
    <w:rsid w:val="00EF2651"/>
    <w:rsid w:val="00EF43C7"/>
    <w:rsid w:val="00EF5C2E"/>
    <w:rsid w:val="00EF5EB2"/>
    <w:rsid w:val="00EF65AB"/>
    <w:rsid w:val="00F0087C"/>
    <w:rsid w:val="00F0134F"/>
    <w:rsid w:val="00F06E19"/>
    <w:rsid w:val="00F07888"/>
    <w:rsid w:val="00F10053"/>
    <w:rsid w:val="00F1087F"/>
    <w:rsid w:val="00F1178B"/>
    <w:rsid w:val="00F119AF"/>
    <w:rsid w:val="00F11EBA"/>
    <w:rsid w:val="00F129BB"/>
    <w:rsid w:val="00F12BF1"/>
    <w:rsid w:val="00F1321F"/>
    <w:rsid w:val="00F133F0"/>
    <w:rsid w:val="00F14801"/>
    <w:rsid w:val="00F15371"/>
    <w:rsid w:val="00F15E60"/>
    <w:rsid w:val="00F17769"/>
    <w:rsid w:val="00F2081D"/>
    <w:rsid w:val="00F214BF"/>
    <w:rsid w:val="00F23DC8"/>
    <w:rsid w:val="00F23F18"/>
    <w:rsid w:val="00F24337"/>
    <w:rsid w:val="00F245CA"/>
    <w:rsid w:val="00F2515E"/>
    <w:rsid w:val="00F25FDF"/>
    <w:rsid w:val="00F26DE7"/>
    <w:rsid w:val="00F30074"/>
    <w:rsid w:val="00F30F54"/>
    <w:rsid w:val="00F32BF2"/>
    <w:rsid w:val="00F34522"/>
    <w:rsid w:val="00F35187"/>
    <w:rsid w:val="00F357B6"/>
    <w:rsid w:val="00F365D7"/>
    <w:rsid w:val="00F366B5"/>
    <w:rsid w:val="00F37D5E"/>
    <w:rsid w:val="00F37F9C"/>
    <w:rsid w:val="00F4058A"/>
    <w:rsid w:val="00F4083B"/>
    <w:rsid w:val="00F41402"/>
    <w:rsid w:val="00F41F7E"/>
    <w:rsid w:val="00F42ABF"/>
    <w:rsid w:val="00F42C46"/>
    <w:rsid w:val="00F431AA"/>
    <w:rsid w:val="00F43437"/>
    <w:rsid w:val="00F43756"/>
    <w:rsid w:val="00F4381C"/>
    <w:rsid w:val="00F43834"/>
    <w:rsid w:val="00F4472B"/>
    <w:rsid w:val="00F44D29"/>
    <w:rsid w:val="00F47528"/>
    <w:rsid w:val="00F47702"/>
    <w:rsid w:val="00F47826"/>
    <w:rsid w:val="00F506D4"/>
    <w:rsid w:val="00F51F43"/>
    <w:rsid w:val="00F55C55"/>
    <w:rsid w:val="00F55DFC"/>
    <w:rsid w:val="00F55F1D"/>
    <w:rsid w:val="00F566E4"/>
    <w:rsid w:val="00F56A9E"/>
    <w:rsid w:val="00F5712B"/>
    <w:rsid w:val="00F6024E"/>
    <w:rsid w:val="00F61D2B"/>
    <w:rsid w:val="00F62338"/>
    <w:rsid w:val="00F631F2"/>
    <w:rsid w:val="00F643A4"/>
    <w:rsid w:val="00F6486A"/>
    <w:rsid w:val="00F64FA9"/>
    <w:rsid w:val="00F65714"/>
    <w:rsid w:val="00F65A11"/>
    <w:rsid w:val="00F660C4"/>
    <w:rsid w:val="00F664CF"/>
    <w:rsid w:val="00F6657C"/>
    <w:rsid w:val="00F66EF9"/>
    <w:rsid w:val="00F675E6"/>
    <w:rsid w:val="00F71101"/>
    <w:rsid w:val="00F722F0"/>
    <w:rsid w:val="00F724EE"/>
    <w:rsid w:val="00F72502"/>
    <w:rsid w:val="00F7362F"/>
    <w:rsid w:val="00F75384"/>
    <w:rsid w:val="00F75A4F"/>
    <w:rsid w:val="00F75CEB"/>
    <w:rsid w:val="00F80F4D"/>
    <w:rsid w:val="00F81230"/>
    <w:rsid w:val="00F8439A"/>
    <w:rsid w:val="00F843BC"/>
    <w:rsid w:val="00F858FC"/>
    <w:rsid w:val="00F86DA9"/>
    <w:rsid w:val="00F8706A"/>
    <w:rsid w:val="00F875F5"/>
    <w:rsid w:val="00F87717"/>
    <w:rsid w:val="00F87A2C"/>
    <w:rsid w:val="00F87DF0"/>
    <w:rsid w:val="00F90F0D"/>
    <w:rsid w:val="00F90FAF"/>
    <w:rsid w:val="00F90FDE"/>
    <w:rsid w:val="00F91409"/>
    <w:rsid w:val="00F914FF"/>
    <w:rsid w:val="00F916A5"/>
    <w:rsid w:val="00F91FF1"/>
    <w:rsid w:val="00F92BFE"/>
    <w:rsid w:val="00F92E3A"/>
    <w:rsid w:val="00F93051"/>
    <w:rsid w:val="00F93356"/>
    <w:rsid w:val="00F938C1"/>
    <w:rsid w:val="00F93A2C"/>
    <w:rsid w:val="00F96B11"/>
    <w:rsid w:val="00F96D8F"/>
    <w:rsid w:val="00F973EF"/>
    <w:rsid w:val="00F976D5"/>
    <w:rsid w:val="00FA0CA6"/>
    <w:rsid w:val="00FA0D7E"/>
    <w:rsid w:val="00FA26DB"/>
    <w:rsid w:val="00FA2920"/>
    <w:rsid w:val="00FA31C9"/>
    <w:rsid w:val="00FA4C74"/>
    <w:rsid w:val="00FA4D16"/>
    <w:rsid w:val="00FA5AFF"/>
    <w:rsid w:val="00FA5B0E"/>
    <w:rsid w:val="00FA62C6"/>
    <w:rsid w:val="00FA6967"/>
    <w:rsid w:val="00FA6A69"/>
    <w:rsid w:val="00FA7396"/>
    <w:rsid w:val="00FA784D"/>
    <w:rsid w:val="00FB0915"/>
    <w:rsid w:val="00FB123F"/>
    <w:rsid w:val="00FB177E"/>
    <w:rsid w:val="00FB1B55"/>
    <w:rsid w:val="00FB2934"/>
    <w:rsid w:val="00FB7501"/>
    <w:rsid w:val="00FB7D92"/>
    <w:rsid w:val="00FC05EC"/>
    <w:rsid w:val="00FC1E3D"/>
    <w:rsid w:val="00FC28D4"/>
    <w:rsid w:val="00FC2968"/>
    <w:rsid w:val="00FC3794"/>
    <w:rsid w:val="00FC4565"/>
    <w:rsid w:val="00FC523B"/>
    <w:rsid w:val="00FC591F"/>
    <w:rsid w:val="00FC5BAA"/>
    <w:rsid w:val="00FC5D58"/>
    <w:rsid w:val="00FC6AD8"/>
    <w:rsid w:val="00FC6FA7"/>
    <w:rsid w:val="00FC7A3A"/>
    <w:rsid w:val="00FD0252"/>
    <w:rsid w:val="00FD0F2A"/>
    <w:rsid w:val="00FD2B00"/>
    <w:rsid w:val="00FD2D43"/>
    <w:rsid w:val="00FD3C5E"/>
    <w:rsid w:val="00FD4283"/>
    <w:rsid w:val="00FD5277"/>
    <w:rsid w:val="00FD62E4"/>
    <w:rsid w:val="00FD780E"/>
    <w:rsid w:val="00FE0473"/>
    <w:rsid w:val="00FE1A27"/>
    <w:rsid w:val="00FE2E54"/>
    <w:rsid w:val="00FE2FFC"/>
    <w:rsid w:val="00FE30C5"/>
    <w:rsid w:val="00FE4722"/>
    <w:rsid w:val="00FE480E"/>
    <w:rsid w:val="00FE4B0C"/>
    <w:rsid w:val="00FE6738"/>
    <w:rsid w:val="00FE6938"/>
    <w:rsid w:val="00FE750C"/>
    <w:rsid w:val="00FE75DE"/>
    <w:rsid w:val="00FE778F"/>
    <w:rsid w:val="00FE792C"/>
    <w:rsid w:val="00FF08EF"/>
    <w:rsid w:val="00FF1D77"/>
    <w:rsid w:val="00FF1F66"/>
    <w:rsid w:val="00FF2C2F"/>
    <w:rsid w:val="00FF34FE"/>
    <w:rsid w:val="00FF3775"/>
    <w:rsid w:val="00FF552D"/>
    <w:rsid w:val="00FF65C6"/>
    <w:rsid w:val="00FF66C0"/>
    <w:rsid w:val="00FF7BCC"/>
    <w:rsid w:val="51A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C131"/>
  <w15:chartTrackingRefBased/>
  <w15:docId w15:val="{DC646CCA-9038-48BE-8BE7-21129548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qFormat/>
    <w:pPr>
      <w:keepNext/>
      <w:ind w:firstLine="1440"/>
      <w:jc w:val="both"/>
      <w:outlineLvl w:val="3"/>
    </w:pPr>
    <w:rPr>
      <w:color w:val="000000"/>
    </w:rPr>
  </w:style>
  <w:style w:type="paragraph" w:styleId="Ttulo5">
    <w:name w:val="heading 5"/>
    <w:basedOn w:val="Normal"/>
    <w:next w:val="Normal"/>
    <w:link w:val="Ttulo5Char"/>
    <w:qFormat/>
    <w:pPr>
      <w:keepNext/>
      <w:jc w:val="right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b/>
      <w:bCs/>
      <w:sz w:val="12"/>
      <w:szCs w:val="12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b/>
      <w:bCs/>
      <w:sz w:val="12"/>
      <w:szCs w:val="12"/>
    </w:rPr>
  </w:style>
  <w:style w:type="paragraph" w:styleId="Ttulo8">
    <w:name w:val="heading 8"/>
    <w:basedOn w:val="Normal"/>
    <w:next w:val="Normal"/>
    <w:link w:val="Ttulo8Char"/>
    <w:qFormat/>
    <w:pPr>
      <w:keepNext/>
      <w:jc w:val="both"/>
      <w:outlineLvl w:val="7"/>
    </w:pPr>
    <w:rPr>
      <w:b/>
      <w:bCs/>
      <w:color w:val="000000"/>
      <w:sz w:val="16"/>
    </w:rPr>
  </w:style>
  <w:style w:type="paragraph" w:styleId="Ttulo9">
    <w:name w:val="heading 9"/>
    <w:basedOn w:val="Normal"/>
    <w:next w:val="Normal"/>
    <w:link w:val="Ttulo9Char"/>
    <w:qFormat/>
    <w:pPr>
      <w:keepNext/>
      <w:jc w:val="both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pPr>
      <w:ind w:left="5103"/>
    </w:pPr>
    <w:rPr>
      <w:sz w:val="20"/>
      <w:szCs w:val="20"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Cs w:val="20"/>
    </w:r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semiHidden/>
    <w:pPr>
      <w:ind w:firstLine="1418"/>
      <w:jc w:val="both"/>
    </w:pPr>
    <w:rPr>
      <w:szCs w:val="20"/>
    </w:rPr>
  </w:style>
  <w:style w:type="paragraph" w:styleId="Recuodecorpodetexto3">
    <w:name w:val="Body Text Indent 3"/>
    <w:basedOn w:val="Normal"/>
    <w:link w:val="Recuodecorpodetexto3Char"/>
    <w:semiHidden/>
    <w:pPr>
      <w:ind w:firstLine="1418"/>
      <w:jc w:val="both"/>
    </w:pPr>
    <w:rPr>
      <w:b/>
      <w:bCs/>
      <w:color w:val="000000"/>
    </w:rPr>
  </w:style>
  <w:style w:type="paragraph" w:styleId="Corpodetexto3">
    <w:name w:val="Body Text 3"/>
    <w:basedOn w:val="Normal"/>
    <w:link w:val="Corpodetexto3Char"/>
    <w:semiHidden/>
    <w:rPr>
      <w:sz w:val="20"/>
    </w:r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xl75">
    <w:name w:val="xl7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character" w:styleId="Nmerodepgina">
    <w:name w:val="page number"/>
    <w:basedOn w:val="Fontepargpadro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m8">
    <w:name w:val="cm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iceouttxt">
    <w:name w:val="iceouttxt"/>
    <w:basedOn w:val="Fontepargpadro"/>
  </w:style>
  <w:style w:type="character" w:styleId="nfase">
    <w:name w:val="Emphasis"/>
    <w:qFormat/>
    <w:rPr>
      <w:i/>
      <w:iCs/>
    </w:rPr>
  </w:style>
  <w:style w:type="paragraph" w:styleId="Reviso">
    <w:name w:val="Revision"/>
    <w:hidden/>
    <w:uiPriority w:val="99"/>
    <w:semiHidden/>
    <w:rsid w:val="006A130F"/>
    <w:rPr>
      <w:sz w:val="24"/>
      <w:szCs w:val="24"/>
    </w:rPr>
  </w:style>
  <w:style w:type="character" w:styleId="Forte">
    <w:name w:val="Strong"/>
    <w:uiPriority w:val="22"/>
    <w:qFormat/>
    <w:rsid w:val="00E26268"/>
    <w:rPr>
      <w:b/>
      <w:bCs/>
    </w:rPr>
  </w:style>
  <w:style w:type="character" w:styleId="Refdecomentrio">
    <w:name w:val="annotation reference"/>
    <w:uiPriority w:val="99"/>
    <w:semiHidden/>
    <w:unhideWhenUsed/>
    <w:rsid w:val="0073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7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34A78"/>
    <w:rPr>
      <w:b/>
      <w:bCs/>
    </w:rPr>
  </w:style>
  <w:style w:type="character" w:customStyle="1" w:styleId="Recuodecorpodetexto3Char">
    <w:name w:val="Recuo de corpo de texto 3 Char"/>
    <w:link w:val="Recuodecorpodetexto3"/>
    <w:semiHidden/>
    <w:rsid w:val="00541CD6"/>
    <w:rPr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pPr>
      <w:spacing w:before="100" w:after="100"/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803B7"/>
  </w:style>
  <w:style w:type="character" w:customStyle="1" w:styleId="Ttulo1Char">
    <w:name w:val="Título 1 Char"/>
    <w:basedOn w:val="Fontepargpadro"/>
    <w:link w:val="Ttulo1"/>
    <w:rsid w:val="00946B89"/>
    <w:rPr>
      <w:b/>
      <w:sz w:val="24"/>
    </w:rPr>
  </w:style>
  <w:style w:type="character" w:customStyle="1" w:styleId="Ttulo2Char">
    <w:name w:val="Título 2 Char"/>
    <w:basedOn w:val="Fontepargpadro"/>
    <w:link w:val="Ttulo2"/>
    <w:rsid w:val="00946B89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946B89"/>
    <w:rPr>
      <w:b/>
      <w:bCs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946B89"/>
    <w:rPr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946B89"/>
    <w:rPr>
      <w:b/>
      <w:bCs/>
      <w:sz w:val="12"/>
      <w:szCs w:val="12"/>
    </w:rPr>
  </w:style>
  <w:style w:type="character" w:customStyle="1" w:styleId="Ttulo6Char">
    <w:name w:val="Título 6 Char"/>
    <w:basedOn w:val="Fontepargpadro"/>
    <w:link w:val="Ttulo6"/>
    <w:rsid w:val="00946B89"/>
    <w:rPr>
      <w:b/>
      <w:bCs/>
      <w:sz w:val="12"/>
      <w:szCs w:val="12"/>
    </w:rPr>
  </w:style>
  <w:style w:type="character" w:customStyle="1" w:styleId="Ttulo7Char">
    <w:name w:val="Título 7 Char"/>
    <w:basedOn w:val="Fontepargpadro"/>
    <w:link w:val="Ttulo7"/>
    <w:rsid w:val="00946B89"/>
    <w:rPr>
      <w:b/>
      <w:bCs/>
      <w:sz w:val="12"/>
      <w:szCs w:val="12"/>
    </w:rPr>
  </w:style>
  <w:style w:type="character" w:customStyle="1" w:styleId="Ttulo8Char">
    <w:name w:val="Título 8 Char"/>
    <w:basedOn w:val="Fontepargpadro"/>
    <w:link w:val="Ttulo8"/>
    <w:rsid w:val="00946B89"/>
    <w:rPr>
      <w:b/>
      <w:bCs/>
      <w:color w:val="000000"/>
      <w:sz w:val="16"/>
      <w:szCs w:val="24"/>
    </w:rPr>
  </w:style>
  <w:style w:type="character" w:customStyle="1" w:styleId="Ttulo9Char">
    <w:name w:val="Título 9 Char"/>
    <w:basedOn w:val="Fontepargpadro"/>
    <w:link w:val="Ttulo9"/>
    <w:rsid w:val="00946B89"/>
    <w:rPr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46B89"/>
    <w:rPr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46B89"/>
  </w:style>
  <w:style w:type="character" w:customStyle="1" w:styleId="Corpodetexto2Char">
    <w:name w:val="Corpo de texto 2 Char"/>
    <w:basedOn w:val="Fontepargpadro"/>
    <w:link w:val="Corpodetexto2"/>
    <w:semiHidden/>
    <w:rsid w:val="00946B89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46B89"/>
    <w:rPr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946B89"/>
    <w:rPr>
      <w:szCs w:val="24"/>
    </w:rPr>
  </w:style>
  <w:style w:type="character" w:customStyle="1" w:styleId="RodapChar">
    <w:name w:val="Rodapé Char"/>
    <w:basedOn w:val="Fontepargpadro"/>
    <w:link w:val="Rodap"/>
    <w:semiHidden/>
    <w:rsid w:val="0094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35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1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footnotes" Target="footnotes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ettings" Target="settings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2C1E-5C03-4C55-B519-4BD79A8172B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8C1BDA6-2913-4AFD-B68A-A31C09B99B6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4515FA2-BBEE-4603-9380-EAB2106A14E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AFD4BB9-FE6E-493B-9A35-6E4DA1A7DCC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8F89873C-9CF4-41CC-9F04-75B6DDB0305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4DA8C88-8B3D-41C4-BDFE-AF7F460FCC0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97F94B2-BBD9-4E9A-84CB-F5B19EC8FF3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A083D63-1DA1-4FA3-8582-2AD89E15893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BB2CD40-519B-48D1-936E-D715687F55A4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E843EC0-1D08-4AEF-A999-D0175C173BE0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117BDF48-179B-4A39-ABD1-62578BF57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64E71-A141-4E7B-904B-42D87CD590B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73A3AEA-718F-4945-AF14-10429EB45D8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1F60FA9-2ACA-4B0A-9BA0-2A02CE36693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EFE94DF-7527-422C-9D9F-1DADB08D85D5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405CF834-EC16-4A91-8828-57C251F1E1AA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6821C70-546B-4821-973C-6F72773412DC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48699486-FCEA-4851-B41D-1978F8ECA877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8FFC2B0F-93E4-4E37-B108-D06EDCEABF6A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BB4F2F3-6F1D-4053-BAFE-743320C12DCC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7AB59D75-08ED-443E-914D-86A77521E14B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48B6B6C-89E3-48EC-986D-1D37B34D16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626617-75F8-42F7-B874-8CDAB4F6FD5A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16D99AD-3E92-497F-80C2-AF7B2F5E6320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BBCB6936-E599-4319-8971-EB7BB3C263B8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7B57B3CD-C6B7-4633-80BC-A94BA0C5E0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EDDE0F-19EE-4251-988B-FAD6672B85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63A234-A503-49D6-B284-6FEAFE8605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731C4F4-4BFC-4A59-9112-F9441393E83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03A5B3A-5420-4D51-BC59-B8AE7DDC1F7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2C617C5-45ED-4CA1-897E-65EEE9EC887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4197E26-0BAE-43F3-9272-CE1114EC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3001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Gláucio Rafael da Rocha Charão</dc:creator>
  <cp:keywords/>
  <dc:description/>
  <cp:lastModifiedBy>Gláucio Rafael da Rocha Charão</cp:lastModifiedBy>
  <cp:revision>27</cp:revision>
  <cp:lastPrinted>2020-03-13T20:49:00Z</cp:lastPrinted>
  <dcterms:created xsi:type="dcterms:W3CDTF">2020-04-06T18:59:00Z</dcterms:created>
  <dcterms:modified xsi:type="dcterms:W3CDTF">2020-04-09T21:31:00Z</dcterms:modified>
</cp:coreProperties>
</file>