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F1322" w14:textId="77777777" w:rsidR="005C5192" w:rsidRPr="00C322C0" w:rsidRDefault="005C5192" w:rsidP="005C5192">
      <w:pPr>
        <w:pStyle w:val="Ttulo"/>
        <w:rPr>
          <w:rFonts w:asciiTheme="minorHAnsi" w:hAnsiTheme="minorHAnsi" w:cstheme="minorHAnsi"/>
        </w:rPr>
      </w:pPr>
      <w:bookmarkStart w:id="0" w:name="_GoBack"/>
      <w:bookmarkEnd w:id="0"/>
      <w:r w:rsidRPr="00C322C0">
        <w:rPr>
          <w:rFonts w:asciiTheme="minorHAnsi" w:hAnsiTheme="minorHAnsi" w:cstheme="minorHAnsi"/>
        </w:rPr>
        <w:t>Anexo IV</w:t>
      </w:r>
    </w:p>
    <w:p w14:paraId="2DCDD0E0" w14:textId="77777777" w:rsidR="005C5192" w:rsidRPr="00C322C0" w:rsidRDefault="005C5192" w:rsidP="005C5192">
      <w:pPr>
        <w:pStyle w:val="Ttulo"/>
        <w:rPr>
          <w:rFonts w:asciiTheme="minorHAnsi" w:hAnsiTheme="minorHAnsi" w:cstheme="minorHAnsi"/>
        </w:rPr>
      </w:pPr>
      <w:r w:rsidRPr="00C322C0">
        <w:rPr>
          <w:rFonts w:asciiTheme="minorHAnsi" w:hAnsiTheme="minorHAnsi" w:cstheme="minorHAnsi"/>
        </w:rPr>
        <w:t>Metas Fiscais</w:t>
      </w:r>
    </w:p>
    <w:p w14:paraId="4BD2ECD4" w14:textId="77777777" w:rsidR="005C5192" w:rsidRPr="00C322C0" w:rsidRDefault="005C5192" w:rsidP="005C5192">
      <w:pPr>
        <w:pStyle w:val="Ttulo"/>
        <w:rPr>
          <w:rFonts w:asciiTheme="minorHAnsi" w:hAnsiTheme="minorHAnsi" w:cstheme="minorHAnsi"/>
        </w:rPr>
      </w:pPr>
      <w:r w:rsidRPr="00C322C0">
        <w:rPr>
          <w:rFonts w:asciiTheme="minorHAnsi" w:hAnsiTheme="minorHAnsi" w:cstheme="minorHAnsi"/>
        </w:rPr>
        <w:t xml:space="preserve">IV.1 Anexo de Metas Fiscais Anuais </w:t>
      </w:r>
    </w:p>
    <w:p w14:paraId="75D4577B" w14:textId="77777777" w:rsidR="005C5192" w:rsidRPr="00C322C0" w:rsidRDefault="005C5192" w:rsidP="005C5192">
      <w:pPr>
        <w:pBdr>
          <w:bottom w:val="single" w:sz="4" w:space="1" w:color="auto"/>
        </w:pBdr>
        <w:autoSpaceDE w:val="0"/>
        <w:autoSpaceDN w:val="0"/>
        <w:adjustRightInd w:val="0"/>
        <w:jc w:val="center"/>
        <w:rPr>
          <w:rFonts w:cstheme="minorHAnsi"/>
          <w:sz w:val="24"/>
          <w:szCs w:val="24"/>
        </w:rPr>
      </w:pPr>
      <w:r w:rsidRPr="00C322C0">
        <w:rPr>
          <w:rFonts w:cstheme="minorHAnsi"/>
          <w:sz w:val="24"/>
          <w:szCs w:val="24"/>
        </w:rPr>
        <w:t>(Art. 4</w:t>
      </w:r>
      <w:r w:rsidRPr="00C322C0">
        <w:rPr>
          <w:rFonts w:cstheme="minorHAnsi"/>
          <w:sz w:val="24"/>
          <w:szCs w:val="24"/>
          <w:u w:val="single"/>
          <w:vertAlign w:val="superscript"/>
        </w:rPr>
        <w:t>o</w:t>
      </w:r>
      <w:r w:rsidRPr="00C322C0">
        <w:rPr>
          <w:rFonts w:cstheme="minorHAnsi"/>
          <w:sz w:val="24"/>
          <w:szCs w:val="24"/>
        </w:rPr>
        <w:t>, § 1º da Lei Complementar n</w:t>
      </w:r>
      <w:r w:rsidRPr="00C322C0">
        <w:rPr>
          <w:rFonts w:cstheme="minorHAnsi"/>
          <w:sz w:val="24"/>
          <w:szCs w:val="24"/>
          <w:u w:val="single"/>
          <w:vertAlign w:val="superscript"/>
        </w:rPr>
        <w:t>o</w:t>
      </w:r>
      <w:r w:rsidRPr="00C322C0">
        <w:rPr>
          <w:rFonts w:cstheme="minorHAnsi"/>
          <w:sz w:val="24"/>
          <w:szCs w:val="24"/>
        </w:rPr>
        <w:t xml:space="preserve"> 101, de 4 de maio de 2000)</w:t>
      </w:r>
    </w:p>
    <w:p w14:paraId="6E2CFB0C" w14:textId="77777777" w:rsidR="005C5192" w:rsidRDefault="005C5192" w:rsidP="005C5192">
      <w:pPr>
        <w:spacing w:after="120"/>
        <w:jc w:val="both"/>
        <w:rPr>
          <w:rFonts w:cstheme="minorHAnsi"/>
          <w:sz w:val="24"/>
          <w:szCs w:val="24"/>
        </w:rPr>
      </w:pPr>
    </w:p>
    <w:p w14:paraId="4EA7F4D1" w14:textId="77777777" w:rsidR="002B2C1D" w:rsidRDefault="002B2C1D" w:rsidP="00A34D0B">
      <w:pPr>
        <w:spacing w:after="120"/>
        <w:jc w:val="center"/>
        <w:rPr>
          <w:rFonts w:cstheme="minorHAnsi"/>
          <w:b/>
          <w:sz w:val="28"/>
          <w:szCs w:val="24"/>
          <w:u w:val="single"/>
        </w:rPr>
      </w:pPr>
      <w:r w:rsidRPr="002B2C1D">
        <w:rPr>
          <w:rFonts w:cstheme="minorHAnsi"/>
          <w:b/>
          <w:sz w:val="28"/>
          <w:szCs w:val="24"/>
          <w:u w:val="single"/>
        </w:rPr>
        <w:t>ANEXO DE METAS ANUAIS</w:t>
      </w:r>
    </w:p>
    <w:p w14:paraId="1C67E0B3" w14:textId="77777777" w:rsidR="002B2C1D" w:rsidRPr="002B2C1D" w:rsidRDefault="002B2C1D" w:rsidP="005C5192">
      <w:pPr>
        <w:spacing w:after="120"/>
        <w:jc w:val="both"/>
        <w:rPr>
          <w:rFonts w:cstheme="minorHAnsi"/>
          <w:b/>
          <w:szCs w:val="24"/>
          <w:u w:val="single"/>
        </w:rPr>
      </w:pPr>
    </w:p>
    <w:p w14:paraId="582406A5" w14:textId="77777777" w:rsidR="005C5192" w:rsidRPr="00561F5A" w:rsidRDefault="007F693E" w:rsidP="005C5192">
      <w:pPr>
        <w:spacing w:after="120"/>
        <w:jc w:val="both"/>
        <w:rPr>
          <w:rFonts w:cstheme="minorHAnsi"/>
          <w:b/>
          <w:u w:val="single"/>
        </w:rPr>
      </w:pPr>
      <w:r>
        <w:rPr>
          <w:rFonts w:cstheme="minorHAnsi"/>
          <w:b/>
          <w:u w:val="single"/>
        </w:rPr>
        <w:t xml:space="preserve">A) </w:t>
      </w:r>
      <w:r w:rsidR="005C5192" w:rsidRPr="00561F5A">
        <w:rPr>
          <w:rFonts w:cstheme="minorHAnsi"/>
          <w:b/>
          <w:u w:val="single"/>
        </w:rPr>
        <w:t>Introdução</w:t>
      </w:r>
    </w:p>
    <w:p w14:paraId="791FDD0D" w14:textId="77777777" w:rsidR="005C5192" w:rsidRPr="00A34D0B" w:rsidRDefault="00963C2E" w:rsidP="00A34D0B">
      <w:pPr>
        <w:spacing w:before="240" w:after="120"/>
        <w:ind w:firstLine="709"/>
        <w:jc w:val="both"/>
        <w:rPr>
          <w:rFonts w:cstheme="minorHAnsi"/>
          <w:sz w:val="24"/>
          <w:szCs w:val="24"/>
        </w:rPr>
      </w:pPr>
      <w:r w:rsidRPr="00A34D0B">
        <w:rPr>
          <w:rFonts w:cstheme="minorHAnsi"/>
          <w:sz w:val="24"/>
          <w:szCs w:val="24"/>
        </w:rPr>
        <w:t xml:space="preserve">O Anexo de Metas Fiscais integra o </w:t>
      </w:r>
      <w:r w:rsidR="00F138CC" w:rsidRPr="00A34D0B">
        <w:rPr>
          <w:rFonts w:cstheme="minorHAnsi"/>
          <w:sz w:val="24"/>
          <w:szCs w:val="24"/>
        </w:rPr>
        <w:t>P</w:t>
      </w:r>
      <w:r w:rsidRPr="00A34D0B">
        <w:rPr>
          <w:rFonts w:cstheme="minorHAnsi"/>
          <w:sz w:val="24"/>
          <w:szCs w:val="24"/>
        </w:rPr>
        <w:t xml:space="preserve">rojeto de </w:t>
      </w:r>
      <w:r w:rsidR="00F138CC" w:rsidRPr="00A34D0B">
        <w:rPr>
          <w:rFonts w:cstheme="minorHAnsi"/>
          <w:sz w:val="24"/>
          <w:szCs w:val="24"/>
        </w:rPr>
        <w:t>L</w:t>
      </w:r>
      <w:r w:rsidRPr="00A34D0B">
        <w:rPr>
          <w:rFonts w:cstheme="minorHAnsi"/>
          <w:sz w:val="24"/>
          <w:szCs w:val="24"/>
        </w:rPr>
        <w:t xml:space="preserve">ei de </w:t>
      </w:r>
      <w:r w:rsidR="00F138CC" w:rsidRPr="00A34D0B">
        <w:rPr>
          <w:rFonts w:cstheme="minorHAnsi"/>
          <w:sz w:val="24"/>
          <w:szCs w:val="24"/>
        </w:rPr>
        <w:t>D</w:t>
      </w:r>
      <w:r w:rsidRPr="00A34D0B">
        <w:rPr>
          <w:rFonts w:cstheme="minorHAnsi"/>
          <w:sz w:val="24"/>
          <w:szCs w:val="24"/>
        </w:rPr>
        <w:t xml:space="preserve">iretrizes </w:t>
      </w:r>
      <w:r w:rsidR="00F138CC" w:rsidRPr="00A34D0B">
        <w:rPr>
          <w:rFonts w:cstheme="minorHAnsi"/>
          <w:sz w:val="24"/>
          <w:szCs w:val="24"/>
        </w:rPr>
        <w:t>O</w:t>
      </w:r>
      <w:r w:rsidRPr="00A34D0B">
        <w:rPr>
          <w:rFonts w:cstheme="minorHAnsi"/>
          <w:sz w:val="24"/>
          <w:szCs w:val="24"/>
        </w:rPr>
        <w:t>rçamentárias</w:t>
      </w:r>
      <w:r w:rsidR="00F138CC" w:rsidRPr="00A34D0B">
        <w:rPr>
          <w:rFonts w:cstheme="minorHAnsi"/>
          <w:sz w:val="24"/>
          <w:szCs w:val="24"/>
        </w:rPr>
        <w:t xml:space="preserve"> - PLDO</w:t>
      </w:r>
      <w:r w:rsidRPr="00A34D0B">
        <w:rPr>
          <w:rFonts w:cstheme="minorHAnsi"/>
          <w:sz w:val="24"/>
          <w:szCs w:val="24"/>
        </w:rPr>
        <w:t xml:space="preserve">, tendo em vista a determinação contida no § 1º do art. 4º da </w:t>
      </w:r>
      <w:r w:rsidR="005C5192" w:rsidRPr="00A34D0B">
        <w:rPr>
          <w:rFonts w:cstheme="minorHAnsi"/>
          <w:sz w:val="24"/>
          <w:szCs w:val="24"/>
        </w:rPr>
        <w:t xml:space="preserve">Lei Complementar nº 101, de 4 de maio de 2000, Lei de Responsabilidade </w:t>
      </w:r>
      <w:r w:rsidRPr="00A34D0B">
        <w:rPr>
          <w:rFonts w:cstheme="minorHAnsi"/>
          <w:sz w:val="24"/>
          <w:szCs w:val="24"/>
        </w:rPr>
        <w:t>Fiscal - LRF. No referido Anexo</w:t>
      </w:r>
      <w:r w:rsidR="00F70FB3">
        <w:rPr>
          <w:rFonts w:cstheme="minorHAnsi"/>
          <w:sz w:val="24"/>
          <w:szCs w:val="24"/>
        </w:rPr>
        <w:t>,</w:t>
      </w:r>
      <w:r w:rsidR="006D33DF" w:rsidRPr="00A34D0B">
        <w:rPr>
          <w:rFonts w:cstheme="minorHAnsi"/>
          <w:sz w:val="24"/>
          <w:szCs w:val="24"/>
        </w:rPr>
        <w:t xml:space="preserve"> são</w:t>
      </w:r>
      <w:r w:rsidR="005C5192" w:rsidRPr="00A34D0B">
        <w:rPr>
          <w:rFonts w:cstheme="minorHAnsi"/>
          <w:sz w:val="24"/>
          <w:szCs w:val="24"/>
        </w:rPr>
        <w:t xml:space="preserve"> estabelecidas metas anuais, em valores correntes e constantes, relativas a receitas, despesas, resultados nominal e primário e montante da dívida pública, para o exercício a que se referirem e para os dois seguintes.</w:t>
      </w:r>
    </w:p>
    <w:p w14:paraId="56703841" w14:textId="48736467" w:rsidR="006D33DF" w:rsidRPr="00A34D0B" w:rsidRDefault="00533411" w:rsidP="00A34D0B">
      <w:pPr>
        <w:spacing w:before="240"/>
        <w:ind w:firstLine="709"/>
        <w:jc w:val="both"/>
        <w:rPr>
          <w:sz w:val="24"/>
          <w:szCs w:val="24"/>
        </w:rPr>
      </w:pPr>
      <w:r>
        <w:rPr>
          <w:sz w:val="24"/>
          <w:szCs w:val="24"/>
        </w:rPr>
        <w:t>Nesse sentido</w:t>
      </w:r>
      <w:r w:rsidR="006D33DF" w:rsidRPr="00A34D0B">
        <w:rPr>
          <w:sz w:val="24"/>
          <w:szCs w:val="24"/>
        </w:rPr>
        <w:t xml:space="preserve">, são apresentadas as perspectivas econômicas com base no cenário projetado para os exercícios de </w:t>
      </w:r>
      <w:r w:rsidRPr="00A34D0B">
        <w:rPr>
          <w:sz w:val="24"/>
          <w:szCs w:val="24"/>
        </w:rPr>
        <w:t>202</w:t>
      </w:r>
      <w:r>
        <w:rPr>
          <w:sz w:val="24"/>
          <w:szCs w:val="24"/>
        </w:rPr>
        <w:t>1</w:t>
      </w:r>
      <w:r w:rsidRPr="00A34D0B">
        <w:rPr>
          <w:sz w:val="24"/>
          <w:szCs w:val="24"/>
        </w:rPr>
        <w:t xml:space="preserve"> </w:t>
      </w:r>
      <w:r w:rsidR="006D33DF" w:rsidRPr="00A34D0B">
        <w:rPr>
          <w:sz w:val="24"/>
          <w:szCs w:val="24"/>
        </w:rPr>
        <w:t xml:space="preserve">a </w:t>
      </w:r>
      <w:r w:rsidRPr="00A34D0B">
        <w:rPr>
          <w:sz w:val="24"/>
          <w:szCs w:val="24"/>
        </w:rPr>
        <w:t>202</w:t>
      </w:r>
      <w:r>
        <w:rPr>
          <w:sz w:val="24"/>
          <w:szCs w:val="24"/>
        </w:rPr>
        <w:t>3</w:t>
      </w:r>
      <w:r w:rsidR="006D33DF" w:rsidRPr="00A34D0B">
        <w:rPr>
          <w:sz w:val="24"/>
          <w:szCs w:val="24"/>
        </w:rPr>
        <w:t xml:space="preserve">, com a estimativa dos principais parâmetros macroeconômicos necessários à elaboração do quadro fiscal referente a esse período. Com base </w:t>
      </w:r>
      <w:r>
        <w:rPr>
          <w:sz w:val="24"/>
          <w:szCs w:val="24"/>
        </w:rPr>
        <w:t>em tais</w:t>
      </w:r>
      <w:r w:rsidRPr="00A34D0B">
        <w:rPr>
          <w:sz w:val="24"/>
          <w:szCs w:val="24"/>
        </w:rPr>
        <w:t xml:space="preserve"> </w:t>
      </w:r>
      <w:r w:rsidR="006D33DF" w:rsidRPr="00A34D0B">
        <w:rPr>
          <w:sz w:val="24"/>
          <w:szCs w:val="24"/>
        </w:rPr>
        <w:t>projeções, são definidos os objetivos e a estratégia de política fiscal para os próximos anos, assim como mencionadas as medidas necessárias para seu atingimento.</w:t>
      </w:r>
    </w:p>
    <w:p w14:paraId="2A2AEB42" w14:textId="7E7A32CC" w:rsidR="00B05258" w:rsidRPr="00A34D0B" w:rsidRDefault="005A5626" w:rsidP="00A34D0B">
      <w:pPr>
        <w:spacing w:before="240"/>
        <w:ind w:firstLine="709"/>
        <w:jc w:val="both"/>
        <w:rPr>
          <w:rFonts w:cstheme="minorHAnsi"/>
          <w:sz w:val="24"/>
          <w:szCs w:val="24"/>
        </w:rPr>
      </w:pPr>
      <w:r w:rsidRPr="00A34D0B">
        <w:rPr>
          <w:sz w:val="24"/>
          <w:szCs w:val="24"/>
        </w:rPr>
        <w:t>Posteriormente</w:t>
      </w:r>
      <w:r w:rsidR="002617CD">
        <w:rPr>
          <w:sz w:val="24"/>
          <w:szCs w:val="24"/>
        </w:rPr>
        <w:t>,</w:t>
      </w:r>
      <w:r w:rsidR="006D33DF" w:rsidRPr="00A34D0B">
        <w:rPr>
          <w:sz w:val="24"/>
          <w:szCs w:val="24"/>
        </w:rPr>
        <w:t xml:space="preserve"> é demonstrado o</w:t>
      </w:r>
      <w:r w:rsidR="00596F4D" w:rsidRPr="00A34D0B">
        <w:rPr>
          <w:sz w:val="24"/>
          <w:szCs w:val="24"/>
        </w:rPr>
        <w:t xml:space="preserve"> cenário fiscal projetado para os exercícios de </w:t>
      </w:r>
      <w:r w:rsidR="00533411" w:rsidRPr="00A34D0B">
        <w:rPr>
          <w:sz w:val="24"/>
          <w:szCs w:val="24"/>
        </w:rPr>
        <w:t>202</w:t>
      </w:r>
      <w:r w:rsidR="00533411">
        <w:rPr>
          <w:sz w:val="24"/>
          <w:szCs w:val="24"/>
        </w:rPr>
        <w:t>1</w:t>
      </w:r>
      <w:r w:rsidR="00533411" w:rsidRPr="00A34D0B">
        <w:rPr>
          <w:sz w:val="24"/>
          <w:szCs w:val="24"/>
        </w:rPr>
        <w:t xml:space="preserve"> </w:t>
      </w:r>
      <w:r w:rsidR="00596F4D" w:rsidRPr="00A34D0B">
        <w:rPr>
          <w:sz w:val="24"/>
          <w:szCs w:val="24"/>
        </w:rPr>
        <w:t xml:space="preserve">a </w:t>
      </w:r>
      <w:r w:rsidR="00533411" w:rsidRPr="00A34D0B">
        <w:rPr>
          <w:sz w:val="24"/>
          <w:szCs w:val="24"/>
        </w:rPr>
        <w:t>202</w:t>
      </w:r>
      <w:r w:rsidR="00533411">
        <w:rPr>
          <w:sz w:val="24"/>
          <w:szCs w:val="24"/>
        </w:rPr>
        <w:t>3</w:t>
      </w:r>
      <w:r w:rsidR="00596F4D" w:rsidRPr="00A34D0B">
        <w:rPr>
          <w:sz w:val="24"/>
          <w:szCs w:val="24"/>
        </w:rPr>
        <w:t>, contendo as metas de resultado pri</w:t>
      </w:r>
      <w:r w:rsidR="006D33DF" w:rsidRPr="00A34D0B">
        <w:rPr>
          <w:sz w:val="24"/>
          <w:szCs w:val="24"/>
        </w:rPr>
        <w:t>mário</w:t>
      </w:r>
      <w:r w:rsidR="003F6976" w:rsidRPr="00A34D0B">
        <w:rPr>
          <w:sz w:val="24"/>
          <w:szCs w:val="24"/>
        </w:rPr>
        <w:t xml:space="preserve"> para o </w:t>
      </w:r>
      <w:r w:rsidR="003F6976" w:rsidRPr="00302272">
        <w:rPr>
          <w:sz w:val="24"/>
          <w:szCs w:val="24"/>
        </w:rPr>
        <w:t>setor público consolidado</w:t>
      </w:r>
      <w:r w:rsidR="006D33DF" w:rsidRPr="00A34D0B">
        <w:rPr>
          <w:sz w:val="24"/>
          <w:szCs w:val="24"/>
        </w:rPr>
        <w:t>,</w:t>
      </w:r>
      <w:r w:rsidR="00596F4D" w:rsidRPr="00A34D0B">
        <w:rPr>
          <w:sz w:val="24"/>
          <w:szCs w:val="24"/>
        </w:rPr>
        <w:t xml:space="preserve"> junto com</w:t>
      </w:r>
      <w:r w:rsidR="00942F1F" w:rsidRPr="00A34D0B">
        <w:rPr>
          <w:sz w:val="24"/>
          <w:szCs w:val="24"/>
        </w:rPr>
        <w:t xml:space="preserve"> a estimativa dos principais agregados </w:t>
      </w:r>
      <w:r w:rsidR="00596F4D" w:rsidRPr="00A34D0B">
        <w:rPr>
          <w:sz w:val="24"/>
          <w:szCs w:val="24"/>
        </w:rPr>
        <w:t xml:space="preserve">de receitas e despesas primárias para aqueles anos. </w:t>
      </w:r>
      <w:r w:rsidR="006D33DF" w:rsidRPr="00A34D0B">
        <w:rPr>
          <w:sz w:val="24"/>
          <w:szCs w:val="24"/>
        </w:rPr>
        <w:t>Também são explicitados os resultados</w:t>
      </w:r>
      <w:r w:rsidR="006D33DF" w:rsidRPr="00A34D0B">
        <w:rPr>
          <w:rFonts w:cstheme="minorHAnsi"/>
          <w:sz w:val="24"/>
          <w:szCs w:val="24"/>
        </w:rPr>
        <w:t xml:space="preserve"> nominais obtidos no período em questão, </w:t>
      </w:r>
      <w:r w:rsidR="003F6976" w:rsidRPr="00A34D0B">
        <w:rPr>
          <w:rFonts w:cstheme="minorHAnsi"/>
          <w:sz w:val="24"/>
          <w:szCs w:val="24"/>
        </w:rPr>
        <w:t xml:space="preserve">dado o cenário estabelecido, </w:t>
      </w:r>
      <w:r w:rsidR="006D33DF" w:rsidRPr="00A34D0B">
        <w:rPr>
          <w:rFonts w:cstheme="minorHAnsi"/>
          <w:sz w:val="24"/>
          <w:szCs w:val="24"/>
        </w:rPr>
        <w:t>bem como trajetória da dívida pública.</w:t>
      </w:r>
    </w:p>
    <w:p w14:paraId="4B900E0E" w14:textId="77777777" w:rsidR="00B05258" w:rsidRPr="00561F5A" w:rsidRDefault="007F693E">
      <w:pPr>
        <w:rPr>
          <w:b/>
          <w:u w:val="single"/>
        </w:rPr>
      </w:pPr>
      <w:r>
        <w:rPr>
          <w:b/>
          <w:u w:val="single"/>
        </w:rPr>
        <w:t xml:space="preserve">B) </w:t>
      </w:r>
      <w:r w:rsidR="00942F1F">
        <w:rPr>
          <w:b/>
          <w:u w:val="single"/>
        </w:rPr>
        <w:t>Perspectivas Econômicas</w:t>
      </w:r>
    </w:p>
    <w:p w14:paraId="5CC525F6" w14:textId="4DA12C54" w:rsidR="007F0D1E" w:rsidRDefault="00C861F5" w:rsidP="00302272">
      <w:pPr>
        <w:spacing w:before="240"/>
        <w:ind w:firstLine="709"/>
        <w:jc w:val="both"/>
        <w:rPr>
          <w:sz w:val="24"/>
          <w:szCs w:val="24"/>
        </w:rPr>
      </w:pPr>
      <w:r>
        <w:rPr>
          <w:sz w:val="24"/>
          <w:szCs w:val="24"/>
        </w:rPr>
        <w:t xml:space="preserve">A </w:t>
      </w:r>
      <w:r w:rsidR="00F517E7">
        <w:rPr>
          <w:sz w:val="24"/>
          <w:szCs w:val="24"/>
        </w:rPr>
        <w:t xml:space="preserve">emergência da pandemia </w:t>
      </w:r>
      <w:r>
        <w:rPr>
          <w:sz w:val="24"/>
          <w:szCs w:val="24"/>
        </w:rPr>
        <w:t xml:space="preserve">relacionada ao novo coronavírus (Covid-19) constitui </w:t>
      </w:r>
      <w:r w:rsidR="003D32B2">
        <w:rPr>
          <w:sz w:val="24"/>
          <w:szCs w:val="24"/>
        </w:rPr>
        <w:t xml:space="preserve">cenário desafiador para a realização de projeções que envolvem a perspectiva econômica para o triênio de 2021 a 2023, tendo em vista </w:t>
      </w:r>
      <w:r w:rsidR="003570C1">
        <w:rPr>
          <w:sz w:val="24"/>
          <w:szCs w:val="24"/>
        </w:rPr>
        <w:t>o elevado nível de incerteza</w:t>
      </w:r>
      <w:r w:rsidR="003D32B2">
        <w:rPr>
          <w:sz w:val="24"/>
          <w:szCs w:val="24"/>
        </w:rPr>
        <w:t xml:space="preserve"> </w:t>
      </w:r>
      <w:r w:rsidR="000B28DC">
        <w:rPr>
          <w:sz w:val="24"/>
          <w:szCs w:val="24"/>
        </w:rPr>
        <w:t>para prever a</w:t>
      </w:r>
      <w:r w:rsidR="003D32B2">
        <w:rPr>
          <w:sz w:val="24"/>
          <w:szCs w:val="24"/>
        </w:rPr>
        <w:t xml:space="preserve"> </w:t>
      </w:r>
      <w:r w:rsidR="000B28DC">
        <w:rPr>
          <w:sz w:val="24"/>
          <w:szCs w:val="24"/>
        </w:rPr>
        <w:t xml:space="preserve">extensão e </w:t>
      </w:r>
      <w:r w:rsidR="002617CD">
        <w:rPr>
          <w:sz w:val="24"/>
          <w:szCs w:val="24"/>
        </w:rPr>
        <w:t xml:space="preserve">a </w:t>
      </w:r>
      <w:r w:rsidR="000B28DC">
        <w:rPr>
          <w:sz w:val="24"/>
          <w:szCs w:val="24"/>
        </w:rPr>
        <w:t>duração</w:t>
      </w:r>
      <w:r w:rsidR="003D32B2">
        <w:rPr>
          <w:sz w:val="24"/>
          <w:szCs w:val="24"/>
        </w:rPr>
        <w:t xml:space="preserve"> da </w:t>
      </w:r>
      <w:r w:rsidR="008F2AE4">
        <w:rPr>
          <w:sz w:val="24"/>
          <w:szCs w:val="24"/>
        </w:rPr>
        <w:t xml:space="preserve">pandemia </w:t>
      </w:r>
      <w:r w:rsidR="003D32B2">
        <w:rPr>
          <w:sz w:val="24"/>
          <w:szCs w:val="24"/>
        </w:rPr>
        <w:t>e</w:t>
      </w:r>
      <w:r w:rsidR="00791765">
        <w:rPr>
          <w:sz w:val="24"/>
          <w:szCs w:val="24"/>
        </w:rPr>
        <w:t>, consequentemente,</w:t>
      </w:r>
      <w:r w:rsidR="003D32B2">
        <w:rPr>
          <w:sz w:val="24"/>
          <w:szCs w:val="24"/>
        </w:rPr>
        <w:t xml:space="preserve"> a magnitude do seu imp</w:t>
      </w:r>
      <w:r w:rsidR="000B28DC">
        <w:rPr>
          <w:sz w:val="24"/>
          <w:szCs w:val="24"/>
        </w:rPr>
        <w:t xml:space="preserve">acto sobre </w:t>
      </w:r>
      <w:r w:rsidR="008F2AE4">
        <w:rPr>
          <w:sz w:val="24"/>
          <w:szCs w:val="24"/>
        </w:rPr>
        <w:t xml:space="preserve">o nível de </w:t>
      </w:r>
      <w:r w:rsidR="00320BF4">
        <w:rPr>
          <w:sz w:val="24"/>
          <w:szCs w:val="24"/>
        </w:rPr>
        <w:t>atividade econômica</w:t>
      </w:r>
      <w:r w:rsidR="000B28DC">
        <w:rPr>
          <w:sz w:val="24"/>
          <w:szCs w:val="24"/>
        </w:rPr>
        <w:t xml:space="preserve"> global e doméstica.</w:t>
      </w:r>
      <w:r w:rsidR="007F0D1E">
        <w:rPr>
          <w:sz w:val="24"/>
          <w:szCs w:val="24"/>
        </w:rPr>
        <w:t xml:space="preserve"> </w:t>
      </w:r>
    </w:p>
    <w:p w14:paraId="4800FD83" w14:textId="3B2E6D67" w:rsidR="00C932CC" w:rsidRDefault="009E4019" w:rsidP="005A2E56">
      <w:pPr>
        <w:spacing w:before="240"/>
        <w:ind w:firstLine="708"/>
        <w:jc w:val="both"/>
        <w:rPr>
          <w:sz w:val="24"/>
          <w:szCs w:val="24"/>
        </w:rPr>
      </w:pPr>
      <w:r>
        <w:rPr>
          <w:sz w:val="24"/>
          <w:szCs w:val="24"/>
        </w:rPr>
        <w:t>Em que pese o impacto de curto prazo adverso da pandemia sobre o nível de atividade econômica, o</w:t>
      </w:r>
      <w:r w:rsidR="00853A07" w:rsidRPr="00A34D0B">
        <w:rPr>
          <w:sz w:val="24"/>
          <w:szCs w:val="24"/>
        </w:rPr>
        <w:t xml:space="preserve"> cenário macroeconômico projetado para o triênio 202</w:t>
      </w:r>
      <w:r w:rsidR="00D22353">
        <w:rPr>
          <w:sz w:val="24"/>
          <w:szCs w:val="24"/>
        </w:rPr>
        <w:t>1</w:t>
      </w:r>
      <w:r w:rsidR="00853A07" w:rsidRPr="00A34D0B">
        <w:rPr>
          <w:sz w:val="24"/>
          <w:szCs w:val="24"/>
        </w:rPr>
        <w:t xml:space="preserve"> a 202</w:t>
      </w:r>
      <w:r w:rsidR="00D22353">
        <w:rPr>
          <w:sz w:val="24"/>
          <w:szCs w:val="24"/>
        </w:rPr>
        <w:t>3</w:t>
      </w:r>
      <w:r w:rsidR="006A3A39" w:rsidRPr="00A34D0B">
        <w:rPr>
          <w:sz w:val="24"/>
          <w:szCs w:val="24"/>
        </w:rPr>
        <w:t xml:space="preserve"> </w:t>
      </w:r>
      <w:r w:rsidR="00BC1098">
        <w:rPr>
          <w:sz w:val="24"/>
          <w:szCs w:val="24"/>
        </w:rPr>
        <w:t xml:space="preserve">prevê </w:t>
      </w:r>
      <w:r>
        <w:rPr>
          <w:sz w:val="24"/>
          <w:szCs w:val="24"/>
        </w:rPr>
        <w:t>a retomada do</w:t>
      </w:r>
      <w:r w:rsidR="006A3A39" w:rsidRPr="00A34D0B">
        <w:rPr>
          <w:sz w:val="24"/>
          <w:szCs w:val="24"/>
        </w:rPr>
        <w:t xml:space="preserve"> crescimento </w:t>
      </w:r>
      <w:r w:rsidR="00EE79E4">
        <w:rPr>
          <w:sz w:val="24"/>
          <w:szCs w:val="24"/>
        </w:rPr>
        <w:t xml:space="preserve">econômico em nível moderado </w:t>
      </w:r>
      <w:r w:rsidR="003B6B6D">
        <w:rPr>
          <w:sz w:val="24"/>
          <w:szCs w:val="24"/>
        </w:rPr>
        <w:t xml:space="preserve">já </w:t>
      </w:r>
      <w:r>
        <w:rPr>
          <w:sz w:val="24"/>
          <w:szCs w:val="24"/>
        </w:rPr>
        <w:t xml:space="preserve">a partir de </w:t>
      </w:r>
      <w:r w:rsidR="00D03026">
        <w:rPr>
          <w:sz w:val="24"/>
          <w:szCs w:val="24"/>
        </w:rPr>
        <w:t>2021</w:t>
      </w:r>
      <w:r w:rsidR="00B31F19">
        <w:rPr>
          <w:sz w:val="24"/>
          <w:szCs w:val="24"/>
        </w:rPr>
        <w:t xml:space="preserve"> e taxa de </w:t>
      </w:r>
      <w:r w:rsidR="00166E03" w:rsidRPr="00A34D0B">
        <w:rPr>
          <w:sz w:val="24"/>
          <w:szCs w:val="24"/>
        </w:rPr>
        <w:t>inflação</w:t>
      </w:r>
      <w:r w:rsidR="00B31F19">
        <w:rPr>
          <w:sz w:val="24"/>
          <w:szCs w:val="24"/>
        </w:rPr>
        <w:t xml:space="preserve"> sob controle, em</w:t>
      </w:r>
      <w:r w:rsidR="00166E03" w:rsidRPr="00A34D0B">
        <w:rPr>
          <w:sz w:val="24"/>
          <w:szCs w:val="24"/>
        </w:rPr>
        <w:t xml:space="preserve"> </w:t>
      </w:r>
      <w:r w:rsidR="00D305BD">
        <w:rPr>
          <w:sz w:val="24"/>
          <w:szCs w:val="24"/>
        </w:rPr>
        <w:t xml:space="preserve">linha </w:t>
      </w:r>
      <w:r w:rsidR="00B31F19">
        <w:rPr>
          <w:sz w:val="24"/>
          <w:szCs w:val="24"/>
        </w:rPr>
        <w:t>com as</w:t>
      </w:r>
      <w:r w:rsidR="00166E03" w:rsidRPr="00A34D0B">
        <w:rPr>
          <w:sz w:val="24"/>
          <w:szCs w:val="24"/>
        </w:rPr>
        <w:t xml:space="preserve"> metas estabelecidas</w:t>
      </w:r>
      <w:r w:rsidR="00C000A7">
        <w:rPr>
          <w:sz w:val="24"/>
          <w:szCs w:val="24"/>
        </w:rPr>
        <w:t xml:space="preserve"> pelo Conselho Monetário Nacional</w:t>
      </w:r>
      <w:r w:rsidR="00166E03" w:rsidRPr="00A34D0B">
        <w:rPr>
          <w:sz w:val="24"/>
          <w:szCs w:val="24"/>
        </w:rPr>
        <w:t>.</w:t>
      </w:r>
      <w:r w:rsidR="00F138CC" w:rsidRPr="00A34D0B">
        <w:rPr>
          <w:sz w:val="24"/>
          <w:szCs w:val="24"/>
        </w:rPr>
        <w:t xml:space="preserve"> Os principais parâmetros que embasaram o referido cenário são apresentados no quadro abaixo</w:t>
      </w:r>
      <w:r w:rsidR="00C000A7">
        <w:rPr>
          <w:rStyle w:val="Refdenotaderodap"/>
          <w:sz w:val="24"/>
          <w:szCs w:val="24"/>
        </w:rPr>
        <w:footnoteReference w:id="2"/>
      </w:r>
      <w:r w:rsidR="00F138CC" w:rsidRPr="00A34D0B">
        <w:rPr>
          <w:sz w:val="24"/>
          <w:szCs w:val="24"/>
        </w:rPr>
        <w:t>:</w:t>
      </w:r>
    </w:p>
    <w:p w14:paraId="334BB2B4" w14:textId="77777777" w:rsidR="00F04311" w:rsidRDefault="00F04311" w:rsidP="00A34D0B">
      <w:pPr>
        <w:spacing w:before="240"/>
        <w:ind w:firstLine="709"/>
        <w:jc w:val="both"/>
        <w:rPr>
          <w:b/>
          <w:szCs w:val="24"/>
        </w:rPr>
      </w:pPr>
    </w:p>
    <w:p w14:paraId="690A5BBC" w14:textId="21802C9E" w:rsidR="00C932CC" w:rsidRPr="00C932CC" w:rsidRDefault="00C932CC" w:rsidP="00A34D0B">
      <w:pPr>
        <w:spacing w:before="240"/>
        <w:ind w:firstLine="709"/>
        <w:jc w:val="both"/>
        <w:rPr>
          <w:b/>
          <w:szCs w:val="24"/>
        </w:rPr>
      </w:pPr>
      <w:r w:rsidRPr="00C932CC">
        <w:rPr>
          <w:b/>
          <w:szCs w:val="24"/>
        </w:rPr>
        <w:t>Tabela 1: Grade de Parâmetros</w:t>
      </w:r>
      <w:r w:rsidR="008344AE">
        <w:rPr>
          <w:b/>
          <w:szCs w:val="24"/>
        </w:rPr>
        <w:t xml:space="preserve"> </w:t>
      </w:r>
    </w:p>
    <w:p w14:paraId="4D6E30A2" w14:textId="0FDCF761" w:rsidR="00131C58" w:rsidRDefault="001B097D" w:rsidP="00C932CC">
      <w:pPr>
        <w:jc w:val="center"/>
      </w:pPr>
      <w:r w:rsidRPr="001B097D">
        <w:rPr>
          <w:noProof/>
          <w:lang w:eastAsia="pt-BR"/>
        </w:rPr>
        <w:drawing>
          <wp:inline distT="0" distB="0" distL="0" distR="0" wp14:anchorId="5FE36775" wp14:editId="72231F05">
            <wp:extent cx="5410200" cy="276225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2762250"/>
                    </a:xfrm>
                    <a:prstGeom prst="rect">
                      <a:avLst/>
                    </a:prstGeom>
                    <a:noFill/>
                    <a:ln>
                      <a:noFill/>
                    </a:ln>
                  </pic:spPr>
                </pic:pic>
              </a:graphicData>
            </a:graphic>
          </wp:inline>
        </w:drawing>
      </w:r>
    </w:p>
    <w:p w14:paraId="174CA1ED" w14:textId="6A465BD8" w:rsidR="00131C58" w:rsidRPr="00A34D0B" w:rsidRDefault="00166E03" w:rsidP="00A34D0B">
      <w:pPr>
        <w:spacing w:before="240"/>
        <w:ind w:firstLine="709"/>
        <w:jc w:val="both"/>
        <w:rPr>
          <w:sz w:val="24"/>
          <w:szCs w:val="24"/>
        </w:rPr>
      </w:pPr>
      <w:r w:rsidRPr="00A34D0B">
        <w:rPr>
          <w:sz w:val="24"/>
          <w:szCs w:val="24"/>
        </w:rPr>
        <w:t xml:space="preserve">Com </w:t>
      </w:r>
      <w:r w:rsidR="00D74B48">
        <w:rPr>
          <w:sz w:val="24"/>
          <w:szCs w:val="24"/>
        </w:rPr>
        <w:t>a retomada do</w:t>
      </w:r>
      <w:r w:rsidR="00D74B48" w:rsidRPr="00A34D0B">
        <w:rPr>
          <w:sz w:val="24"/>
          <w:szCs w:val="24"/>
        </w:rPr>
        <w:t xml:space="preserve"> </w:t>
      </w:r>
      <w:r w:rsidRPr="00A34D0B">
        <w:rPr>
          <w:sz w:val="24"/>
          <w:szCs w:val="24"/>
        </w:rPr>
        <w:t>crescimento</w:t>
      </w:r>
      <w:r w:rsidR="00C000A7">
        <w:rPr>
          <w:sz w:val="24"/>
          <w:szCs w:val="24"/>
        </w:rPr>
        <w:t xml:space="preserve"> estimado</w:t>
      </w:r>
      <w:r w:rsidRPr="00A34D0B">
        <w:rPr>
          <w:sz w:val="24"/>
          <w:szCs w:val="24"/>
        </w:rPr>
        <w:t xml:space="preserve"> do</w:t>
      </w:r>
      <w:r w:rsidR="00BF7FF5">
        <w:rPr>
          <w:sz w:val="24"/>
          <w:szCs w:val="24"/>
        </w:rPr>
        <w:t xml:space="preserve"> Produto Interno Bruto (PIB)</w:t>
      </w:r>
      <w:r w:rsidRPr="00A34D0B">
        <w:rPr>
          <w:sz w:val="24"/>
          <w:szCs w:val="24"/>
        </w:rPr>
        <w:t xml:space="preserve">, prevê-se também </w:t>
      </w:r>
      <w:r w:rsidR="00D74B48">
        <w:rPr>
          <w:sz w:val="24"/>
          <w:szCs w:val="24"/>
        </w:rPr>
        <w:t>uma</w:t>
      </w:r>
      <w:r w:rsidR="00D74B48" w:rsidRPr="00A34D0B">
        <w:rPr>
          <w:sz w:val="24"/>
          <w:szCs w:val="24"/>
        </w:rPr>
        <w:t xml:space="preserve"> </w:t>
      </w:r>
      <w:r w:rsidRPr="00A34D0B">
        <w:rPr>
          <w:sz w:val="24"/>
          <w:szCs w:val="24"/>
        </w:rPr>
        <w:t>melhoria</w:t>
      </w:r>
      <w:r w:rsidR="0001568F">
        <w:rPr>
          <w:sz w:val="24"/>
          <w:szCs w:val="24"/>
        </w:rPr>
        <w:t xml:space="preserve"> gradual</w:t>
      </w:r>
      <w:r w:rsidRPr="00A34D0B">
        <w:rPr>
          <w:sz w:val="24"/>
          <w:szCs w:val="24"/>
        </w:rPr>
        <w:t xml:space="preserve"> das condições do mercado de trabalho, com recuperação do emprego formal, tendo como consequência a projeção apresentada de crescimento anual da massa salarial nominal.</w:t>
      </w:r>
      <w:r w:rsidR="00636E6D" w:rsidRPr="00A34D0B">
        <w:rPr>
          <w:sz w:val="24"/>
          <w:szCs w:val="24"/>
        </w:rPr>
        <w:t xml:space="preserve"> Para o salário mí</w:t>
      </w:r>
      <w:r w:rsidR="00037CC8" w:rsidRPr="00A34D0B">
        <w:rPr>
          <w:sz w:val="24"/>
          <w:szCs w:val="24"/>
        </w:rPr>
        <w:t>nimo, considerou</w:t>
      </w:r>
      <w:r w:rsidR="00F138CC" w:rsidRPr="00A34D0B">
        <w:rPr>
          <w:sz w:val="24"/>
          <w:szCs w:val="24"/>
        </w:rPr>
        <w:t>-se</w:t>
      </w:r>
      <w:r w:rsidR="00037CC8" w:rsidRPr="00A34D0B">
        <w:rPr>
          <w:sz w:val="24"/>
          <w:szCs w:val="24"/>
        </w:rPr>
        <w:t xml:space="preserve"> </w:t>
      </w:r>
      <w:r w:rsidR="00037CC8" w:rsidRPr="00302272">
        <w:rPr>
          <w:sz w:val="24"/>
          <w:szCs w:val="24"/>
        </w:rPr>
        <w:t>a manutenção de seu</w:t>
      </w:r>
      <w:r w:rsidR="00636E6D" w:rsidRPr="00302272">
        <w:rPr>
          <w:sz w:val="24"/>
          <w:szCs w:val="24"/>
        </w:rPr>
        <w:t xml:space="preserve"> valor real a partir da correção pelo Índice Nacional de Preços ao Consumidor (INPC) do Instituto Brasileiro de</w:t>
      </w:r>
      <w:r w:rsidR="00784D9A" w:rsidRPr="00302272">
        <w:rPr>
          <w:sz w:val="24"/>
          <w:szCs w:val="24"/>
        </w:rPr>
        <w:t xml:space="preserve"> Geografia e Estatística (IBGE), tendo em vista</w:t>
      </w:r>
      <w:r w:rsidR="00F138CC" w:rsidRPr="00302272">
        <w:rPr>
          <w:sz w:val="24"/>
          <w:szCs w:val="24"/>
        </w:rPr>
        <w:t xml:space="preserve"> o previsto no inciso IV do </w:t>
      </w:r>
      <w:r w:rsidR="00D758B8">
        <w:rPr>
          <w:sz w:val="24"/>
          <w:szCs w:val="24"/>
        </w:rPr>
        <w:t>A</w:t>
      </w:r>
      <w:r w:rsidR="00F138CC" w:rsidRPr="00302272">
        <w:rPr>
          <w:sz w:val="24"/>
          <w:szCs w:val="24"/>
        </w:rPr>
        <w:t>rt. 7º da Constituição Federal e</w:t>
      </w:r>
      <w:r w:rsidR="00784D9A" w:rsidRPr="00302272">
        <w:rPr>
          <w:sz w:val="24"/>
          <w:szCs w:val="24"/>
        </w:rPr>
        <w:t xml:space="preserve"> a ausência de legislação</w:t>
      </w:r>
      <w:r w:rsidR="007500E6">
        <w:rPr>
          <w:sz w:val="24"/>
          <w:szCs w:val="24"/>
        </w:rPr>
        <w:t>,</w:t>
      </w:r>
      <w:r w:rsidR="00784D9A" w:rsidRPr="00002270">
        <w:rPr>
          <w:sz w:val="24"/>
          <w:szCs w:val="24"/>
        </w:rPr>
        <w:t xml:space="preserve"> </w:t>
      </w:r>
      <w:r w:rsidR="007500E6">
        <w:rPr>
          <w:sz w:val="24"/>
          <w:szCs w:val="24"/>
        </w:rPr>
        <w:t>desde</w:t>
      </w:r>
      <w:r w:rsidR="00784D9A" w:rsidRPr="00302272">
        <w:rPr>
          <w:sz w:val="24"/>
          <w:szCs w:val="24"/>
        </w:rPr>
        <w:t xml:space="preserve"> 2020</w:t>
      </w:r>
      <w:r w:rsidR="007500E6">
        <w:rPr>
          <w:sz w:val="24"/>
          <w:szCs w:val="24"/>
        </w:rPr>
        <w:t>,</w:t>
      </w:r>
      <w:r w:rsidR="00784D9A" w:rsidRPr="00302272">
        <w:rPr>
          <w:sz w:val="24"/>
          <w:szCs w:val="24"/>
        </w:rPr>
        <w:t xml:space="preserve"> que exija aumentos acima da inflação</w:t>
      </w:r>
      <w:r w:rsidR="00784D9A" w:rsidRPr="00A34D0B">
        <w:rPr>
          <w:sz w:val="24"/>
          <w:szCs w:val="24"/>
        </w:rPr>
        <w:t>.</w:t>
      </w:r>
      <w:r w:rsidR="00D34CEA">
        <w:rPr>
          <w:sz w:val="24"/>
          <w:szCs w:val="24"/>
        </w:rPr>
        <w:t xml:space="preserve"> Também se prevê, diante de tal cenário, o aumento gradual da taxa Selic </w:t>
      </w:r>
      <w:r w:rsidR="00A71418">
        <w:rPr>
          <w:sz w:val="24"/>
          <w:szCs w:val="24"/>
        </w:rPr>
        <w:t>a partir de 2021.</w:t>
      </w:r>
    </w:p>
    <w:p w14:paraId="71ECCA3A" w14:textId="283E5073" w:rsidR="00636E6D" w:rsidRPr="00A34D0B" w:rsidRDefault="00F04FA1" w:rsidP="00A34D0B">
      <w:pPr>
        <w:spacing w:before="240"/>
        <w:ind w:firstLine="709"/>
        <w:jc w:val="both"/>
        <w:rPr>
          <w:sz w:val="24"/>
          <w:szCs w:val="24"/>
        </w:rPr>
      </w:pPr>
      <w:r w:rsidRPr="00A34D0B">
        <w:rPr>
          <w:sz w:val="24"/>
          <w:szCs w:val="24"/>
        </w:rPr>
        <w:t>A</w:t>
      </w:r>
      <w:r w:rsidR="00186D41" w:rsidRPr="00A34D0B">
        <w:rPr>
          <w:sz w:val="24"/>
          <w:szCs w:val="24"/>
        </w:rPr>
        <w:t xml:space="preserve"> credibilidade da política monetária</w:t>
      </w:r>
      <w:r w:rsidR="005F0ED6">
        <w:rPr>
          <w:sz w:val="24"/>
          <w:szCs w:val="24"/>
        </w:rPr>
        <w:t>,</w:t>
      </w:r>
      <w:r w:rsidR="00186D41" w:rsidRPr="00A34D0B">
        <w:rPr>
          <w:sz w:val="24"/>
          <w:szCs w:val="24"/>
        </w:rPr>
        <w:t xml:space="preserve"> calcada no regime de metas de inflação</w:t>
      </w:r>
      <w:r w:rsidR="005F0ED6">
        <w:rPr>
          <w:sz w:val="24"/>
          <w:szCs w:val="24"/>
        </w:rPr>
        <w:t>,</w:t>
      </w:r>
      <w:r w:rsidR="002617CD">
        <w:rPr>
          <w:sz w:val="24"/>
          <w:szCs w:val="24"/>
        </w:rPr>
        <w:t xml:space="preserve"> –</w:t>
      </w:r>
      <w:r w:rsidR="00186D41" w:rsidRPr="00A34D0B">
        <w:rPr>
          <w:sz w:val="24"/>
          <w:szCs w:val="24"/>
        </w:rPr>
        <w:t xml:space="preserve"> </w:t>
      </w:r>
      <w:r w:rsidR="00D305BD">
        <w:rPr>
          <w:sz w:val="24"/>
          <w:szCs w:val="24"/>
        </w:rPr>
        <w:t>tem permitido ancorar satisfatoriamente as expectativas e</w:t>
      </w:r>
      <w:r w:rsidR="0010228A">
        <w:rPr>
          <w:sz w:val="24"/>
          <w:szCs w:val="24"/>
        </w:rPr>
        <w:t xml:space="preserve"> projetar um cenário</w:t>
      </w:r>
      <w:r w:rsidRPr="00A34D0B">
        <w:rPr>
          <w:sz w:val="24"/>
          <w:szCs w:val="24"/>
        </w:rPr>
        <w:t xml:space="preserve"> inflacionário</w:t>
      </w:r>
      <w:r w:rsidR="0010228A">
        <w:rPr>
          <w:sz w:val="24"/>
          <w:szCs w:val="24"/>
        </w:rPr>
        <w:t xml:space="preserve"> benigno</w:t>
      </w:r>
      <w:r w:rsidR="0078706F" w:rsidRPr="00A34D0B">
        <w:rPr>
          <w:sz w:val="24"/>
          <w:szCs w:val="24"/>
        </w:rPr>
        <w:t xml:space="preserve">, com os principais índices de preços apresentando </w:t>
      </w:r>
      <w:r w:rsidR="0010228A">
        <w:rPr>
          <w:sz w:val="24"/>
          <w:szCs w:val="24"/>
        </w:rPr>
        <w:t>estabilidade</w:t>
      </w:r>
      <w:r w:rsidR="0078706F" w:rsidRPr="00A34D0B">
        <w:rPr>
          <w:sz w:val="24"/>
          <w:szCs w:val="24"/>
        </w:rPr>
        <w:t xml:space="preserve"> no período: INPC</w:t>
      </w:r>
      <w:r w:rsidR="00D305BD">
        <w:rPr>
          <w:sz w:val="24"/>
          <w:szCs w:val="24"/>
        </w:rPr>
        <w:t xml:space="preserve"> (Índice Nacional de Preços ao Consumidor apurado pelo IBGE)</w:t>
      </w:r>
      <w:r w:rsidR="0078706F" w:rsidRPr="00A34D0B">
        <w:rPr>
          <w:sz w:val="24"/>
          <w:szCs w:val="24"/>
        </w:rPr>
        <w:t xml:space="preserve">, IPCA (Índice Nacional de Preços ao Consumidor Amplo, apurado também pelo IBGE) e IGP-DI (Índice Geral de Preços – Disponibilidade </w:t>
      </w:r>
      <w:r w:rsidR="001617BA" w:rsidRPr="0012279D">
        <w:rPr>
          <w:sz w:val="24"/>
          <w:szCs w:val="24"/>
        </w:rPr>
        <w:t>I</w:t>
      </w:r>
      <w:r w:rsidR="0078706F" w:rsidRPr="00A34D0B">
        <w:rPr>
          <w:sz w:val="24"/>
          <w:szCs w:val="24"/>
        </w:rPr>
        <w:t>nterna, apurado pela Fundação Getúlio Vargas).</w:t>
      </w:r>
      <w:r w:rsidR="00133659" w:rsidRPr="00A34D0B">
        <w:rPr>
          <w:sz w:val="24"/>
          <w:szCs w:val="24"/>
        </w:rPr>
        <w:t xml:space="preserve"> </w:t>
      </w:r>
      <w:r w:rsidR="00186D41" w:rsidRPr="00A34D0B">
        <w:rPr>
          <w:sz w:val="24"/>
          <w:szCs w:val="24"/>
        </w:rPr>
        <w:t xml:space="preserve">Nesse contexto, </w:t>
      </w:r>
      <w:r w:rsidR="007755D5" w:rsidRPr="00A34D0B">
        <w:rPr>
          <w:sz w:val="24"/>
          <w:szCs w:val="24"/>
        </w:rPr>
        <w:t>as taxas de juros</w:t>
      </w:r>
      <w:r w:rsidR="000A11F9" w:rsidRPr="0012279D">
        <w:rPr>
          <w:sz w:val="24"/>
          <w:szCs w:val="24"/>
        </w:rPr>
        <w:t xml:space="preserve"> </w:t>
      </w:r>
      <w:r w:rsidR="00186D41" w:rsidRPr="00A34D0B">
        <w:rPr>
          <w:sz w:val="24"/>
          <w:szCs w:val="24"/>
        </w:rPr>
        <w:t>também são projetadas em níveis estáveis e historicamente baixos</w:t>
      </w:r>
      <w:r w:rsidR="007755D5" w:rsidRPr="00A34D0B">
        <w:rPr>
          <w:sz w:val="24"/>
          <w:szCs w:val="24"/>
        </w:rPr>
        <w:t>.</w:t>
      </w:r>
    </w:p>
    <w:p w14:paraId="48A1573A" w14:textId="79A12397" w:rsidR="00A71418" w:rsidRDefault="00E01521" w:rsidP="005A2E56">
      <w:pPr>
        <w:spacing w:before="240"/>
        <w:ind w:firstLine="708"/>
        <w:jc w:val="both"/>
        <w:rPr>
          <w:sz w:val="24"/>
          <w:szCs w:val="24"/>
        </w:rPr>
      </w:pPr>
      <w:r w:rsidRPr="00A34D0B">
        <w:rPr>
          <w:sz w:val="24"/>
          <w:szCs w:val="24"/>
        </w:rPr>
        <w:t xml:space="preserve">Apesar </w:t>
      </w:r>
      <w:r w:rsidR="007F1643">
        <w:rPr>
          <w:sz w:val="24"/>
          <w:szCs w:val="24"/>
        </w:rPr>
        <w:t xml:space="preserve">da tendência </w:t>
      </w:r>
      <w:r w:rsidR="007500E6">
        <w:rPr>
          <w:sz w:val="24"/>
          <w:szCs w:val="24"/>
        </w:rPr>
        <w:t>à</w:t>
      </w:r>
      <w:r w:rsidR="007F1643">
        <w:rPr>
          <w:sz w:val="24"/>
          <w:szCs w:val="24"/>
        </w:rPr>
        <w:t xml:space="preserve"> apreciação e </w:t>
      </w:r>
      <w:r w:rsidR="007500E6">
        <w:rPr>
          <w:sz w:val="24"/>
          <w:szCs w:val="24"/>
        </w:rPr>
        <w:t>à</w:t>
      </w:r>
      <w:r w:rsidR="007F1643">
        <w:rPr>
          <w:sz w:val="24"/>
          <w:szCs w:val="24"/>
        </w:rPr>
        <w:t xml:space="preserve"> maior </w:t>
      </w:r>
      <w:r w:rsidRPr="00A34D0B">
        <w:rPr>
          <w:sz w:val="24"/>
          <w:szCs w:val="24"/>
        </w:rPr>
        <w:t xml:space="preserve">volatilidade </w:t>
      </w:r>
      <w:r w:rsidR="007F1643">
        <w:rPr>
          <w:sz w:val="24"/>
          <w:szCs w:val="24"/>
        </w:rPr>
        <w:t xml:space="preserve">verificada </w:t>
      </w:r>
      <w:r w:rsidRPr="00A34D0B">
        <w:rPr>
          <w:sz w:val="24"/>
          <w:szCs w:val="24"/>
        </w:rPr>
        <w:t xml:space="preserve">no curto prazo, </w:t>
      </w:r>
      <w:r w:rsidR="007F1643">
        <w:rPr>
          <w:sz w:val="24"/>
          <w:szCs w:val="24"/>
        </w:rPr>
        <w:t xml:space="preserve">projeta-se que </w:t>
      </w:r>
      <w:r w:rsidRPr="00A34D0B">
        <w:rPr>
          <w:sz w:val="24"/>
          <w:szCs w:val="24"/>
        </w:rPr>
        <w:t>a</w:t>
      </w:r>
      <w:r w:rsidR="00D13274" w:rsidRPr="00A34D0B">
        <w:rPr>
          <w:sz w:val="24"/>
          <w:szCs w:val="24"/>
        </w:rPr>
        <w:t xml:space="preserve"> taxa de câmbio</w:t>
      </w:r>
      <w:r w:rsidRPr="00A34D0B">
        <w:rPr>
          <w:sz w:val="24"/>
          <w:szCs w:val="24"/>
        </w:rPr>
        <w:t xml:space="preserve"> </w:t>
      </w:r>
      <w:r w:rsidR="007F1643">
        <w:rPr>
          <w:sz w:val="24"/>
          <w:szCs w:val="24"/>
        </w:rPr>
        <w:t xml:space="preserve">retorne </w:t>
      </w:r>
      <w:r w:rsidR="00002270">
        <w:rPr>
          <w:sz w:val="24"/>
          <w:szCs w:val="24"/>
        </w:rPr>
        <w:t>a patamares mais próximos da taxa</w:t>
      </w:r>
      <w:r w:rsidR="007F1643">
        <w:rPr>
          <w:sz w:val="24"/>
          <w:szCs w:val="24"/>
        </w:rPr>
        <w:t xml:space="preserve"> </w:t>
      </w:r>
      <w:r w:rsidR="00BF7FF5">
        <w:rPr>
          <w:sz w:val="24"/>
          <w:szCs w:val="24"/>
        </w:rPr>
        <w:t xml:space="preserve">de </w:t>
      </w:r>
      <w:r w:rsidR="00002270">
        <w:rPr>
          <w:sz w:val="24"/>
          <w:szCs w:val="24"/>
        </w:rPr>
        <w:t>equilíbrio,</w:t>
      </w:r>
      <w:r w:rsidR="007F1643">
        <w:rPr>
          <w:sz w:val="24"/>
          <w:szCs w:val="24"/>
        </w:rPr>
        <w:t xml:space="preserve"> </w:t>
      </w:r>
      <w:r w:rsidRPr="00A34D0B">
        <w:rPr>
          <w:sz w:val="24"/>
          <w:szCs w:val="24"/>
        </w:rPr>
        <w:t>permane</w:t>
      </w:r>
      <w:r w:rsidR="00002270">
        <w:rPr>
          <w:sz w:val="24"/>
          <w:szCs w:val="24"/>
        </w:rPr>
        <w:t>cendo</w:t>
      </w:r>
      <w:r w:rsidRPr="00A34D0B">
        <w:rPr>
          <w:sz w:val="24"/>
          <w:szCs w:val="24"/>
        </w:rPr>
        <w:t xml:space="preserve"> relativamente estáve</w:t>
      </w:r>
      <w:r w:rsidR="007F1643">
        <w:rPr>
          <w:sz w:val="24"/>
          <w:szCs w:val="24"/>
        </w:rPr>
        <w:t>l</w:t>
      </w:r>
      <w:r w:rsidRPr="00A34D0B">
        <w:rPr>
          <w:sz w:val="24"/>
          <w:szCs w:val="24"/>
        </w:rPr>
        <w:t xml:space="preserve"> no período de projeção</w:t>
      </w:r>
      <w:r w:rsidR="00D13274" w:rsidRPr="00A34D0B">
        <w:rPr>
          <w:sz w:val="24"/>
          <w:szCs w:val="24"/>
        </w:rPr>
        <w:t>.</w:t>
      </w:r>
      <w:r w:rsidR="0081121B" w:rsidRPr="00A34D0B">
        <w:rPr>
          <w:sz w:val="24"/>
          <w:szCs w:val="24"/>
        </w:rPr>
        <w:t xml:space="preserve"> </w:t>
      </w:r>
      <w:r w:rsidR="007B5A22" w:rsidRPr="00A34D0B">
        <w:rPr>
          <w:sz w:val="24"/>
          <w:szCs w:val="24"/>
        </w:rPr>
        <w:t xml:space="preserve">Uma das </w:t>
      </w:r>
      <w:r w:rsidR="0081121B" w:rsidRPr="00A34D0B">
        <w:rPr>
          <w:sz w:val="24"/>
          <w:szCs w:val="24"/>
        </w:rPr>
        <w:t>hipótese</w:t>
      </w:r>
      <w:r w:rsidR="007B5A22" w:rsidRPr="00A34D0B">
        <w:rPr>
          <w:sz w:val="24"/>
          <w:szCs w:val="24"/>
        </w:rPr>
        <w:t>s</w:t>
      </w:r>
      <w:r w:rsidR="0081121B" w:rsidRPr="00A34D0B">
        <w:rPr>
          <w:sz w:val="24"/>
          <w:szCs w:val="24"/>
        </w:rPr>
        <w:t xml:space="preserve"> </w:t>
      </w:r>
      <w:r w:rsidR="007B5A22" w:rsidRPr="00A34D0B">
        <w:rPr>
          <w:sz w:val="24"/>
          <w:szCs w:val="24"/>
        </w:rPr>
        <w:t>consideradas</w:t>
      </w:r>
      <w:r w:rsidR="0081121B" w:rsidRPr="00A34D0B">
        <w:rPr>
          <w:sz w:val="24"/>
          <w:szCs w:val="24"/>
        </w:rPr>
        <w:t xml:space="preserve"> refere-se </w:t>
      </w:r>
      <w:r w:rsidR="00F138CC" w:rsidRPr="00A34D0B">
        <w:rPr>
          <w:sz w:val="24"/>
          <w:szCs w:val="24"/>
        </w:rPr>
        <w:t xml:space="preserve">à </w:t>
      </w:r>
      <w:r w:rsidR="0081121B" w:rsidRPr="00A34D0B">
        <w:rPr>
          <w:sz w:val="24"/>
          <w:szCs w:val="24"/>
        </w:rPr>
        <w:t>manutenção do cenário de liquidez internacional</w:t>
      </w:r>
      <w:r w:rsidR="00B34E1A">
        <w:rPr>
          <w:sz w:val="24"/>
          <w:szCs w:val="24"/>
        </w:rPr>
        <w:t xml:space="preserve">, tendo em vista, inclusive, as políticas de estímulo adotadas para combater os </w:t>
      </w:r>
      <w:r w:rsidR="009A680B">
        <w:rPr>
          <w:sz w:val="24"/>
          <w:szCs w:val="24"/>
        </w:rPr>
        <w:t xml:space="preserve">efeitos econômicos da </w:t>
      </w:r>
      <w:r w:rsidR="007500E6">
        <w:rPr>
          <w:sz w:val="24"/>
          <w:szCs w:val="24"/>
        </w:rPr>
        <w:t xml:space="preserve">já citada </w:t>
      </w:r>
      <w:r w:rsidR="002617CD">
        <w:rPr>
          <w:sz w:val="24"/>
          <w:szCs w:val="24"/>
        </w:rPr>
        <w:t>p</w:t>
      </w:r>
      <w:r w:rsidR="009A680B">
        <w:rPr>
          <w:sz w:val="24"/>
          <w:szCs w:val="24"/>
        </w:rPr>
        <w:t>andemia</w:t>
      </w:r>
      <w:r w:rsidR="007B5A22" w:rsidRPr="00A34D0B">
        <w:rPr>
          <w:sz w:val="24"/>
          <w:szCs w:val="24"/>
        </w:rPr>
        <w:t>.</w:t>
      </w:r>
      <w:r w:rsidR="00A71418">
        <w:rPr>
          <w:sz w:val="24"/>
          <w:szCs w:val="24"/>
        </w:rPr>
        <w:t xml:space="preserve"> Quanto ao preço médio do barril do petróleo</w:t>
      </w:r>
      <w:r w:rsidR="00BF7FF5">
        <w:rPr>
          <w:sz w:val="24"/>
          <w:szCs w:val="24"/>
        </w:rPr>
        <w:t xml:space="preserve"> Brent</w:t>
      </w:r>
      <w:r w:rsidR="00A71418">
        <w:rPr>
          <w:sz w:val="24"/>
          <w:szCs w:val="24"/>
        </w:rPr>
        <w:t>, também se espera recuperação, tendo em vista a expectativa de retomada</w:t>
      </w:r>
      <w:r w:rsidR="00BC42AE">
        <w:rPr>
          <w:sz w:val="24"/>
          <w:szCs w:val="24"/>
        </w:rPr>
        <w:t xml:space="preserve"> gradual da economia</w:t>
      </w:r>
      <w:r w:rsidR="00A71418">
        <w:rPr>
          <w:sz w:val="24"/>
          <w:szCs w:val="24"/>
        </w:rPr>
        <w:t xml:space="preserve"> global </w:t>
      </w:r>
      <w:r w:rsidR="00BC42AE">
        <w:rPr>
          <w:sz w:val="24"/>
          <w:szCs w:val="24"/>
        </w:rPr>
        <w:t>no período de 2021 a 2023</w:t>
      </w:r>
      <w:r w:rsidR="00A71418">
        <w:rPr>
          <w:sz w:val="24"/>
          <w:szCs w:val="24"/>
        </w:rPr>
        <w:t>.</w:t>
      </w:r>
    </w:p>
    <w:p w14:paraId="34796743" w14:textId="775337EC" w:rsidR="008E7C77" w:rsidRPr="00373A73" w:rsidRDefault="008E7C77" w:rsidP="005A2E56">
      <w:pPr>
        <w:spacing w:before="240"/>
        <w:ind w:firstLine="708"/>
        <w:jc w:val="both"/>
        <w:rPr>
          <w:sz w:val="24"/>
          <w:szCs w:val="24"/>
        </w:rPr>
      </w:pPr>
      <w:r w:rsidRPr="0012279D">
        <w:rPr>
          <w:sz w:val="24"/>
          <w:szCs w:val="24"/>
        </w:rPr>
        <w:lastRenderedPageBreak/>
        <w:t>Cabe</w:t>
      </w:r>
      <w:r w:rsidRPr="00A34D0B">
        <w:rPr>
          <w:sz w:val="24"/>
          <w:szCs w:val="24"/>
        </w:rPr>
        <w:t xml:space="preserve"> ressaltar que o cenário macroeconômico embute</w:t>
      </w:r>
      <w:r>
        <w:rPr>
          <w:sz w:val="24"/>
          <w:szCs w:val="24"/>
        </w:rPr>
        <w:t>, de alguma forma,</w:t>
      </w:r>
      <w:r w:rsidRPr="00A34D0B">
        <w:rPr>
          <w:sz w:val="24"/>
          <w:szCs w:val="24"/>
        </w:rPr>
        <w:t xml:space="preserve"> </w:t>
      </w:r>
      <w:r>
        <w:rPr>
          <w:sz w:val="24"/>
          <w:szCs w:val="24"/>
        </w:rPr>
        <w:t>a possibilidade</w:t>
      </w:r>
      <w:r w:rsidRPr="00A34D0B">
        <w:rPr>
          <w:sz w:val="24"/>
          <w:szCs w:val="24"/>
        </w:rPr>
        <w:t xml:space="preserve"> de aprovação das reformas </w:t>
      </w:r>
      <w:r>
        <w:rPr>
          <w:sz w:val="24"/>
          <w:szCs w:val="24"/>
        </w:rPr>
        <w:t xml:space="preserve">estruturais, que serão </w:t>
      </w:r>
      <w:r w:rsidRPr="00A34D0B">
        <w:rPr>
          <w:sz w:val="24"/>
          <w:szCs w:val="24"/>
        </w:rPr>
        <w:t xml:space="preserve">mencionadas na </w:t>
      </w:r>
      <w:r>
        <w:rPr>
          <w:sz w:val="24"/>
          <w:szCs w:val="24"/>
        </w:rPr>
        <w:t xml:space="preserve">próxima </w:t>
      </w:r>
      <w:r w:rsidRPr="00A34D0B">
        <w:rPr>
          <w:sz w:val="24"/>
          <w:szCs w:val="24"/>
        </w:rPr>
        <w:t>seção, em conformidade com as expectativas de mercado.</w:t>
      </w:r>
    </w:p>
    <w:p w14:paraId="6F3204F0" w14:textId="77777777" w:rsidR="00B05258" w:rsidRPr="00A24D76" w:rsidRDefault="007F693E">
      <w:pPr>
        <w:rPr>
          <w:b/>
          <w:u w:val="single"/>
        </w:rPr>
      </w:pPr>
      <w:r>
        <w:rPr>
          <w:b/>
          <w:u w:val="single"/>
        </w:rPr>
        <w:t xml:space="preserve">C) </w:t>
      </w:r>
      <w:r w:rsidR="00A24D76" w:rsidRPr="00A24D76">
        <w:rPr>
          <w:b/>
          <w:u w:val="single"/>
        </w:rPr>
        <w:t>Estratégia de Política Fiscal</w:t>
      </w:r>
    </w:p>
    <w:p w14:paraId="6CF46B3D" w14:textId="77777777" w:rsidR="00715BD1" w:rsidRPr="00A34D0B" w:rsidRDefault="007562E5" w:rsidP="00A34D0B">
      <w:pPr>
        <w:spacing w:before="240"/>
        <w:ind w:firstLine="709"/>
        <w:jc w:val="both"/>
        <w:rPr>
          <w:sz w:val="24"/>
          <w:szCs w:val="24"/>
        </w:rPr>
      </w:pPr>
      <w:r w:rsidRPr="00A34D0B">
        <w:rPr>
          <w:sz w:val="24"/>
          <w:szCs w:val="24"/>
        </w:rPr>
        <w:t>O objetivo da política fiscal no médio prazo é o controle da trajetória de crescimento da dívida pública em relação ao PIB.</w:t>
      </w:r>
      <w:r w:rsidR="00715BD1" w:rsidRPr="00A34D0B">
        <w:rPr>
          <w:sz w:val="24"/>
          <w:szCs w:val="24"/>
        </w:rPr>
        <w:t xml:space="preserve"> </w:t>
      </w:r>
      <w:r w:rsidR="00A426A5" w:rsidRPr="00A34D0B">
        <w:rPr>
          <w:sz w:val="24"/>
          <w:szCs w:val="24"/>
        </w:rPr>
        <w:t>Para tanto</w:t>
      </w:r>
      <w:r w:rsidR="00835EAE" w:rsidRPr="00A34D0B">
        <w:rPr>
          <w:sz w:val="24"/>
          <w:szCs w:val="24"/>
        </w:rPr>
        <w:t>,</w:t>
      </w:r>
      <w:r w:rsidR="00A426A5" w:rsidRPr="00A34D0B">
        <w:rPr>
          <w:sz w:val="24"/>
          <w:szCs w:val="24"/>
        </w:rPr>
        <w:t xml:space="preserve"> o </w:t>
      </w:r>
      <w:r w:rsidR="006679BF" w:rsidRPr="00A34D0B">
        <w:rPr>
          <w:sz w:val="24"/>
          <w:szCs w:val="24"/>
        </w:rPr>
        <w:t xml:space="preserve">Governo busca recorrentemente o equilíbrio das contas públicas, por </w:t>
      </w:r>
      <w:r w:rsidR="00835EAE" w:rsidRPr="00A34D0B">
        <w:rPr>
          <w:sz w:val="24"/>
          <w:szCs w:val="24"/>
        </w:rPr>
        <w:t xml:space="preserve">intermédio </w:t>
      </w:r>
      <w:r w:rsidR="006679BF" w:rsidRPr="00A34D0B">
        <w:rPr>
          <w:sz w:val="24"/>
          <w:szCs w:val="24"/>
        </w:rPr>
        <w:t xml:space="preserve">do controle e </w:t>
      </w:r>
      <w:r w:rsidR="00835EAE" w:rsidRPr="00A34D0B">
        <w:rPr>
          <w:sz w:val="24"/>
          <w:szCs w:val="24"/>
        </w:rPr>
        <w:t xml:space="preserve">do </w:t>
      </w:r>
      <w:r w:rsidR="006679BF" w:rsidRPr="00A34D0B">
        <w:rPr>
          <w:sz w:val="24"/>
          <w:szCs w:val="24"/>
        </w:rPr>
        <w:t>monitoramento do crescimento da despesa, e</w:t>
      </w:r>
      <w:r w:rsidR="002E2167" w:rsidRPr="00A34D0B">
        <w:rPr>
          <w:sz w:val="24"/>
          <w:szCs w:val="24"/>
        </w:rPr>
        <w:t xml:space="preserve"> </w:t>
      </w:r>
      <w:r w:rsidR="006679BF" w:rsidRPr="00A34D0B">
        <w:rPr>
          <w:sz w:val="24"/>
          <w:szCs w:val="24"/>
        </w:rPr>
        <w:t xml:space="preserve">acompanhamento da arrecadação, tomando medidas tempestivas para correção de desvios e </w:t>
      </w:r>
      <w:r w:rsidR="00835EAE" w:rsidRPr="00A34D0B">
        <w:rPr>
          <w:sz w:val="24"/>
          <w:szCs w:val="24"/>
        </w:rPr>
        <w:t xml:space="preserve">para </w:t>
      </w:r>
      <w:r w:rsidR="006679BF" w:rsidRPr="00A34D0B">
        <w:rPr>
          <w:sz w:val="24"/>
          <w:szCs w:val="24"/>
        </w:rPr>
        <w:t>prevenção quanto à materialização de riscos</w:t>
      </w:r>
      <w:r w:rsidR="002417E1" w:rsidRPr="00A34D0B">
        <w:rPr>
          <w:sz w:val="24"/>
          <w:szCs w:val="24"/>
        </w:rPr>
        <w:t xml:space="preserve"> fiscais</w:t>
      </w:r>
      <w:r w:rsidR="006679BF" w:rsidRPr="00A34D0B">
        <w:rPr>
          <w:sz w:val="24"/>
          <w:szCs w:val="24"/>
        </w:rPr>
        <w:t xml:space="preserve"> com </w:t>
      </w:r>
      <w:r w:rsidR="002417E1" w:rsidRPr="00A34D0B">
        <w:rPr>
          <w:sz w:val="24"/>
          <w:szCs w:val="24"/>
        </w:rPr>
        <w:t xml:space="preserve">impacto </w:t>
      </w:r>
      <w:r w:rsidR="00512B35" w:rsidRPr="00A34D0B">
        <w:rPr>
          <w:sz w:val="24"/>
          <w:szCs w:val="24"/>
        </w:rPr>
        <w:t>relevante no</w:t>
      </w:r>
      <w:r w:rsidR="006679BF" w:rsidRPr="00A34D0B">
        <w:rPr>
          <w:sz w:val="24"/>
          <w:szCs w:val="24"/>
        </w:rPr>
        <w:t xml:space="preserve"> curto e médio prazo.</w:t>
      </w:r>
    </w:p>
    <w:p w14:paraId="6748BDD2" w14:textId="2131C6A7" w:rsidR="00757A55" w:rsidRPr="00A34D0B" w:rsidRDefault="00757A55" w:rsidP="00A34D0B">
      <w:pPr>
        <w:spacing w:before="240"/>
        <w:ind w:firstLine="709"/>
        <w:jc w:val="both"/>
        <w:rPr>
          <w:sz w:val="24"/>
          <w:szCs w:val="24"/>
        </w:rPr>
      </w:pPr>
      <w:r>
        <w:rPr>
          <w:sz w:val="24"/>
          <w:szCs w:val="24"/>
        </w:rPr>
        <w:t>Esse objetivo está alinhado à estratégia do Governo Federal que visa a estabilidade macroeconômica, melhor alocação e uso dos recursos públicos, assim como fomenta</w:t>
      </w:r>
      <w:r w:rsidR="006766C3">
        <w:rPr>
          <w:sz w:val="24"/>
          <w:szCs w:val="24"/>
        </w:rPr>
        <w:t>r</w:t>
      </w:r>
      <w:r>
        <w:rPr>
          <w:sz w:val="24"/>
          <w:szCs w:val="24"/>
        </w:rPr>
        <w:t xml:space="preserve"> da produtividade da economia brasileira, preservando-se precipuamente o equilíbrio das contas públicas, de modo a permitir o crescimento econômico e a expansão da renda e do emprego no país, bem como a superação dos problemas sociais.</w:t>
      </w:r>
    </w:p>
    <w:p w14:paraId="0C17BE8F" w14:textId="12FEF95E" w:rsidR="00A24D76" w:rsidRPr="00A34D0B" w:rsidRDefault="00BC42AE" w:rsidP="00A34D0B">
      <w:pPr>
        <w:spacing w:before="240"/>
        <w:ind w:firstLine="709"/>
        <w:jc w:val="both"/>
        <w:rPr>
          <w:sz w:val="24"/>
          <w:szCs w:val="24"/>
        </w:rPr>
      </w:pPr>
      <w:r>
        <w:rPr>
          <w:sz w:val="24"/>
          <w:szCs w:val="24"/>
        </w:rPr>
        <w:t>Dentre os avanços com vistas à busca pelo equilíbrio fiscal</w:t>
      </w:r>
      <w:r w:rsidR="00B65999" w:rsidRPr="00A34D0B">
        <w:rPr>
          <w:sz w:val="24"/>
          <w:szCs w:val="24"/>
        </w:rPr>
        <w:t xml:space="preserve">, </w:t>
      </w:r>
      <w:r>
        <w:rPr>
          <w:sz w:val="24"/>
          <w:szCs w:val="24"/>
        </w:rPr>
        <w:t>destaca-se</w:t>
      </w:r>
      <w:r w:rsidR="00715BD1" w:rsidRPr="00A34D0B">
        <w:rPr>
          <w:sz w:val="24"/>
          <w:szCs w:val="24"/>
        </w:rPr>
        <w:t xml:space="preserve"> </w:t>
      </w:r>
      <w:r w:rsidR="00647CF1" w:rsidRPr="00A34D0B">
        <w:rPr>
          <w:sz w:val="24"/>
          <w:szCs w:val="24"/>
        </w:rPr>
        <w:t xml:space="preserve">a instituição do </w:t>
      </w:r>
      <w:r w:rsidR="00694A39">
        <w:rPr>
          <w:sz w:val="24"/>
          <w:szCs w:val="24"/>
        </w:rPr>
        <w:t>T</w:t>
      </w:r>
      <w:r w:rsidR="00694A39" w:rsidRPr="00A34D0B">
        <w:rPr>
          <w:sz w:val="24"/>
          <w:szCs w:val="24"/>
        </w:rPr>
        <w:t xml:space="preserve">eto </w:t>
      </w:r>
      <w:r w:rsidR="00715BD1" w:rsidRPr="00A34D0B">
        <w:rPr>
          <w:sz w:val="24"/>
          <w:szCs w:val="24"/>
        </w:rPr>
        <w:t xml:space="preserve">dos </w:t>
      </w:r>
      <w:r w:rsidR="00694A39">
        <w:rPr>
          <w:sz w:val="24"/>
          <w:szCs w:val="24"/>
        </w:rPr>
        <w:t>G</w:t>
      </w:r>
      <w:r w:rsidR="00694A39" w:rsidRPr="00A34D0B">
        <w:rPr>
          <w:sz w:val="24"/>
          <w:szCs w:val="24"/>
        </w:rPr>
        <w:t xml:space="preserve">astos </w:t>
      </w:r>
      <w:r w:rsidR="007500E6">
        <w:rPr>
          <w:sz w:val="24"/>
          <w:szCs w:val="24"/>
        </w:rPr>
        <w:t>no âmbito do</w:t>
      </w:r>
      <w:r w:rsidR="00715BD1" w:rsidRPr="00A34D0B">
        <w:rPr>
          <w:sz w:val="24"/>
          <w:szCs w:val="24"/>
        </w:rPr>
        <w:t xml:space="preserve"> Novo Regime Fiscal, implementado </w:t>
      </w:r>
      <w:r>
        <w:rPr>
          <w:sz w:val="24"/>
          <w:szCs w:val="24"/>
        </w:rPr>
        <w:t>em</w:t>
      </w:r>
      <w:r w:rsidRPr="00A34D0B">
        <w:rPr>
          <w:sz w:val="24"/>
          <w:szCs w:val="24"/>
        </w:rPr>
        <w:t xml:space="preserve"> </w:t>
      </w:r>
      <w:r w:rsidR="00715BD1" w:rsidRPr="00A34D0B">
        <w:rPr>
          <w:sz w:val="24"/>
          <w:szCs w:val="24"/>
        </w:rPr>
        <w:t>2017</w:t>
      </w:r>
      <w:r w:rsidR="00647CF1" w:rsidRPr="00A34D0B">
        <w:rPr>
          <w:sz w:val="24"/>
          <w:szCs w:val="24"/>
        </w:rPr>
        <w:t>,</w:t>
      </w:r>
      <w:r w:rsidR="00715BD1" w:rsidRPr="00A34D0B">
        <w:rPr>
          <w:sz w:val="24"/>
          <w:szCs w:val="24"/>
        </w:rPr>
        <w:t xml:space="preserve"> pela Emend</w:t>
      </w:r>
      <w:r w:rsidR="003B38C0" w:rsidRPr="00A34D0B">
        <w:rPr>
          <w:sz w:val="24"/>
          <w:szCs w:val="24"/>
        </w:rPr>
        <w:t xml:space="preserve">a Constitucional </w:t>
      </w:r>
      <w:r w:rsidR="00D758B8">
        <w:rPr>
          <w:sz w:val="24"/>
          <w:szCs w:val="24"/>
        </w:rPr>
        <w:t>(EC)</w:t>
      </w:r>
      <w:r w:rsidR="003B38C0" w:rsidRPr="00A34D0B">
        <w:rPr>
          <w:sz w:val="24"/>
          <w:szCs w:val="24"/>
        </w:rPr>
        <w:t xml:space="preserve"> </w:t>
      </w:r>
      <w:r w:rsidR="001F78E6" w:rsidRPr="00A34D0B">
        <w:rPr>
          <w:sz w:val="24"/>
          <w:szCs w:val="24"/>
        </w:rPr>
        <w:t>n</w:t>
      </w:r>
      <w:r w:rsidR="001F78E6">
        <w:rPr>
          <w:sz w:val="24"/>
          <w:szCs w:val="24"/>
        </w:rPr>
        <w:t>º</w:t>
      </w:r>
      <w:r w:rsidR="001F78E6" w:rsidRPr="00A34D0B">
        <w:rPr>
          <w:sz w:val="24"/>
          <w:szCs w:val="24"/>
        </w:rPr>
        <w:t xml:space="preserve"> </w:t>
      </w:r>
      <w:r w:rsidR="003B38C0" w:rsidRPr="00A34D0B">
        <w:rPr>
          <w:sz w:val="24"/>
          <w:szCs w:val="24"/>
        </w:rPr>
        <w:t xml:space="preserve">95, de 2016, que estabeleceu limite para </w:t>
      </w:r>
      <w:r w:rsidR="007500E6">
        <w:rPr>
          <w:sz w:val="24"/>
          <w:szCs w:val="24"/>
        </w:rPr>
        <w:t xml:space="preserve">as </w:t>
      </w:r>
      <w:r w:rsidR="003B38C0" w:rsidRPr="00A34D0B">
        <w:rPr>
          <w:sz w:val="24"/>
          <w:szCs w:val="24"/>
        </w:rPr>
        <w:t xml:space="preserve">despesas primárias </w:t>
      </w:r>
      <w:r w:rsidR="007500E6">
        <w:rPr>
          <w:sz w:val="24"/>
          <w:szCs w:val="24"/>
        </w:rPr>
        <w:t>por um período de</w:t>
      </w:r>
      <w:r w:rsidR="007500E6" w:rsidRPr="00A34D0B">
        <w:rPr>
          <w:sz w:val="24"/>
          <w:szCs w:val="24"/>
        </w:rPr>
        <w:t xml:space="preserve"> </w:t>
      </w:r>
      <w:r w:rsidR="003B38C0" w:rsidRPr="00A34D0B">
        <w:rPr>
          <w:sz w:val="24"/>
          <w:szCs w:val="24"/>
        </w:rPr>
        <w:t>vinte anos</w:t>
      </w:r>
      <w:r w:rsidR="00541922" w:rsidRPr="00A34D0B">
        <w:rPr>
          <w:sz w:val="24"/>
          <w:szCs w:val="24"/>
        </w:rPr>
        <w:t>, com base na inflação realizada</w:t>
      </w:r>
      <w:r w:rsidR="003B38C0" w:rsidRPr="00A34D0B">
        <w:rPr>
          <w:sz w:val="24"/>
          <w:szCs w:val="24"/>
        </w:rPr>
        <w:t xml:space="preserve">. Essa medida proporcionou </w:t>
      </w:r>
      <w:r w:rsidR="003C0DF7" w:rsidRPr="00A34D0B">
        <w:rPr>
          <w:sz w:val="24"/>
          <w:szCs w:val="24"/>
        </w:rPr>
        <w:t>melhoria do controle da trajetória intertemporal da despesa pública primária, que</w:t>
      </w:r>
      <w:r w:rsidR="00744593" w:rsidRPr="00A34D0B">
        <w:rPr>
          <w:sz w:val="24"/>
          <w:szCs w:val="24"/>
        </w:rPr>
        <w:t>,</w:t>
      </w:r>
      <w:r w:rsidR="003C0DF7" w:rsidRPr="00A34D0B">
        <w:rPr>
          <w:sz w:val="24"/>
          <w:szCs w:val="24"/>
        </w:rPr>
        <w:t xml:space="preserve"> no passado recente</w:t>
      </w:r>
      <w:r w:rsidR="00744593" w:rsidRPr="00A34D0B">
        <w:rPr>
          <w:sz w:val="24"/>
          <w:szCs w:val="24"/>
        </w:rPr>
        <w:t>,</w:t>
      </w:r>
      <w:r w:rsidR="003C0DF7" w:rsidRPr="00A34D0B">
        <w:rPr>
          <w:sz w:val="24"/>
          <w:szCs w:val="24"/>
        </w:rPr>
        <w:t xml:space="preserve"> apresentava taxas de crescimento muito acima da inflação</w:t>
      </w:r>
      <w:r w:rsidR="00BC1098">
        <w:rPr>
          <w:sz w:val="24"/>
          <w:szCs w:val="24"/>
        </w:rPr>
        <w:t>,</w:t>
      </w:r>
      <w:r>
        <w:rPr>
          <w:sz w:val="24"/>
          <w:szCs w:val="24"/>
        </w:rPr>
        <w:t xml:space="preserve"> </w:t>
      </w:r>
      <w:r w:rsidR="002D55A4" w:rsidRPr="00A34D0B">
        <w:rPr>
          <w:sz w:val="24"/>
          <w:szCs w:val="24"/>
        </w:rPr>
        <w:t>tendo sido</w:t>
      </w:r>
      <w:r w:rsidR="002E2167" w:rsidRPr="00A34D0B">
        <w:rPr>
          <w:sz w:val="24"/>
          <w:szCs w:val="24"/>
        </w:rPr>
        <w:t xml:space="preserve"> fator primordial para o crescimento da dívida pública na última década</w:t>
      </w:r>
      <w:r w:rsidR="003C0DF7" w:rsidRPr="00A34D0B">
        <w:rPr>
          <w:sz w:val="24"/>
          <w:szCs w:val="24"/>
        </w:rPr>
        <w:t>.</w:t>
      </w:r>
    </w:p>
    <w:p w14:paraId="05F61DFD" w14:textId="536B4203" w:rsidR="000932D0" w:rsidRPr="00A34D0B" w:rsidRDefault="00E30C93" w:rsidP="00A34D0B">
      <w:pPr>
        <w:spacing w:before="240"/>
        <w:ind w:firstLine="709"/>
        <w:jc w:val="both"/>
        <w:rPr>
          <w:sz w:val="24"/>
          <w:szCs w:val="24"/>
        </w:rPr>
      </w:pPr>
      <w:r w:rsidRPr="00A34D0B">
        <w:rPr>
          <w:sz w:val="24"/>
          <w:szCs w:val="24"/>
        </w:rPr>
        <w:t>Adicionalmente, diversas medidas de curto prazo, sobretudo no campo administrativo, já foram tomadas</w:t>
      </w:r>
      <w:r w:rsidR="001F78E6">
        <w:rPr>
          <w:sz w:val="24"/>
          <w:szCs w:val="24"/>
        </w:rPr>
        <w:t>,</w:t>
      </w:r>
      <w:r w:rsidRPr="00A34D0B">
        <w:rPr>
          <w:sz w:val="24"/>
          <w:szCs w:val="24"/>
        </w:rPr>
        <w:t xml:space="preserve"> </w:t>
      </w:r>
      <w:r w:rsidR="00BC42AE">
        <w:rPr>
          <w:sz w:val="24"/>
          <w:szCs w:val="24"/>
        </w:rPr>
        <w:t>com vistas à</w:t>
      </w:r>
      <w:r w:rsidR="00BC42AE" w:rsidRPr="00A34D0B">
        <w:rPr>
          <w:sz w:val="24"/>
          <w:szCs w:val="24"/>
        </w:rPr>
        <w:t xml:space="preserve"> </w:t>
      </w:r>
      <w:r w:rsidRPr="00A34D0B">
        <w:rPr>
          <w:sz w:val="24"/>
          <w:szCs w:val="24"/>
        </w:rPr>
        <w:t xml:space="preserve">racionalização do gasto público e </w:t>
      </w:r>
      <w:r w:rsidR="006155F9">
        <w:rPr>
          <w:sz w:val="24"/>
          <w:szCs w:val="24"/>
        </w:rPr>
        <w:t xml:space="preserve">à </w:t>
      </w:r>
      <w:r w:rsidRPr="00A34D0B">
        <w:rPr>
          <w:sz w:val="24"/>
          <w:szCs w:val="24"/>
        </w:rPr>
        <w:t>correção de</w:t>
      </w:r>
      <w:r w:rsidR="001F78E6">
        <w:rPr>
          <w:sz w:val="24"/>
          <w:szCs w:val="24"/>
        </w:rPr>
        <w:t xml:space="preserve"> eventuais</w:t>
      </w:r>
      <w:r w:rsidRPr="00A34D0B">
        <w:rPr>
          <w:sz w:val="24"/>
          <w:szCs w:val="24"/>
        </w:rPr>
        <w:t xml:space="preserve"> irregularidades. </w:t>
      </w:r>
      <w:r w:rsidR="000932D0" w:rsidRPr="00A34D0B">
        <w:rPr>
          <w:sz w:val="24"/>
          <w:szCs w:val="24"/>
        </w:rPr>
        <w:t>Nes</w:t>
      </w:r>
      <w:r w:rsidR="009A118C" w:rsidRPr="00A34D0B">
        <w:rPr>
          <w:sz w:val="24"/>
          <w:szCs w:val="24"/>
        </w:rPr>
        <w:t>s</w:t>
      </w:r>
      <w:r w:rsidR="000932D0" w:rsidRPr="00A34D0B">
        <w:rPr>
          <w:sz w:val="24"/>
          <w:szCs w:val="24"/>
        </w:rPr>
        <w:t xml:space="preserve">e sentido, vale mencionar a edição da </w:t>
      </w:r>
      <w:hyperlink r:id="rId9" w:history="1">
        <w:r w:rsidR="002E2167" w:rsidRPr="00A34D0B">
          <w:rPr>
            <w:sz w:val="24"/>
            <w:szCs w:val="24"/>
          </w:rPr>
          <w:t>Medida Provisória nº 871, de 18 de janeiro de 2019</w:t>
        </w:r>
      </w:hyperlink>
      <w:r w:rsidR="00FF12FB">
        <w:rPr>
          <w:sz w:val="24"/>
          <w:szCs w:val="24"/>
        </w:rPr>
        <w:t xml:space="preserve"> </w:t>
      </w:r>
      <w:r w:rsidR="00C224B4">
        <w:rPr>
          <w:sz w:val="24"/>
          <w:szCs w:val="24"/>
        </w:rPr>
        <w:t>(convertida na Lei n</w:t>
      </w:r>
      <w:r w:rsidR="00C224B4" w:rsidRPr="00C224B4">
        <w:rPr>
          <w:sz w:val="24"/>
          <w:szCs w:val="24"/>
        </w:rPr>
        <w:t xml:space="preserve">º 13.846, </w:t>
      </w:r>
      <w:r w:rsidR="00C224B4">
        <w:rPr>
          <w:sz w:val="24"/>
          <w:szCs w:val="24"/>
        </w:rPr>
        <w:t xml:space="preserve">de </w:t>
      </w:r>
      <w:r w:rsidR="00C224B4" w:rsidRPr="00C224B4">
        <w:rPr>
          <w:sz w:val="24"/>
          <w:szCs w:val="24"/>
        </w:rPr>
        <w:t xml:space="preserve">18 </w:t>
      </w:r>
      <w:r w:rsidR="00C224B4">
        <w:rPr>
          <w:sz w:val="24"/>
          <w:szCs w:val="24"/>
        </w:rPr>
        <w:t>de junho de</w:t>
      </w:r>
      <w:r w:rsidR="00C224B4" w:rsidRPr="00C224B4">
        <w:rPr>
          <w:sz w:val="24"/>
          <w:szCs w:val="24"/>
        </w:rPr>
        <w:t xml:space="preserve"> 2019</w:t>
      </w:r>
      <w:r w:rsidR="00C224B4">
        <w:rPr>
          <w:sz w:val="24"/>
          <w:szCs w:val="24"/>
        </w:rPr>
        <w:t>)</w:t>
      </w:r>
      <w:r w:rsidR="00E9551D">
        <w:rPr>
          <w:sz w:val="24"/>
          <w:szCs w:val="24"/>
        </w:rPr>
        <w:t>,</w:t>
      </w:r>
      <w:r w:rsidR="00C224B4">
        <w:rPr>
          <w:sz w:val="24"/>
          <w:szCs w:val="24"/>
        </w:rPr>
        <w:t xml:space="preserve"> </w:t>
      </w:r>
      <w:r w:rsidR="002E2167" w:rsidRPr="00A34D0B">
        <w:rPr>
          <w:sz w:val="24"/>
          <w:szCs w:val="24"/>
        </w:rPr>
        <w:t xml:space="preserve">focada na melhoria da gestão do Instituto Nacional do Seguro Social (INSS) para combate a fraudes e irregularidades, revisão de benefícios por incapacidade, redução da </w:t>
      </w:r>
      <w:proofErr w:type="spellStart"/>
      <w:r w:rsidR="002E2167" w:rsidRPr="00A34D0B">
        <w:rPr>
          <w:sz w:val="24"/>
          <w:szCs w:val="24"/>
        </w:rPr>
        <w:t>judicialização</w:t>
      </w:r>
      <w:proofErr w:type="spellEnd"/>
      <w:r w:rsidR="002E2167" w:rsidRPr="00A34D0B">
        <w:rPr>
          <w:sz w:val="24"/>
          <w:szCs w:val="24"/>
        </w:rPr>
        <w:t xml:space="preserve"> e dos gastos com benefícios indevidos ou pagos a maior.</w:t>
      </w:r>
      <w:r w:rsidR="004A2491" w:rsidRPr="00A34D0B">
        <w:rPr>
          <w:sz w:val="24"/>
          <w:szCs w:val="24"/>
        </w:rPr>
        <w:t xml:space="preserve"> </w:t>
      </w:r>
    </w:p>
    <w:p w14:paraId="4DE92290" w14:textId="5AB143F1" w:rsidR="004A2491" w:rsidRPr="00A34D0B" w:rsidRDefault="00264BED" w:rsidP="00A34D0B">
      <w:pPr>
        <w:spacing w:before="240"/>
        <w:ind w:firstLine="709"/>
        <w:jc w:val="both"/>
        <w:rPr>
          <w:sz w:val="24"/>
          <w:szCs w:val="24"/>
        </w:rPr>
      </w:pPr>
      <w:r w:rsidRPr="00A34D0B">
        <w:rPr>
          <w:sz w:val="24"/>
          <w:szCs w:val="24"/>
        </w:rPr>
        <w:t xml:space="preserve">No âmbito das reformas estruturais, </w:t>
      </w:r>
      <w:r w:rsidR="008224C6">
        <w:rPr>
          <w:sz w:val="24"/>
          <w:szCs w:val="24"/>
        </w:rPr>
        <w:t xml:space="preserve">destaca-se </w:t>
      </w:r>
      <w:r w:rsidRPr="00A34D0B">
        <w:rPr>
          <w:sz w:val="24"/>
          <w:szCs w:val="24"/>
        </w:rPr>
        <w:t xml:space="preserve">a </w:t>
      </w:r>
      <w:r w:rsidR="00414706">
        <w:rPr>
          <w:sz w:val="24"/>
          <w:szCs w:val="24"/>
        </w:rPr>
        <w:t xml:space="preserve">recente </w:t>
      </w:r>
      <w:r w:rsidR="008224C6">
        <w:rPr>
          <w:sz w:val="24"/>
          <w:szCs w:val="24"/>
        </w:rPr>
        <w:t xml:space="preserve">aprovação da </w:t>
      </w:r>
      <w:r w:rsidRPr="00A34D0B">
        <w:rPr>
          <w:sz w:val="24"/>
          <w:szCs w:val="24"/>
        </w:rPr>
        <w:t>Reforma da Previdência</w:t>
      </w:r>
      <w:r w:rsidR="008224C6">
        <w:rPr>
          <w:sz w:val="24"/>
          <w:szCs w:val="24"/>
        </w:rPr>
        <w:t xml:space="preserve"> pelo</w:t>
      </w:r>
      <w:r w:rsidR="006F061B" w:rsidRPr="00A34D0B">
        <w:rPr>
          <w:sz w:val="24"/>
          <w:szCs w:val="24"/>
        </w:rPr>
        <w:t xml:space="preserve"> Congresso Nacional</w:t>
      </w:r>
      <w:r w:rsidRPr="00A34D0B">
        <w:rPr>
          <w:sz w:val="24"/>
          <w:szCs w:val="24"/>
        </w:rPr>
        <w:t xml:space="preserve">, consubstanciada na Emenda Constitucional </w:t>
      </w:r>
      <w:r w:rsidR="001F78E6" w:rsidRPr="00A34D0B">
        <w:rPr>
          <w:sz w:val="24"/>
          <w:szCs w:val="24"/>
        </w:rPr>
        <w:t>n</w:t>
      </w:r>
      <w:r w:rsidR="001F78E6">
        <w:rPr>
          <w:sz w:val="24"/>
          <w:szCs w:val="24"/>
        </w:rPr>
        <w:t>º</w:t>
      </w:r>
      <w:r w:rsidR="001F78E6" w:rsidRPr="00A34D0B">
        <w:rPr>
          <w:sz w:val="24"/>
          <w:szCs w:val="24"/>
        </w:rPr>
        <w:t xml:space="preserve"> </w:t>
      </w:r>
      <w:r w:rsidR="00897C62">
        <w:rPr>
          <w:sz w:val="24"/>
          <w:szCs w:val="24"/>
        </w:rPr>
        <w:t>103</w:t>
      </w:r>
      <w:r w:rsidR="00E64A04" w:rsidRPr="00A34D0B">
        <w:rPr>
          <w:sz w:val="24"/>
          <w:szCs w:val="24"/>
        </w:rPr>
        <w:t>/2019</w:t>
      </w:r>
      <w:r w:rsidR="00D61B21" w:rsidRPr="00A34D0B">
        <w:rPr>
          <w:sz w:val="24"/>
          <w:szCs w:val="24"/>
        </w:rPr>
        <w:t xml:space="preserve">, </w:t>
      </w:r>
      <w:r w:rsidR="00ED2D48">
        <w:rPr>
          <w:sz w:val="24"/>
          <w:szCs w:val="24"/>
        </w:rPr>
        <w:t>que trata do</w:t>
      </w:r>
      <w:r w:rsidR="00ED2D48" w:rsidRPr="00A34D0B">
        <w:rPr>
          <w:sz w:val="24"/>
          <w:szCs w:val="24"/>
        </w:rPr>
        <w:t xml:space="preserve"> </w:t>
      </w:r>
      <w:r w:rsidR="00D61B21" w:rsidRPr="00A34D0B">
        <w:rPr>
          <w:sz w:val="24"/>
          <w:szCs w:val="24"/>
        </w:rPr>
        <w:t xml:space="preserve">Regime Geral </w:t>
      </w:r>
      <w:r w:rsidR="006155F9">
        <w:rPr>
          <w:sz w:val="24"/>
          <w:szCs w:val="24"/>
        </w:rPr>
        <w:t>de Previdência Social</w:t>
      </w:r>
      <w:r w:rsidR="00D61B21" w:rsidRPr="00A34D0B">
        <w:rPr>
          <w:sz w:val="24"/>
          <w:szCs w:val="24"/>
        </w:rPr>
        <w:t xml:space="preserve"> e</w:t>
      </w:r>
      <w:r w:rsidR="006155F9">
        <w:rPr>
          <w:sz w:val="24"/>
          <w:szCs w:val="24"/>
        </w:rPr>
        <w:t xml:space="preserve"> do Regime</w:t>
      </w:r>
      <w:r w:rsidR="00D61B21" w:rsidRPr="00A34D0B">
        <w:rPr>
          <w:sz w:val="24"/>
          <w:szCs w:val="24"/>
        </w:rPr>
        <w:t xml:space="preserve"> Próprio </w:t>
      </w:r>
      <w:r w:rsidR="006155F9">
        <w:rPr>
          <w:sz w:val="24"/>
          <w:szCs w:val="24"/>
        </w:rPr>
        <w:t xml:space="preserve">de Previdência </w:t>
      </w:r>
      <w:r w:rsidR="00D61B21" w:rsidRPr="00A34D0B">
        <w:rPr>
          <w:sz w:val="24"/>
          <w:szCs w:val="24"/>
        </w:rPr>
        <w:t>dos servidores públicos</w:t>
      </w:r>
      <w:r w:rsidR="004906EB" w:rsidRPr="00A34D0B">
        <w:rPr>
          <w:sz w:val="24"/>
          <w:szCs w:val="24"/>
        </w:rPr>
        <w:t xml:space="preserve">. </w:t>
      </w:r>
      <w:r w:rsidR="00DF1277" w:rsidRPr="0012279D">
        <w:rPr>
          <w:sz w:val="24"/>
          <w:szCs w:val="24"/>
        </w:rPr>
        <w:t>As</w:t>
      </w:r>
      <w:r w:rsidR="00DF1277" w:rsidRPr="00A34D0B">
        <w:rPr>
          <w:sz w:val="24"/>
          <w:szCs w:val="24"/>
        </w:rPr>
        <w:t xml:space="preserve"> </w:t>
      </w:r>
      <w:r w:rsidR="003D71A5" w:rsidRPr="00A34D0B">
        <w:rPr>
          <w:sz w:val="24"/>
          <w:szCs w:val="24"/>
        </w:rPr>
        <w:t>despesas</w:t>
      </w:r>
      <w:r w:rsidR="00DF1277" w:rsidRPr="00A34D0B">
        <w:rPr>
          <w:sz w:val="24"/>
          <w:szCs w:val="24"/>
        </w:rPr>
        <w:t xml:space="preserve"> com benefícios previdenciários representam</w:t>
      </w:r>
      <w:r w:rsidR="00A3222E" w:rsidRPr="00A34D0B">
        <w:rPr>
          <w:sz w:val="24"/>
          <w:szCs w:val="24"/>
        </w:rPr>
        <w:t>,</w:t>
      </w:r>
      <w:r w:rsidR="003D71A5" w:rsidRPr="00A34D0B">
        <w:rPr>
          <w:sz w:val="24"/>
          <w:szCs w:val="24"/>
        </w:rPr>
        <w:t xml:space="preserve"> no orçamento</w:t>
      </w:r>
      <w:r w:rsidR="00A3222E" w:rsidRPr="00A34D0B">
        <w:rPr>
          <w:sz w:val="24"/>
          <w:szCs w:val="24"/>
        </w:rPr>
        <w:t>,</w:t>
      </w:r>
      <w:r w:rsidR="003D71A5" w:rsidRPr="00A34D0B">
        <w:rPr>
          <w:sz w:val="24"/>
          <w:szCs w:val="24"/>
        </w:rPr>
        <w:t xml:space="preserve"> a maior parcela </w:t>
      </w:r>
      <w:r w:rsidR="00DF1277" w:rsidRPr="0012279D">
        <w:rPr>
          <w:sz w:val="24"/>
          <w:szCs w:val="24"/>
        </w:rPr>
        <w:t xml:space="preserve">das </w:t>
      </w:r>
      <w:r w:rsidR="003D71A5" w:rsidRPr="00A34D0B">
        <w:rPr>
          <w:sz w:val="24"/>
          <w:szCs w:val="24"/>
        </w:rPr>
        <w:t>despesas primárias, e</w:t>
      </w:r>
      <w:r w:rsidR="00DF1277" w:rsidRPr="00A34D0B">
        <w:rPr>
          <w:sz w:val="24"/>
          <w:szCs w:val="24"/>
        </w:rPr>
        <w:t xml:space="preserve"> dado o envelhecimento populacional esperado para as próximas décadas, </w:t>
      </w:r>
      <w:r w:rsidR="00A3222E" w:rsidRPr="00A34D0B">
        <w:rPr>
          <w:sz w:val="24"/>
          <w:szCs w:val="24"/>
        </w:rPr>
        <w:t xml:space="preserve">seu crescimento </w:t>
      </w:r>
      <w:r w:rsidR="003D71A5" w:rsidRPr="00A34D0B">
        <w:rPr>
          <w:sz w:val="24"/>
          <w:szCs w:val="24"/>
        </w:rPr>
        <w:t>proje</w:t>
      </w:r>
      <w:r w:rsidR="00A3222E" w:rsidRPr="00A34D0B">
        <w:rPr>
          <w:sz w:val="24"/>
          <w:szCs w:val="24"/>
        </w:rPr>
        <w:t>tado</w:t>
      </w:r>
      <w:r w:rsidR="003D71A5" w:rsidRPr="00A34D0B">
        <w:rPr>
          <w:sz w:val="24"/>
          <w:szCs w:val="24"/>
        </w:rPr>
        <w:t xml:space="preserve"> no longo prazo</w:t>
      </w:r>
      <w:r w:rsidR="001F78E6">
        <w:rPr>
          <w:sz w:val="24"/>
          <w:szCs w:val="24"/>
        </w:rPr>
        <w:t>,</w:t>
      </w:r>
      <w:r w:rsidR="00DF1277" w:rsidRPr="00A34D0B">
        <w:rPr>
          <w:sz w:val="24"/>
          <w:szCs w:val="24"/>
        </w:rPr>
        <w:t xml:space="preserve"> sob as regras vigentes</w:t>
      </w:r>
      <w:r w:rsidR="00414706">
        <w:rPr>
          <w:sz w:val="24"/>
          <w:szCs w:val="24"/>
        </w:rPr>
        <w:t xml:space="preserve"> até </w:t>
      </w:r>
      <w:r w:rsidR="00AF78B1">
        <w:rPr>
          <w:sz w:val="24"/>
          <w:szCs w:val="24"/>
        </w:rPr>
        <w:t>a aprovação da Reforma da Previdência</w:t>
      </w:r>
      <w:r w:rsidR="001F78E6">
        <w:rPr>
          <w:sz w:val="24"/>
          <w:szCs w:val="24"/>
        </w:rPr>
        <w:t>,</w:t>
      </w:r>
      <w:r w:rsidR="00DF1277" w:rsidRPr="00A34D0B">
        <w:rPr>
          <w:sz w:val="24"/>
          <w:szCs w:val="24"/>
        </w:rPr>
        <w:t xml:space="preserve"> aponta</w:t>
      </w:r>
      <w:r w:rsidR="00414706">
        <w:rPr>
          <w:sz w:val="24"/>
          <w:szCs w:val="24"/>
        </w:rPr>
        <w:t>va</w:t>
      </w:r>
      <w:r w:rsidR="00DF1277" w:rsidRPr="00A34D0B">
        <w:rPr>
          <w:sz w:val="24"/>
          <w:szCs w:val="24"/>
        </w:rPr>
        <w:t xml:space="preserve"> para uma trajetória insustentável</w:t>
      </w:r>
      <w:r w:rsidR="00ED2D48" w:rsidRPr="0012279D">
        <w:rPr>
          <w:sz w:val="24"/>
          <w:szCs w:val="24"/>
        </w:rPr>
        <w:t>.</w:t>
      </w:r>
      <w:r w:rsidR="003D71A5" w:rsidRPr="00A34D0B">
        <w:rPr>
          <w:sz w:val="24"/>
          <w:szCs w:val="24"/>
        </w:rPr>
        <w:t xml:space="preserve"> </w:t>
      </w:r>
      <w:r w:rsidR="00DF1277" w:rsidRPr="00A34D0B">
        <w:rPr>
          <w:sz w:val="24"/>
          <w:szCs w:val="24"/>
        </w:rPr>
        <w:t>Reformar o Sistema de Previdência Social</w:t>
      </w:r>
      <w:r w:rsidR="00ED2D48">
        <w:rPr>
          <w:sz w:val="24"/>
          <w:szCs w:val="24"/>
        </w:rPr>
        <w:t>, portanto,</w:t>
      </w:r>
      <w:r w:rsidR="00DF1277" w:rsidRPr="00A34D0B">
        <w:rPr>
          <w:sz w:val="24"/>
          <w:szCs w:val="24"/>
        </w:rPr>
        <w:t xml:space="preserve"> </w:t>
      </w:r>
      <w:r w:rsidR="00414706">
        <w:rPr>
          <w:sz w:val="24"/>
          <w:szCs w:val="24"/>
        </w:rPr>
        <w:t>foi</w:t>
      </w:r>
      <w:r w:rsidR="00414706" w:rsidRPr="00A34D0B">
        <w:rPr>
          <w:sz w:val="24"/>
          <w:szCs w:val="24"/>
        </w:rPr>
        <w:t xml:space="preserve"> </w:t>
      </w:r>
      <w:r w:rsidR="00DF1277" w:rsidRPr="00A34D0B">
        <w:rPr>
          <w:sz w:val="24"/>
          <w:szCs w:val="24"/>
        </w:rPr>
        <w:t>crucial para reduzir o ritmo de crescimento dessas despesas, resultando em menor pressão sobre as contas públicas.</w:t>
      </w:r>
    </w:p>
    <w:p w14:paraId="349058CE" w14:textId="75D68A85" w:rsidR="00BF7FF5" w:rsidRPr="00A34D0B" w:rsidRDefault="00BF7FF5" w:rsidP="005F0ED6">
      <w:pPr>
        <w:spacing w:before="240"/>
        <w:ind w:firstLine="709"/>
        <w:jc w:val="both"/>
        <w:rPr>
          <w:sz w:val="24"/>
          <w:szCs w:val="24"/>
        </w:rPr>
      </w:pPr>
      <w:r w:rsidRPr="00C224B4">
        <w:rPr>
          <w:sz w:val="24"/>
          <w:szCs w:val="24"/>
        </w:rPr>
        <w:t>A Nova Previdência e o Teto d</w:t>
      </w:r>
      <w:r w:rsidR="00694A39" w:rsidRPr="00C224B4">
        <w:rPr>
          <w:sz w:val="24"/>
          <w:szCs w:val="24"/>
        </w:rPr>
        <w:t>os</w:t>
      </w:r>
      <w:r w:rsidRPr="00C224B4">
        <w:rPr>
          <w:sz w:val="24"/>
          <w:szCs w:val="24"/>
        </w:rPr>
        <w:t xml:space="preserve"> Gastos, aliados à austeridade na condução da política fiscal, geraram em 2019 um ambiente de menor risco fiscal, com queda dos juros de equilíbrio e </w:t>
      </w:r>
      <w:r w:rsidRPr="00C224B4">
        <w:rPr>
          <w:sz w:val="24"/>
          <w:szCs w:val="24"/>
        </w:rPr>
        <w:lastRenderedPageBreak/>
        <w:t xml:space="preserve">expectativas de inflação ancoradas. As políticas voltadas para eliminar as fontes de má alocação de recursos na economia, por sua vez, </w:t>
      </w:r>
      <w:r w:rsidR="00F76EA2" w:rsidRPr="00C224B4">
        <w:rPr>
          <w:sz w:val="24"/>
          <w:szCs w:val="24"/>
        </w:rPr>
        <w:t>contribuíram</w:t>
      </w:r>
      <w:r w:rsidR="005F0ED6" w:rsidRPr="00C224B4">
        <w:rPr>
          <w:sz w:val="24"/>
          <w:szCs w:val="24"/>
        </w:rPr>
        <w:t xml:space="preserve"> </w:t>
      </w:r>
      <w:r w:rsidRPr="00C224B4">
        <w:rPr>
          <w:sz w:val="24"/>
          <w:szCs w:val="24"/>
        </w:rPr>
        <w:t>para aumentar a produtividade e a retomada do crescimento do PIB.</w:t>
      </w:r>
    </w:p>
    <w:p w14:paraId="7BF1F0FF" w14:textId="5A044C96" w:rsidR="00414706" w:rsidRDefault="00D86D74" w:rsidP="00A34D0B">
      <w:pPr>
        <w:spacing w:before="240"/>
        <w:ind w:firstLine="709"/>
        <w:jc w:val="both"/>
        <w:rPr>
          <w:sz w:val="24"/>
          <w:szCs w:val="24"/>
        </w:rPr>
      </w:pPr>
      <w:r>
        <w:rPr>
          <w:sz w:val="24"/>
          <w:szCs w:val="24"/>
        </w:rPr>
        <w:t xml:space="preserve">Porém, a emergência </w:t>
      </w:r>
      <w:r w:rsidR="00AF78B1">
        <w:rPr>
          <w:sz w:val="24"/>
          <w:szCs w:val="24"/>
        </w:rPr>
        <w:t>d</w:t>
      </w:r>
      <w:r w:rsidR="006C61A8">
        <w:rPr>
          <w:sz w:val="24"/>
          <w:szCs w:val="24"/>
        </w:rPr>
        <w:t>a</w:t>
      </w:r>
      <w:r>
        <w:rPr>
          <w:sz w:val="24"/>
          <w:szCs w:val="24"/>
        </w:rPr>
        <w:t xml:space="preserve"> pandemia relacionada ao novo coronavírus impacta negativamente a situação fiscal no curto prazo, uma vez que resulta em efeitos adversos</w:t>
      </w:r>
      <w:r w:rsidR="00C379A7">
        <w:rPr>
          <w:sz w:val="24"/>
          <w:szCs w:val="24"/>
        </w:rPr>
        <w:t>,</w:t>
      </w:r>
      <w:r>
        <w:rPr>
          <w:sz w:val="24"/>
          <w:szCs w:val="24"/>
        </w:rPr>
        <w:t xml:space="preserve"> tanto sobre as receitas públicas quanto sobre a despesa. Do lado da receita, o menor ritmo de atividade econômica </w:t>
      </w:r>
      <w:r w:rsidR="006C61A8">
        <w:rPr>
          <w:sz w:val="24"/>
          <w:szCs w:val="24"/>
        </w:rPr>
        <w:t>tem um efeito redutor sobre a</w:t>
      </w:r>
      <w:r>
        <w:rPr>
          <w:sz w:val="24"/>
          <w:szCs w:val="24"/>
        </w:rPr>
        <w:t xml:space="preserve"> arrecadação. Na despesa, tanto a necessidade </w:t>
      </w:r>
      <w:r w:rsidR="00884D28">
        <w:rPr>
          <w:sz w:val="24"/>
          <w:szCs w:val="24"/>
        </w:rPr>
        <w:t xml:space="preserve">de reforçar a capacidade do sistema de saúde para enfrentar as causas e efeitos da pandemia, quanto os seus desdobramentos sobre </w:t>
      </w:r>
      <w:r w:rsidR="00BF7FF5">
        <w:rPr>
          <w:sz w:val="24"/>
          <w:szCs w:val="24"/>
        </w:rPr>
        <w:t>o nível de</w:t>
      </w:r>
      <w:r w:rsidR="00884D28">
        <w:rPr>
          <w:sz w:val="24"/>
          <w:szCs w:val="24"/>
        </w:rPr>
        <w:t xml:space="preserve"> atividade econômica e de emprego, resultam </w:t>
      </w:r>
      <w:r w:rsidR="00BF7FF5">
        <w:rPr>
          <w:sz w:val="24"/>
          <w:szCs w:val="24"/>
        </w:rPr>
        <w:t xml:space="preserve">em uma </w:t>
      </w:r>
      <w:r w:rsidR="00884D28">
        <w:rPr>
          <w:sz w:val="24"/>
          <w:szCs w:val="24"/>
        </w:rPr>
        <w:t xml:space="preserve">maior pressão </w:t>
      </w:r>
      <w:r w:rsidR="00C379A7">
        <w:rPr>
          <w:sz w:val="24"/>
          <w:szCs w:val="24"/>
        </w:rPr>
        <w:t>por</w:t>
      </w:r>
      <w:r w:rsidR="00884D28">
        <w:rPr>
          <w:sz w:val="24"/>
          <w:szCs w:val="24"/>
        </w:rPr>
        <w:t xml:space="preserve"> gastos</w:t>
      </w:r>
      <w:r w:rsidR="00BF7FF5">
        <w:rPr>
          <w:sz w:val="24"/>
          <w:szCs w:val="24"/>
        </w:rPr>
        <w:t xml:space="preserve"> públicos</w:t>
      </w:r>
      <w:r w:rsidR="00884D28">
        <w:rPr>
          <w:sz w:val="24"/>
          <w:szCs w:val="24"/>
        </w:rPr>
        <w:t>.</w:t>
      </w:r>
    </w:p>
    <w:p w14:paraId="40FBC3F0" w14:textId="42A66144" w:rsidR="00884D28" w:rsidRDefault="00DF6420" w:rsidP="00A34D0B">
      <w:pPr>
        <w:spacing w:before="240"/>
        <w:ind w:firstLine="709"/>
        <w:jc w:val="both"/>
        <w:rPr>
          <w:sz w:val="24"/>
          <w:szCs w:val="24"/>
        </w:rPr>
      </w:pPr>
      <w:r>
        <w:rPr>
          <w:sz w:val="24"/>
          <w:szCs w:val="24"/>
        </w:rPr>
        <w:t xml:space="preserve">Nesse sentido, foi reconhecido o </w:t>
      </w:r>
      <w:r w:rsidRPr="00DF6420">
        <w:rPr>
          <w:sz w:val="24"/>
          <w:szCs w:val="24"/>
        </w:rPr>
        <w:t>estado de calamidade pública por meio do Decreto Legislativo nº 6, de 20 de março de 2020</w:t>
      </w:r>
      <w:r w:rsidR="00FB3E0C">
        <w:rPr>
          <w:sz w:val="24"/>
          <w:szCs w:val="24"/>
        </w:rPr>
        <w:t>, o que</w:t>
      </w:r>
      <w:r w:rsidRPr="00DF6420">
        <w:rPr>
          <w:sz w:val="24"/>
          <w:szCs w:val="24"/>
        </w:rPr>
        <w:t xml:space="preserve"> </w:t>
      </w:r>
      <w:r w:rsidR="00DB1F0D">
        <w:rPr>
          <w:sz w:val="24"/>
          <w:szCs w:val="24"/>
        </w:rPr>
        <w:t xml:space="preserve">dispensou </w:t>
      </w:r>
      <w:r w:rsidRPr="00DF6420">
        <w:rPr>
          <w:sz w:val="24"/>
          <w:szCs w:val="24"/>
        </w:rPr>
        <w:t xml:space="preserve">a observância da meta de resultado </w:t>
      </w:r>
      <w:r w:rsidR="005C3FD8">
        <w:rPr>
          <w:sz w:val="24"/>
          <w:szCs w:val="24"/>
        </w:rPr>
        <w:t>primário</w:t>
      </w:r>
      <w:r w:rsidRPr="00DF6420">
        <w:rPr>
          <w:sz w:val="24"/>
          <w:szCs w:val="24"/>
        </w:rPr>
        <w:t xml:space="preserve"> constante da Lei </w:t>
      </w:r>
      <w:r w:rsidR="00FB3E0C">
        <w:rPr>
          <w:sz w:val="24"/>
          <w:szCs w:val="24"/>
        </w:rPr>
        <w:t xml:space="preserve">nº 13.898, de 11 de novembro de 2019, Lei </w:t>
      </w:r>
      <w:r w:rsidRPr="00DF6420">
        <w:rPr>
          <w:sz w:val="24"/>
          <w:szCs w:val="24"/>
        </w:rPr>
        <w:t xml:space="preserve">de Diretrizes Orçamentárias – LDO </w:t>
      </w:r>
      <w:r w:rsidR="00FB3E0C">
        <w:rPr>
          <w:sz w:val="24"/>
          <w:szCs w:val="24"/>
        </w:rPr>
        <w:t xml:space="preserve">de </w:t>
      </w:r>
      <w:r w:rsidRPr="00DF6420">
        <w:rPr>
          <w:sz w:val="24"/>
          <w:szCs w:val="24"/>
        </w:rPr>
        <w:t xml:space="preserve">2020, exceção prevista no art. 65 da </w:t>
      </w:r>
      <w:r w:rsidR="00FB3E0C">
        <w:rPr>
          <w:sz w:val="24"/>
          <w:szCs w:val="24"/>
        </w:rPr>
        <w:t>Lei Complementar nº 101, de 4 de maio de 2000, a denominada Lei de Responsabilidade Fiscal - LRF</w:t>
      </w:r>
      <w:r w:rsidRPr="00DF6420">
        <w:rPr>
          <w:sz w:val="24"/>
          <w:szCs w:val="24"/>
        </w:rPr>
        <w:t>.</w:t>
      </w:r>
    </w:p>
    <w:p w14:paraId="6E6E1153" w14:textId="0D9EB8A2" w:rsidR="005C3FD8" w:rsidRDefault="00A35767" w:rsidP="00A34D0B">
      <w:pPr>
        <w:spacing w:before="240"/>
        <w:ind w:firstLine="709"/>
        <w:jc w:val="both"/>
        <w:rPr>
          <w:sz w:val="24"/>
          <w:szCs w:val="24"/>
        </w:rPr>
      </w:pPr>
      <w:r>
        <w:rPr>
          <w:sz w:val="24"/>
          <w:szCs w:val="24"/>
        </w:rPr>
        <w:t>Dign</w:t>
      </w:r>
      <w:r w:rsidR="00C379A7">
        <w:rPr>
          <w:sz w:val="24"/>
          <w:szCs w:val="24"/>
        </w:rPr>
        <w:t>a</w:t>
      </w:r>
      <w:r>
        <w:rPr>
          <w:sz w:val="24"/>
          <w:szCs w:val="24"/>
        </w:rPr>
        <w:t xml:space="preserve"> de nota, </w:t>
      </w:r>
      <w:r w:rsidR="004F1E26">
        <w:rPr>
          <w:sz w:val="24"/>
          <w:szCs w:val="24"/>
        </w:rPr>
        <w:t>é a edição de medidas provisórias que abre</w:t>
      </w:r>
      <w:r w:rsidR="00002270">
        <w:rPr>
          <w:sz w:val="24"/>
          <w:szCs w:val="24"/>
        </w:rPr>
        <w:t>m</w:t>
      </w:r>
      <w:r w:rsidR="004F1E26">
        <w:rPr>
          <w:sz w:val="24"/>
          <w:szCs w:val="24"/>
        </w:rPr>
        <w:t xml:space="preserve"> volume expressivo de créditos extraordinários para despesas que visam </w:t>
      </w:r>
      <w:r w:rsidR="00002270">
        <w:rPr>
          <w:sz w:val="24"/>
          <w:szCs w:val="24"/>
        </w:rPr>
        <w:t>a</w:t>
      </w:r>
      <w:r w:rsidR="004F1E26">
        <w:rPr>
          <w:sz w:val="24"/>
          <w:szCs w:val="24"/>
        </w:rPr>
        <w:t>o enfrentamento das causas e efeitos da pandemia</w:t>
      </w:r>
      <w:r w:rsidR="00A74724">
        <w:rPr>
          <w:sz w:val="24"/>
          <w:szCs w:val="24"/>
        </w:rPr>
        <w:t xml:space="preserve">, o que reflete a pronta ação do Governo Federal ao problema. Destaca-se que créditos extraordinários não são computados </w:t>
      </w:r>
      <w:r w:rsidR="007B201B">
        <w:rPr>
          <w:sz w:val="24"/>
          <w:szCs w:val="24"/>
        </w:rPr>
        <w:t xml:space="preserve">no </w:t>
      </w:r>
      <w:r w:rsidR="00A74724">
        <w:rPr>
          <w:sz w:val="24"/>
          <w:szCs w:val="24"/>
        </w:rPr>
        <w:t>Teto do</w:t>
      </w:r>
      <w:r w:rsidR="00694A39">
        <w:rPr>
          <w:sz w:val="24"/>
          <w:szCs w:val="24"/>
        </w:rPr>
        <w:t>s</w:t>
      </w:r>
      <w:r w:rsidR="00A74724">
        <w:rPr>
          <w:sz w:val="24"/>
          <w:szCs w:val="24"/>
        </w:rPr>
        <w:t xml:space="preserve"> Gasto</w:t>
      </w:r>
      <w:r w:rsidR="00694A39">
        <w:rPr>
          <w:sz w:val="24"/>
          <w:szCs w:val="24"/>
        </w:rPr>
        <w:t>s</w:t>
      </w:r>
      <w:r w:rsidR="007B201B">
        <w:rPr>
          <w:sz w:val="24"/>
          <w:szCs w:val="24"/>
        </w:rPr>
        <w:t xml:space="preserve"> </w:t>
      </w:r>
      <w:r w:rsidR="00A74724">
        <w:rPr>
          <w:sz w:val="24"/>
          <w:szCs w:val="24"/>
        </w:rPr>
        <w:t xml:space="preserve">previsto no </w:t>
      </w:r>
      <w:r w:rsidR="00BF7FF5">
        <w:rPr>
          <w:sz w:val="24"/>
          <w:szCs w:val="24"/>
        </w:rPr>
        <w:t>A</w:t>
      </w:r>
      <w:r w:rsidR="00A74724">
        <w:rPr>
          <w:sz w:val="24"/>
          <w:szCs w:val="24"/>
        </w:rPr>
        <w:t xml:space="preserve">rt. 107 do Ato de Disposições Constitucionais Transitórias – ADCT da Constituição Federal, e que o efeito, em termos fiscais, é </w:t>
      </w:r>
      <w:r w:rsidR="007B201B">
        <w:rPr>
          <w:sz w:val="24"/>
          <w:szCs w:val="24"/>
        </w:rPr>
        <w:t xml:space="preserve">a </w:t>
      </w:r>
      <w:r w:rsidR="00A74724">
        <w:rPr>
          <w:sz w:val="24"/>
          <w:szCs w:val="24"/>
        </w:rPr>
        <w:t>amplia</w:t>
      </w:r>
      <w:r w:rsidR="007B201B">
        <w:rPr>
          <w:sz w:val="24"/>
          <w:szCs w:val="24"/>
        </w:rPr>
        <w:t>ção</w:t>
      </w:r>
      <w:r w:rsidR="00A74724">
        <w:rPr>
          <w:sz w:val="24"/>
          <w:szCs w:val="24"/>
        </w:rPr>
        <w:t xml:space="preserve"> </w:t>
      </w:r>
      <w:r w:rsidR="007B201B">
        <w:rPr>
          <w:sz w:val="24"/>
          <w:szCs w:val="24"/>
        </w:rPr>
        <w:t>d</w:t>
      </w:r>
      <w:r w:rsidR="00A74724">
        <w:rPr>
          <w:sz w:val="24"/>
          <w:szCs w:val="24"/>
        </w:rPr>
        <w:t>o déficit primário no exercício financeiro de 2020</w:t>
      </w:r>
      <w:r w:rsidR="00901EE6">
        <w:rPr>
          <w:sz w:val="24"/>
          <w:szCs w:val="24"/>
        </w:rPr>
        <w:t xml:space="preserve"> e o esgotamento de recursos de superávits financeiros, além, da necessidade de maior endividamento</w:t>
      </w:r>
      <w:r w:rsidR="00A74724">
        <w:rPr>
          <w:sz w:val="24"/>
          <w:szCs w:val="24"/>
        </w:rPr>
        <w:t>.</w:t>
      </w:r>
    </w:p>
    <w:p w14:paraId="6DC002CA" w14:textId="3519763C" w:rsidR="00B20185" w:rsidRDefault="007B201B" w:rsidP="00302272">
      <w:pPr>
        <w:spacing w:before="240"/>
        <w:ind w:firstLine="709"/>
        <w:jc w:val="both"/>
        <w:rPr>
          <w:sz w:val="24"/>
          <w:szCs w:val="24"/>
        </w:rPr>
      </w:pPr>
      <w:r>
        <w:rPr>
          <w:sz w:val="24"/>
          <w:szCs w:val="24"/>
        </w:rPr>
        <w:t>Apesar da expectativa de retomada gradual do crescimento econômico a partir de 2021, os efeitos adversos da pandemia sobre a situação fiscal se prologam, uma vez que um aumento do déficit primário no exercício financeiro de 2020 implica o aumento da dívid</w:t>
      </w:r>
      <w:r w:rsidR="00B20185">
        <w:rPr>
          <w:sz w:val="24"/>
          <w:szCs w:val="24"/>
        </w:rPr>
        <w:t>a pública, e que o ritmo de atividade econômica</w:t>
      </w:r>
      <w:r w:rsidR="00811833">
        <w:rPr>
          <w:sz w:val="24"/>
          <w:szCs w:val="24"/>
        </w:rPr>
        <w:t>,</w:t>
      </w:r>
      <w:r w:rsidR="00B20185">
        <w:rPr>
          <w:sz w:val="24"/>
          <w:szCs w:val="24"/>
        </w:rPr>
        <w:t xml:space="preserve"> menor </w:t>
      </w:r>
      <w:r w:rsidR="00BF7FF5">
        <w:rPr>
          <w:sz w:val="24"/>
          <w:szCs w:val="24"/>
        </w:rPr>
        <w:t xml:space="preserve">do </w:t>
      </w:r>
      <w:r w:rsidR="00B20185">
        <w:rPr>
          <w:sz w:val="24"/>
          <w:szCs w:val="24"/>
        </w:rPr>
        <w:t>que o esperado para 2020</w:t>
      </w:r>
      <w:r w:rsidR="00811833">
        <w:rPr>
          <w:sz w:val="24"/>
          <w:szCs w:val="24"/>
        </w:rPr>
        <w:t>,</w:t>
      </w:r>
      <w:r w:rsidR="00B20185">
        <w:rPr>
          <w:sz w:val="24"/>
          <w:szCs w:val="24"/>
        </w:rPr>
        <w:t xml:space="preserve"> tem implicações negativas para a receita pública nos anos subsequentes, uma vez que o crescimento econômico nos anos seguintes </w:t>
      </w:r>
      <w:r w:rsidR="00E20F02">
        <w:rPr>
          <w:sz w:val="24"/>
          <w:szCs w:val="24"/>
        </w:rPr>
        <w:t xml:space="preserve">passa a </w:t>
      </w:r>
      <w:r w:rsidR="00B20185">
        <w:rPr>
          <w:sz w:val="24"/>
          <w:szCs w:val="24"/>
        </w:rPr>
        <w:t>se d</w:t>
      </w:r>
      <w:r w:rsidR="00E20F02">
        <w:rPr>
          <w:sz w:val="24"/>
          <w:szCs w:val="24"/>
        </w:rPr>
        <w:t>ar</w:t>
      </w:r>
      <w:r w:rsidR="00B20185">
        <w:rPr>
          <w:sz w:val="24"/>
          <w:szCs w:val="24"/>
        </w:rPr>
        <w:t xml:space="preserve">, em termos nominais, sobre uma base </w:t>
      </w:r>
      <w:r w:rsidR="00BF7FF5">
        <w:rPr>
          <w:sz w:val="24"/>
          <w:szCs w:val="24"/>
        </w:rPr>
        <w:t xml:space="preserve">tributária </w:t>
      </w:r>
      <w:r w:rsidR="00E20F02">
        <w:rPr>
          <w:sz w:val="24"/>
          <w:szCs w:val="24"/>
        </w:rPr>
        <w:t>menos favorável</w:t>
      </w:r>
      <w:r w:rsidR="00002270">
        <w:rPr>
          <w:sz w:val="24"/>
          <w:szCs w:val="24"/>
        </w:rPr>
        <w:t xml:space="preserve"> que a esperada anteriormente.</w:t>
      </w:r>
    </w:p>
    <w:p w14:paraId="4DF3B63E" w14:textId="55F18A44" w:rsidR="00B20185" w:rsidRDefault="00002270" w:rsidP="00302272">
      <w:pPr>
        <w:spacing w:before="240"/>
        <w:ind w:firstLine="709"/>
        <w:jc w:val="both"/>
        <w:rPr>
          <w:sz w:val="24"/>
          <w:szCs w:val="24"/>
        </w:rPr>
      </w:pPr>
      <w:r>
        <w:rPr>
          <w:sz w:val="24"/>
          <w:szCs w:val="24"/>
        </w:rPr>
        <w:t>Dessa forma, o</w:t>
      </w:r>
      <w:r w:rsidR="008E05E5">
        <w:rPr>
          <w:sz w:val="24"/>
          <w:szCs w:val="24"/>
        </w:rPr>
        <w:t xml:space="preserve"> impacto adverso da pandemia </w:t>
      </w:r>
      <w:r w:rsidR="008857B1">
        <w:rPr>
          <w:sz w:val="24"/>
          <w:szCs w:val="24"/>
        </w:rPr>
        <w:t>reforça ainda mais</w:t>
      </w:r>
      <w:r w:rsidR="00B20185">
        <w:rPr>
          <w:sz w:val="24"/>
          <w:szCs w:val="24"/>
        </w:rPr>
        <w:t xml:space="preserve"> o compromisso </w:t>
      </w:r>
      <w:r w:rsidR="00A85A92">
        <w:rPr>
          <w:sz w:val="24"/>
          <w:szCs w:val="24"/>
        </w:rPr>
        <w:t xml:space="preserve">do Governo Federal com objetivos de </w:t>
      </w:r>
      <w:r w:rsidR="00BF7FF5">
        <w:rPr>
          <w:sz w:val="24"/>
          <w:szCs w:val="24"/>
        </w:rPr>
        <w:t xml:space="preserve">austeridade e </w:t>
      </w:r>
      <w:r w:rsidR="00A85A92">
        <w:rPr>
          <w:sz w:val="24"/>
          <w:szCs w:val="24"/>
        </w:rPr>
        <w:t xml:space="preserve">sustentabilidade fiscal de longo prazo, </w:t>
      </w:r>
      <w:r w:rsidR="00E20F02">
        <w:rPr>
          <w:sz w:val="24"/>
          <w:szCs w:val="24"/>
        </w:rPr>
        <w:t>tornando-se</w:t>
      </w:r>
      <w:r w:rsidR="008E05E5">
        <w:rPr>
          <w:sz w:val="24"/>
          <w:szCs w:val="24"/>
        </w:rPr>
        <w:t xml:space="preserve"> ainda mais premente avançar na agenda de reformas estruturais.</w:t>
      </w:r>
    </w:p>
    <w:p w14:paraId="03DFDC3C" w14:textId="2CD9B2DD" w:rsidR="00380DA6" w:rsidRPr="007B46FC" w:rsidRDefault="008E05E5" w:rsidP="00A34D0B">
      <w:pPr>
        <w:spacing w:before="240"/>
        <w:ind w:firstLine="709"/>
        <w:jc w:val="both"/>
        <w:rPr>
          <w:sz w:val="24"/>
          <w:szCs w:val="24"/>
        </w:rPr>
      </w:pPr>
      <w:r>
        <w:rPr>
          <w:sz w:val="24"/>
          <w:szCs w:val="24"/>
        </w:rPr>
        <w:t xml:space="preserve">Após </w:t>
      </w:r>
      <w:r w:rsidR="00A3222E">
        <w:rPr>
          <w:sz w:val="24"/>
          <w:szCs w:val="24"/>
        </w:rPr>
        <w:t>a Reforma da Previdência, o</w:t>
      </w:r>
      <w:r w:rsidR="00380DA6" w:rsidRPr="007B46FC">
        <w:rPr>
          <w:sz w:val="24"/>
          <w:szCs w:val="24"/>
        </w:rPr>
        <w:t>utras medidas</w:t>
      </w:r>
      <w:r w:rsidR="002E1C63">
        <w:rPr>
          <w:sz w:val="24"/>
          <w:szCs w:val="24"/>
        </w:rPr>
        <w:t xml:space="preserve"> com impacto fiscal</w:t>
      </w:r>
      <w:r w:rsidR="00A3222E">
        <w:rPr>
          <w:sz w:val="24"/>
          <w:szCs w:val="24"/>
        </w:rPr>
        <w:t xml:space="preserve"> já se encontram</w:t>
      </w:r>
      <w:r w:rsidR="00380DA6" w:rsidRPr="007B46FC">
        <w:rPr>
          <w:sz w:val="24"/>
          <w:szCs w:val="24"/>
        </w:rPr>
        <w:t xml:space="preserve"> </w:t>
      </w:r>
      <w:r w:rsidR="00A3222E">
        <w:rPr>
          <w:sz w:val="24"/>
          <w:szCs w:val="24"/>
        </w:rPr>
        <w:t>em razoável estágio de maturação</w:t>
      </w:r>
      <w:r w:rsidR="00380DA6" w:rsidRPr="007B46FC">
        <w:rPr>
          <w:sz w:val="24"/>
          <w:szCs w:val="24"/>
        </w:rPr>
        <w:t xml:space="preserve">, </w:t>
      </w:r>
      <w:r w:rsidR="00A3222E">
        <w:rPr>
          <w:sz w:val="24"/>
          <w:szCs w:val="24"/>
        </w:rPr>
        <w:t>e</w:t>
      </w:r>
      <w:r w:rsidR="00380DA6" w:rsidRPr="007B46FC">
        <w:rPr>
          <w:sz w:val="24"/>
          <w:szCs w:val="24"/>
        </w:rPr>
        <w:t xml:space="preserve"> também são consistentes com </w:t>
      </w:r>
      <w:r w:rsidR="00A3222E">
        <w:rPr>
          <w:sz w:val="24"/>
          <w:szCs w:val="24"/>
        </w:rPr>
        <w:t>os objetivos de</w:t>
      </w:r>
      <w:r w:rsidR="00380DA6" w:rsidRPr="007B46FC">
        <w:rPr>
          <w:sz w:val="24"/>
          <w:szCs w:val="24"/>
        </w:rPr>
        <w:t xml:space="preserve"> </w:t>
      </w:r>
      <w:r w:rsidR="00BF7FF5">
        <w:rPr>
          <w:sz w:val="24"/>
          <w:szCs w:val="24"/>
        </w:rPr>
        <w:t xml:space="preserve">austeridade e </w:t>
      </w:r>
      <w:r w:rsidR="00380DA6" w:rsidRPr="007B46FC">
        <w:rPr>
          <w:sz w:val="24"/>
          <w:szCs w:val="24"/>
        </w:rPr>
        <w:t xml:space="preserve">sustentabilidade fiscal de médio e longo prazo. Dentre </w:t>
      </w:r>
      <w:r w:rsidR="002C428F">
        <w:rPr>
          <w:sz w:val="24"/>
          <w:szCs w:val="24"/>
        </w:rPr>
        <w:t>elas</w:t>
      </w:r>
      <w:r w:rsidR="00380DA6" w:rsidRPr="007B46FC">
        <w:rPr>
          <w:sz w:val="24"/>
          <w:szCs w:val="24"/>
        </w:rPr>
        <w:t>, destacam-se</w:t>
      </w:r>
      <w:r w:rsidR="008410FB">
        <w:rPr>
          <w:sz w:val="24"/>
          <w:szCs w:val="24"/>
        </w:rPr>
        <w:t>:</w:t>
      </w:r>
      <w:r w:rsidR="00380DA6" w:rsidRPr="007B46FC">
        <w:rPr>
          <w:sz w:val="24"/>
          <w:szCs w:val="24"/>
        </w:rPr>
        <w:t xml:space="preserve"> a reforma tributária</w:t>
      </w:r>
      <w:r w:rsidR="008410FB">
        <w:rPr>
          <w:sz w:val="24"/>
          <w:szCs w:val="24"/>
        </w:rPr>
        <w:t>;</w:t>
      </w:r>
      <w:r w:rsidR="00380DA6" w:rsidRPr="007B46FC">
        <w:rPr>
          <w:sz w:val="24"/>
          <w:szCs w:val="24"/>
        </w:rPr>
        <w:t xml:space="preserve"> a </w:t>
      </w:r>
      <w:r w:rsidR="00A3222E">
        <w:rPr>
          <w:sz w:val="24"/>
          <w:szCs w:val="24"/>
        </w:rPr>
        <w:t>desmobilização de ativos</w:t>
      </w:r>
      <w:r w:rsidR="002E1C63">
        <w:rPr>
          <w:sz w:val="24"/>
          <w:szCs w:val="24"/>
        </w:rPr>
        <w:t xml:space="preserve"> -</w:t>
      </w:r>
      <w:r w:rsidR="00A3222E">
        <w:rPr>
          <w:sz w:val="24"/>
          <w:szCs w:val="24"/>
        </w:rPr>
        <w:t xml:space="preserve"> tendo como exemplo a </w:t>
      </w:r>
      <w:r w:rsidR="00380DA6" w:rsidRPr="007B46FC">
        <w:rPr>
          <w:sz w:val="24"/>
          <w:szCs w:val="24"/>
        </w:rPr>
        <w:t>redução d</w:t>
      </w:r>
      <w:r w:rsidR="00A3222E">
        <w:rPr>
          <w:sz w:val="24"/>
          <w:szCs w:val="24"/>
        </w:rPr>
        <w:t>o</w:t>
      </w:r>
      <w:r w:rsidR="00380DA6" w:rsidRPr="007B46FC">
        <w:rPr>
          <w:sz w:val="24"/>
          <w:szCs w:val="24"/>
        </w:rPr>
        <w:t xml:space="preserve"> número de</w:t>
      </w:r>
      <w:r w:rsidR="00A3222E">
        <w:rPr>
          <w:sz w:val="24"/>
          <w:szCs w:val="24"/>
        </w:rPr>
        <w:t xml:space="preserve"> empresas</w:t>
      </w:r>
      <w:r w:rsidR="00380DA6" w:rsidRPr="007B46FC">
        <w:rPr>
          <w:sz w:val="24"/>
          <w:szCs w:val="24"/>
        </w:rPr>
        <w:t xml:space="preserve"> estatais</w:t>
      </w:r>
      <w:r w:rsidR="008410FB">
        <w:rPr>
          <w:sz w:val="24"/>
          <w:szCs w:val="24"/>
        </w:rPr>
        <w:t>;</w:t>
      </w:r>
      <w:r w:rsidR="00380DA6" w:rsidRPr="007B46FC">
        <w:rPr>
          <w:sz w:val="24"/>
          <w:szCs w:val="24"/>
        </w:rPr>
        <w:t xml:space="preserve"> o aumento da liberalização comercial</w:t>
      </w:r>
      <w:r w:rsidR="008410FB">
        <w:rPr>
          <w:sz w:val="24"/>
          <w:szCs w:val="24"/>
        </w:rPr>
        <w:t>;</w:t>
      </w:r>
      <w:r w:rsidR="00380DA6" w:rsidRPr="007B46FC">
        <w:rPr>
          <w:sz w:val="24"/>
          <w:szCs w:val="24"/>
        </w:rPr>
        <w:t xml:space="preserve"> e a re</w:t>
      </w:r>
      <w:r w:rsidR="00A3222E">
        <w:rPr>
          <w:sz w:val="24"/>
          <w:szCs w:val="24"/>
        </w:rPr>
        <w:t>forma administrativa</w:t>
      </w:r>
      <w:r w:rsidR="00380DA6" w:rsidRPr="007B46FC">
        <w:rPr>
          <w:sz w:val="24"/>
          <w:szCs w:val="24"/>
        </w:rPr>
        <w:t>. Os efeitos fiscais dessas medidas serão diretos</w:t>
      </w:r>
      <w:r w:rsidR="00594016">
        <w:rPr>
          <w:sz w:val="24"/>
          <w:szCs w:val="24"/>
        </w:rPr>
        <w:t>,</w:t>
      </w:r>
      <w:r w:rsidR="00594016" w:rsidRPr="00594016">
        <w:rPr>
          <w:sz w:val="24"/>
          <w:szCs w:val="24"/>
        </w:rPr>
        <w:t xml:space="preserve"> </w:t>
      </w:r>
      <w:r w:rsidR="00D7769C">
        <w:rPr>
          <w:sz w:val="24"/>
          <w:szCs w:val="24"/>
        </w:rPr>
        <w:t xml:space="preserve">traduzindo-se em </w:t>
      </w:r>
      <w:r w:rsidR="00594016" w:rsidRPr="007B46FC">
        <w:rPr>
          <w:sz w:val="24"/>
          <w:szCs w:val="24"/>
        </w:rPr>
        <w:t>aumento das receitas e</w:t>
      </w:r>
      <w:r w:rsidR="008410FB">
        <w:rPr>
          <w:sz w:val="24"/>
          <w:szCs w:val="24"/>
        </w:rPr>
        <w:t>/ou</w:t>
      </w:r>
      <w:r w:rsidR="00594016" w:rsidRPr="007B46FC">
        <w:rPr>
          <w:sz w:val="24"/>
          <w:szCs w:val="24"/>
        </w:rPr>
        <w:t xml:space="preserve"> a redução de despesas</w:t>
      </w:r>
      <w:r w:rsidR="00594016">
        <w:rPr>
          <w:sz w:val="24"/>
          <w:szCs w:val="24"/>
        </w:rPr>
        <w:t>,</w:t>
      </w:r>
      <w:r w:rsidR="00380DA6" w:rsidRPr="007B46FC">
        <w:rPr>
          <w:sz w:val="24"/>
          <w:szCs w:val="24"/>
        </w:rPr>
        <w:t xml:space="preserve"> ou indiretos</w:t>
      </w:r>
      <w:r w:rsidR="00594016">
        <w:rPr>
          <w:sz w:val="24"/>
          <w:szCs w:val="24"/>
        </w:rPr>
        <w:t xml:space="preserve">, </w:t>
      </w:r>
      <w:r w:rsidR="00380DA6" w:rsidRPr="007B46FC">
        <w:rPr>
          <w:sz w:val="24"/>
          <w:szCs w:val="24"/>
        </w:rPr>
        <w:t xml:space="preserve">verificados </w:t>
      </w:r>
      <w:r w:rsidR="000A74B7">
        <w:rPr>
          <w:sz w:val="24"/>
          <w:szCs w:val="24"/>
        </w:rPr>
        <w:t>pelo maior dinamismo da economia</w:t>
      </w:r>
      <w:r w:rsidR="00380DA6" w:rsidRPr="007B46FC">
        <w:rPr>
          <w:sz w:val="24"/>
          <w:szCs w:val="24"/>
        </w:rPr>
        <w:t>.</w:t>
      </w:r>
    </w:p>
    <w:p w14:paraId="3E10AF2E" w14:textId="2BA68848" w:rsidR="00380DA6" w:rsidRPr="007B46FC" w:rsidRDefault="00E14DF8" w:rsidP="00A34D0B">
      <w:pPr>
        <w:spacing w:before="240"/>
        <w:ind w:firstLine="709"/>
        <w:jc w:val="both"/>
        <w:rPr>
          <w:sz w:val="24"/>
          <w:szCs w:val="24"/>
        </w:rPr>
      </w:pPr>
      <w:r>
        <w:rPr>
          <w:sz w:val="24"/>
          <w:szCs w:val="24"/>
        </w:rPr>
        <w:lastRenderedPageBreak/>
        <w:t>Dentre as reformas com efeito direto, destaca-se a</w:t>
      </w:r>
      <w:r w:rsidR="00380DA6" w:rsidRPr="007B46FC">
        <w:rPr>
          <w:sz w:val="24"/>
          <w:szCs w:val="24"/>
        </w:rPr>
        <w:t xml:space="preserve"> reforma tributária</w:t>
      </w:r>
      <w:r>
        <w:rPr>
          <w:sz w:val="24"/>
          <w:szCs w:val="24"/>
        </w:rPr>
        <w:t>, que</w:t>
      </w:r>
      <w:r w:rsidR="00380DA6" w:rsidRPr="007B46FC">
        <w:rPr>
          <w:sz w:val="24"/>
          <w:szCs w:val="24"/>
        </w:rPr>
        <w:t xml:space="preserve"> </w:t>
      </w:r>
      <w:r w:rsidR="002E1C63">
        <w:rPr>
          <w:sz w:val="24"/>
          <w:szCs w:val="24"/>
        </w:rPr>
        <w:t xml:space="preserve">avançará </w:t>
      </w:r>
      <w:r w:rsidR="00380DA6" w:rsidRPr="007B46FC">
        <w:rPr>
          <w:sz w:val="24"/>
          <w:szCs w:val="24"/>
        </w:rPr>
        <w:t xml:space="preserve">na direção de um sistema tributário </w:t>
      </w:r>
      <w:r>
        <w:rPr>
          <w:sz w:val="24"/>
          <w:szCs w:val="24"/>
        </w:rPr>
        <w:t xml:space="preserve">mais </w:t>
      </w:r>
      <w:r w:rsidR="00380DA6" w:rsidRPr="007B46FC">
        <w:rPr>
          <w:sz w:val="24"/>
          <w:szCs w:val="24"/>
        </w:rPr>
        <w:t>simplificado</w:t>
      </w:r>
      <w:r w:rsidR="002E1C63">
        <w:rPr>
          <w:sz w:val="24"/>
          <w:szCs w:val="24"/>
        </w:rPr>
        <w:t>,</w:t>
      </w:r>
      <w:r w:rsidR="002E1C63" w:rsidRPr="002E1C63">
        <w:rPr>
          <w:sz w:val="24"/>
          <w:szCs w:val="24"/>
        </w:rPr>
        <w:t xml:space="preserve"> </w:t>
      </w:r>
      <w:r w:rsidR="00D32C20">
        <w:rPr>
          <w:sz w:val="24"/>
          <w:szCs w:val="24"/>
        </w:rPr>
        <w:t>neutro do ponto de vista da receita total,</w:t>
      </w:r>
      <w:r w:rsidR="002E1C63" w:rsidRPr="002E1C63">
        <w:rPr>
          <w:sz w:val="24"/>
          <w:szCs w:val="24"/>
        </w:rPr>
        <w:t xml:space="preserve"> </w:t>
      </w:r>
      <w:r w:rsidR="002E1C63">
        <w:rPr>
          <w:sz w:val="24"/>
          <w:szCs w:val="24"/>
        </w:rPr>
        <w:t>com menores</w:t>
      </w:r>
      <w:r w:rsidR="00380DA6" w:rsidRPr="007B46FC">
        <w:rPr>
          <w:sz w:val="24"/>
          <w:szCs w:val="24"/>
        </w:rPr>
        <w:t xml:space="preserve"> custos </w:t>
      </w:r>
      <w:r w:rsidR="002E1C63">
        <w:rPr>
          <w:sz w:val="24"/>
          <w:szCs w:val="24"/>
        </w:rPr>
        <w:t>de</w:t>
      </w:r>
      <w:r w:rsidR="00380DA6" w:rsidRPr="007B46FC">
        <w:rPr>
          <w:sz w:val="24"/>
          <w:szCs w:val="24"/>
        </w:rPr>
        <w:t xml:space="preserve"> fornecimento de informações às autoridades fiscais</w:t>
      </w:r>
      <w:r w:rsidR="00D32C20">
        <w:rPr>
          <w:sz w:val="24"/>
          <w:szCs w:val="24"/>
        </w:rPr>
        <w:t xml:space="preserve"> por parte das empresas e diminuição dos litígios tributários</w:t>
      </w:r>
      <w:r w:rsidR="00380DA6" w:rsidRPr="007B46FC">
        <w:rPr>
          <w:sz w:val="24"/>
          <w:szCs w:val="24"/>
        </w:rPr>
        <w:t xml:space="preserve">. </w:t>
      </w:r>
      <w:r w:rsidR="0035083B">
        <w:rPr>
          <w:sz w:val="24"/>
          <w:szCs w:val="24"/>
        </w:rPr>
        <w:t>Tal reforma busca a</w:t>
      </w:r>
      <w:r w:rsidR="0035083B" w:rsidRPr="007B46FC">
        <w:rPr>
          <w:sz w:val="24"/>
          <w:szCs w:val="24"/>
        </w:rPr>
        <w:t xml:space="preserve"> elimina</w:t>
      </w:r>
      <w:r w:rsidR="0035083B">
        <w:rPr>
          <w:sz w:val="24"/>
          <w:szCs w:val="24"/>
        </w:rPr>
        <w:t>ção</w:t>
      </w:r>
      <w:r w:rsidR="0035083B" w:rsidRPr="007B46FC">
        <w:rPr>
          <w:sz w:val="24"/>
          <w:szCs w:val="24"/>
        </w:rPr>
        <w:t xml:space="preserve"> </w:t>
      </w:r>
      <w:r w:rsidR="0035083B">
        <w:rPr>
          <w:sz w:val="24"/>
          <w:szCs w:val="24"/>
        </w:rPr>
        <w:t>d</w:t>
      </w:r>
      <w:r w:rsidR="00380DA6" w:rsidRPr="007B46FC">
        <w:rPr>
          <w:sz w:val="24"/>
          <w:szCs w:val="24"/>
        </w:rPr>
        <w:t xml:space="preserve">as redundâncias e </w:t>
      </w:r>
      <w:r w:rsidR="0035083B">
        <w:rPr>
          <w:sz w:val="24"/>
          <w:szCs w:val="24"/>
        </w:rPr>
        <w:t>d</w:t>
      </w:r>
      <w:r w:rsidR="00380DA6" w:rsidRPr="007B46FC">
        <w:rPr>
          <w:sz w:val="24"/>
          <w:szCs w:val="24"/>
        </w:rPr>
        <w:t xml:space="preserve">as ineficiências, visando minimizar os custos de conformidade e melhorar o ambiente de negócios. </w:t>
      </w:r>
    </w:p>
    <w:p w14:paraId="211D5932" w14:textId="514C661A" w:rsidR="00E14DF8" w:rsidRDefault="00E14DF8" w:rsidP="00A34D0B">
      <w:pPr>
        <w:spacing w:before="240"/>
        <w:ind w:firstLine="709"/>
        <w:jc w:val="both"/>
        <w:rPr>
          <w:sz w:val="24"/>
          <w:szCs w:val="24"/>
        </w:rPr>
      </w:pPr>
      <w:r>
        <w:rPr>
          <w:sz w:val="24"/>
          <w:szCs w:val="24"/>
        </w:rPr>
        <w:t xml:space="preserve">Outra reforma </w:t>
      </w:r>
      <w:r w:rsidR="002E1C63">
        <w:rPr>
          <w:sz w:val="24"/>
          <w:szCs w:val="24"/>
        </w:rPr>
        <w:t xml:space="preserve">com </w:t>
      </w:r>
      <w:r>
        <w:rPr>
          <w:sz w:val="24"/>
          <w:szCs w:val="24"/>
        </w:rPr>
        <w:t>impacto direto</w:t>
      </w:r>
      <w:r w:rsidR="002E1C63" w:rsidRPr="002E1C63">
        <w:rPr>
          <w:sz w:val="24"/>
          <w:szCs w:val="24"/>
        </w:rPr>
        <w:t xml:space="preserve"> </w:t>
      </w:r>
      <w:r w:rsidR="002E1C63">
        <w:rPr>
          <w:sz w:val="24"/>
          <w:szCs w:val="24"/>
        </w:rPr>
        <w:t>sobre as contas públicas é a</w:t>
      </w:r>
      <w:r w:rsidR="00A63AA2">
        <w:rPr>
          <w:sz w:val="24"/>
          <w:szCs w:val="24"/>
        </w:rPr>
        <w:t xml:space="preserve"> </w:t>
      </w:r>
      <w:r w:rsidR="00380DA6" w:rsidRPr="007B46FC">
        <w:rPr>
          <w:sz w:val="24"/>
          <w:szCs w:val="24"/>
        </w:rPr>
        <w:t xml:space="preserve">reforma administrativa. A situação fiscal atual e o cenário de contração dos gastos discricionários demandam uma revisão no funcionamento da Administração Pública. A dinâmica das relações de trabalho no âmbito da Administração Pública Federal e a forma como as carreiras estão organizadas atualmente contribuem, sobremaneira, para </w:t>
      </w:r>
      <w:r w:rsidR="00002270">
        <w:rPr>
          <w:sz w:val="24"/>
          <w:szCs w:val="24"/>
        </w:rPr>
        <w:t xml:space="preserve">distorções e </w:t>
      </w:r>
      <w:r w:rsidR="00380DA6" w:rsidRPr="007B46FC">
        <w:rPr>
          <w:sz w:val="24"/>
          <w:szCs w:val="24"/>
        </w:rPr>
        <w:t>ineficiência</w:t>
      </w:r>
      <w:r w:rsidR="00D21FDE">
        <w:rPr>
          <w:sz w:val="24"/>
          <w:szCs w:val="24"/>
        </w:rPr>
        <w:t>s</w:t>
      </w:r>
      <w:r w:rsidR="00380DA6" w:rsidRPr="007B46FC">
        <w:rPr>
          <w:sz w:val="24"/>
          <w:szCs w:val="24"/>
        </w:rPr>
        <w:t xml:space="preserve"> </w:t>
      </w:r>
      <w:r w:rsidR="00D21FDE">
        <w:rPr>
          <w:sz w:val="24"/>
          <w:szCs w:val="24"/>
        </w:rPr>
        <w:t xml:space="preserve">na atuação </w:t>
      </w:r>
      <w:r w:rsidR="00380DA6" w:rsidRPr="007B46FC">
        <w:rPr>
          <w:sz w:val="24"/>
          <w:szCs w:val="24"/>
        </w:rPr>
        <w:t xml:space="preserve">do setor público. Os modelos de </w:t>
      </w:r>
      <w:r w:rsidR="00E61C77" w:rsidRPr="007B46FC">
        <w:rPr>
          <w:sz w:val="24"/>
          <w:szCs w:val="24"/>
        </w:rPr>
        <w:t>aquisiç</w:t>
      </w:r>
      <w:r w:rsidR="00E61C77">
        <w:rPr>
          <w:sz w:val="24"/>
          <w:szCs w:val="24"/>
        </w:rPr>
        <w:t>ão</w:t>
      </w:r>
      <w:r w:rsidR="00E61C77" w:rsidRPr="007B46FC">
        <w:rPr>
          <w:sz w:val="24"/>
          <w:szCs w:val="24"/>
        </w:rPr>
        <w:t xml:space="preserve"> </w:t>
      </w:r>
      <w:r w:rsidR="00380DA6" w:rsidRPr="007B46FC">
        <w:rPr>
          <w:sz w:val="24"/>
          <w:szCs w:val="24"/>
        </w:rPr>
        <w:t xml:space="preserve">de bens e contratação de serviços também </w:t>
      </w:r>
      <w:r w:rsidR="00D21FDE">
        <w:rPr>
          <w:sz w:val="24"/>
          <w:szCs w:val="24"/>
        </w:rPr>
        <w:t>devem ser</w:t>
      </w:r>
      <w:r w:rsidR="00D21FDE" w:rsidRPr="007B46FC">
        <w:rPr>
          <w:sz w:val="24"/>
          <w:szCs w:val="24"/>
        </w:rPr>
        <w:t xml:space="preserve"> </w:t>
      </w:r>
      <w:r w:rsidR="00380DA6" w:rsidRPr="007B46FC">
        <w:rPr>
          <w:sz w:val="24"/>
          <w:szCs w:val="24"/>
        </w:rPr>
        <w:t xml:space="preserve">revistos com o objetivo de reduzir o dispêndio com tempo e recursos, </w:t>
      </w:r>
      <w:r w:rsidR="002E1C63">
        <w:rPr>
          <w:sz w:val="24"/>
          <w:szCs w:val="24"/>
        </w:rPr>
        <w:t>e</w:t>
      </w:r>
      <w:r w:rsidR="00380DA6" w:rsidRPr="007B46FC">
        <w:rPr>
          <w:sz w:val="24"/>
          <w:szCs w:val="24"/>
        </w:rPr>
        <w:t xml:space="preserve"> de aumentar </w:t>
      </w:r>
      <w:r w:rsidR="002E1C63">
        <w:rPr>
          <w:sz w:val="24"/>
          <w:szCs w:val="24"/>
        </w:rPr>
        <w:t xml:space="preserve">a </w:t>
      </w:r>
      <w:r w:rsidR="00380DA6" w:rsidRPr="007B46FC">
        <w:rPr>
          <w:sz w:val="24"/>
          <w:szCs w:val="24"/>
        </w:rPr>
        <w:t xml:space="preserve">qualidade das compras. </w:t>
      </w:r>
    </w:p>
    <w:p w14:paraId="7DF392B3" w14:textId="254F255F" w:rsidR="00380DA6" w:rsidRDefault="00380DA6" w:rsidP="00A34D0B">
      <w:pPr>
        <w:spacing w:before="240"/>
        <w:ind w:firstLine="709"/>
        <w:jc w:val="both"/>
        <w:rPr>
          <w:sz w:val="24"/>
          <w:szCs w:val="24"/>
        </w:rPr>
      </w:pPr>
      <w:r w:rsidRPr="007B46FC">
        <w:rPr>
          <w:sz w:val="24"/>
          <w:szCs w:val="24"/>
        </w:rPr>
        <w:t>A</w:t>
      </w:r>
      <w:r w:rsidR="00CD0A3D">
        <w:rPr>
          <w:sz w:val="24"/>
          <w:szCs w:val="24"/>
        </w:rPr>
        <w:t xml:space="preserve"> reforma administrativa pretende</w:t>
      </w:r>
      <w:r w:rsidRPr="007B46FC">
        <w:rPr>
          <w:sz w:val="24"/>
          <w:szCs w:val="24"/>
        </w:rPr>
        <w:t xml:space="preserve"> aprofundar a racionalização para alcançar também os equipamentos públicos presentes em todo o território nacional e eliminar sobreposições e redundâncias, notadamente</w:t>
      </w:r>
      <w:r w:rsidR="002E1C63" w:rsidRPr="002E1C63">
        <w:rPr>
          <w:sz w:val="24"/>
          <w:szCs w:val="24"/>
        </w:rPr>
        <w:t xml:space="preserve"> </w:t>
      </w:r>
      <w:r w:rsidR="002E1C63">
        <w:rPr>
          <w:sz w:val="24"/>
          <w:szCs w:val="24"/>
        </w:rPr>
        <w:t>aquelas</w:t>
      </w:r>
      <w:r w:rsidRPr="007B46FC">
        <w:rPr>
          <w:sz w:val="24"/>
          <w:szCs w:val="24"/>
        </w:rPr>
        <w:t xml:space="preserve"> existentes nas representações estaduais dos ministérios e de órgãos centrais. </w:t>
      </w:r>
      <w:r w:rsidR="00DE40F0">
        <w:rPr>
          <w:sz w:val="24"/>
          <w:szCs w:val="24"/>
        </w:rPr>
        <w:t>Pretende-se que as i</w:t>
      </w:r>
      <w:r w:rsidRPr="007B46FC">
        <w:rPr>
          <w:sz w:val="24"/>
          <w:szCs w:val="24"/>
        </w:rPr>
        <w:t xml:space="preserve">niciativas que reduzam o peso do Estado sobre os cidadãos e as empresas </w:t>
      </w:r>
      <w:r w:rsidR="00811833">
        <w:rPr>
          <w:sz w:val="24"/>
          <w:szCs w:val="24"/>
        </w:rPr>
        <w:t>e que</w:t>
      </w:r>
      <w:r w:rsidRPr="007B46FC">
        <w:rPr>
          <w:sz w:val="24"/>
          <w:szCs w:val="24"/>
        </w:rPr>
        <w:t xml:space="preserve"> </w:t>
      </w:r>
      <w:r>
        <w:rPr>
          <w:sz w:val="24"/>
          <w:szCs w:val="24"/>
        </w:rPr>
        <w:t>terão como foco</w:t>
      </w:r>
      <w:r w:rsidRPr="007B46FC">
        <w:rPr>
          <w:sz w:val="24"/>
          <w:szCs w:val="24"/>
        </w:rPr>
        <w:t xml:space="preserve"> as políticas públicas e as relações administrativas no âmbito das diversas áreas de atuação governamental.</w:t>
      </w:r>
      <w:r w:rsidR="00CD0A3D">
        <w:rPr>
          <w:sz w:val="24"/>
          <w:szCs w:val="24"/>
        </w:rPr>
        <w:t xml:space="preserve"> Para isso, medidas para desmobilização de ativos e redução do setor produtivo estatal encontram-se em estudo, e também possuem potencial de redução de custos no médio prazo.</w:t>
      </w:r>
    </w:p>
    <w:p w14:paraId="2AB3A8E9" w14:textId="68596F72" w:rsidR="00D21FDE" w:rsidRPr="007B46FC" w:rsidRDefault="00CD0A3D" w:rsidP="00A34D0B">
      <w:pPr>
        <w:spacing w:before="240"/>
        <w:ind w:firstLine="709"/>
        <w:jc w:val="both"/>
        <w:rPr>
          <w:sz w:val="24"/>
          <w:szCs w:val="24"/>
        </w:rPr>
      </w:pPr>
      <w:r>
        <w:rPr>
          <w:sz w:val="24"/>
          <w:szCs w:val="24"/>
        </w:rPr>
        <w:t>Portanto, toda a agenda de reformas fiscais antes mencionada, com impacto direto</w:t>
      </w:r>
      <w:r w:rsidR="008A2592">
        <w:rPr>
          <w:sz w:val="24"/>
          <w:szCs w:val="24"/>
        </w:rPr>
        <w:t xml:space="preserve"> e indireto</w:t>
      </w:r>
      <w:r>
        <w:rPr>
          <w:sz w:val="24"/>
          <w:szCs w:val="24"/>
        </w:rPr>
        <w:t xml:space="preserve"> nas contas públicas, </w:t>
      </w:r>
      <w:r w:rsidR="00434D14">
        <w:rPr>
          <w:sz w:val="24"/>
          <w:szCs w:val="24"/>
        </w:rPr>
        <w:t>une-se</w:t>
      </w:r>
      <w:r>
        <w:rPr>
          <w:sz w:val="24"/>
          <w:szCs w:val="24"/>
        </w:rPr>
        <w:t xml:space="preserve"> a outras medidas econômicas</w:t>
      </w:r>
      <w:r w:rsidR="00003085">
        <w:rPr>
          <w:sz w:val="24"/>
          <w:szCs w:val="24"/>
        </w:rPr>
        <w:t>,</w:t>
      </w:r>
      <w:r>
        <w:rPr>
          <w:sz w:val="24"/>
          <w:szCs w:val="24"/>
        </w:rPr>
        <w:t xml:space="preserve"> como a </w:t>
      </w:r>
      <w:r w:rsidR="002E1C63">
        <w:rPr>
          <w:sz w:val="24"/>
          <w:szCs w:val="24"/>
        </w:rPr>
        <w:t>abertura</w:t>
      </w:r>
      <w:r>
        <w:rPr>
          <w:sz w:val="24"/>
          <w:szCs w:val="24"/>
        </w:rPr>
        <w:t xml:space="preserve"> comercial, que produzirá maior dinamismo na atividade econômica do País, reforçando e </w:t>
      </w:r>
      <w:r w:rsidR="00027618">
        <w:rPr>
          <w:sz w:val="24"/>
          <w:szCs w:val="24"/>
        </w:rPr>
        <w:t xml:space="preserve">consolidando o quadro de </w:t>
      </w:r>
      <w:r w:rsidR="00D32C20">
        <w:rPr>
          <w:sz w:val="24"/>
          <w:szCs w:val="24"/>
        </w:rPr>
        <w:t xml:space="preserve">austeridade e </w:t>
      </w:r>
      <w:r w:rsidR="00027618">
        <w:rPr>
          <w:sz w:val="24"/>
          <w:szCs w:val="24"/>
        </w:rPr>
        <w:t xml:space="preserve">sustentabilidade fiscal pretendida, essencial para </w:t>
      </w:r>
      <w:r w:rsidR="002E1C63">
        <w:rPr>
          <w:sz w:val="24"/>
          <w:szCs w:val="24"/>
        </w:rPr>
        <w:t xml:space="preserve">a </w:t>
      </w:r>
      <w:r w:rsidR="00027618">
        <w:rPr>
          <w:sz w:val="24"/>
          <w:szCs w:val="24"/>
        </w:rPr>
        <w:t>retomada da confiança, da credibilidade, do investimento</w:t>
      </w:r>
      <w:r w:rsidR="002E1C63">
        <w:rPr>
          <w:sz w:val="24"/>
          <w:szCs w:val="24"/>
        </w:rPr>
        <w:t xml:space="preserve"> e do</w:t>
      </w:r>
      <w:r w:rsidR="00027618">
        <w:rPr>
          <w:sz w:val="24"/>
          <w:szCs w:val="24"/>
        </w:rPr>
        <w:t xml:space="preserve"> crescimento</w:t>
      </w:r>
      <w:r w:rsidR="002E1C63" w:rsidRPr="002E1C63">
        <w:rPr>
          <w:sz w:val="24"/>
          <w:szCs w:val="24"/>
        </w:rPr>
        <w:t xml:space="preserve"> </w:t>
      </w:r>
      <w:r w:rsidR="002E1C63">
        <w:rPr>
          <w:sz w:val="24"/>
          <w:szCs w:val="24"/>
        </w:rPr>
        <w:t xml:space="preserve">econômico de longo prazo forte, </w:t>
      </w:r>
      <w:r w:rsidR="00D32C20">
        <w:rPr>
          <w:sz w:val="24"/>
          <w:szCs w:val="24"/>
        </w:rPr>
        <w:t xml:space="preserve">sustentável, </w:t>
      </w:r>
      <w:r w:rsidR="002E1C63">
        <w:rPr>
          <w:sz w:val="24"/>
          <w:szCs w:val="24"/>
        </w:rPr>
        <w:t>equilibrado e inclusivo</w:t>
      </w:r>
      <w:r w:rsidR="00027618">
        <w:rPr>
          <w:sz w:val="24"/>
          <w:szCs w:val="24"/>
        </w:rPr>
        <w:t>.</w:t>
      </w:r>
    </w:p>
    <w:p w14:paraId="494C4D52" w14:textId="77777777" w:rsidR="00A24D76" w:rsidRPr="00A24D76" w:rsidRDefault="007F693E">
      <w:pPr>
        <w:rPr>
          <w:b/>
          <w:u w:val="single"/>
        </w:rPr>
      </w:pPr>
      <w:r>
        <w:rPr>
          <w:b/>
          <w:u w:val="single"/>
        </w:rPr>
        <w:t xml:space="preserve">D) </w:t>
      </w:r>
      <w:r w:rsidR="00A24D76" w:rsidRPr="00A24D76">
        <w:rPr>
          <w:b/>
          <w:u w:val="single"/>
        </w:rPr>
        <w:t>Perspectivas fiscais</w:t>
      </w:r>
    </w:p>
    <w:p w14:paraId="0F3F12E4" w14:textId="3115264A" w:rsidR="00380DA6" w:rsidRPr="00A34D0B" w:rsidRDefault="00472F7B" w:rsidP="00A34D0B">
      <w:pPr>
        <w:spacing w:before="240"/>
        <w:ind w:firstLine="709"/>
        <w:jc w:val="both"/>
        <w:rPr>
          <w:sz w:val="24"/>
          <w:szCs w:val="24"/>
        </w:rPr>
      </w:pPr>
      <w:r w:rsidRPr="00A34D0B">
        <w:rPr>
          <w:sz w:val="24"/>
          <w:szCs w:val="24"/>
        </w:rPr>
        <w:t>Com base no</w:t>
      </w:r>
      <w:r w:rsidR="00380DA6" w:rsidRPr="00A34D0B">
        <w:rPr>
          <w:sz w:val="24"/>
          <w:szCs w:val="24"/>
        </w:rPr>
        <w:t xml:space="preserve"> cenário macroeconômico </w:t>
      </w:r>
      <w:r w:rsidR="001A682B" w:rsidRPr="00A34D0B">
        <w:rPr>
          <w:sz w:val="24"/>
          <w:szCs w:val="24"/>
        </w:rPr>
        <w:t>projetado, e tomando</w:t>
      </w:r>
      <w:r w:rsidR="00D32C20">
        <w:rPr>
          <w:sz w:val="24"/>
          <w:szCs w:val="24"/>
        </w:rPr>
        <w:t>-se</w:t>
      </w:r>
      <w:r w:rsidR="001A682B" w:rsidRPr="00A34D0B">
        <w:rPr>
          <w:sz w:val="24"/>
          <w:szCs w:val="24"/>
        </w:rPr>
        <w:t xml:space="preserve"> como principal parâmetro para as despesas o</w:t>
      </w:r>
      <w:r w:rsidR="00380DA6" w:rsidRPr="00A34D0B">
        <w:rPr>
          <w:sz w:val="24"/>
          <w:szCs w:val="24"/>
        </w:rPr>
        <w:t xml:space="preserve"> limite do </w:t>
      </w:r>
      <w:r w:rsidR="00694A39">
        <w:rPr>
          <w:sz w:val="24"/>
          <w:szCs w:val="24"/>
        </w:rPr>
        <w:t>T</w:t>
      </w:r>
      <w:r w:rsidR="00380DA6" w:rsidRPr="00A34D0B">
        <w:rPr>
          <w:sz w:val="24"/>
          <w:szCs w:val="24"/>
        </w:rPr>
        <w:t xml:space="preserve">eto dos </w:t>
      </w:r>
      <w:r w:rsidR="00694A39">
        <w:rPr>
          <w:sz w:val="24"/>
          <w:szCs w:val="24"/>
        </w:rPr>
        <w:t>G</w:t>
      </w:r>
      <w:r w:rsidR="00694A39" w:rsidRPr="00A34D0B">
        <w:rPr>
          <w:sz w:val="24"/>
          <w:szCs w:val="24"/>
        </w:rPr>
        <w:t xml:space="preserve">astos </w:t>
      </w:r>
      <w:r w:rsidR="00380DA6" w:rsidRPr="00A34D0B">
        <w:rPr>
          <w:sz w:val="24"/>
          <w:szCs w:val="24"/>
        </w:rPr>
        <w:t xml:space="preserve">do Novo </w:t>
      </w:r>
      <w:r w:rsidR="001A682B" w:rsidRPr="00A34D0B">
        <w:rPr>
          <w:sz w:val="24"/>
          <w:szCs w:val="24"/>
        </w:rPr>
        <w:t xml:space="preserve">Regime Fiscal, </w:t>
      </w:r>
      <w:r w:rsidR="00A30603" w:rsidRPr="00A34D0B">
        <w:rPr>
          <w:sz w:val="24"/>
          <w:szCs w:val="24"/>
        </w:rPr>
        <w:t xml:space="preserve">procedeu-se à estimativa dos principais agregados de receitas e despesas primárias, para o período compreendido </w:t>
      </w:r>
      <w:r w:rsidR="00501CD9">
        <w:rPr>
          <w:sz w:val="24"/>
          <w:szCs w:val="24"/>
        </w:rPr>
        <w:t>entre</w:t>
      </w:r>
      <w:r w:rsidR="00501CD9" w:rsidRPr="00A34D0B">
        <w:rPr>
          <w:sz w:val="24"/>
          <w:szCs w:val="24"/>
        </w:rPr>
        <w:t xml:space="preserve"> </w:t>
      </w:r>
      <w:r w:rsidR="00D21FDE" w:rsidRPr="00A34D0B">
        <w:rPr>
          <w:sz w:val="24"/>
          <w:szCs w:val="24"/>
        </w:rPr>
        <w:t>202</w:t>
      </w:r>
      <w:r w:rsidR="00D21FDE">
        <w:rPr>
          <w:sz w:val="24"/>
          <w:szCs w:val="24"/>
        </w:rPr>
        <w:t>1</w:t>
      </w:r>
      <w:r w:rsidR="00D21FDE" w:rsidRPr="00A34D0B">
        <w:rPr>
          <w:sz w:val="24"/>
          <w:szCs w:val="24"/>
        </w:rPr>
        <w:t xml:space="preserve"> </w:t>
      </w:r>
      <w:r w:rsidR="00501CD9">
        <w:rPr>
          <w:sz w:val="24"/>
          <w:szCs w:val="24"/>
        </w:rPr>
        <w:t>e</w:t>
      </w:r>
      <w:r w:rsidR="00A30603" w:rsidRPr="00A34D0B">
        <w:rPr>
          <w:sz w:val="24"/>
          <w:szCs w:val="24"/>
        </w:rPr>
        <w:t xml:space="preserve"> </w:t>
      </w:r>
      <w:r w:rsidR="00D21FDE" w:rsidRPr="00A34D0B">
        <w:rPr>
          <w:sz w:val="24"/>
          <w:szCs w:val="24"/>
        </w:rPr>
        <w:t>202</w:t>
      </w:r>
      <w:r w:rsidR="00D21FDE">
        <w:rPr>
          <w:sz w:val="24"/>
          <w:szCs w:val="24"/>
        </w:rPr>
        <w:t>3</w:t>
      </w:r>
      <w:r w:rsidR="00A30603" w:rsidRPr="00A34D0B">
        <w:rPr>
          <w:sz w:val="24"/>
          <w:szCs w:val="24"/>
        </w:rPr>
        <w:t>.</w:t>
      </w:r>
      <w:r w:rsidR="00BA1F85" w:rsidRPr="00A34D0B">
        <w:rPr>
          <w:sz w:val="24"/>
          <w:szCs w:val="24"/>
        </w:rPr>
        <w:t xml:space="preserve"> </w:t>
      </w:r>
      <w:r w:rsidR="00501CD9" w:rsidRPr="00A34D0B">
        <w:rPr>
          <w:sz w:val="24"/>
          <w:szCs w:val="24"/>
        </w:rPr>
        <w:t xml:space="preserve">Contudo, </w:t>
      </w:r>
      <w:r w:rsidR="00427CBE" w:rsidRPr="00A34D0B">
        <w:rPr>
          <w:sz w:val="24"/>
          <w:szCs w:val="24"/>
        </w:rPr>
        <w:t>est</w:t>
      </w:r>
      <w:r w:rsidR="00427CBE" w:rsidRPr="0012279D">
        <w:rPr>
          <w:sz w:val="24"/>
          <w:szCs w:val="24"/>
        </w:rPr>
        <w:t>á</w:t>
      </w:r>
      <w:r w:rsidR="00427CBE" w:rsidRPr="00A34D0B">
        <w:rPr>
          <w:sz w:val="24"/>
          <w:szCs w:val="24"/>
        </w:rPr>
        <w:t xml:space="preserve"> </w:t>
      </w:r>
      <w:r w:rsidR="00BA1F85" w:rsidRPr="00A34D0B">
        <w:rPr>
          <w:sz w:val="24"/>
          <w:szCs w:val="24"/>
        </w:rPr>
        <w:t>sendo considerado</w:t>
      </w:r>
      <w:r w:rsidR="005F0ED6">
        <w:rPr>
          <w:sz w:val="24"/>
          <w:szCs w:val="24"/>
        </w:rPr>
        <w:t>,</w:t>
      </w:r>
      <w:r w:rsidR="005F0ED6" w:rsidRPr="005F0ED6">
        <w:rPr>
          <w:sz w:val="24"/>
          <w:szCs w:val="24"/>
        </w:rPr>
        <w:t xml:space="preserve"> </w:t>
      </w:r>
      <w:r w:rsidR="005F0ED6" w:rsidRPr="00A34D0B">
        <w:rPr>
          <w:sz w:val="24"/>
          <w:szCs w:val="24"/>
        </w:rPr>
        <w:t>para fins de projeção das despesas</w:t>
      </w:r>
      <w:r w:rsidR="005F0ED6">
        <w:rPr>
          <w:sz w:val="24"/>
          <w:szCs w:val="24"/>
        </w:rPr>
        <w:t>,</w:t>
      </w:r>
      <w:r w:rsidR="00BA1F85" w:rsidRPr="00A34D0B">
        <w:rPr>
          <w:sz w:val="24"/>
          <w:szCs w:val="24"/>
        </w:rPr>
        <w:t xml:space="preserve"> apenas o arcabouço legal atualmente vigente</w:t>
      </w:r>
      <w:r w:rsidR="009940C0" w:rsidRPr="0012279D">
        <w:rPr>
          <w:sz w:val="24"/>
          <w:szCs w:val="24"/>
        </w:rPr>
        <w:t>, como</w:t>
      </w:r>
      <w:r w:rsidR="00207D0E">
        <w:rPr>
          <w:sz w:val="24"/>
          <w:szCs w:val="24"/>
        </w:rPr>
        <w:t>,</w:t>
      </w:r>
      <w:r w:rsidR="009940C0" w:rsidRPr="0012279D">
        <w:rPr>
          <w:sz w:val="24"/>
          <w:szCs w:val="24"/>
        </w:rPr>
        <w:t xml:space="preserve"> por exemplo</w:t>
      </w:r>
      <w:r w:rsidR="00610E35">
        <w:rPr>
          <w:sz w:val="24"/>
          <w:szCs w:val="24"/>
        </w:rPr>
        <w:t>,</w:t>
      </w:r>
      <w:r w:rsidR="009940C0" w:rsidRPr="0012279D">
        <w:rPr>
          <w:sz w:val="24"/>
          <w:szCs w:val="24"/>
        </w:rPr>
        <w:t xml:space="preserve"> o preceito constitucional de manutenção do poder aquisitivo do salário mínimo</w:t>
      </w:r>
      <w:r w:rsidR="00BA1F85" w:rsidRPr="00A34D0B">
        <w:rPr>
          <w:sz w:val="24"/>
          <w:szCs w:val="24"/>
        </w:rPr>
        <w:t>, não levando</w:t>
      </w:r>
      <w:r w:rsidR="00501CD9" w:rsidRPr="0012279D">
        <w:rPr>
          <w:sz w:val="24"/>
          <w:szCs w:val="24"/>
        </w:rPr>
        <w:t xml:space="preserve"> </w:t>
      </w:r>
      <w:r w:rsidR="00501CD9" w:rsidRPr="00A34D0B">
        <w:rPr>
          <w:sz w:val="24"/>
          <w:szCs w:val="24"/>
        </w:rPr>
        <w:t>explicitamente</w:t>
      </w:r>
      <w:r w:rsidR="00BA1F85" w:rsidRPr="00A34D0B">
        <w:rPr>
          <w:sz w:val="24"/>
          <w:szCs w:val="24"/>
        </w:rPr>
        <w:t xml:space="preserve"> em consideração </w:t>
      </w:r>
      <w:r w:rsidR="00501CD9" w:rsidRPr="0012279D">
        <w:rPr>
          <w:sz w:val="24"/>
          <w:szCs w:val="24"/>
        </w:rPr>
        <w:t>os</w:t>
      </w:r>
      <w:r w:rsidR="00501CD9" w:rsidRPr="00A34D0B">
        <w:rPr>
          <w:sz w:val="24"/>
          <w:szCs w:val="24"/>
        </w:rPr>
        <w:t xml:space="preserve"> </w:t>
      </w:r>
      <w:r w:rsidR="00BA1F85" w:rsidRPr="00A34D0B">
        <w:rPr>
          <w:sz w:val="24"/>
          <w:szCs w:val="24"/>
        </w:rPr>
        <w:t>impacto</w:t>
      </w:r>
      <w:r w:rsidR="00501CD9" w:rsidRPr="0012279D">
        <w:rPr>
          <w:sz w:val="24"/>
          <w:szCs w:val="24"/>
        </w:rPr>
        <w:t>s</w:t>
      </w:r>
      <w:r w:rsidR="00BA1F85" w:rsidRPr="00A34D0B">
        <w:rPr>
          <w:sz w:val="24"/>
          <w:szCs w:val="24"/>
        </w:rPr>
        <w:t xml:space="preserve"> decorrente</w:t>
      </w:r>
      <w:r w:rsidR="00EE23ED">
        <w:rPr>
          <w:sz w:val="24"/>
          <w:szCs w:val="24"/>
        </w:rPr>
        <w:t>s</w:t>
      </w:r>
      <w:r w:rsidR="00BA1F85" w:rsidRPr="00A34D0B">
        <w:rPr>
          <w:sz w:val="24"/>
          <w:szCs w:val="24"/>
        </w:rPr>
        <w:t xml:space="preserve"> das </w:t>
      </w:r>
      <w:r w:rsidR="00DF5C5C" w:rsidRPr="00A34D0B">
        <w:rPr>
          <w:sz w:val="24"/>
          <w:szCs w:val="24"/>
        </w:rPr>
        <w:t xml:space="preserve">reformas e </w:t>
      </w:r>
      <w:r w:rsidR="00BA1F85" w:rsidRPr="00A34D0B">
        <w:rPr>
          <w:sz w:val="24"/>
          <w:szCs w:val="24"/>
        </w:rPr>
        <w:t xml:space="preserve">propostas </w:t>
      </w:r>
      <w:r w:rsidR="00207D0E">
        <w:rPr>
          <w:sz w:val="24"/>
          <w:szCs w:val="24"/>
        </w:rPr>
        <w:t xml:space="preserve">ainda </w:t>
      </w:r>
      <w:r w:rsidR="00501CD9" w:rsidRPr="0012279D">
        <w:rPr>
          <w:sz w:val="24"/>
          <w:szCs w:val="24"/>
        </w:rPr>
        <w:t xml:space="preserve">em </w:t>
      </w:r>
      <w:r w:rsidR="00207D0E">
        <w:rPr>
          <w:sz w:val="24"/>
          <w:szCs w:val="24"/>
        </w:rPr>
        <w:t>discussão</w:t>
      </w:r>
      <w:r w:rsidR="00BA1F85" w:rsidRPr="00A34D0B">
        <w:rPr>
          <w:sz w:val="24"/>
          <w:szCs w:val="24"/>
        </w:rPr>
        <w:t>.</w:t>
      </w:r>
    </w:p>
    <w:p w14:paraId="01C46EFA" w14:textId="62C04AAC" w:rsidR="00DF5C5C" w:rsidRDefault="00AD75FA" w:rsidP="00A34D0B">
      <w:pPr>
        <w:spacing w:before="240"/>
        <w:ind w:firstLine="709"/>
        <w:jc w:val="both"/>
        <w:rPr>
          <w:sz w:val="24"/>
          <w:szCs w:val="24"/>
        </w:rPr>
      </w:pPr>
      <w:r w:rsidRPr="00A34D0B">
        <w:rPr>
          <w:sz w:val="24"/>
          <w:szCs w:val="24"/>
        </w:rPr>
        <w:t>Sob tais hipóteses</w:t>
      </w:r>
      <w:r w:rsidR="00396E83" w:rsidRPr="00A34D0B">
        <w:rPr>
          <w:sz w:val="24"/>
          <w:szCs w:val="24"/>
        </w:rPr>
        <w:t>, a projeção dos agregados fiscais para o Governo Central apurou</w:t>
      </w:r>
      <w:r w:rsidR="00427CBE">
        <w:rPr>
          <w:sz w:val="24"/>
          <w:szCs w:val="24"/>
        </w:rPr>
        <w:t>,</w:t>
      </w:r>
      <w:r w:rsidR="00396E83" w:rsidRPr="00A34D0B">
        <w:rPr>
          <w:sz w:val="24"/>
          <w:szCs w:val="24"/>
        </w:rPr>
        <w:t xml:space="preserve"> para o período considerado</w:t>
      </w:r>
      <w:r w:rsidR="00427CBE">
        <w:rPr>
          <w:sz w:val="24"/>
          <w:szCs w:val="24"/>
        </w:rPr>
        <w:t>,</w:t>
      </w:r>
      <w:r w:rsidR="00396E83" w:rsidRPr="00A34D0B">
        <w:rPr>
          <w:sz w:val="24"/>
          <w:szCs w:val="24"/>
        </w:rPr>
        <w:t xml:space="preserve"> </w:t>
      </w:r>
      <w:r w:rsidR="00427CBE">
        <w:rPr>
          <w:sz w:val="24"/>
          <w:szCs w:val="24"/>
        </w:rPr>
        <w:t>déficits</w:t>
      </w:r>
      <w:r w:rsidR="00427CBE" w:rsidRPr="00A34D0B">
        <w:rPr>
          <w:sz w:val="24"/>
          <w:szCs w:val="24"/>
        </w:rPr>
        <w:t xml:space="preserve"> </w:t>
      </w:r>
      <w:r w:rsidR="00396E83" w:rsidRPr="00A34D0B">
        <w:rPr>
          <w:sz w:val="24"/>
          <w:szCs w:val="24"/>
        </w:rPr>
        <w:t xml:space="preserve">primários cadentes, </w:t>
      </w:r>
      <w:r w:rsidR="00207D0E">
        <w:rPr>
          <w:sz w:val="24"/>
          <w:szCs w:val="24"/>
        </w:rPr>
        <w:t>em consonância com os</w:t>
      </w:r>
      <w:r w:rsidR="00396E83" w:rsidRPr="00A34D0B">
        <w:rPr>
          <w:sz w:val="24"/>
          <w:szCs w:val="24"/>
        </w:rPr>
        <w:t xml:space="preserve"> efeito</w:t>
      </w:r>
      <w:r w:rsidR="00207D0E">
        <w:rPr>
          <w:sz w:val="24"/>
          <w:szCs w:val="24"/>
        </w:rPr>
        <w:t>s</w:t>
      </w:r>
      <w:r w:rsidR="00396E83" w:rsidRPr="00A34D0B">
        <w:rPr>
          <w:sz w:val="24"/>
          <w:szCs w:val="24"/>
        </w:rPr>
        <w:t xml:space="preserve"> benéfico</w:t>
      </w:r>
      <w:r w:rsidR="00207D0E">
        <w:rPr>
          <w:sz w:val="24"/>
          <w:szCs w:val="24"/>
        </w:rPr>
        <w:t>s esperados</w:t>
      </w:r>
      <w:r w:rsidR="00396E83" w:rsidRPr="00A34D0B">
        <w:rPr>
          <w:sz w:val="24"/>
          <w:szCs w:val="24"/>
        </w:rPr>
        <w:t xml:space="preserve"> do</w:t>
      </w:r>
      <w:r w:rsidR="00A14969">
        <w:rPr>
          <w:sz w:val="24"/>
          <w:szCs w:val="24"/>
        </w:rPr>
        <w:t xml:space="preserve"> </w:t>
      </w:r>
      <w:r w:rsidR="00753D93">
        <w:rPr>
          <w:sz w:val="24"/>
          <w:szCs w:val="24"/>
        </w:rPr>
        <w:t xml:space="preserve">Teto </w:t>
      </w:r>
      <w:r w:rsidR="00A14969">
        <w:rPr>
          <w:sz w:val="24"/>
          <w:szCs w:val="24"/>
        </w:rPr>
        <w:t>do</w:t>
      </w:r>
      <w:r w:rsidR="00207D0E">
        <w:rPr>
          <w:sz w:val="24"/>
          <w:szCs w:val="24"/>
        </w:rPr>
        <w:t>s</w:t>
      </w:r>
      <w:r w:rsidR="00A14969">
        <w:rPr>
          <w:sz w:val="24"/>
          <w:szCs w:val="24"/>
        </w:rPr>
        <w:t xml:space="preserve"> </w:t>
      </w:r>
      <w:r w:rsidR="00753D93">
        <w:rPr>
          <w:sz w:val="24"/>
          <w:szCs w:val="24"/>
        </w:rPr>
        <w:t>Gastos</w:t>
      </w:r>
      <w:r w:rsidR="00207D0E">
        <w:rPr>
          <w:sz w:val="24"/>
          <w:szCs w:val="24"/>
        </w:rPr>
        <w:t>,</w:t>
      </w:r>
      <w:r w:rsidR="00A14969">
        <w:rPr>
          <w:sz w:val="24"/>
          <w:szCs w:val="24"/>
        </w:rPr>
        <w:t xml:space="preserve"> introduzido pelo</w:t>
      </w:r>
      <w:r w:rsidR="00396E83" w:rsidRPr="00A34D0B">
        <w:rPr>
          <w:sz w:val="24"/>
          <w:szCs w:val="24"/>
        </w:rPr>
        <w:t xml:space="preserve"> Novo Regime Fiscal</w:t>
      </w:r>
      <w:r w:rsidR="00207D0E">
        <w:rPr>
          <w:sz w:val="24"/>
          <w:szCs w:val="24"/>
        </w:rPr>
        <w:t>,</w:t>
      </w:r>
      <w:r w:rsidR="00396E83" w:rsidRPr="00A34D0B">
        <w:rPr>
          <w:sz w:val="24"/>
          <w:szCs w:val="24"/>
        </w:rPr>
        <w:t xml:space="preserve"> par</w:t>
      </w:r>
      <w:r w:rsidR="00B44E13" w:rsidRPr="00A34D0B">
        <w:rPr>
          <w:sz w:val="24"/>
          <w:szCs w:val="24"/>
        </w:rPr>
        <w:t>a o controle das contas</w:t>
      </w:r>
      <w:r>
        <w:rPr>
          <w:sz w:val="24"/>
          <w:szCs w:val="24"/>
        </w:rPr>
        <w:t xml:space="preserve"> públicas</w:t>
      </w:r>
      <w:r w:rsidR="00A14969">
        <w:rPr>
          <w:sz w:val="24"/>
          <w:szCs w:val="24"/>
        </w:rPr>
        <w:t xml:space="preserve"> e </w:t>
      </w:r>
      <w:r w:rsidR="00207D0E">
        <w:rPr>
          <w:sz w:val="24"/>
          <w:szCs w:val="24"/>
        </w:rPr>
        <w:t>para ancorar</w:t>
      </w:r>
      <w:r w:rsidR="00A14969">
        <w:rPr>
          <w:sz w:val="24"/>
          <w:szCs w:val="24"/>
        </w:rPr>
        <w:t xml:space="preserve"> </w:t>
      </w:r>
      <w:r w:rsidR="00207D0E">
        <w:rPr>
          <w:sz w:val="24"/>
          <w:szCs w:val="24"/>
        </w:rPr>
        <w:t>o</w:t>
      </w:r>
      <w:r w:rsidR="00A14969">
        <w:rPr>
          <w:sz w:val="24"/>
          <w:szCs w:val="24"/>
        </w:rPr>
        <w:t xml:space="preserve"> processo de consolidação fiscal de longo prazo</w:t>
      </w:r>
      <w:r w:rsidR="00F65EAA">
        <w:rPr>
          <w:sz w:val="24"/>
          <w:szCs w:val="24"/>
        </w:rPr>
        <w:t xml:space="preserve">, conforme demonstrado </w:t>
      </w:r>
      <w:r w:rsidR="00D758B8">
        <w:rPr>
          <w:sz w:val="24"/>
          <w:szCs w:val="24"/>
        </w:rPr>
        <w:t xml:space="preserve">na Tabela 2 </w:t>
      </w:r>
      <w:r w:rsidR="00F65EAA">
        <w:rPr>
          <w:sz w:val="24"/>
          <w:szCs w:val="24"/>
        </w:rPr>
        <w:t>a seguir:</w:t>
      </w:r>
    </w:p>
    <w:p w14:paraId="67E21E7F" w14:textId="3C643737" w:rsidR="00C932CC" w:rsidRPr="00C932CC" w:rsidRDefault="00C932CC" w:rsidP="00A34D0B">
      <w:pPr>
        <w:spacing w:before="240"/>
        <w:ind w:firstLine="709"/>
        <w:jc w:val="both"/>
        <w:rPr>
          <w:b/>
          <w:szCs w:val="24"/>
        </w:rPr>
      </w:pPr>
      <w:r w:rsidRPr="00C932CC">
        <w:rPr>
          <w:b/>
          <w:szCs w:val="24"/>
        </w:rPr>
        <w:lastRenderedPageBreak/>
        <w:t xml:space="preserve">Tabela 2: </w:t>
      </w:r>
      <w:r>
        <w:rPr>
          <w:b/>
          <w:szCs w:val="24"/>
        </w:rPr>
        <w:t>Trajetória e</w:t>
      </w:r>
      <w:r w:rsidRPr="00C932CC">
        <w:rPr>
          <w:b/>
          <w:szCs w:val="24"/>
        </w:rPr>
        <w:t xml:space="preserve">stimada </w:t>
      </w:r>
      <w:r>
        <w:rPr>
          <w:b/>
          <w:szCs w:val="24"/>
        </w:rPr>
        <w:t>d</w:t>
      </w:r>
      <w:r w:rsidRPr="00C932CC">
        <w:rPr>
          <w:b/>
          <w:szCs w:val="24"/>
        </w:rPr>
        <w:t>o Resultado Primário</w:t>
      </w:r>
    </w:p>
    <w:p w14:paraId="68B8D863" w14:textId="1766C3D5" w:rsidR="00277102" w:rsidRDefault="00CE458E" w:rsidP="00C932CC">
      <w:pPr>
        <w:jc w:val="center"/>
      </w:pPr>
      <w:r w:rsidRPr="00CE458E">
        <w:rPr>
          <w:noProof/>
          <w:lang w:eastAsia="pt-BR"/>
        </w:rPr>
        <w:drawing>
          <wp:inline distT="0" distB="0" distL="0" distR="0" wp14:anchorId="5DF9A440" wp14:editId="3B739FD0">
            <wp:extent cx="6029960" cy="1354455"/>
            <wp:effectExtent l="0" t="0" r="889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960" cy="1354455"/>
                    </a:xfrm>
                    <a:prstGeom prst="rect">
                      <a:avLst/>
                    </a:prstGeom>
                    <a:noFill/>
                    <a:ln>
                      <a:noFill/>
                    </a:ln>
                  </pic:spPr>
                </pic:pic>
              </a:graphicData>
            </a:graphic>
          </wp:inline>
        </w:drawing>
      </w:r>
    </w:p>
    <w:p w14:paraId="16522E2D" w14:textId="56686954" w:rsidR="00B44E13" w:rsidRPr="00302272" w:rsidRDefault="00B44E13" w:rsidP="00A34D0B">
      <w:pPr>
        <w:spacing w:before="240"/>
        <w:ind w:firstLine="709"/>
        <w:jc w:val="both"/>
        <w:rPr>
          <w:sz w:val="24"/>
          <w:szCs w:val="24"/>
        </w:rPr>
      </w:pPr>
      <w:r w:rsidRPr="00302272">
        <w:rPr>
          <w:sz w:val="24"/>
          <w:szCs w:val="24"/>
        </w:rPr>
        <w:t xml:space="preserve">No entanto, em que pese a eficiência do </w:t>
      </w:r>
      <w:r w:rsidR="00694A39">
        <w:rPr>
          <w:sz w:val="24"/>
          <w:szCs w:val="24"/>
        </w:rPr>
        <w:t>T</w:t>
      </w:r>
      <w:r w:rsidRPr="00302272">
        <w:rPr>
          <w:sz w:val="24"/>
          <w:szCs w:val="24"/>
        </w:rPr>
        <w:t xml:space="preserve">eto </w:t>
      </w:r>
      <w:r w:rsidR="00D758B8">
        <w:rPr>
          <w:sz w:val="24"/>
          <w:szCs w:val="24"/>
        </w:rPr>
        <w:t xml:space="preserve">dos </w:t>
      </w:r>
      <w:r w:rsidR="00694A39">
        <w:rPr>
          <w:sz w:val="24"/>
          <w:szCs w:val="24"/>
        </w:rPr>
        <w:t>G</w:t>
      </w:r>
      <w:r w:rsidR="00D758B8">
        <w:rPr>
          <w:sz w:val="24"/>
          <w:szCs w:val="24"/>
        </w:rPr>
        <w:t xml:space="preserve">astos </w:t>
      </w:r>
      <w:r w:rsidRPr="00302272">
        <w:rPr>
          <w:sz w:val="24"/>
          <w:szCs w:val="24"/>
        </w:rPr>
        <w:t>no controle</w:t>
      </w:r>
      <w:r w:rsidR="006944EF" w:rsidRPr="00302272">
        <w:rPr>
          <w:sz w:val="24"/>
          <w:szCs w:val="24"/>
        </w:rPr>
        <w:t xml:space="preserve"> </w:t>
      </w:r>
      <w:r w:rsidR="000269A5">
        <w:rPr>
          <w:sz w:val="24"/>
          <w:szCs w:val="24"/>
        </w:rPr>
        <w:t>da maior parte</w:t>
      </w:r>
      <w:r w:rsidRPr="00302272">
        <w:rPr>
          <w:sz w:val="24"/>
          <w:szCs w:val="24"/>
        </w:rPr>
        <w:t xml:space="preserve"> das despesas primária</w:t>
      </w:r>
      <w:r w:rsidR="006944EF" w:rsidRPr="00302272">
        <w:rPr>
          <w:sz w:val="24"/>
          <w:szCs w:val="24"/>
        </w:rPr>
        <w:t>s, sua</w:t>
      </w:r>
      <w:r w:rsidRPr="00302272">
        <w:rPr>
          <w:sz w:val="24"/>
          <w:szCs w:val="24"/>
        </w:rPr>
        <w:t xml:space="preserve"> composição interna </w:t>
      </w:r>
      <w:r w:rsidR="00533978" w:rsidRPr="00373A73">
        <w:rPr>
          <w:sz w:val="24"/>
          <w:szCs w:val="24"/>
        </w:rPr>
        <w:t xml:space="preserve">ainda </w:t>
      </w:r>
      <w:r w:rsidRPr="00302272">
        <w:rPr>
          <w:sz w:val="24"/>
          <w:szCs w:val="24"/>
        </w:rPr>
        <w:t xml:space="preserve">demonstra crescimento na participação dos gastos obrigatórios em </w:t>
      </w:r>
      <w:r w:rsidR="006944EF" w:rsidRPr="00302272">
        <w:rPr>
          <w:sz w:val="24"/>
          <w:szCs w:val="24"/>
        </w:rPr>
        <w:t>detrimento d</w:t>
      </w:r>
      <w:r w:rsidRPr="00302272">
        <w:rPr>
          <w:sz w:val="24"/>
          <w:szCs w:val="24"/>
        </w:rPr>
        <w:t xml:space="preserve">os </w:t>
      </w:r>
      <w:r w:rsidR="00D758B8">
        <w:rPr>
          <w:sz w:val="24"/>
          <w:szCs w:val="24"/>
        </w:rPr>
        <w:t xml:space="preserve">gastos </w:t>
      </w:r>
      <w:r w:rsidRPr="00302272">
        <w:rPr>
          <w:sz w:val="24"/>
          <w:szCs w:val="24"/>
        </w:rPr>
        <w:t xml:space="preserve">discricionários, o que </w:t>
      </w:r>
      <w:r w:rsidR="00AF7482" w:rsidRPr="00302272">
        <w:rPr>
          <w:sz w:val="24"/>
          <w:szCs w:val="24"/>
        </w:rPr>
        <w:t xml:space="preserve">tende a </w:t>
      </w:r>
      <w:proofErr w:type="spellStart"/>
      <w:r w:rsidR="00AF7482" w:rsidRPr="00302272">
        <w:rPr>
          <w:sz w:val="24"/>
          <w:szCs w:val="24"/>
        </w:rPr>
        <w:t>precarizar</w:t>
      </w:r>
      <w:proofErr w:type="spellEnd"/>
      <w:r w:rsidR="00AF7482" w:rsidRPr="00302272">
        <w:rPr>
          <w:sz w:val="24"/>
          <w:szCs w:val="24"/>
        </w:rPr>
        <w:t xml:space="preserve"> gradualmente a oferta de </w:t>
      </w:r>
      <w:r w:rsidR="00D758B8">
        <w:rPr>
          <w:sz w:val="24"/>
          <w:szCs w:val="24"/>
        </w:rPr>
        <w:t xml:space="preserve">bens e </w:t>
      </w:r>
      <w:r w:rsidR="00AF7482" w:rsidRPr="00302272">
        <w:rPr>
          <w:sz w:val="24"/>
          <w:szCs w:val="24"/>
        </w:rPr>
        <w:t>serviços públicos e</w:t>
      </w:r>
      <w:r w:rsidR="00077BB0" w:rsidRPr="00302272">
        <w:rPr>
          <w:sz w:val="24"/>
          <w:szCs w:val="24"/>
        </w:rPr>
        <w:t xml:space="preserve"> a</w:t>
      </w:r>
      <w:r w:rsidR="00AF7482" w:rsidRPr="00302272">
        <w:rPr>
          <w:sz w:val="24"/>
          <w:szCs w:val="24"/>
        </w:rPr>
        <w:t xml:space="preserve"> pressionar</w:t>
      </w:r>
      <w:r w:rsidR="00077BB0" w:rsidRPr="00302272">
        <w:rPr>
          <w:sz w:val="24"/>
          <w:szCs w:val="24"/>
        </w:rPr>
        <w:t>,</w:t>
      </w:r>
      <w:r w:rsidR="00AF7482" w:rsidRPr="00302272">
        <w:rPr>
          <w:sz w:val="24"/>
          <w:szCs w:val="24"/>
        </w:rPr>
        <w:t xml:space="preserve"> </w:t>
      </w:r>
      <w:r w:rsidR="00716D7D" w:rsidRPr="00302272">
        <w:rPr>
          <w:sz w:val="24"/>
          <w:szCs w:val="24"/>
        </w:rPr>
        <w:t>ou</w:t>
      </w:r>
      <w:r w:rsidR="00C677DA">
        <w:rPr>
          <w:sz w:val="24"/>
          <w:szCs w:val="24"/>
        </w:rPr>
        <w:t>,</w:t>
      </w:r>
      <w:r w:rsidR="00077BB0" w:rsidRPr="00302272">
        <w:rPr>
          <w:sz w:val="24"/>
          <w:szCs w:val="24"/>
        </w:rPr>
        <w:t xml:space="preserve"> </w:t>
      </w:r>
      <w:r w:rsidR="00AF7482" w:rsidRPr="00302272">
        <w:rPr>
          <w:sz w:val="24"/>
          <w:szCs w:val="24"/>
        </w:rPr>
        <w:t>até</w:t>
      </w:r>
      <w:r w:rsidR="00077BB0" w:rsidRPr="00302272">
        <w:rPr>
          <w:sz w:val="24"/>
          <w:szCs w:val="24"/>
        </w:rPr>
        <w:t xml:space="preserve"> mesmo</w:t>
      </w:r>
      <w:r w:rsidR="00C677DA">
        <w:rPr>
          <w:sz w:val="24"/>
          <w:szCs w:val="24"/>
        </w:rPr>
        <w:t>,</w:t>
      </w:r>
      <w:r w:rsidR="00AF7482" w:rsidRPr="00302272">
        <w:rPr>
          <w:sz w:val="24"/>
          <w:szCs w:val="24"/>
        </w:rPr>
        <w:t xml:space="preserve"> eliminar investimentos</w:t>
      </w:r>
      <w:r w:rsidR="003F013E" w:rsidRPr="00302272">
        <w:rPr>
          <w:sz w:val="24"/>
          <w:szCs w:val="24"/>
        </w:rPr>
        <w:t xml:space="preserve"> importantes</w:t>
      </w:r>
      <w:r w:rsidR="00533978">
        <w:rPr>
          <w:sz w:val="24"/>
          <w:szCs w:val="24"/>
        </w:rPr>
        <w:t>, reforçando ainda mais a necessidade de avanço na agenda de reformas estruturais</w:t>
      </w:r>
      <w:r w:rsidR="00AF7482" w:rsidRPr="00302272">
        <w:rPr>
          <w:sz w:val="24"/>
          <w:szCs w:val="24"/>
        </w:rPr>
        <w:t>.</w:t>
      </w:r>
    </w:p>
    <w:p w14:paraId="69C23083" w14:textId="2852557C" w:rsidR="00AF7482" w:rsidRDefault="00AF7482" w:rsidP="00A6056C">
      <w:pPr>
        <w:ind w:firstLine="709"/>
        <w:jc w:val="both"/>
        <w:rPr>
          <w:sz w:val="24"/>
          <w:szCs w:val="24"/>
        </w:rPr>
      </w:pPr>
      <w:r w:rsidRPr="00302272">
        <w:rPr>
          <w:sz w:val="24"/>
          <w:szCs w:val="24"/>
        </w:rPr>
        <w:t xml:space="preserve">Ademais, mesmo considerando as despesas primárias limitadas pelo </w:t>
      </w:r>
      <w:r w:rsidR="00694A39">
        <w:rPr>
          <w:sz w:val="24"/>
          <w:szCs w:val="24"/>
        </w:rPr>
        <w:t>T</w:t>
      </w:r>
      <w:r w:rsidR="00694A39" w:rsidRPr="00302272">
        <w:rPr>
          <w:sz w:val="24"/>
          <w:szCs w:val="24"/>
        </w:rPr>
        <w:t>eto</w:t>
      </w:r>
      <w:r w:rsidR="00694A39">
        <w:rPr>
          <w:sz w:val="24"/>
          <w:szCs w:val="24"/>
        </w:rPr>
        <w:t xml:space="preserve"> </w:t>
      </w:r>
      <w:r w:rsidR="00D758B8">
        <w:rPr>
          <w:sz w:val="24"/>
          <w:szCs w:val="24"/>
        </w:rPr>
        <w:t xml:space="preserve">dos </w:t>
      </w:r>
      <w:r w:rsidR="00694A39">
        <w:rPr>
          <w:sz w:val="24"/>
          <w:szCs w:val="24"/>
        </w:rPr>
        <w:t>G</w:t>
      </w:r>
      <w:r w:rsidR="00D758B8">
        <w:rPr>
          <w:sz w:val="24"/>
          <w:szCs w:val="24"/>
        </w:rPr>
        <w:t>astos</w:t>
      </w:r>
      <w:r w:rsidRPr="00302272">
        <w:rPr>
          <w:sz w:val="24"/>
          <w:szCs w:val="24"/>
        </w:rPr>
        <w:t xml:space="preserve">, </w:t>
      </w:r>
      <w:r w:rsidR="0075582F" w:rsidRPr="00302272">
        <w:rPr>
          <w:sz w:val="24"/>
          <w:szCs w:val="24"/>
        </w:rPr>
        <w:t xml:space="preserve">a trajetória fiscal projetada </w:t>
      </w:r>
      <w:r w:rsidRPr="00302272">
        <w:rPr>
          <w:sz w:val="24"/>
          <w:szCs w:val="24"/>
        </w:rPr>
        <w:t xml:space="preserve">ainda se mostra insuficiente para uma redução significativa do crescimento da dívida pública no médio prazo, </w:t>
      </w:r>
      <w:r w:rsidR="0075582F" w:rsidRPr="00302272">
        <w:rPr>
          <w:sz w:val="24"/>
          <w:szCs w:val="24"/>
        </w:rPr>
        <w:t>dado</w:t>
      </w:r>
      <w:r w:rsidRPr="00302272">
        <w:rPr>
          <w:sz w:val="24"/>
          <w:szCs w:val="24"/>
        </w:rPr>
        <w:t xml:space="preserve"> o cenário macroeconômico posto.</w:t>
      </w:r>
      <w:r w:rsidR="006944EF" w:rsidRPr="00302272">
        <w:rPr>
          <w:sz w:val="24"/>
          <w:szCs w:val="24"/>
        </w:rPr>
        <w:t xml:space="preserve"> </w:t>
      </w:r>
      <w:r w:rsidR="0075582F" w:rsidRPr="00302272">
        <w:rPr>
          <w:sz w:val="24"/>
          <w:szCs w:val="24"/>
        </w:rPr>
        <w:t xml:space="preserve">Sob as hipóteses consideradas para a evolução das </w:t>
      </w:r>
      <w:r w:rsidR="006944EF" w:rsidRPr="00302272">
        <w:rPr>
          <w:sz w:val="24"/>
          <w:szCs w:val="24"/>
        </w:rPr>
        <w:t>despesas primárias</w:t>
      </w:r>
      <w:r w:rsidR="00481887" w:rsidRPr="00302272">
        <w:rPr>
          <w:sz w:val="24"/>
          <w:szCs w:val="24"/>
        </w:rPr>
        <w:t>,</w:t>
      </w:r>
      <w:r w:rsidR="006944EF" w:rsidRPr="00302272">
        <w:rPr>
          <w:sz w:val="24"/>
          <w:szCs w:val="24"/>
        </w:rPr>
        <w:t xml:space="preserve"> seria necessário </w:t>
      </w:r>
      <w:r w:rsidR="0075582F" w:rsidRPr="00302272">
        <w:rPr>
          <w:sz w:val="24"/>
          <w:szCs w:val="24"/>
        </w:rPr>
        <w:t>substancial</w:t>
      </w:r>
      <w:r w:rsidR="006944EF" w:rsidRPr="00302272">
        <w:rPr>
          <w:sz w:val="24"/>
          <w:szCs w:val="24"/>
        </w:rPr>
        <w:t xml:space="preserve"> esforço arrecadatório para gerar superávits suficiente</w:t>
      </w:r>
      <w:r w:rsidR="0075582F" w:rsidRPr="00302272">
        <w:rPr>
          <w:sz w:val="24"/>
          <w:szCs w:val="24"/>
        </w:rPr>
        <w:t>mente elevados</w:t>
      </w:r>
      <w:r w:rsidR="00CE0701" w:rsidRPr="00302272">
        <w:rPr>
          <w:sz w:val="24"/>
          <w:szCs w:val="24"/>
        </w:rPr>
        <w:t xml:space="preserve"> </w:t>
      </w:r>
      <w:r w:rsidR="00DC2228" w:rsidRPr="00302272">
        <w:rPr>
          <w:sz w:val="24"/>
          <w:szCs w:val="24"/>
        </w:rPr>
        <w:t>para</w:t>
      </w:r>
      <w:r w:rsidR="0075582F" w:rsidRPr="00302272">
        <w:rPr>
          <w:sz w:val="24"/>
          <w:szCs w:val="24"/>
        </w:rPr>
        <w:t xml:space="preserve"> </w:t>
      </w:r>
      <w:r w:rsidR="00CE0701" w:rsidRPr="00302272">
        <w:rPr>
          <w:sz w:val="24"/>
          <w:szCs w:val="24"/>
        </w:rPr>
        <w:t>reverter a trajetória</w:t>
      </w:r>
      <w:r w:rsidR="006944EF" w:rsidRPr="00302272">
        <w:rPr>
          <w:sz w:val="24"/>
          <w:szCs w:val="24"/>
        </w:rPr>
        <w:t xml:space="preserve"> de crescimento da dívida</w:t>
      </w:r>
      <w:r w:rsidR="00D758B8">
        <w:rPr>
          <w:sz w:val="24"/>
          <w:szCs w:val="24"/>
        </w:rPr>
        <w:t xml:space="preserve"> pública</w:t>
      </w:r>
      <w:r w:rsidR="00481887" w:rsidRPr="00302272">
        <w:rPr>
          <w:sz w:val="24"/>
          <w:szCs w:val="24"/>
        </w:rPr>
        <w:t xml:space="preserve">, conforme se constata na </w:t>
      </w:r>
      <w:r w:rsidR="00D758B8">
        <w:rPr>
          <w:sz w:val="24"/>
          <w:szCs w:val="24"/>
        </w:rPr>
        <w:t>T</w:t>
      </w:r>
      <w:r w:rsidR="00481887" w:rsidRPr="00302272">
        <w:rPr>
          <w:sz w:val="24"/>
          <w:szCs w:val="24"/>
        </w:rPr>
        <w:t xml:space="preserve">abela </w:t>
      </w:r>
      <w:r w:rsidR="00D758B8">
        <w:rPr>
          <w:sz w:val="24"/>
          <w:szCs w:val="24"/>
        </w:rPr>
        <w:t>3</w:t>
      </w:r>
      <w:r w:rsidR="00481887" w:rsidRPr="00302272">
        <w:rPr>
          <w:sz w:val="24"/>
          <w:szCs w:val="24"/>
        </w:rPr>
        <w:t xml:space="preserve"> a seguir:</w:t>
      </w:r>
    </w:p>
    <w:p w14:paraId="59CC0C52" w14:textId="77777777" w:rsidR="00C932CC" w:rsidRPr="00A34D0B" w:rsidRDefault="00C932CC" w:rsidP="00A34D0B">
      <w:pPr>
        <w:spacing w:before="240"/>
        <w:ind w:firstLine="709"/>
        <w:jc w:val="both"/>
        <w:rPr>
          <w:sz w:val="24"/>
          <w:szCs w:val="24"/>
        </w:rPr>
      </w:pPr>
      <w:r w:rsidRPr="00C932CC">
        <w:rPr>
          <w:b/>
          <w:szCs w:val="24"/>
        </w:rPr>
        <w:t xml:space="preserve">Tabela </w:t>
      </w:r>
      <w:r>
        <w:rPr>
          <w:b/>
          <w:szCs w:val="24"/>
        </w:rPr>
        <w:t>3</w:t>
      </w:r>
      <w:r w:rsidRPr="00C932CC">
        <w:rPr>
          <w:b/>
          <w:szCs w:val="24"/>
        </w:rPr>
        <w:t xml:space="preserve">: </w:t>
      </w:r>
      <w:r>
        <w:rPr>
          <w:b/>
          <w:szCs w:val="24"/>
        </w:rPr>
        <w:t>Projeções de Variáveis Fiscais</w:t>
      </w:r>
    </w:p>
    <w:p w14:paraId="04C39133" w14:textId="57DC8024" w:rsidR="005A2E56" w:rsidRDefault="00731B90" w:rsidP="00A6056C">
      <w:pPr>
        <w:spacing w:before="240"/>
        <w:jc w:val="center"/>
        <w:rPr>
          <w:sz w:val="24"/>
          <w:szCs w:val="24"/>
        </w:rPr>
      </w:pPr>
      <w:r w:rsidRPr="00731B90">
        <w:rPr>
          <w:noProof/>
          <w:lang w:eastAsia="pt-BR"/>
        </w:rPr>
        <w:drawing>
          <wp:inline distT="0" distB="0" distL="0" distR="0" wp14:anchorId="3E130865" wp14:editId="40AD4AF7">
            <wp:extent cx="6029960" cy="12075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9960" cy="1207540"/>
                    </a:xfrm>
                    <a:prstGeom prst="rect">
                      <a:avLst/>
                    </a:prstGeom>
                    <a:noFill/>
                    <a:ln>
                      <a:noFill/>
                    </a:ln>
                  </pic:spPr>
                </pic:pic>
              </a:graphicData>
            </a:graphic>
          </wp:inline>
        </w:drawing>
      </w:r>
    </w:p>
    <w:p w14:paraId="4B92323E" w14:textId="5DA5FF9B" w:rsidR="00AF7482" w:rsidRDefault="00091149" w:rsidP="005A2E56">
      <w:pPr>
        <w:spacing w:before="240"/>
        <w:ind w:firstLine="709"/>
        <w:jc w:val="both"/>
        <w:rPr>
          <w:sz w:val="24"/>
          <w:szCs w:val="24"/>
        </w:rPr>
      </w:pPr>
      <w:r>
        <w:rPr>
          <w:sz w:val="24"/>
          <w:szCs w:val="24"/>
        </w:rPr>
        <w:t>Isso</w:t>
      </w:r>
      <w:r w:rsidR="0075582F" w:rsidRPr="00A34D0B">
        <w:rPr>
          <w:sz w:val="24"/>
          <w:szCs w:val="24"/>
        </w:rPr>
        <w:t xml:space="preserve"> indica que</w:t>
      </w:r>
      <w:r w:rsidR="00AF7482" w:rsidRPr="00A34D0B">
        <w:rPr>
          <w:sz w:val="24"/>
          <w:szCs w:val="24"/>
        </w:rPr>
        <w:t>, muito embora a contribuição do Novo Regime Fiscal</w:t>
      </w:r>
      <w:r w:rsidR="00456832">
        <w:rPr>
          <w:sz w:val="24"/>
          <w:szCs w:val="24"/>
        </w:rPr>
        <w:t xml:space="preserve"> e da Reforma da Previdência</w:t>
      </w:r>
      <w:r w:rsidR="00AF7482" w:rsidRPr="00A34D0B">
        <w:rPr>
          <w:sz w:val="24"/>
          <w:szCs w:val="24"/>
        </w:rPr>
        <w:t xml:space="preserve"> já seja considerável para o horizonte de </w:t>
      </w:r>
      <w:r w:rsidR="00456832" w:rsidRPr="00A34D0B">
        <w:rPr>
          <w:sz w:val="24"/>
          <w:szCs w:val="24"/>
        </w:rPr>
        <w:t>202</w:t>
      </w:r>
      <w:r w:rsidR="00456832">
        <w:rPr>
          <w:sz w:val="24"/>
          <w:szCs w:val="24"/>
        </w:rPr>
        <w:t>1</w:t>
      </w:r>
      <w:r w:rsidR="00456832" w:rsidRPr="00A34D0B">
        <w:rPr>
          <w:sz w:val="24"/>
          <w:szCs w:val="24"/>
        </w:rPr>
        <w:t xml:space="preserve"> </w:t>
      </w:r>
      <w:r w:rsidR="00AF7482" w:rsidRPr="00A34D0B">
        <w:rPr>
          <w:sz w:val="24"/>
          <w:szCs w:val="24"/>
        </w:rPr>
        <w:t xml:space="preserve">a </w:t>
      </w:r>
      <w:r w:rsidR="00456832" w:rsidRPr="00A34D0B">
        <w:rPr>
          <w:sz w:val="24"/>
          <w:szCs w:val="24"/>
        </w:rPr>
        <w:t>202</w:t>
      </w:r>
      <w:r w:rsidR="00456832">
        <w:rPr>
          <w:sz w:val="24"/>
          <w:szCs w:val="24"/>
        </w:rPr>
        <w:t>3</w:t>
      </w:r>
      <w:r w:rsidR="00AF7482" w:rsidRPr="00A34D0B">
        <w:rPr>
          <w:sz w:val="24"/>
          <w:szCs w:val="24"/>
        </w:rPr>
        <w:t>, a</w:t>
      </w:r>
      <w:r w:rsidR="00456832">
        <w:rPr>
          <w:sz w:val="24"/>
          <w:szCs w:val="24"/>
        </w:rPr>
        <w:t xml:space="preserve"> continuidade da implementação da</w:t>
      </w:r>
      <w:r w:rsidR="00AF7482" w:rsidRPr="00A34D0B">
        <w:rPr>
          <w:sz w:val="24"/>
          <w:szCs w:val="24"/>
        </w:rPr>
        <w:t xml:space="preserve"> agenda de reformas </w:t>
      </w:r>
      <w:r w:rsidR="00D758B8">
        <w:rPr>
          <w:sz w:val="24"/>
          <w:szCs w:val="24"/>
        </w:rPr>
        <w:t>estruturais</w:t>
      </w:r>
      <w:r w:rsidR="00AF7482" w:rsidRPr="00A34D0B">
        <w:rPr>
          <w:sz w:val="24"/>
          <w:szCs w:val="24"/>
        </w:rPr>
        <w:t xml:space="preserve"> mostra-se fundamental para um ajuste fiscal mais vigoroso</w:t>
      </w:r>
      <w:r w:rsidR="009A120D" w:rsidRPr="00A34D0B">
        <w:rPr>
          <w:sz w:val="24"/>
          <w:szCs w:val="24"/>
        </w:rPr>
        <w:t>,</w:t>
      </w:r>
      <w:r w:rsidR="00AF7482" w:rsidRPr="00A34D0B">
        <w:rPr>
          <w:sz w:val="24"/>
          <w:szCs w:val="24"/>
        </w:rPr>
        <w:t xml:space="preserve"> que efetivamente venha</w:t>
      </w:r>
      <w:r w:rsidR="00844FFA">
        <w:rPr>
          <w:sz w:val="24"/>
          <w:szCs w:val="24"/>
        </w:rPr>
        <w:t xml:space="preserve"> a</w:t>
      </w:r>
      <w:r w:rsidR="00AF7482" w:rsidRPr="00A34D0B">
        <w:rPr>
          <w:sz w:val="24"/>
          <w:szCs w:val="24"/>
        </w:rPr>
        <w:t xml:space="preserve"> consolidar uma trajetória de sustentabilidade de médio e longo prazo nas contas do Governo Federal.</w:t>
      </w:r>
    </w:p>
    <w:p w14:paraId="3ED53A0F" w14:textId="77777777" w:rsidR="00CC1607" w:rsidRDefault="0011704C" w:rsidP="00A34D0B">
      <w:pPr>
        <w:spacing w:before="240"/>
        <w:ind w:firstLine="709"/>
        <w:jc w:val="both"/>
        <w:rPr>
          <w:sz w:val="24"/>
          <w:szCs w:val="24"/>
        </w:rPr>
      </w:pPr>
      <w:r>
        <w:rPr>
          <w:sz w:val="24"/>
          <w:szCs w:val="24"/>
        </w:rPr>
        <w:t xml:space="preserve">No que tange </w:t>
      </w:r>
      <w:r w:rsidR="00FE6C0A">
        <w:rPr>
          <w:sz w:val="24"/>
          <w:szCs w:val="24"/>
        </w:rPr>
        <w:t xml:space="preserve">especificamente </w:t>
      </w:r>
      <w:r>
        <w:rPr>
          <w:sz w:val="24"/>
          <w:szCs w:val="24"/>
        </w:rPr>
        <w:t>à</w:t>
      </w:r>
      <w:r w:rsidR="00456832">
        <w:rPr>
          <w:sz w:val="24"/>
          <w:szCs w:val="24"/>
        </w:rPr>
        <w:t xml:space="preserve"> meta de resultado primário definida para o Governo Central,</w:t>
      </w:r>
      <w:r>
        <w:rPr>
          <w:sz w:val="24"/>
          <w:szCs w:val="24"/>
        </w:rPr>
        <w:t xml:space="preserve"> </w:t>
      </w:r>
      <w:r w:rsidR="00FE6C0A">
        <w:rPr>
          <w:sz w:val="24"/>
          <w:szCs w:val="24"/>
        </w:rPr>
        <w:t xml:space="preserve">o art. </w:t>
      </w:r>
      <w:r w:rsidR="00DE3086">
        <w:rPr>
          <w:sz w:val="24"/>
          <w:szCs w:val="24"/>
        </w:rPr>
        <w:t>2</w:t>
      </w:r>
      <w:r w:rsidR="00FE6C0A">
        <w:rPr>
          <w:sz w:val="24"/>
          <w:szCs w:val="24"/>
        </w:rPr>
        <w:t>º, d</w:t>
      </w:r>
      <w:r w:rsidR="00DE3086">
        <w:rPr>
          <w:sz w:val="24"/>
          <w:szCs w:val="24"/>
        </w:rPr>
        <w:t>o</w:t>
      </w:r>
      <w:r w:rsidR="00FE6C0A">
        <w:rPr>
          <w:sz w:val="24"/>
          <w:szCs w:val="24"/>
        </w:rPr>
        <w:t xml:space="preserve"> </w:t>
      </w:r>
      <w:r w:rsidR="00DE3086">
        <w:rPr>
          <w:sz w:val="24"/>
          <w:szCs w:val="24"/>
        </w:rPr>
        <w:t>P</w:t>
      </w:r>
      <w:r w:rsidR="00FE6C0A">
        <w:rPr>
          <w:sz w:val="24"/>
          <w:szCs w:val="24"/>
        </w:rPr>
        <w:t xml:space="preserve">LDO-2021, </w:t>
      </w:r>
      <w:r w:rsidR="00091149">
        <w:rPr>
          <w:sz w:val="24"/>
          <w:szCs w:val="24"/>
        </w:rPr>
        <w:t xml:space="preserve">estabelece que ela deve corresponder à diferença entre a receita </w:t>
      </w:r>
      <w:r w:rsidR="00091149" w:rsidRPr="00091149">
        <w:rPr>
          <w:sz w:val="24"/>
          <w:szCs w:val="24"/>
        </w:rPr>
        <w:t xml:space="preserve">primária </w:t>
      </w:r>
      <w:r w:rsidR="00091149">
        <w:rPr>
          <w:sz w:val="24"/>
          <w:szCs w:val="24"/>
        </w:rPr>
        <w:t xml:space="preserve">total </w:t>
      </w:r>
      <w:r w:rsidR="00091149" w:rsidRPr="00091149">
        <w:rPr>
          <w:sz w:val="24"/>
          <w:szCs w:val="24"/>
        </w:rPr>
        <w:t xml:space="preserve">e </w:t>
      </w:r>
      <w:r w:rsidR="00091149" w:rsidRPr="005A2E56">
        <w:rPr>
          <w:sz w:val="24"/>
          <w:szCs w:val="24"/>
        </w:rPr>
        <w:t>o montante de despesas primárias estabelecido pelo somatório dos limites mencionados nos Incisos I a V do art. 107 do ADCT, acrescid</w:t>
      </w:r>
      <w:r w:rsidR="00796885">
        <w:rPr>
          <w:sz w:val="24"/>
          <w:szCs w:val="24"/>
        </w:rPr>
        <w:t>o</w:t>
      </w:r>
      <w:r w:rsidR="00091149" w:rsidRPr="005A2E56">
        <w:rPr>
          <w:sz w:val="24"/>
          <w:szCs w:val="24"/>
        </w:rPr>
        <w:t xml:space="preserve"> das despesas relacionadas no § 6º do art. 107 do ADCT</w:t>
      </w:r>
      <w:r w:rsidR="00091149">
        <w:rPr>
          <w:sz w:val="24"/>
          <w:szCs w:val="24"/>
        </w:rPr>
        <w:t xml:space="preserve">. Com base nessa metodologia, e tendo em vista o cenário de elevada incerteza, o valor da meta será atualizado </w:t>
      </w:r>
      <w:r w:rsidR="0033156E">
        <w:rPr>
          <w:sz w:val="24"/>
          <w:szCs w:val="24"/>
        </w:rPr>
        <w:t xml:space="preserve">a partir de novas estimativas a serem realizadas </w:t>
      </w:r>
      <w:r w:rsidR="00091149">
        <w:rPr>
          <w:sz w:val="24"/>
          <w:szCs w:val="24"/>
        </w:rPr>
        <w:t>no</w:t>
      </w:r>
      <w:r w:rsidR="0033156E">
        <w:rPr>
          <w:sz w:val="24"/>
          <w:szCs w:val="24"/>
        </w:rPr>
        <w:t xml:space="preserve"> momento do encaminhamento do</w:t>
      </w:r>
      <w:r w:rsidR="00091149">
        <w:rPr>
          <w:sz w:val="24"/>
          <w:szCs w:val="24"/>
        </w:rPr>
        <w:t xml:space="preserve"> Projeto de Lei Orçamentária de 2021</w:t>
      </w:r>
      <w:r w:rsidR="0033156E">
        <w:rPr>
          <w:sz w:val="24"/>
          <w:szCs w:val="24"/>
        </w:rPr>
        <w:t xml:space="preserve"> e também durante a </w:t>
      </w:r>
      <w:r w:rsidR="0033156E">
        <w:rPr>
          <w:sz w:val="24"/>
          <w:szCs w:val="24"/>
        </w:rPr>
        <w:lastRenderedPageBreak/>
        <w:t xml:space="preserve">execução orçamentária, </w:t>
      </w:r>
      <w:r w:rsidR="007C2D16">
        <w:rPr>
          <w:sz w:val="24"/>
          <w:szCs w:val="24"/>
        </w:rPr>
        <w:t xml:space="preserve">no ano de 2021, </w:t>
      </w:r>
      <w:r w:rsidR="0033156E">
        <w:rPr>
          <w:sz w:val="24"/>
          <w:szCs w:val="24"/>
        </w:rPr>
        <w:t xml:space="preserve">nos relatórios de avaliação de receitas e despesas primárias previstos no </w:t>
      </w:r>
      <w:r w:rsidR="0033156E" w:rsidRPr="00DE3086">
        <w:rPr>
          <w:sz w:val="24"/>
          <w:szCs w:val="24"/>
        </w:rPr>
        <w:t xml:space="preserve">§ </w:t>
      </w:r>
      <w:r w:rsidR="0015199F">
        <w:rPr>
          <w:sz w:val="24"/>
          <w:szCs w:val="24"/>
        </w:rPr>
        <w:t>4</w:t>
      </w:r>
      <w:r w:rsidR="0033156E" w:rsidRPr="00DE3086">
        <w:rPr>
          <w:sz w:val="24"/>
          <w:szCs w:val="24"/>
        </w:rPr>
        <w:t>º do art. 6</w:t>
      </w:r>
      <w:r w:rsidR="0015199F">
        <w:rPr>
          <w:sz w:val="24"/>
          <w:szCs w:val="24"/>
        </w:rPr>
        <w:t>3</w:t>
      </w:r>
      <w:r w:rsidR="0033156E">
        <w:rPr>
          <w:sz w:val="24"/>
          <w:szCs w:val="24"/>
        </w:rPr>
        <w:t xml:space="preserve"> do PLDO-2021. Dessa maneira, a sistemática permite que a meta seja ajustada em caso de ocorrência de oscilações nas projeções de receitas primárias ao mesmo tempo que garante que as despesas permaneçam restringidas pelo Teto d</w:t>
      </w:r>
      <w:r w:rsidR="00694A39">
        <w:rPr>
          <w:sz w:val="24"/>
          <w:szCs w:val="24"/>
        </w:rPr>
        <w:t>os</w:t>
      </w:r>
      <w:r w:rsidR="0033156E">
        <w:rPr>
          <w:sz w:val="24"/>
          <w:szCs w:val="24"/>
        </w:rPr>
        <w:t xml:space="preserve"> Gastos, introduzido pela EC nº 95/2016. </w:t>
      </w:r>
      <w:r w:rsidR="00C677DA">
        <w:rPr>
          <w:sz w:val="24"/>
          <w:szCs w:val="24"/>
        </w:rPr>
        <w:t>Assim</w:t>
      </w:r>
      <w:r w:rsidR="0033156E">
        <w:rPr>
          <w:sz w:val="24"/>
          <w:szCs w:val="24"/>
        </w:rPr>
        <w:t>, reforça-se o papel do Teto d</w:t>
      </w:r>
      <w:r w:rsidR="00694A39">
        <w:rPr>
          <w:sz w:val="24"/>
          <w:szCs w:val="24"/>
        </w:rPr>
        <w:t>os</w:t>
      </w:r>
      <w:r w:rsidR="0033156E">
        <w:rPr>
          <w:sz w:val="24"/>
          <w:szCs w:val="24"/>
        </w:rPr>
        <w:t xml:space="preserve"> Gastos como âncora da política fiscal</w:t>
      </w:r>
      <w:r w:rsidR="00796885">
        <w:rPr>
          <w:sz w:val="24"/>
          <w:szCs w:val="24"/>
        </w:rPr>
        <w:t>, no sentido de alinhar as expectativas com respeito à realização da execução da despesa pública no médio prazo</w:t>
      </w:r>
      <w:r w:rsidR="0033156E">
        <w:rPr>
          <w:sz w:val="24"/>
          <w:szCs w:val="24"/>
        </w:rPr>
        <w:t>. Cabe ressaltar que</w:t>
      </w:r>
      <w:r w:rsidR="00C677DA">
        <w:rPr>
          <w:sz w:val="24"/>
          <w:szCs w:val="24"/>
        </w:rPr>
        <w:t xml:space="preserve"> se</w:t>
      </w:r>
      <w:r w:rsidR="0033156E">
        <w:rPr>
          <w:sz w:val="24"/>
          <w:szCs w:val="24"/>
        </w:rPr>
        <w:t xml:space="preserve"> trata de metodologia de caráter excepcional a ser adotada especificamente para o exercício financeiro de 2021, tendo em vista o contexto atual de elevada incerteza, decorrente da pandemia do COVID-19.</w:t>
      </w:r>
    </w:p>
    <w:p w14:paraId="033014E2" w14:textId="152130D6" w:rsidR="00401BB5" w:rsidRDefault="004749E1" w:rsidP="00A34D0B">
      <w:pPr>
        <w:spacing w:before="240"/>
        <w:ind w:firstLine="709"/>
        <w:jc w:val="both"/>
        <w:rPr>
          <w:sz w:val="24"/>
          <w:szCs w:val="24"/>
        </w:rPr>
      </w:pPr>
      <w:r>
        <w:rPr>
          <w:sz w:val="24"/>
          <w:szCs w:val="24"/>
        </w:rPr>
        <w:t xml:space="preserve">Tendo em vista que a sistemática de apuração da meta definida para 2021 tem como referência uma estimativa de despesa primária que deve ser equivalente aos somatórios dos limites estipulados para o Teto dos Gastos, acrescido das despesas relacionadas ao </w:t>
      </w:r>
      <w:r w:rsidRPr="00F50FC2">
        <w:rPr>
          <w:sz w:val="24"/>
          <w:szCs w:val="24"/>
        </w:rPr>
        <w:t>§ 6º do art. 107 do ADCT</w:t>
      </w:r>
      <w:r>
        <w:rPr>
          <w:sz w:val="24"/>
          <w:szCs w:val="24"/>
        </w:rPr>
        <w:t xml:space="preserve">, que corresponde às exceções ao Teto, </w:t>
      </w:r>
      <w:r w:rsidR="00A77930">
        <w:rPr>
          <w:sz w:val="24"/>
          <w:szCs w:val="24"/>
        </w:rPr>
        <w:t xml:space="preserve">tem-se que a despesa primária fixada para 2021 tem como referência o valor de R$ </w:t>
      </w:r>
      <w:r w:rsidR="00A77930" w:rsidRPr="00A77930">
        <w:rPr>
          <w:sz w:val="24"/>
          <w:szCs w:val="24"/>
        </w:rPr>
        <w:t>1</w:t>
      </w:r>
      <w:r w:rsidR="00A77930">
        <w:rPr>
          <w:sz w:val="24"/>
          <w:szCs w:val="24"/>
        </w:rPr>
        <w:t>.</w:t>
      </w:r>
      <w:r w:rsidR="00A77930" w:rsidRPr="00A77930">
        <w:rPr>
          <w:sz w:val="24"/>
          <w:szCs w:val="24"/>
        </w:rPr>
        <w:t>821</w:t>
      </w:r>
      <w:r w:rsidR="00A77930">
        <w:rPr>
          <w:sz w:val="24"/>
          <w:szCs w:val="24"/>
        </w:rPr>
        <w:t>,</w:t>
      </w:r>
      <w:r w:rsidR="00A77930" w:rsidRPr="00A77930">
        <w:rPr>
          <w:sz w:val="24"/>
          <w:szCs w:val="24"/>
        </w:rPr>
        <w:t>30</w:t>
      </w:r>
      <w:r w:rsidR="00A77930">
        <w:rPr>
          <w:sz w:val="24"/>
          <w:szCs w:val="24"/>
        </w:rPr>
        <w:t xml:space="preserve"> bilhões</w:t>
      </w:r>
      <w:r w:rsidR="004B2990">
        <w:rPr>
          <w:sz w:val="24"/>
          <w:szCs w:val="24"/>
        </w:rPr>
        <w:t>, conforme detalhado na Tabela 4</w:t>
      </w:r>
      <w:r w:rsidR="00A77930">
        <w:rPr>
          <w:sz w:val="24"/>
          <w:szCs w:val="24"/>
        </w:rPr>
        <w:t>.</w:t>
      </w:r>
    </w:p>
    <w:p w14:paraId="7B1DDAC4" w14:textId="2DE4FCC3" w:rsidR="004B2990" w:rsidRDefault="004B2990" w:rsidP="008B1CBB">
      <w:pPr>
        <w:spacing w:before="240"/>
        <w:ind w:firstLine="709"/>
        <w:jc w:val="center"/>
        <w:rPr>
          <w:b/>
          <w:szCs w:val="24"/>
        </w:rPr>
      </w:pPr>
      <w:r w:rsidRPr="00F50FC2">
        <w:rPr>
          <w:b/>
          <w:szCs w:val="24"/>
        </w:rPr>
        <w:t>Tabela 4: Meta de Resultado Primário e o Teto dos Gastos</w:t>
      </w:r>
      <w:r>
        <w:rPr>
          <w:b/>
          <w:szCs w:val="24"/>
        </w:rPr>
        <w:t xml:space="preserve"> </w:t>
      </w:r>
      <w:r w:rsidR="009B082D">
        <w:rPr>
          <w:b/>
          <w:szCs w:val="24"/>
        </w:rPr>
        <w:t>para</w:t>
      </w:r>
      <w:r>
        <w:rPr>
          <w:b/>
          <w:szCs w:val="24"/>
        </w:rPr>
        <w:t xml:space="preserve"> 2021</w:t>
      </w:r>
      <w:r w:rsidR="00A1232D">
        <w:rPr>
          <w:b/>
          <w:szCs w:val="24"/>
        </w:rPr>
        <w:t xml:space="preserve"> – Governo </w:t>
      </w:r>
      <w:r w:rsidR="00404CE1">
        <w:rPr>
          <w:b/>
          <w:szCs w:val="24"/>
        </w:rPr>
        <w:t>C</w:t>
      </w:r>
      <w:r w:rsidR="00A1232D">
        <w:rPr>
          <w:b/>
          <w:szCs w:val="24"/>
        </w:rPr>
        <w:t>entral</w:t>
      </w:r>
    </w:p>
    <w:p w14:paraId="762EC3E3" w14:textId="4814A89C" w:rsidR="004B2990" w:rsidRPr="005A2E56" w:rsidRDefault="00E351DD" w:rsidP="005A2E56">
      <w:pPr>
        <w:spacing w:before="240"/>
        <w:ind w:firstLine="709"/>
        <w:jc w:val="center"/>
        <w:rPr>
          <w:b/>
          <w:szCs w:val="24"/>
        </w:rPr>
      </w:pPr>
      <w:r w:rsidRPr="00E351DD">
        <w:t xml:space="preserve"> </w:t>
      </w:r>
      <w:r w:rsidR="004C4828" w:rsidRPr="004C4828">
        <w:rPr>
          <w:noProof/>
          <w:lang w:eastAsia="pt-BR"/>
        </w:rPr>
        <w:drawing>
          <wp:inline distT="0" distB="0" distL="0" distR="0" wp14:anchorId="0029BEDB" wp14:editId="4F5170D8">
            <wp:extent cx="4915815" cy="1706963"/>
            <wp:effectExtent l="0" t="0" r="0" b="762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0371" cy="1708545"/>
                    </a:xfrm>
                    <a:prstGeom prst="rect">
                      <a:avLst/>
                    </a:prstGeom>
                    <a:noFill/>
                    <a:ln>
                      <a:noFill/>
                    </a:ln>
                  </pic:spPr>
                </pic:pic>
              </a:graphicData>
            </a:graphic>
          </wp:inline>
        </w:drawing>
      </w:r>
      <w:r w:rsidR="004C4828" w:rsidRPr="004C4828">
        <w:t xml:space="preserve"> </w:t>
      </w:r>
      <w:r w:rsidR="004B2990">
        <w:rPr>
          <w:sz w:val="24"/>
          <w:szCs w:val="24"/>
        </w:rPr>
        <w:br w:type="page"/>
      </w:r>
    </w:p>
    <w:p w14:paraId="5D8F5A39" w14:textId="62FDDAA9" w:rsidR="00535A50" w:rsidRPr="00A34D0B" w:rsidRDefault="00D7769C" w:rsidP="00A34D0B">
      <w:pPr>
        <w:spacing w:before="240"/>
        <w:ind w:firstLine="709"/>
        <w:jc w:val="both"/>
        <w:rPr>
          <w:sz w:val="24"/>
          <w:szCs w:val="24"/>
        </w:rPr>
      </w:pPr>
      <w:r>
        <w:rPr>
          <w:sz w:val="24"/>
          <w:szCs w:val="24"/>
        </w:rPr>
        <w:lastRenderedPageBreak/>
        <w:t>Maiores detalhes</w:t>
      </w:r>
      <w:r w:rsidR="00535A50">
        <w:rPr>
          <w:sz w:val="24"/>
          <w:szCs w:val="24"/>
        </w:rPr>
        <w:t xml:space="preserve"> das projeções das receitas e despesas que embasaram a estipulação das metas ora apresentadas encontram-se na </w:t>
      </w:r>
      <w:r w:rsidR="009E19CE">
        <w:rPr>
          <w:sz w:val="24"/>
          <w:szCs w:val="24"/>
        </w:rPr>
        <w:t>T</w:t>
      </w:r>
      <w:r w:rsidR="00535A50">
        <w:rPr>
          <w:sz w:val="24"/>
          <w:szCs w:val="24"/>
        </w:rPr>
        <w:t xml:space="preserve">abela </w:t>
      </w:r>
      <w:r w:rsidR="009E19CE">
        <w:rPr>
          <w:sz w:val="24"/>
          <w:szCs w:val="24"/>
        </w:rPr>
        <w:t>4</w:t>
      </w:r>
      <w:r w:rsidR="00535A50">
        <w:rPr>
          <w:sz w:val="24"/>
          <w:szCs w:val="24"/>
        </w:rPr>
        <w:t xml:space="preserve"> abaixo:</w:t>
      </w:r>
    </w:p>
    <w:p w14:paraId="4E1A187E" w14:textId="3FBA5E1C" w:rsidR="00C932CC" w:rsidRPr="00A34D0B" w:rsidRDefault="00C932CC" w:rsidP="00C932CC">
      <w:pPr>
        <w:spacing w:before="240"/>
        <w:ind w:firstLine="709"/>
        <w:jc w:val="both"/>
        <w:rPr>
          <w:sz w:val="24"/>
          <w:szCs w:val="24"/>
        </w:rPr>
      </w:pPr>
      <w:r w:rsidRPr="00C932CC">
        <w:rPr>
          <w:b/>
          <w:szCs w:val="24"/>
        </w:rPr>
        <w:t xml:space="preserve">Tabela </w:t>
      </w:r>
      <w:r w:rsidR="00EF3FFD">
        <w:rPr>
          <w:b/>
          <w:szCs w:val="24"/>
        </w:rPr>
        <w:t>5</w:t>
      </w:r>
      <w:r w:rsidRPr="00C932CC">
        <w:rPr>
          <w:b/>
          <w:szCs w:val="24"/>
        </w:rPr>
        <w:t xml:space="preserve">: </w:t>
      </w:r>
      <w:r>
        <w:rPr>
          <w:b/>
          <w:szCs w:val="24"/>
        </w:rPr>
        <w:t>Detalhamento das Variáveis Fiscais</w:t>
      </w:r>
    </w:p>
    <w:p w14:paraId="18AF3DCA" w14:textId="293E8043" w:rsidR="005A2E56" w:rsidRDefault="005A2E56" w:rsidP="006766C3">
      <w:pPr>
        <w:spacing w:after="120"/>
        <w:jc w:val="both"/>
        <w:rPr>
          <w:sz w:val="24"/>
          <w:szCs w:val="24"/>
        </w:rPr>
      </w:pPr>
      <w:r w:rsidRPr="005A2E56">
        <w:rPr>
          <w:noProof/>
          <w:lang w:eastAsia="pt-BR"/>
        </w:rPr>
        <w:drawing>
          <wp:inline distT="0" distB="0" distL="0" distR="0" wp14:anchorId="0621A6A1" wp14:editId="59E3021B">
            <wp:extent cx="6029960" cy="6309339"/>
            <wp:effectExtent l="0" t="0" r="889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9960" cy="6309339"/>
                    </a:xfrm>
                    <a:prstGeom prst="rect">
                      <a:avLst/>
                    </a:prstGeom>
                    <a:noFill/>
                    <a:ln>
                      <a:noFill/>
                    </a:ln>
                  </pic:spPr>
                </pic:pic>
              </a:graphicData>
            </a:graphic>
          </wp:inline>
        </w:drawing>
      </w:r>
    </w:p>
    <w:p w14:paraId="0A754D6A" w14:textId="0E41A2FD" w:rsidR="00B72EB1" w:rsidRDefault="00DB4174" w:rsidP="00A34D0B">
      <w:pPr>
        <w:spacing w:after="120"/>
        <w:ind w:firstLine="709"/>
        <w:jc w:val="both"/>
        <w:rPr>
          <w:sz w:val="24"/>
          <w:szCs w:val="24"/>
        </w:rPr>
      </w:pPr>
      <w:r w:rsidRPr="00DB4174">
        <w:rPr>
          <w:sz w:val="24"/>
          <w:szCs w:val="24"/>
        </w:rPr>
        <w:t xml:space="preserve">A EC nº 102/2019 introduziu, no art. 165, o § 12, que estabelece que integrará a lei de diretrizes orçamentárias, para o exercício a que se refere e, pelo menos, para os 2 (dois) exercícios subsequentes, anexo com previsão de agregados fiscais e a proporção dos recursos para investimentos que serão alocados na lei orçamentária anual para a continuidade daqueles em andamento. Com vistas a cumprir tal disposição e o disposto no art. 20 do PLDO-2021, cabe esclarecer que a previsão para as Despesas Discricionárias do Poder Executivo sujeitas à </w:t>
      </w:r>
      <w:r w:rsidRPr="00DB4174">
        <w:rPr>
          <w:sz w:val="24"/>
          <w:szCs w:val="24"/>
        </w:rPr>
        <w:lastRenderedPageBreak/>
        <w:t>Programação Financeira prevê a proporção mínima de 9,6%</w:t>
      </w:r>
      <w:r>
        <w:rPr>
          <w:rStyle w:val="Refdenotaderodap"/>
          <w:sz w:val="24"/>
          <w:szCs w:val="24"/>
        </w:rPr>
        <w:footnoteReference w:id="3"/>
      </w:r>
      <w:r w:rsidRPr="00DB4174">
        <w:rPr>
          <w:sz w:val="24"/>
          <w:szCs w:val="24"/>
        </w:rPr>
        <w:t xml:space="preserve"> do valor total para os investimentos em andamento para cada ano do período de 2021 a 2023. Em que pese a previsão para o total das discricionárias indicar uma queda no seu valor nominal no período, a adoção de um percentual mínimo fixo visa preservar a participação dos recursos alocados para tal finalidade, tendo em vista o estoque ainda significativo de projetos de investimento em andamento</w:t>
      </w:r>
      <w:r w:rsidR="006B4DC7">
        <w:rPr>
          <w:sz w:val="24"/>
          <w:szCs w:val="24"/>
        </w:rPr>
        <w:t>.</w:t>
      </w:r>
    </w:p>
    <w:p w14:paraId="61ED5A54" w14:textId="77777777" w:rsidR="00675E4A" w:rsidRDefault="00675E4A" w:rsidP="00A34D0B">
      <w:pPr>
        <w:spacing w:after="120"/>
        <w:ind w:firstLine="709"/>
        <w:jc w:val="both"/>
        <w:rPr>
          <w:sz w:val="24"/>
          <w:szCs w:val="24"/>
        </w:rPr>
      </w:pPr>
    </w:p>
    <w:p w14:paraId="28C1E9CC" w14:textId="755D576E" w:rsidR="00B818C8" w:rsidRPr="00A34D0B" w:rsidRDefault="00B818C8" w:rsidP="00A34D0B">
      <w:pPr>
        <w:spacing w:after="120"/>
        <w:ind w:firstLine="709"/>
        <w:jc w:val="both"/>
        <w:rPr>
          <w:rFonts w:cstheme="minorHAnsi"/>
          <w:sz w:val="24"/>
          <w:szCs w:val="24"/>
        </w:rPr>
      </w:pPr>
      <w:r w:rsidRPr="00A34D0B">
        <w:rPr>
          <w:sz w:val="24"/>
          <w:szCs w:val="24"/>
        </w:rPr>
        <w:t xml:space="preserve">As principais premissas e hipóteses para a projeção dos agregados de receitas e despesas primárias apresentados na </w:t>
      </w:r>
      <w:r w:rsidR="009E19CE">
        <w:rPr>
          <w:sz w:val="24"/>
          <w:szCs w:val="24"/>
        </w:rPr>
        <w:t>T</w:t>
      </w:r>
      <w:r w:rsidR="009E19CE" w:rsidRPr="00A34D0B">
        <w:rPr>
          <w:sz w:val="24"/>
          <w:szCs w:val="24"/>
        </w:rPr>
        <w:t xml:space="preserve">abela </w:t>
      </w:r>
      <w:r w:rsidR="00DC5A2C">
        <w:rPr>
          <w:sz w:val="24"/>
          <w:szCs w:val="24"/>
        </w:rPr>
        <w:t>5</w:t>
      </w:r>
      <w:r w:rsidR="009E19CE">
        <w:rPr>
          <w:sz w:val="24"/>
          <w:szCs w:val="24"/>
        </w:rPr>
        <w:t xml:space="preserve"> </w:t>
      </w:r>
      <w:r w:rsidRPr="00A34D0B">
        <w:rPr>
          <w:sz w:val="24"/>
          <w:szCs w:val="24"/>
        </w:rPr>
        <w:t>encontram-se detalhadas na seção relativa ao “</w:t>
      </w:r>
      <w:r w:rsidRPr="00A34D0B">
        <w:rPr>
          <w:rFonts w:cstheme="minorHAnsi"/>
          <w:sz w:val="24"/>
          <w:szCs w:val="24"/>
        </w:rPr>
        <w:t>Anexo de Metas Fiscais Atuais Comparadas com as Fixadas nos Três Exercícios Anteriores” mais adiante.</w:t>
      </w:r>
    </w:p>
    <w:p w14:paraId="3232F8AC" w14:textId="77777777" w:rsidR="00F73C9E" w:rsidRDefault="00F73C9E">
      <w:pPr>
        <w:rPr>
          <w:rFonts w:cstheme="minorHAnsi"/>
          <w:szCs w:val="24"/>
        </w:rPr>
      </w:pPr>
      <w:r>
        <w:rPr>
          <w:rFonts w:cstheme="minorHAnsi"/>
          <w:szCs w:val="24"/>
        </w:rPr>
        <w:br w:type="page"/>
      </w:r>
    </w:p>
    <w:p w14:paraId="687AB5D9" w14:textId="77777777" w:rsidR="002B2C1D" w:rsidRDefault="002B2C1D" w:rsidP="00A34D0B">
      <w:pPr>
        <w:spacing w:after="120"/>
        <w:jc w:val="center"/>
        <w:rPr>
          <w:rFonts w:cstheme="minorHAnsi"/>
          <w:b/>
          <w:sz w:val="28"/>
          <w:szCs w:val="24"/>
          <w:u w:val="single"/>
        </w:rPr>
      </w:pPr>
      <w:r w:rsidRPr="002B2C1D">
        <w:rPr>
          <w:rFonts w:cstheme="minorHAnsi"/>
          <w:b/>
          <w:sz w:val="28"/>
          <w:szCs w:val="24"/>
          <w:u w:val="single"/>
        </w:rPr>
        <w:lastRenderedPageBreak/>
        <w:t xml:space="preserve">ANEXO DE METAS </w:t>
      </w:r>
      <w:r w:rsidR="00603833">
        <w:rPr>
          <w:rFonts w:cstheme="minorHAnsi"/>
          <w:b/>
          <w:sz w:val="28"/>
          <w:szCs w:val="24"/>
          <w:u w:val="single"/>
        </w:rPr>
        <w:t xml:space="preserve">FISCAIS </w:t>
      </w:r>
      <w:r w:rsidRPr="002B2C1D">
        <w:rPr>
          <w:rFonts w:cstheme="minorHAnsi"/>
          <w:b/>
          <w:sz w:val="28"/>
          <w:szCs w:val="24"/>
          <w:u w:val="single"/>
        </w:rPr>
        <w:t>A</w:t>
      </w:r>
      <w:r w:rsidR="00603833">
        <w:rPr>
          <w:rFonts w:cstheme="minorHAnsi"/>
          <w:b/>
          <w:sz w:val="28"/>
          <w:szCs w:val="24"/>
          <w:u w:val="single"/>
        </w:rPr>
        <w:t>T</w:t>
      </w:r>
      <w:r w:rsidRPr="002B2C1D">
        <w:rPr>
          <w:rFonts w:cstheme="minorHAnsi"/>
          <w:b/>
          <w:sz w:val="28"/>
          <w:szCs w:val="24"/>
          <w:u w:val="single"/>
        </w:rPr>
        <w:t>UAIS</w:t>
      </w:r>
      <w:r w:rsidR="00603833">
        <w:rPr>
          <w:rFonts w:cstheme="minorHAnsi"/>
          <w:b/>
          <w:sz w:val="28"/>
          <w:szCs w:val="24"/>
          <w:u w:val="single"/>
        </w:rPr>
        <w:t xml:space="preserve"> COMPARADAS COM AS FIXADAS NOS TRÊS EXERCÍCIOS ANTERIORES</w:t>
      </w:r>
    </w:p>
    <w:p w14:paraId="469F3E18" w14:textId="77777777" w:rsidR="00A5272B" w:rsidRDefault="00A5272B" w:rsidP="002B2C1D">
      <w:pPr>
        <w:spacing w:after="120"/>
        <w:jc w:val="both"/>
        <w:rPr>
          <w:rFonts w:cstheme="minorHAnsi"/>
          <w:b/>
          <w:sz w:val="28"/>
          <w:szCs w:val="24"/>
          <w:u w:val="single"/>
        </w:rPr>
      </w:pPr>
    </w:p>
    <w:p w14:paraId="661DE6A6" w14:textId="14E4D69A" w:rsidR="005C5192" w:rsidRPr="00A34D0B" w:rsidRDefault="00995CB5">
      <w:pPr>
        <w:rPr>
          <w:b/>
          <w:sz w:val="24"/>
          <w:szCs w:val="24"/>
          <w:u w:val="single"/>
        </w:rPr>
      </w:pPr>
      <w:r w:rsidRPr="00A34D0B">
        <w:rPr>
          <w:b/>
          <w:sz w:val="24"/>
          <w:szCs w:val="24"/>
          <w:u w:val="single"/>
        </w:rPr>
        <w:t>A)</w:t>
      </w:r>
      <w:r w:rsidR="007F693E" w:rsidRPr="00A34D0B">
        <w:rPr>
          <w:b/>
          <w:sz w:val="24"/>
          <w:szCs w:val="24"/>
          <w:u w:val="single"/>
        </w:rPr>
        <w:t xml:space="preserve"> </w:t>
      </w:r>
      <w:r w:rsidR="00561F5A" w:rsidRPr="00A34D0B">
        <w:rPr>
          <w:b/>
          <w:sz w:val="24"/>
          <w:szCs w:val="24"/>
          <w:u w:val="single"/>
        </w:rPr>
        <w:t>Estimativa das Receitas Primárias</w:t>
      </w:r>
      <w:r w:rsidR="009327BA" w:rsidRPr="00A34D0B">
        <w:rPr>
          <w:b/>
          <w:sz w:val="24"/>
          <w:szCs w:val="24"/>
          <w:u w:val="single"/>
        </w:rPr>
        <w:t xml:space="preserve"> para 202</w:t>
      </w:r>
      <w:r w:rsidR="00A14969">
        <w:rPr>
          <w:b/>
          <w:sz w:val="24"/>
          <w:szCs w:val="24"/>
          <w:u w:val="single"/>
        </w:rPr>
        <w:t>1</w:t>
      </w:r>
      <w:r w:rsidR="009327BA" w:rsidRPr="00A34D0B">
        <w:rPr>
          <w:b/>
          <w:sz w:val="24"/>
          <w:szCs w:val="24"/>
          <w:u w:val="single"/>
        </w:rPr>
        <w:t xml:space="preserve"> a 202</w:t>
      </w:r>
      <w:r w:rsidR="00A14969">
        <w:rPr>
          <w:b/>
          <w:sz w:val="24"/>
          <w:szCs w:val="24"/>
          <w:u w:val="single"/>
        </w:rPr>
        <w:t>3</w:t>
      </w:r>
    </w:p>
    <w:p w14:paraId="24265688" w14:textId="77777777" w:rsidR="001557AD" w:rsidRPr="00A34D0B" w:rsidRDefault="001557AD" w:rsidP="001557AD">
      <w:pPr>
        <w:rPr>
          <w:i/>
          <w:sz w:val="24"/>
          <w:szCs w:val="24"/>
          <w:u w:val="single"/>
        </w:rPr>
      </w:pPr>
      <w:r w:rsidRPr="00A34D0B">
        <w:rPr>
          <w:i/>
          <w:sz w:val="24"/>
          <w:szCs w:val="24"/>
          <w:u w:val="single"/>
        </w:rPr>
        <w:t xml:space="preserve">Receita </w:t>
      </w:r>
      <w:r w:rsidR="00EA147C" w:rsidRPr="00A34D0B">
        <w:rPr>
          <w:i/>
          <w:sz w:val="24"/>
          <w:szCs w:val="24"/>
          <w:u w:val="single"/>
        </w:rPr>
        <w:t>a</w:t>
      </w:r>
      <w:r w:rsidRPr="00A34D0B">
        <w:rPr>
          <w:i/>
          <w:sz w:val="24"/>
          <w:szCs w:val="24"/>
          <w:u w:val="single"/>
        </w:rPr>
        <w:t>dministrada pela RFB</w:t>
      </w:r>
    </w:p>
    <w:p w14:paraId="6DD26C48" w14:textId="1BDB2B79" w:rsidR="001557AD" w:rsidRPr="00A34D0B" w:rsidRDefault="003E2D9A" w:rsidP="00A34D0B">
      <w:pPr>
        <w:spacing w:before="240"/>
        <w:ind w:firstLine="709"/>
        <w:jc w:val="both"/>
        <w:rPr>
          <w:rFonts w:ascii="Calibri" w:hAnsi="Calibri" w:cs="Calibri"/>
          <w:color w:val="000000"/>
          <w:sz w:val="24"/>
          <w:szCs w:val="24"/>
          <w:shd w:val="clear" w:color="auto" w:fill="FFFFFF"/>
        </w:rPr>
      </w:pPr>
      <w:r w:rsidRPr="00A34D0B">
        <w:rPr>
          <w:rFonts w:ascii="Calibri" w:hAnsi="Calibri" w:cs="Calibri"/>
          <w:color w:val="000000"/>
          <w:sz w:val="24"/>
          <w:szCs w:val="24"/>
          <w:shd w:val="clear" w:color="auto" w:fill="FFFFFF"/>
        </w:rPr>
        <w:t>As receitas primárias</w:t>
      </w:r>
      <w:r w:rsidR="001557AD" w:rsidRPr="00A34D0B">
        <w:rPr>
          <w:rFonts w:ascii="Calibri" w:hAnsi="Calibri" w:cs="Calibri"/>
          <w:color w:val="000000"/>
          <w:sz w:val="24"/>
          <w:szCs w:val="24"/>
          <w:shd w:val="clear" w:color="auto" w:fill="FFFFFF"/>
        </w:rPr>
        <w:t xml:space="preserve"> administradas pela Secretaria Especial da Receita Federal </w:t>
      </w:r>
      <w:r w:rsidR="00757A55">
        <w:rPr>
          <w:rFonts w:ascii="Calibri" w:hAnsi="Calibri" w:cs="Calibri"/>
          <w:color w:val="000000"/>
          <w:sz w:val="24"/>
          <w:szCs w:val="24"/>
          <w:shd w:val="clear" w:color="auto" w:fill="FFFFFF"/>
        </w:rPr>
        <w:t>do Brasil</w:t>
      </w:r>
      <w:r w:rsidR="001557AD" w:rsidRPr="00A34D0B">
        <w:rPr>
          <w:rFonts w:ascii="Calibri" w:hAnsi="Calibri" w:cs="Calibri"/>
          <w:color w:val="000000"/>
          <w:sz w:val="24"/>
          <w:szCs w:val="24"/>
          <w:shd w:val="clear" w:color="auto" w:fill="FFFFFF"/>
        </w:rPr>
        <w:t xml:space="preserve"> (RFB)</w:t>
      </w:r>
      <w:r w:rsidRPr="00A34D0B">
        <w:rPr>
          <w:rFonts w:ascii="Calibri" w:hAnsi="Calibri" w:cs="Calibri"/>
          <w:color w:val="000000"/>
          <w:sz w:val="24"/>
          <w:szCs w:val="24"/>
          <w:shd w:val="clear" w:color="auto" w:fill="FFFFFF"/>
        </w:rPr>
        <w:t>, em sua maioria, são estimadas tendo como base a arrecadação</w:t>
      </w:r>
      <w:r w:rsidR="00BA1F85" w:rsidRPr="00A34D0B">
        <w:rPr>
          <w:rFonts w:ascii="Calibri" w:hAnsi="Calibri" w:cs="Calibri"/>
          <w:color w:val="000000"/>
          <w:sz w:val="24"/>
          <w:szCs w:val="24"/>
          <w:shd w:val="clear" w:color="auto" w:fill="FFFFFF"/>
        </w:rPr>
        <w:t xml:space="preserve"> histórica recente, em geral </w:t>
      </w:r>
      <w:r w:rsidR="001557AD" w:rsidRPr="00A34D0B">
        <w:rPr>
          <w:rFonts w:ascii="Calibri" w:hAnsi="Calibri" w:cs="Calibri"/>
          <w:color w:val="000000"/>
          <w:sz w:val="24"/>
          <w:szCs w:val="24"/>
          <w:shd w:val="clear" w:color="auto" w:fill="FFFFFF"/>
        </w:rPr>
        <w:t>relativa aos</w:t>
      </w:r>
      <w:r w:rsidRPr="00A34D0B">
        <w:rPr>
          <w:rFonts w:ascii="Calibri" w:hAnsi="Calibri" w:cs="Calibri"/>
          <w:color w:val="000000"/>
          <w:sz w:val="24"/>
          <w:szCs w:val="24"/>
          <w:shd w:val="clear" w:color="auto" w:fill="FFFFFF"/>
        </w:rPr>
        <w:t xml:space="preserve"> últimos </w:t>
      </w:r>
      <w:r w:rsidR="001557AD" w:rsidRPr="00A34D0B">
        <w:rPr>
          <w:rFonts w:ascii="Calibri" w:hAnsi="Calibri" w:cs="Calibri"/>
          <w:color w:val="000000"/>
          <w:sz w:val="24"/>
          <w:szCs w:val="24"/>
          <w:shd w:val="clear" w:color="auto" w:fill="FFFFFF"/>
        </w:rPr>
        <w:t>doze</w:t>
      </w:r>
      <w:r w:rsidRPr="00A34D0B">
        <w:rPr>
          <w:rFonts w:ascii="Calibri" w:hAnsi="Calibri" w:cs="Calibri"/>
          <w:color w:val="000000"/>
          <w:sz w:val="24"/>
          <w:szCs w:val="24"/>
          <w:shd w:val="clear" w:color="auto" w:fill="FFFFFF"/>
        </w:rPr>
        <w:t xml:space="preserve"> meses, com aplicação dos parâmetros macroeconômicos adequados a cada uma. Consideram ainda o efeito de legislações que já tenham sido aprovadas, como é o caso </w:t>
      </w:r>
      <w:r w:rsidR="008862B2">
        <w:rPr>
          <w:rFonts w:ascii="Calibri" w:hAnsi="Calibri" w:cs="Calibri"/>
          <w:color w:val="000000"/>
          <w:sz w:val="24"/>
          <w:szCs w:val="24"/>
          <w:shd w:val="clear" w:color="auto" w:fill="FFFFFF"/>
        </w:rPr>
        <w:t>das alterações introduzidas pela Lei nº 13.755/2</w:t>
      </w:r>
      <w:r w:rsidR="002617CD">
        <w:rPr>
          <w:rFonts w:ascii="Calibri" w:hAnsi="Calibri" w:cs="Calibri"/>
          <w:color w:val="000000"/>
          <w:sz w:val="24"/>
          <w:szCs w:val="24"/>
          <w:shd w:val="clear" w:color="auto" w:fill="FFFFFF"/>
        </w:rPr>
        <w:t>01</w:t>
      </w:r>
      <w:r w:rsidR="008862B2">
        <w:rPr>
          <w:rFonts w:ascii="Calibri" w:hAnsi="Calibri" w:cs="Calibri"/>
          <w:color w:val="000000"/>
          <w:sz w:val="24"/>
          <w:szCs w:val="24"/>
          <w:shd w:val="clear" w:color="auto" w:fill="FFFFFF"/>
        </w:rPr>
        <w:t xml:space="preserve">8, que instituiu o Programa Rota 2030, </w:t>
      </w:r>
      <w:r w:rsidR="000269A5">
        <w:rPr>
          <w:rFonts w:ascii="Calibri" w:hAnsi="Calibri" w:cs="Calibri"/>
          <w:color w:val="000000"/>
          <w:sz w:val="24"/>
          <w:szCs w:val="24"/>
          <w:shd w:val="clear" w:color="auto" w:fill="FFFFFF"/>
        </w:rPr>
        <w:t>no</w:t>
      </w:r>
      <w:r w:rsidR="008862B2">
        <w:rPr>
          <w:rFonts w:ascii="Calibri" w:hAnsi="Calibri" w:cs="Calibri"/>
          <w:color w:val="000000"/>
          <w:sz w:val="24"/>
          <w:szCs w:val="24"/>
          <w:shd w:val="clear" w:color="auto" w:fill="FFFFFF"/>
        </w:rPr>
        <w:t xml:space="preserve"> Imposto sobre Produtos Industrializados (IPI)</w:t>
      </w:r>
      <w:r w:rsidR="008862B2" w:rsidRPr="00373A73">
        <w:rPr>
          <w:rFonts w:ascii="Calibri" w:hAnsi="Calibri" w:cs="Calibri"/>
          <w:color w:val="000000"/>
          <w:sz w:val="24"/>
          <w:szCs w:val="24"/>
          <w:shd w:val="clear" w:color="auto" w:fill="FFFFFF"/>
        </w:rPr>
        <w:t>,</w:t>
      </w:r>
      <w:r w:rsidR="008862B2">
        <w:rPr>
          <w:rFonts w:ascii="Calibri" w:hAnsi="Calibri" w:cs="Calibri"/>
          <w:color w:val="000000"/>
          <w:sz w:val="24"/>
          <w:szCs w:val="24"/>
          <w:shd w:val="clear" w:color="auto" w:fill="FFFFFF"/>
        </w:rPr>
        <w:t xml:space="preserve"> e da Lei </w:t>
      </w:r>
      <w:r w:rsidR="009E19CE">
        <w:rPr>
          <w:rFonts w:ascii="Calibri" w:hAnsi="Calibri" w:cs="Calibri"/>
          <w:color w:val="000000"/>
          <w:sz w:val="24"/>
          <w:szCs w:val="24"/>
          <w:shd w:val="clear" w:color="auto" w:fill="FFFFFF"/>
        </w:rPr>
        <w:t xml:space="preserve">nº </w:t>
      </w:r>
      <w:r w:rsidR="008862B2">
        <w:rPr>
          <w:rFonts w:ascii="Calibri" w:hAnsi="Calibri" w:cs="Calibri"/>
          <w:color w:val="000000"/>
          <w:sz w:val="24"/>
          <w:szCs w:val="24"/>
          <w:shd w:val="clear" w:color="auto" w:fill="FFFFFF"/>
        </w:rPr>
        <w:t>13.799/</w:t>
      </w:r>
      <w:r w:rsidR="002617CD">
        <w:rPr>
          <w:rFonts w:ascii="Calibri" w:hAnsi="Calibri" w:cs="Calibri"/>
          <w:color w:val="000000"/>
          <w:sz w:val="24"/>
          <w:szCs w:val="24"/>
          <w:shd w:val="clear" w:color="auto" w:fill="FFFFFF"/>
        </w:rPr>
        <w:t>20</w:t>
      </w:r>
      <w:r w:rsidR="008862B2">
        <w:rPr>
          <w:rFonts w:ascii="Calibri" w:hAnsi="Calibri" w:cs="Calibri"/>
          <w:color w:val="000000"/>
          <w:sz w:val="24"/>
          <w:szCs w:val="24"/>
          <w:shd w:val="clear" w:color="auto" w:fill="FFFFFF"/>
        </w:rPr>
        <w:t>19</w:t>
      </w:r>
      <w:r w:rsidR="000269A5">
        <w:rPr>
          <w:rFonts w:ascii="Calibri" w:hAnsi="Calibri" w:cs="Calibri"/>
          <w:color w:val="000000"/>
          <w:sz w:val="24"/>
          <w:szCs w:val="24"/>
          <w:shd w:val="clear" w:color="auto" w:fill="FFFFFF"/>
        </w:rPr>
        <w:t>,</w:t>
      </w:r>
      <w:r w:rsidR="008862B2">
        <w:rPr>
          <w:rFonts w:ascii="Calibri" w:hAnsi="Calibri" w:cs="Calibri"/>
          <w:color w:val="000000"/>
          <w:sz w:val="24"/>
          <w:szCs w:val="24"/>
          <w:shd w:val="clear" w:color="auto" w:fill="FFFFFF"/>
        </w:rPr>
        <w:t xml:space="preserve"> que prorrogou os benefícios do Imposto de Renda Pessoa Jurídica (IRPJ) nas áreas de atuação da SUDAM e SUDENE</w:t>
      </w:r>
      <w:r w:rsidRPr="00A34D0B">
        <w:rPr>
          <w:rFonts w:ascii="Calibri" w:hAnsi="Calibri" w:cs="Calibri"/>
          <w:color w:val="000000"/>
          <w:sz w:val="24"/>
          <w:szCs w:val="24"/>
          <w:shd w:val="clear" w:color="auto" w:fill="FFFFFF"/>
        </w:rPr>
        <w:t>.</w:t>
      </w:r>
    </w:p>
    <w:p w14:paraId="3C90EDEF" w14:textId="77777777" w:rsidR="00B226F0" w:rsidRPr="00A34D0B" w:rsidRDefault="00B226F0" w:rsidP="003E2D9A">
      <w:pPr>
        <w:jc w:val="both"/>
        <w:rPr>
          <w:rFonts w:ascii="Calibri" w:hAnsi="Calibri" w:cs="Calibri"/>
          <w:i/>
          <w:color w:val="000000"/>
          <w:sz w:val="24"/>
          <w:szCs w:val="24"/>
          <w:u w:val="single"/>
          <w:shd w:val="clear" w:color="auto" w:fill="FFFFFF"/>
        </w:rPr>
      </w:pPr>
      <w:r w:rsidRPr="00A34D0B">
        <w:rPr>
          <w:i/>
          <w:sz w:val="24"/>
          <w:szCs w:val="24"/>
          <w:u w:val="single"/>
        </w:rPr>
        <w:t>Arrecadação para o Regime Geral de Previdência Social (RGPS)</w:t>
      </w:r>
      <w:r w:rsidRPr="00A34D0B">
        <w:rPr>
          <w:rFonts w:ascii="Calibri" w:hAnsi="Calibri" w:cs="Calibri"/>
          <w:i/>
          <w:color w:val="000000"/>
          <w:sz w:val="24"/>
          <w:szCs w:val="24"/>
          <w:u w:val="single"/>
          <w:shd w:val="clear" w:color="auto" w:fill="FFFFFF"/>
        </w:rPr>
        <w:t xml:space="preserve"> </w:t>
      </w:r>
    </w:p>
    <w:p w14:paraId="1F04B355" w14:textId="72FE33EC" w:rsidR="00A5272B" w:rsidRPr="00A34D0B" w:rsidRDefault="00A5272B" w:rsidP="00A34D0B">
      <w:pPr>
        <w:spacing w:before="240"/>
        <w:ind w:firstLine="709"/>
        <w:jc w:val="both"/>
        <w:rPr>
          <w:rFonts w:ascii="Calibri" w:hAnsi="Calibri" w:cs="Calibri"/>
          <w:color w:val="000000"/>
          <w:sz w:val="24"/>
          <w:szCs w:val="24"/>
          <w:shd w:val="clear" w:color="auto" w:fill="FFFFFF"/>
        </w:rPr>
      </w:pPr>
      <w:r w:rsidRPr="00A34D0B">
        <w:rPr>
          <w:rFonts w:ascii="Calibri" w:hAnsi="Calibri" w:cs="Calibri"/>
          <w:color w:val="000000"/>
          <w:sz w:val="24"/>
          <w:szCs w:val="24"/>
          <w:shd w:val="clear" w:color="auto" w:fill="FFFFFF"/>
        </w:rPr>
        <w:t xml:space="preserve">As receitas previdenciárias também são projetadas em função de uma base de arrecadação, e aplicação de parâmetros </w:t>
      </w:r>
      <w:r w:rsidR="009E19CE">
        <w:rPr>
          <w:rFonts w:ascii="Calibri" w:hAnsi="Calibri" w:cs="Calibri"/>
          <w:color w:val="000000"/>
          <w:sz w:val="24"/>
          <w:szCs w:val="24"/>
          <w:shd w:val="clear" w:color="auto" w:fill="FFFFFF"/>
        </w:rPr>
        <w:t>macro</w:t>
      </w:r>
      <w:r w:rsidRPr="00A34D0B">
        <w:rPr>
          <w:rFonts w:ascii="Calibri" w:hAnsi="Calibri" w:cs="Calibri"/>
          <w:color w:val="000000"/>
          <w:sz w:val="24"/>
          <w:szCs w:val="24"/>
          <w:shd w:val="clear" w:color="auto" w:fill="FFFFFF"/>
        </w:rPr>
        <w:t>econômicos, notadamente referentes ao mercado de trabalho (massa salarial nominal). T</w:t>
      </w:r>
      <w:r w:rsidR="003E2D9A" w:rsidRPr="00A34D0B">
        <w:rPr>
          <w:rFonts w:ascii="Calibri" w:hAnsi="Calibri" w:cs="Calibri"/>
          <w:color w:val="000000"/>
          <w:sz w:val="24"/>
          <w:szCs w:val="24"/>
          <w:shd w:val="clear" w:color="auto" w:fill="FFFFFF"/>
        </w:rPr>
        <w:t xml:space="preserve">ambém consideram </w:t>
      </w:r>
      <w:r w:rsidR="003E2D9A" w:rsidRPr="00302272">
        <w:rPr>
          <w:rFonts w:ascii="Calibri" w:hAnsi="Calibri" w:cs="Calibri"/>
          <w:color w:val="000000"/>
          <w:sz w:val="24"/>
          <w:szCs w:val="24"/>
          <w:shd w:val="clear" w:color="auto" w:fill="FFFFFF"/>
        </w:rPr>
        <w:t>o</w:t>
      </w:r>
      <w:r w:rsidR="009E19CE">
        <w:rPr>
          <w:rFonts w:ascii="Calibri" w:hAnsi="Calibri" w:cs="Calibri"/>
          <w:color w:val="000000"/>
          <w:sz w:val="24"/>
          <w:szCs w:val="24"/>
          <w:shd w:val="clear" w:color="auto" w:fill="FFFFFF"/>
        </w:rPr>
        <w:t>s</w:t>
      </w:r>
      <w:r w:rsidR="003E2D9A" w:rsidRPr="00302272">
        <w:rPr>
          <w:rFonts w:ascii="Calibri" w:hAnsi="Calibri" w:cs="Calibri"/>
          <w:color w:val="000000"/>
          <w:sz w:val="24"/>
          <w:szCs w:val="24"/>
          <w:shd w:val="clear" w:color="auto" w:fill="FFFFFF"/>
        </w:rPr>
        <w:t xml:space="preserve"> efeito</w:t>
      </w:r>
      <w:r w:rsidR="009E19CE">
        <w:rPr>
          <w:rFonts w:ascii="Calibri" w:hAnsi="Calibri" w:cs="Calibri"/>
          <w:color w:val="000000"/>
          <w:sz w:val="24"/>
          <w:szCs w:val="24"/>
          <w:shd w:val="clear" w:color="auto" w:fill="FFFFFF"/>
        </w:rPr>
        <w:t>s</w:t>
      </w:r>
      <w:r w:rsidR="003E2D9A" w:rsidRPr="00302272">
        <w:rPr>
          <w:rFonts w:ascii="Calibri" w:hAnsi="Calibri" w:cs="Calibri"/>
          <w:color w:val="000000"/>
          <w:sz w:val="24"/>
          <w:szCs w:val="24"/>
          <w:shd w:val="clear" w:color="auto" w:fill="FFFFFF"/>
        </w:rPr>
        <w:t xml:space="preserve"> da Lei nº 13.606/2018 </w:t>
      </w:r>
      <w:r w:rsidR="009E19CE">
        <w:rPr>
          <w:rFonts w:ascii="Calibri" w:hAnsi="Calibri" w:cs="Calibri"/>
          <w:color w:val="000000"/>
          <w:sz w:val="24"/>
          <w:szCs w:val="24"/>
          <w:shd w:val="clear" w:color="auto" w:fill="FFFFFF"/>
        </w:rPr>
        <w:t xml:space="preserve">e </w:t>
      </w:r>
      <w:r w:rsidR="003E2D9A" w:rsidRPr="00302272">
        <w:rPr>
          <w:rFonts w:ascii="Calibri" w:hAnsi="Calibri" w:cs="Calibri"/>
          <w:color w:val="000000"/>
          <w:sz w:val="24"/>
          <w:szCs w:val="24"/>
          <w:shd w:val="clear" w:color="auto" w:fill="FFFFFF"/>
        </w:rPr>
        <w:t>da Lei nº 13.670/2018</w:t>
      </w:r>
      <w:r w:rsidRPr="00302272">
        <w:rPr>
          <w:rFonts w:ascii="Calibri" w:hAnsi="Calibri" w:cs="Calibri"/>
          <w:color w:val="000000"/>
          <w:sz w:val="24"/>
          <w:szCs w:val="24"/>
          <w:shd w:val="clear" w:color="auto" w:fill="FFFFFF"/>
        </w:rPr>
        <w:t>, que altera</w:t>
      </w:r>
      <w:r w:rsidR="002617CD">
        <w:rPr>
          <w:rFonts w:ascii="Calibri" w:hAnsi="Calibri" w:cs="Calibri"/>
          <w:color w:val="000000"/>
          <w:sz w:val="24"/>
          <w:szCs w:val="24"/>
          <w:shd w:val="clear" w:color="auto" w:fill="FFFFFF"/>
        </w:rPr>
        <w:t>m</w:t>
      </w:r>
      <w:r w:rsidRPr="00302272">
        <w:rPr>
          <w:rFonts w:ascii="Calibri" w:hAnsi="Calibri" w:cs="Calibri"/>
          <w:color w:val="000000"/>
          <w:sz w:val="24"/>
          <w:szCs w:val="24"/>
          <w:shd w:val="clear" w:color="auto" w:fill="FFFFFF"/>
        </w:rPr>
        <w:t xml:space="preserve"> normas relativas à contribuição previdenciária sobre a receita bruta</w:t>
      </w:r>
      <w:r w:rsidR="0032548F">
        <w:rPr>
          <w:rFonts w:ascii="Calibri" w:hAnsi="Calibri" w:cs="Calibri"/>
          <w:color w:val="000000"/>
          <w:sz w:val="24"/>
          <w:szCs w:val="24"/>
          <w:shd w:val="clear" w:color="auto" w:fill="FFFFFF"/>
        </w:rPr>
        <w:t xml:space="preserve"> e os efeitos decorrentes da entrada em vigor da Medida Provisória 905/</w:t>
      </w:r>
      <w:r w:rsidR="002617CD">
        <w:rPr>
          <w:rFonts w:ascii="Calibri" w:hAnsi="Calibri" w:cs="Calibri"/>
          <w:color w:val="000000"/>
          <w:sz w:val="24"/>
          <w:szCs w:val="24"/>
          <w:shd w:val="clear" w:color="auto" w:fill="FFFFFF"/>
        </w:rPr>
        <w:t>20</w:t>
      </w:r>
      <w:r w:rsidR="0032548F">
        <w:rPr>
          <w:rFonts w:ascii="Calibri" w:hAnsi="Calibri" w:cs="Calibri"/>
          <w:color w:val="000000"/>
          <w:sz w:val="24"/>
          <w:szCs w:val="24"/>
          <w:shd w:val="clear" w:color="auto" w:fill="FFFFFF"/>
        </w:rPr>
        <w:t>19, que trata do Contrato de Trabalho Verde e Amarelo</w:t>
      </w:r>
      <w:r w:rsidR="003E2D9A" w:rsidRPr="00A34D0B">
        <w:rPr>
          <w:rFonts w:ascii="Calibri" w:hAnsi="Calibri" w:cs="Calibri"/>
          <w:color w:val="000000"/>
          <w:sz w:val="24"/>
          <w:szCs w:val="24"/>
          <w:shd w:val="clear" w:color="auto" w:fill="FFFFFF"/>
        </w:rPr>
        <w:t>.</w:t>
      </w:r>
    </w:p>
    <w:p w14:paraId="12607EA0" w14:textId="77777777" w:rsidR="00A5272B" w:rsidRPr="00A34D0B" w:rsidRDefault="00A5272B" w:rsidP="003E2D9A">
      <w:pPr>
        <w:jc w:val="both"/>
        <w:rPr>
          <w:rFonts w:ascii="Calibri" w:hAnsi="Calibri" w:cs="Calibri"/>
          <w:i/>
          <w:color w:val="000000"/>
          <w:sz w:val="24"/>
          <w:szCs w:val="24"/>
          <w:u w:val="single"/>
          <w:shd w:val="clear" w:color="auto" w:fill="FFFFFF"/>
        </w:rPr>
      </w:pPr>
      <w:r w:rsidRPr="00A34D0B">
        <w:rPr>
          <w:i/>
          <w:sz w:val="24"/>
          <w:szCs w:val="24"/>
          <w:u w:val="single"/>
        </w:rPr>
        <w:t>Receitas não administradas pela RFB</w:t>
      </w:r>
    </w:p>
    <w:p w14:paraId="1AE68330" w14:textId="77777777" w:rsidR="00A5272B" w:rsidRPr="00A34D0B" w:rsidRDefault="00A5272B" w:rsidP="00A34D0B">
      <w:pPr>
        <w:spacing w:before="240"/>
        <w:ind w:firstLine="709"/>
        <w:jc w:val="both"/>
        <w:rPr>
          <w:rFonts w:ascii="Calibri" w:hAnsi="Calibri" w:cs="Calibri"/>
          <w:color w:val="000000"/>
          <w:sz w:val="24"/>
          <w:szCs w:val="24"/>
          <w:shd w:val="clear" w:color="auto" w:fill="FFFFFF"/>
        </w:rPr>
      </w:pPr>
      <w:r w:rsidRPr="00A34D0B">
        <w:rPr>
          <w:rFonts w:ascii="Calibri" w:hAnsi="Calibri" w:cs="Calibri"/>
          <w:color w:val="000000"/>
          <w:sz w:val="24"/>
          <w:szCs w:val="24"/>
          <w:shd w:val="clear" w:color="auto" w:fill="FFFFFF"/>
        </w:rPr>
        <w:t>Es</w:t>
      </w:r>
      <w:r w:rsidR="00647FC7">
        <w:rPr>
          <w:rFonts w:ascii="Calibri" w:hAnsi="Calibri" w:cs="Calibri"/>
          <w:color w:val="000000"/>
          <w:sz w:val="24"/>
          <w:szCs w:val="24"/>
          <w:shd w:val="clear" w:color="auto" w:fill="FFFFFF"/>
        </w:rPr>
        <w:t>s</w:t>
      </w:r>
      <w:r w:rsidRPr="00A34D0B">
        <w:rPr>
          <w:rFonts w:ascii="Calibri" w:hAnsi="Calibri" w:cs="Calibri"/>
          <w:color w:val="000000"/>
          <w:sz w:val="24"/>
          <w:szCs w:val="24"/>
          <w:shd w:val="clear" w:color="auto" w:fill="FFFFFF"/>
        </w:rPr>
        <w:t xml:space="preserve">e item compreende as receitas com concessões e permissões, complemento para o Fundo de Garantia por Tempo de Serviço (FGTS), Contribuição ao Plano de Seguridade do Servidor, Contribuição do Salário-Educação, Exploração de Recursos Naturais, Dividendos e Participações, Operações com Ativos, Receitas Próprias, Convênios, </w:t>
      </w:r>
      <w:r w:rsidR="00EA147C" w:rsidRPr="00A34D0B">
        <w:rPr>
          <w:rFonts w:ascii="Calibri" w:hAnsi="Calibri" w:cs="Calibri"/>
          <w:color w:val="000000"/>
          <w:sz w:val="24"/>
          <w:szCs w:val="24"/>
          <w:shd w:val="clear" w:color="auto" w:fill="FFFFFF"/>
        </w:rPr>
        <w:t xml:space="preserve">taxas pelo exercício de poder de polícia, taxas por serviços públicos, pensões militares, </w:t>
      </w:r>
      <w:r w:rsidRPr="00A34D0B">
        <w:rPr>
          <w:rFonts w:ascii="Calibri" w:hAnsi="Calibri" w:cs="Calibri"/>
          <w:color w:val="000000"/>
          <w:sz w:val="24"/>
          <w:szCs w:val="24"/>
          <w:shd w:val="clear" w:color="auto" w:fill="FFFFFF"/>
        </w:rPr>
        <w:t>entre outras.</w:t>
      </w:r>
    </w:p>
    <w:p w14:paraId="733A0C0B" w14:textId="6A64BB1C" w:rsidR="00C932CC" w:rsidRDefault="003E2D9A" w:rsidP="00006FE5">
      <w:pPr>
        <w:spacing w:before="240"/>
        <w:ind w:firstLine="709"/>
        <w:jc w:val="both"/>
      </w:pPr>
      <w:r w:rsidRPr="002617CD">
        <w:rPr>
          <w:rFonts w:ascii="Calibri" w:hAnsi="Calibri" w:cs="Calibri"/>
          <w:color w:val="000000"/>
          <w:sz w:val="24"/>
          <w:szCs w:val="24"/>
          <w:shd w:val="clear" w:color="auto" w:fill="FFFFFF"/>
        </w:rPr>
        <w:t>As receitas de concessões</w:t>
      </w:r>
      <w:r w:rsidR="00A5272B" w:rsidRPr="009A37FC">
        <w:rPr>
          <w:rFonts w:ascii="Calibri" w:hAnsi="Calibri" w:cs="Calibri"/>
          <w:color w:val="000000"/>
          <w:sz w:val="24"/>
          <w:szCs w:val="24"/>
          <w:shd w:val="clear" w:color="auto" w:fill="FFFFFF"/>
        </w:rPr>
        <w:t xml:space="preserve"> e permissões</w:t>
      </w:r>
      <w:r w:rsidRPr="002617CD">
        <w:rPr>
          <w:rFonts w:ascii="Calibri" w:hAnsi="Calibri" w:cs="Calibri"/>
          <w:color w:val="000000"/>
          <w:sz w:val="24"/>
          <w:szCs w:val="24"/>
          <w:shd w:val="clear" w:color="auto" w:fill="FFFFFF"/>
        </w:rPr>
        <w:t xml:space="preserve"> consideram </w:t>
      </w:r>
      <w:r w:rsidR="00A5272B" w:rsidRPr="002617CD">
        <w:rPr>
          <w:rFonts w:ascii="Calibri" w:hAnsi="Calibri" w:cs="Calibri"/>
          <w:color w:val="000000"/>
          <w:sz w:val="24"/>
          <w:szCs w:val="24"/>
          <w:shd w:val="clear" w:color="auto" w:fill="FFFFFF"/>
        </w:rPr>
        <w:t xml:space="preserve">contratos </w:t>
      </w:r>
      <w:r w:rsidRPr="002617CD">
        <w:rPr>
          <w:rFonts w:ascii="Calibri" w:hAnsi="Calibri" w:cs="Calibri"/>
          <w:color w:val="000000"/>
          <w:sz w:val="24"/>
          <w:szCs w:val="24"/>
          <w:shd w:val="clear" w:color="auto" w:fill="FFFFFF"/>
        </w:rPr>
        <w:t>vigentes</w:t>
      </w:r>
      <w:r w:rsidR="00A5272B" w:rsidRPr="002617CD">
        <w:rPr>
          <w:rFonts w:ascii="Calibri" w:hAnsi="Calibri" w:cs="Calibri"/>
          <w:color w:val="000000"/>
          <w:sz w:val="24"/>
          <w:szCs w:val="24"/>
          <w:shd w:val="clear" w:color="auto" w:fill="FFFFFF"/>
        </w:rPr>
        <w:t xml:space="preserve">, </w:t>
      </w:r>
      <w:r w:rsidR="00346D5A" w:rsidRPr="002617CD">
        <w:rPr>
          <w:rFonts w:ascii="Calibri" w:hAnsi="Calibri" w:cs="Calibri"/>
          <w:color w:val="000000"/>
          <w:sz w:val="24"/>
          <w:szCs w:val="24"/>
          <w:shd w:val="clear" w:color="auto" w:fill="FFFFFF"/>
        </w:rPr>
        <w:t xml:space="preserve">prevendo </w:t>
      </w:r>
      <w:r w:rsidR="00346D5A" w:rsidRPr="005A2E56">
        <w:rPr>
          <w:sz w:val="24"/>
        </w:rPr>
        <w:t>também o</w:t>
      </w:r>
      <w:r w:rsidR="0032648D" w:rsidRPr="005A2E56">
        <w:rPr>
          <w:sz w:val="24"/>
        </w:rPr>
        <w:t xml:space="preserve"> impacto de nova concessões, como a</w:t>
      </w:r>
      <w:r w:rsidR="00346D5A" w:rsidRPr="005A2E56">
        <w:rPr>
          <w:sz w:val="24"/>
        </w:rPr>
        <w:t xml:space="preserve"> de Loterias (</w:t>
      </w:r>
      <w:proofErr w:type="spellStart"/>
      <w:r w:rsidR="00346D5A" w:rsidRPr="005A2E56">
        <w:rPr>
          <w:sz w:val="24"/>
        </w:rPr>
        <w:t>Lotex</w:t>
      </w:r>
      <w:proofErr w:type="spellEnd"/>
      <w:r w:rsidR="00346D5A" w:rsidRPr="005A2E56">
        <w:rPr>
          <w:sz w:val="24"/>
        </w:rPr>
        <w:t>)</w:t>
      </w:r>
      <w:r w:rsidR="0032648D" w:rsidRPr="005A2E56">
        <w:rPr>
          <w:sz w:val="24"/>
        </w:rPr>
        <w:t xml:space="preserve"> e da </w:t>
      </w:r>
      <w:r w:rsidR="00DC3CE3">
        <w:rPr>
          <w:sz w:val="24"/>
        </w:rPr>
        <w:t>sexta</w:t>
      </w:r>
      <w:r w:rsidR="00DC3CE3" w:rsidRPr="005A2E56">
        <w:rPr>
          <w:sz w:val="24"/>
        </w:rPr>
        <w:t xml:space="preserve"> </w:t>
      </w:r>
      <w:r w:rsidR="0032648D" w:rsidRPr="005A2E56">
        <w:rPr>
          <w:sz w:val="24"/>
        </w:rPr>
        <w:t>rodada de aeroportos</w:t>
      </w:r>
      <w:r w:rsidRPr="002617CD">
        <w:rPr>
          <w:rFonts w:ascii="Calibri" w:hAnsi="Calibri" w:cs="Calibri"/>
          <w:color w:val="000000"/>
          <w:sz w:val="24"/>
          <w:szCs w:val="24"/>
          <w:shd w:val="clear" w:color="auto" w:fill="FFFFFF"/>
        </w:rPr>
        <w:t>.</w:t>
      </w:r>
      <w:r w:rsidR="00A5272B" w:rsidRPr="009A37FC">
        <w:rPr>
          <w:rFonts w:ascii="Calibri" w:hAnsi="Calibri" w:cs="Calibri"/>
          <w:color w:val="000000"/>
          <w:sz w:val="24"/>
          <w:szCs w:val="24"/>
          <w:shd w:val="clear" w:color="auto" w:fill="FFFFFF"/>
        </w:rPr>
        <w:t xml:space="preserve"> Os demais itens são, em geral, projetados com base na arrecadação recente e parâmetros adequados</w:t>
      </w:r>
      <w:r w:rsidR="007D3ED3" w:rsidRPr="002617CD">
        <w:rPr>
          <w:rFonts w:ascii="Calibri" w:hAnsi="Calibri" w:cs="Calibri"/>
          <w:color w:val="000000"/>
          <w:sz w:val="24"/>
          <w:szCs w:val="24"/>
          <w:shd w:val="clear" w:color="auto" w:fill="FFFFFF"/>
        </w:rPr>
        <w:t>,</w:t>
      </w:r>
      <w:r w:rsidR="00A941B0" w:rsidRPr="005A2E56">
        <w:rPr>
          <w:sz w:val="24"/>
        </w:rPr>
        <w:t xml:space="preserve"> </w:t>
      </w:r>
      <w:r w:rsidR="00A941B0" w:rsidRPr="002617CD">
        <w:rPr>
          <w:rFonts w:ascii="Calibri" w:hAnsi="Calibri" w:cs="Calibri"/>
          <w:color w:val="000000"/>
          <w:sz w:val="24"/>
          <w:szCs w:val="24"/>
          <w:shd w:val="clear" w:color="auto" w:fill="FFFFFF"/>
        </w:rPr>
        <w:t>além da consideração de efeitos legislação quando necessário</w:t>
      </w:r>
      <w:r w:rsidR="00A941B0" w:rsidRPr="009A37FC">
        <w:rPr>
          <w:rFonts w:ascii="Calibri" w:hAnsi="Calibri" w:cs="Calibri"/>
          <w:color w:val="000000"/>
          <w:sz w:val="24"/>
          <w:szCs w:val="24"/>
          <w:shd w:val="clear" w:color="auto" w:fill="FFFFFF"/>
        </w:rPr>
        <w:t xml:space="preserve">, como </w:t>
      </w:r>
      <w:r w:rsidR="00A941B0" w:rsidRPr="002617CD">
        <w:rPr>
          <w:rFonts w:ascii="Calibri" w:hAnsi="Calibri" w:cs="Calibri"/>
          <w:color w:val="000000"/>
          <w:sz w:val="24"/>
          <w:szCs w:val="24"/>
          <w:shd w:val="clear" w:color="auto" w:fill="FFFFFF"/>
        </w:rPr>
        <w:t>foi o caso</w:t>
      </w:r>
      <w:r w:rsidR="00F523F7" w:rsidRPr="002617CD">
        <w:rPr>
          <w:rFonts w:ascii="Calibri" w:hAnsi="Calibri" w:cs="Calibri"/>
          <w:color w:val="000000"/>
          <w:sz w:val="24"/>
          <w:szCs w:val="24"/>
          <w:shd w:val="clear" w:color="auto" w:fill="FFFFFF"/>
        </w:rPr>
        <w:t xml:space="preserve"> da ap</w:t>
      </w:r>
      <w:r w:rsidR="00BC5264" w:rsidRPr="002617CD">
        <w:rPr>
          <w:rFonts w:ascii="Calibri" w:hAnsi="Calibri" w:cs="Calibri"/>
          <w:color w:val="000000"/>
          <w:sz w:val="24"/>
          <w:szCs w:val="24"/>
          <w:shd w:val="clear" w:color="auto" w:fill="FFFFFF"/>
        </w:rPr>
        <w:t>rovação da Emenda</w:t>
      </w:r>
      <w:r w:rsidR="00BC5264">
        <w:rPr>
          <w:rFonts w:ascii="Calibri" w:hAnsi="Calibri" w:cs="Calibri"/>
          <w:color w:val="000000"/>
          <w:sz w:val="24"/>
          <w:szCs w:val="24"/>
          <w:shd w:val="clear" w:color="auto" w:fill="FFFFFF"/>
        </w:rPr>
        <w:t xml:space="preserve"> Constitucional nº 103/2019, que alterou a alíquotas da Contribuição</w:t>
      </w:r>
      <w:r w:rsidR="00A120F0">
        <w:rPr>
          <w:rFonts w:ascii="Calibri" w:hAnsi="Calibri" w:cs="Calibri"/>
          <w:color w:val="000000"/>
          <w:sz w:val="24"/>
          <w:szCs w:val="24"/>
          <w:shd w:val="clear" w:color="auto" w:fill="FFFFFF"/>
        </w:rPr>
        <w:t xml:space="preserve"> para o Plano Previdenciário do</w:t>
      </w:r>
      <w:r w:rsidR="00BC5264">
        <w:rPr>
          <w:rFonts w:ascii="Calibri" w:hAnsi="Calibri" w:cs="Calibri"/>
          <w:color w:val="000000"/>
          <w:sz w:val="24"/>
          <w:szCs w:val="24"/>
          <w:shd w:val="clear" w:color="auto" w:fill="FFFFFF"/>
        </w:rPr>
        <w:t xml:space="preserve"> S</w:t>
      </w:r>
      <w:r w:rsidR="00A120F0">
        <w:rPr>
          <w:rFonts w:ascii="Calibri" w:hAnsi="Calibri" w:cs="Calibri"/>
          <w:color w:val="000000"/>
          <w:sz w:val="24"/>
          <w:szCs w:val="24"/>
          <w:shd w:val="clear" w:color="auto" w:fill="FFFFFF"/>
        </w:rPr>
        <w:t>ervidor Público - CPPS</w:t>
      </w:r>
      <w:r w:rsidR="00A941B0">
        <w:rPr>
          <w:rFonts w:ascii="Calibri" w:hAnsi="Calibri" w:cs="Calibri"/>
          <w:color w:val="000000"/>
          <w:sz w:val="24"/>
          <w:szCs w:val="24"/>
          <w:shd w:val="clear" w:color="auto" w:fill="FFFFFF"/>
        </w:rPr>
        <w:t>.</w:t>
      </w:r>
      <w:r w:rsidR="007D3ED3" w:rsidRPr="00A34D0B">
        <w:rPr>
          <w:rFonts w:ascii="Calibri" w:hAnsi="Calibri" w:cs="Calibri"/>
          <w:color w:val="000000"/>
          <w:sz w:val="24"/>
          <w:szCs w:val="24"/>
          <w:shd w:val="clear" w:color="auto" w:fill="FFFFFF"/>
        </w:rPr>
        <w:t xml:space="preserve"> </w:t>
      </w:r>
      <w:r w:rsidR="00A5272B" w:rsidRPr="00A34D0B">
        <w:rPr>
          <w:rFonts w:ascii="Calibri" w:hAnsi="Calibri" w:cs="Calibri"/>
          <w:color w:val="000000"/>
          <w:sz w:val="24"/>
          <w:szCs w:val="24"/>
          <w:shd w:val="clear" w:color="auto" w:fill="FFFFFF"/>
        </w:rPr>
        <w:t>Para certos casos, sobretudo relativos a receitas próprias de</w:t>
      </w:r>
      <w:r w:rsidR="007D3ED3" w:rsidRPr="00A34D0B">
        <w:rPr>
          <w:rFonts w:ascii="Calibri" w:hAnsi="Calibri" w:cs="Calibri"/>
          <w:color w:val="000000"/>
          <w:sz w:val="24"/>
          <w:szCs w:val="24"/>
          <w:shd w:val="clear" w:color="auto" w:fill="FFFFFF"/>
        </w:rPr>
        <w:t xml:space="preserve"> convênios, doações,</w:t>
      </w:r>
      <w:r w:rsidR="00A5272B" w:rsidRPr="00A34D0B">
        <w:rPr>
          <w:rFonts w:ascii="Calibri" w:hAnsi="Calibri" w:cs="Calibri"/>
          <w:color w:val="000000"/>
          <w:sz w:val="24"/>
          <w:szCs w:val="24"/>
          <w:shd w:val="clear" w:color="auto" w:fill="FFFFFF"/>
        </w:rPr>
        <w:t xml:space="preserve"> serviços, alugu</w:t>
      </w:r>
      <w:r w:rsidR="002617CD">
        <w:rPr>
          <w:rFonts w:ascii="Calibri" w:hAnsi="Calibri" w:cs="Calibri"/>
          <w:color w:val="000000"/>
          <w:sz w:val="24"/>
          <w:szCs w:val="24"/>
          <w:shd w:val="clear" w:color="auto" w:fill="FFFFFF"/>
        </w:rPr>
        <w:t>é</w:t>
      </w:r>
      <w:r w:rsidR="00A5272B" w:rsidRPr="00A34D0B">
        <w:rPr>
          <w:rFonts w:ascii="Calibri" w:hAnsi="Calibri" w:cs="Calibri"/>
          <w:color w:val="000000"/>
          <w:sz w:val="24"/>
          <w:szCs w:val="24"/>
          <w:shd w:val="clear" w:color="auto" w:fill="FFFFFF"/>
        </w:rPr>
        <w:t>is ou alienações,</w:t>
      </w:r>
      <w:r w:rsidR="00DF1E45">
        <w:rPr>
          <w:rFonts w:ascii="Calibri" w:hAnsi="Calibri" w:cs="Calibri"/>
          <w:color w:val="000000"/>
          <w:sz w:val="24"/>
          <w:szCs w:val="24"/>
          <w:shd w:val="clear" w:color="auto" w:fill="FFFFFF"/>
        </w:rPr>
        <w:t xml:space="preserve"> as projeções são feitas </w:t>
      </w:r>
      <w:r w:rsidR="00DF1E45" w:rsidRPr="00DF1E45">
        <w:rPr>
          <w:rFonts w:ascii="Calibri" w:hAnsi="Calibri" w:cs="Calibri"/>
          <w:color w:val="000000"/>
          <w:sz w:val="24"/>
          <w:szCs w:val="24"/>
          <w:shd w:val="clear" w:color="auto" w:fill="FFFFFF"/>
        </w:rPr>
        <w:t xml:space="preserve">mediante processo participativo entre a </w:t>
      </w:r>
      <w:r w:rsidR="00DF1E45">
        <w:rPr>
          <w:rFonts w:ascii="Calibri" w:hAnsi="Calibri" w:cs="Calibri"/>
          <w:color w:val="000000"/>
          <w:sz w:val="24"/>
          <w:szCs w:val="24"/>
          <w:shd w:val="clear" w:color="auto" w:fill="FFFFFF"/>
        </w:rPr>
        <w:t>Secretaria de Orçamento Federal - SOF</w:t>
      </w:r>
      <w:r w:rsidR="00DF1E45" w:rsidRPr="00DF1E45">
        <w:rPr>
          <w:rFonts w:ascii="Calibri" w:hAnsi="Calibri" w:cs="Calibri"/>
          <w:color w:val="000000"/>
          <w:sz w:val="24"/>
          <w:szCs w:val="24"/>
          <w:shd w:val="clear" w:color="auto" w:fill="FFFFFF"/>
        </w:rPr>
        <w:t xml:space="preserve"> e as Unidades Recolhedoras. Em linhas gerais, quando efetuada diretamente pela SOF, considera o histórico de arrecadação dos últimos 12 meses, atualizado pelos índices de preço e/ou quantidade aplicáveis a cada caso específico; quando subsidiadas/elaboradas pelas Unidades Recolhedoras consideram informações específicas dessas unidades que, caso validadas pela SOF, passam a ser consideradas para fins de estimativa</w:t>
      </w:r>
      <w:r w:rsidR="00A5272B" w:rsidRPr="00A34D0B">
        <w:rPr>
          <w:rFonts w:ascii="Calibri" w:hAnsi="Calibri" w:cs="Calibri"/>
          <w:color w:val="000000"/>
          <w:sz w:val="24"/>
          <w:szCs w:val="24"/>
          <w:shd w:val="clear" w:color="auto" w:fill="FFFFFF"/>
        </w:rPr>
        <w:t>.</w:t>
      </w:r>
    </w:p>
    <w:p w14:paraId="14ECF7C9" w14:textId="52714A1B" w:rsidR="009327BA" w:rsidRPr="00A34D0B" w:rsidRDefault="00995CB5" w:rsidP="009327BA">
      <w:pPr>
        <w:rPr>
          <w:b/>
          <w:sz w:val="24"/>
          <w:szCs w:val="24"/>
          <w:u w:val="single"/>
        </w:rPr>
      </w:pPr>
      <w:r w:rsidRPr="00A34D0B">
        <w:rPr>
          <w:b/>
          <w:sz w:val="24"/>
          <w:szCs w:val="24"/>
          <w:u w:val="single"/>
        </w:rPr>
        <w:lastRenderedPageBreak/>
        <w:t>B)</w:t>
      </w:r>
      <w:r w:rsidR="007F693E" w:rsidRPr="00A34D0B">
        <w:rPr>
          <w:b/>
          <w:sz w:val="24"/>
          <w:szCs w:val="24"/>
          <w:u w:val="single"/>
        </w:rPr>
        <w:t xml:space="preserve"> </w:t>
      </w:r>
      <w:r w:rsidR="00561F5A" w:rsidRPr="00A34D0B">
        <w:rPr>
          <w:b/>
          <w:sz w:val="24"/>
          <w:szCs w:val="24"/>
          <w:u w:val="single"/>
        </w:rPr>
        <w:t xml:space="preserve">Estimativa das Despesas Primárias </w:t>
      </w:r>
      <w:r w:rsidR="009327BA" w:rsidRPr="00A34D0B">
        <w:rPr>
          <w:b/>
          <w:sz w:val="24"/>
          <w:szCs w:val="24"/>
          <w:u w:val="single"/>
        </w:rPr>
        <w:t>para 202</w:t>
      </w:r>
      <w:r w:rsidR="00A14969">
        <w:rPr>
          <w:b/>
          <w:sz w:val="24"/>
          <w:szCs w:val="24"/>
          <w:u w:val="single"/>
        </w:rPr>
        <w:t>1</w:t>
      </w:r>
      <w:r w:rsidR="009327BA" w:rsidRPr="00A34D0B">
        <w:rPr>
          <w:b/>
          <w:sz w:val="24"/>
          <w:szCs w:val="24"/>
          <w:u w:val="single"/>
        </w:rPr>
        <w:t xml:space="preserve"> a 202</w:t>
      </w:r>
      <w:r w:rsidR="00A14969">
        <w:rPr>
          <w:b/>
          <w:sz w:val="24"/>
          <w:szCs w:val="24"/>
          <w:u w:val="single"/>
        </w:rPr>
        <w:t>3</w:t>
      </w:r>
    </w:p>
    <w:p w14:paraId="61EAA22C" w14:textId="77777777" w:rsidR="009A120D" w:rsidRPr="00A34D0B" w:rsidRDefault="002A524C" w:rsidP="009A120D">
      <w:pPr>
        <w:spacing w:line="276" w:lineRule="auto"/>
        <w:jc w:val="both"/>
        <w:rPr>
          <w:i/>
          <w:sz w:val="24"/>
          <w:szCs w:val="24"/>
          <w:u w:val="single"/>
        </w:rPr>
      </w:pPr>
      <w:r w:rsidRPr="00A34D0B">
        <w:rPr>
          <w:i/>
          <w:sz w:val="24"/>
          <w:szCs w:val="24"/>
          <w:u w:val="single"/>
        </w:rPr>
        <w:t xml:space="preserve">Benefícios </w:t>
      </w:r>
      <w:r w:rsidR="00143136">
        <w:rPr>
          <w:i/>
          <w:sz w:val="24"/>
          <w:szCs w:val="24"/>
          <w:u w:val="single"/>
        </w:rPr>
        <w:t>Previdenciários</w:t>
      </w:r>
      <w:r w:rsidR="009A120D" w:rsidRPr="00A34D0B">
        <w:rPr>
          <w:i/>
          <w:sz w:val="24"/>
          <w:szCs w:val="24"/>
          <w:u w:val="single"/>
        </w:rPr>
        <w:t xml:space="preserve"> </w:t>
      </w:r>
    </w:p>
    <w:p w14:paraId="015C6F1E" w14:textId="3E4867AF" w:rsidR="009A120D" w:rsidRPr="00A34D0B" w:rsidRDefault="009A120D" w:rsidP="00A34D0B">
      <w:pPr>
        <w:spacing w:before="240" w:line="276" w:lineRule="auto"/>
        <w:ind w:firstLine="709"/>
        <w:jc w:val="both"/>
        <w:rPr>
          <w:sz w:val="24"/>
          <w:szCs w:val="24"/>
        </w:rPr>
      </w:pPr>
      <w:r w:rsidRPr="00A34D0B">
        <w:rPr>
          <w:sz w:val="24"/>
          <w:szCs w:val="24"/>
        </w:rPr>
        <w:t>A despesa com Benefícios Previdenciários engloba os benefícios que compõem o Regime Geral de Previdência Social (RGPS), como aposentadorias, pensões, demais auxílios, sentenças judiciais e a despesa relativa à compensação entre os regimes de previdência. Os parâmetros que mais influenciam a estimativa desses gastos são o crescimento vegetativo dos benefícios e o Índice Nacional de Preços ao Consumidor (INPC) apurado pelo IBGE,</w:t>
      </w:r>
      <w:r w:rsidR="006E409A" w:rsidRPr="00A34D0B">
        <w:rPr>
          <w:sz w:val="24"/>
          <w:szCs w:val="24"/>
        </w:rPr>
        <w:t xml:space="preserve"> que corrige também o salário mínimo.</w:t>
      </w:r>
      <w:r w:rsidR="00F31D6A">
        <w:rPr>
          <w:sz w:val="24"/>
          <w:szCs w:val="24"/>
        </w:rPr>
        <w:t xml:space="preserve"> Também são considerados o efeito de mudanças na legislação, tendo em vista a aprovação da Emenda Constitucional nº 103/2019, </w:t>
      </w:r>
      <w:r w:rsidR="00F31D6A" w:rsidRPr="00F31D6A">
        <w:rPr>
          <w:sz w:val="24"/>
          <w:szCs w:val="24"/>
        </w:rPr>
        <w:t>que trata do Regime Geral e Próprio dos servidores públicos</w:t>
      </w:r>
      <w:r w:rsidR="00F31D6A">
        <w:rPr>
          <w:sz w:val="24"/>
          <w:szCs w:val="24"/>
        </w:rPr>
        <w:t>.</w:t>
      </w:r>
    </w:p>
    <w:p w14:paraId="521F9269" w14:textId="77777777" w:rsidR="006E409A" w:rsidRDefault="006E409A" w:rsidP="009A120D">
      <w:pPr>
        <w:spacing w:line="276" w:lineRule="auto"/>
        <w:jc w:val="both"/>
      </w:pPr>
    </w:p>
    <w:p w14:paraId="2040AF0C" w14:textId="77777777" w:rsidR="005C5192" w:rsidRPr="00A34D0B" w:rsidRDefault="00DC4943" w:rsidP="007562E5">
      <w:pPr>
        <w:rPr>
          <w:i/>
          <w:sz w:val="24"/>
          <w:szCs w:val="24"/>
          <w:u w:val="single"/>
        </w:rPr>
      </w:pPr>
      <w:r w:rsidRPr="00A34D0B">
        <w:rPr>
          <w:i/>
          <w:sz w:val="24"/>
          <w:szCs w:val="24"/>
          <w:u w:val="single"/>
        </w:rPr>
        <w:t>Pessoal</w:t>
      </w:r>
      <w:r w:rsidR="009A120D" w:rsidRPr="00A34D0B">
        <w:rPr>
          <w:i/>
          <w:sz w:val="24"/>
          <w:szCs w:val="24"/>
          <w:u w:val="single"/>
        </w:rPr>
        <w:t xml:space="preserve"> e Encargos Sociais</w:t>
      </w:r>
    </w:p>
    <w:p w14:paraId="3EB425F8" w14:textId="65C1CFE9" w:rsidR="00240EF4" w:rsidRDefault="00240EF4" w:rsidP="005A2E56">
      <w:pPr>
        <w:pStyle w:val="NormalWeb"/>
        <w:spacing w:before="0" w:beforeAutospacing="0" w:after="0" w:afterAutospacing="0"/>
        <w:ind w:firstLine="709"/>
        <w:jc w:val="both"/>
        <w:rPr>
          <w:rFonts w:ascii="Calibri" w:hAnsi="Calibri" w:cs="Calibri"/>
          <w:color w:val="000000"/>
        </w:rPr>
      </w:pPr>
      <w:r>
        <w:rPr>
          <w:rFonts w:ascii="Calibri" w:hAnsi="Calibri" w:cs="Calibri"/>
          <w:color w:val="000000"/>
        </w:rPr>
        <w:t xml:space="preserve">As projeções para as despesas com pessoal e encargos sociais </w:t>
      </w:r>
      <w:r w:rsidR="009B1FC5">
        <w:rPr>
          <w:rFonts w:ascii="Calibri" w:hAnsi="Calibri" w:cs="Calibri"/>
          <w:color w:val="000000"/>
        </w:rPr>
        <w:t xml:space="preserve">do Poder Executivo </w:t>
      </w:r>
      <w:r w:rsidR="009E19CE">
        <w:rPr>
          <w:rFonts w:ascii="Calibri" w:hAnsi="Calibri" w:cs="Calibri"/>
          <w:color w:val="000000"/>
        </w:rPr>
        <w:t xml:space="preserve">Federal </w:t>
      </w:r>
      <w:r>
        <w:rPr>
          <w:rFonts w:ascii="Calibri" w:hAnsi="Calibri" w:cs="Calibri"/>
          <w:color w:val="000000"/>
        </w:rPr>
        <w:t>incorporaram o crescimento vegetativo da folha</w:t>
      </w:r>
      <w:r w:rsidR="009E19CE">
        <w:rPr>
          <w:rFonts w:ascii="Calibri" w:hAnsi="Calibri" w:cs="Calibri"/>
          <w:color w:val="000000"/>
        </w:rPr>
        <w:t xml:space="preserve"> de pagamentos</w:t>
      </w:r>
      <w:r>
        <w:rPr>
          <w:rFonts w:ascii="Calibri" w:hAnsi="Calibri" w:cs="Calibri"/>
          <w:color w:val="000000"/>
        </w:rPr>
        <w:t>, que decorre de estudos das séries históricas</w:t>
      </w:r>
      <w:r w:rsidR="0032648D">
        <w:rPr>
          <w:rFonts w:ascii="Calibri" w:hAnsi="Calibri" w:cs="Calibri"/>
          <w:color w:val="000000"/>
        </w:rPr>
        <w:t>,</w:t>
      </w:r>
      <w:r>
        <w:rPr>
          <w:rFonts w:ascii="Calibri" w:hAnsi="Calibri" w:cs="Calibri"/>
          <w:color w:val="000000"/>
        </w:rPr>
        <w:t xml:space="preserve"> </w:t>
      </w:r>
      <w:r w:rsidR="00B4191E">
        <w:rPr>
          <w:rFonts w:ascii="Calibri" w:hAnsi="Calibri" w:cs="Calibri"/>
          <w:color w:val="000000"/>
        </w:rPr>
        <w:t xml:space="preserve">bem como </w:t>
      </w:r>
      <w:r w:rsidR="00282183">
        <w:rPr>
          <w:rFonts w:ascii="Calibri" w:hAnsi="Calibri" w:cs="Calibri"/>
          <w:color w:val="000000"/>
        </w:rPr>
        <w:t>da incorporação dos reajustes concedidos aos militares por meio da Lei nº 13.954, de 16 de dezembro de 2019</w:t>
      </w:r>
      <w:r w:rsidR="0032648D">
        <w:rPr>
          <w:rFonts w:ascii="Calibri" w:hAnsi="Calibri" w:cs="Calibri"/>
          <w:color w:val="000000"/>
        </w:rPr>
        <w:t>,</w:t>
      </w:r>
      <w:r>
        <w:rPr>
          <w:rFonts w:ascii="Calibri" w:hAnsi="Calibri" w:cs="Calibri"/>
          <w:color w:val="000000"/>
        </w:rPr>
        <w:t xml:space="preserve"> dos provimentos </w:t>
      </w:r>
      <w:r w:rsidR="00B4191E">
        <w:rPr>
          <w:rFonts w:ascii="Calibri" w:hAnsi="Calibri" w:cs="Calibri"/>
          <w:color w:val="000000"/>
        </w:rPr>
        <w:t>e</w:t>
      </w:r>
      <w:r w:rsidR="00282183">
        <w:rPr>
          <w:rFonts w:ascii="Calibri" w:hAnsi="Calibri" w:cs="Calibri"/>
          <w:color w:val="000000"/>
        </w:rPr>
        <w:t xml:space="preserve"> de outros aumentos na despesa com pessoal e encargos sociais autorizados na </w:t>
      </w:r>
      <w:r w:rsidR="009E19CE">
        <w:rPr>
          <w:rFonts w:ascii="Calibri" w:hAnsi="Calibri" w:cs="Calibri"/>
          <w:color w:val="000000"/>
        </w:rPr>
        <w:t>Lei nº 13.978, de 17 de janeiro de</w:t>
      </w:r>
      <w:r w:rsidR="00282183">
        <w:rPr>
          <w:rFonts w:ascii="Calibri" w:hAnsi="Calibri" w:cs="Calibri"/>
          <w:color w:val="000000"/>
        </w:rPr>
        <w:t xml:space="preserve"> 2020</w:t>
      </w:r>
      <w:r w:rsidR="009E19CE">
        <w:rPr>
          <w:rFonts w:ascii="Calibri" w:hAnsi="Calibri" w:cs="Calibri"/>
          <w:color w:val="000000"/>
        </w:rPr>
        <w:t xml:space="preserve"> -</w:t>
      </w:r>
      <w:r w:rsidR="00282183">
        <w:rPr>
          <w:rFonts w:ascii="Calibri" w:hAnsi="Calibri" w:cs="Calibri"/>
          <w:color w:val="000000"/>
        </w:rPr>
        <w:t xml:space="preserve"> LOA 2020</w:t>
      </w:r>
      <w:r>
        <w:rPr>
          <w:rFonts w:ascii="Calibri" w:hAnsi="Calibri" w:cs="Calibri"/>
          <w:color w:val="000000"/>
        </w:rPr>
        <w:t xml:space="preserve">. No que se refere </w:t>
      </w:r>
      <w:r w:rsidR="00282183">
        <w:rPr>
          <w:rFonts w:ascii="Calibri" w:hAnsi="Calibri" w:cs="Calibri"/>
          <w:color w:val="000000"/>
        </w:rPr>
        <w:t>aos servidores civis da</w:t>
      </w:r>
      <w:r>
        <w:rPr>
          <w:rFonts w:ascii="Calibri" w:hAnsi="Calibri" w:cs="Calibri"/>
          <w:color w:val="000000"/>
        </w:rPr>
        <w:t xml:space="preserve"> administração direta, </w:t>
      </w:r>
      <w:r w:rsidR="0043040C">
        <w:rPr>
          <w:rFonts w:ascii="Calibri" w:hAnsi="Calibri" w:cs="Calibri"/>
          <w:color w:val="000000"/>
        </w:rPr>
        <w:t xml:space="preserve">às </w:t>
      </w:r>
      <w:r>
        <w:rPr>
          <w:rFonts w:ascii="Calibri" w:hAnsi="Calibri" w:cs="Calibri"/>
          <w:color w:val="000000"/>
        </w:rPr>
        <w:t xml:space="preserve">autarquias e </w:t>
      </w:r>
      <w:r w:rsidR="0043040C">
        <w:rPr>
          <w:rFonts w:ascii="Calibri" w:hAnsi="Calibri" w:cs="Calibri"/>
          <w:color w:val="000000"/>
        </w:rPr>
        <w:t xml:space="preserve">às </w:t>
      </w:r>
      <w:r>
        <w:rPr>
          <w:rFonts w:ascii="Calibri" w:hAnsi="Calibri" w:cs="Calibri"/>
          <w:color w:val="000000"/>
        </w:rPr>
        <w:t xml:space="preserve">fundações, não foram previstos novos reajustes remuneratórios a partir de 2020. Entretanto, </w:t>
      </w:r>
      <w:r w:rsidR="00871CF4">
        <w:rPr>
          <w:rFonts w:ascii="Calibri" w:hAnsi="Calibri" w:cs="Calibri"/>
          <w:color w:val="000000"/>
        </w:rPr>
        <w:t>consideraram</w:t>
      </w:r>
      <w:r>
        <w:rPr>
          <w:rFonts w:ascii="Calibri" w:hAnsi="Calibri" w:cs="Calibri"/>
          <w:color w:val="000000"/>
        </w:rPr>
        <w:t>-se reajustes a serem negociados no âmbito das empresas estatais dependentes, que ocorrem historicamente por meio das negociações coletivas de trabalho.</w:t>
      </w:r>
    </w:p>
    <w:p w14:paraId="20217DA0" w14:textId="70BC8AF9" w:rsidR="00240EF4" w:rsidRDefault="00240EF4" w:rsidP="00A34D0B">
      <w:pPr>
        <w:pStyle w:val="NormalWeb"/>
        <w:spacing w:before="0" w:beforeAutospacing="0" w:after="0" w:afterAutospacing="0"/>
        <w:ind w:firstLine="709"/>
        <w:jc w:val="both"/>
        <w:rPr>
          <w:rFonts w:ascii="Calibri" w:hAnsi="Calibri" w:cs="Calibri"/>
          <w:color w:val="000000"/>
        </w:rPr>
      </w:pPr>
      <w:r>
        <w:rPr>
          <w:rFonts w:ascii="Calibri" w:hAnsi="Calibri" w:cs="Calibri"/>
          <w:color w:val="000000"/>
        </w:rPr>
        <w:t>Adicionalmente, previ</w:t>
      </w:r>
      <w:r w:rsidR="00120FFA">
        <w:rPr>
          <w:rFonts w:ascii="Calibri" w:hAnsi="Calibri" w:cs="Calibri"/>
          <w:color w:val="000000"/>
        </w:rPr>
        <w:t>ram</w:t>
      </w:r>
      <w:r>
        <w:rPr>
          <w:rFonts w:ascii="Calibri" w:hAnsi="Calibri" w:cs="Calibri"/>
          <w:color w:val="000000"/>
        </w:rPr>
        <w:t>-se novos provimentos no âmbito das Forças Armadas, do Banco de Professor Equivalente do Ministério da Educação e demais cargos e funções vagos.</w:t>
      </w:r>
    </w:p>
    <w:p w14:paraId="0C2C7669" w14:textId="77777777" w:rsidR="002617CD" w:rsidRDefault="002617CD" w:rsidP="00A34D0B">
      <w:pPr>
        <w:pStyle w:val="NormalWeb"/>
        <w:spacing w:before="0" w:beforeAutospacing="0" w:after="0" w:afterAutospacing="0"/>
        <w:ind w:firstLine="709"/>
        <w:jc w:val="both"/>
        <w:rPr>
          <w:rFonts w:ascii="Calibri" w:hAnsi="Calibri" w:cs="Calibri"/>
          <w:color w:val="000000"/>
        </w:rPr>
      </w:pPr>
    </w:p>
    <w:p w14:paraId="7AF383BA" w14:textId="02AF1243" w:rsidR="009B1FC5" w:rsidRDefault="009B1FC5" w:rsidP="00A34D0B">
      <w:pPr>
        <w:pStyle w:val="NormalWeb"/>
        <w:spacing w:before="0" w:beforeAutospacing="0" w:after="0" w:afterAutospacing="0"/>
        <w:ind w:firstLine="709"/>
        <w:jc w:val="both"/>
        <w:rPr>
          <w:rFonts w:ascii="Calibri" w:hAnsi="Calibri" w:cs="Calibri"/>
          <w:color w:val="000000"/>
        </w:rPr>
      </w:pPr>
      <w:r>
        <w:rPr>
          <w:rFonts w:ascii="Calibri" w:hAnsi="Calibri" w:cs="Calibri"/>
          <w:color w:val="000000"/>
        </w:rPr>
        <w:t xml:space="preserve">Para os </w:t>
      </w:r>
      <w:r w:rsidR="00905C35">
        <w:rPr>
          <w:rFonts w:ascii="Calibri" w:hAnsi="Calibri" w:cs="Calibri"/>
          <w:color w:val="000000"/>
        </w:rPr>
        <w:t>P</w:t>
      </w:r>
      <w:r>
        <w:rPr>
          <w:rFonts w:ascii="Calibri" w:hAnsi="Calibri" w:cs="Calibri"/>
          <w:color w:val="000000"/>
        </w:rPr>
        <w:t>oderes Legislativo e Judiciário, o Ministério Público da União, a Defensoria Pública da União e o Fundo Constitucional do Distrito Federal</w:t>
      </w:r>
      <w:r w:rsidR="00905C35">
        <w:rPr>
          <w:rFonts w:ascii="Calibri" w:hAnsi="Calibri" w:cs="Calibri"/>
          <w:color w:val="000000"/>
        </w:rPr>
        <w:t>,</w:t>
      </w:r>
      <w:r>
        <w:rPr>
          <w:rFonts w:ascii="Calibri" w:hAnsi="Calibri" w:cs="Calibri"/>
          <w:color w:val="000000"/>
        </w:rPr>
        <w:t xml:space="preserve"> as despesas </w:t>
      </w:r>
      <w:r w:rsidR="00B4191E">
        <w:rPr>
          <w:rFonts w:ascii="Calibri" w:hAnsi="Calibri" w:cs="Calibri"/>
          <w:color w:val="000000"/>
        </w:rPr>
        <w:t xml:space="preserve">constantes no Relatório de Avaliação das Receitas e Despesas referente ao primeiro bimestre de 2020, encaminhadas ao Congresso Nacional por meio da Mensagem Presidencial nº 115, </w:t>
      </w:r>
      <w:r>
        <w:rPr>
          <w:rFonts w:ascii="Calibri" w:hAnsi="Calibri" w:cs="Calibri"/>
          <w:color w:val="000000"/>
        </w:rPr>
        <w:t>foram corrigidas pelo IPCA.</w:t>
      </w:r>
    </w:p>
    <w:p w14:paraId="3FDD377F" w14:textId="77777777" w:rsidR="00DC4943" w:rsidRDefault="00DC4943"/>
    <w:p w14:paraId="24A6CAD8" w14:textId="77777777" w:rsidR="002A524C" w:rsidRPr="00A34D0B" w:rsidRDefault="00AD65D2" w:rsidP="007562E5">
      <w:pPr>
        <w:rPr>
          <w:i/>
          <w:sz w:val="24"/>
          <w:szCs w:val="24"/>
          <w:u w:val="single"/>
        </w:rPr>
      </w:pPr>
      <w:r w:rsidRPr="00A34D0B">
        <w:rPr>
          <w:i/>
          <w:sz w:val="24"/>
          <w:szCs w:val="24"/>
          <w:u w:val="single"/>
        </w:rPr>
        <w:t>Outra</w:t>
      </w:r>
      <w:r w:rsidR="00DC4943" w:rsidRPr="00A34D0B">
        <w:rPr>
          <w:i/>
          <w:sz w:val="24"/>
          <w:szCs w:val="24"/>
          <w:u w:val="single"/>
        </w:rPr>
        <w:t>s Despesas Obrigatórias</w:t>
      </w:r>
    </w:p>
    <w:p w14:paraId="2DC093CA" w14:textId="19BAEB71" w:rsidR="00EB736F" w:rsidRDefault="0079686E" w:rsidP="00A34D0B">
      <w:pPr>
        <w:ind w:firstLine="709"/>
        <w:jc w:val="both"/>
        <w:rPr>
          <w:rFonts w:cstheme="minorHAnsi"/>
          <w:color w:val="000000"/>
          <w:sz w:val="24"/>
          <w:szCs w:val="24"/>
          <w:shd w:val="clear" w:color="auto" w:fill="FFFFFF"/>
        </w:rPr>
      </w:pPr>
      <w:r w:rsidRPr="00A34D0B">
        <w:rPr>
          <w:sz w:val="24"/>
          <w:szCs w:val="24"/>
        </w:rPr>
        <w:t>Es</w:t>
      </w:r>
      <w:r w:rsidR="00D03908">
        <w:rPr>
          <w:sz w:val="24"/>
          <w:szCs w:val="24"/>
        </w:rPr>
        <w:t>s</w:t>
      </w:r>
      <w:r w:rsidRPr="00A34D0B">
        <w:rPr>
          <w:sz w:val="24"/>
          <w:szCs w:val="24"/>
        </w:rPr>
        <w:t xml:space="preserve">e agregado compreende </w:t>
      </w:r>
      <w:r w:rsidR="002617CD">
        <w:rPr>
          <w:sz w:val="24"/>
          <w:szCs w:val="24"/>
        </w:rPr>
        <w:t xml:space="preserve">o </w:t>
      </w:r>
      <w:r w:rsidRPr="00A34D0B">
        <w:rPr>
          <w:sz w:val="24"/>
          <w:szCs w:val="24"/>
        </w:rPr>
        <w:t xml:space="preserve">conjunto de despesas obrigatórias cujo rito de execução orçamentária e financeira não se submete </w:t>
      </w:r>
      <w:r w:rsidR="00EB736F">
        <w:rPr>
          <w:sz w:val="24"/>
          <w:szCs w:val="24"/>
        </w:rPr>
        <w:t>à</w:t>
      </w:r>
      <w:r w:rsidR="00EB736F" w:rsidRPr="00A34D0B">
        <w:rPr>
          <w:sz w:val="24"/>
          <w:szCs w:val="24"/>
        </w:rPr>
        <w:t xml:space="preserve"> </w:t>
      </w:r>
      <w:r w:rsidRPr="00A34D0B">
        <w:rPr>
          <w:sz w:val="24"/>
          <w:szCs w:val="24"/>
        </w:rPr>
        <w:t xml:space="preserve">programação mensal dos gastos estabelecidas pelo Poder Executivo. Estão compreendidas as despesas de custeio e investimento primárias dos Poderes Legislativo </w:t>
      </w:r>
      <w:r w:rsidR="00905C35">
        <w:rPr>
          <w:sz w:val="24"/>
          <w:szCs w:val="24"/>
        </w:rPr>
        <w:t xml:space="preserve">e </w:t>
      </w:r>
      <w:r w:rsidRPr="00A34D0B">
        <w:rPr>
          <w:sz w:val="24"/>
          <w:szCs w:val="24"/>
        </w:rPr>
        <w:t xml:space="preserve">Judiciário, Ministério Público </w:t>
      </w:r>
      <w:r w:rsidR="00905C35">
        <w:rPr>
          <w:sz w:val="24"/>
          <w:szCs w:val="24"/>
        </w:rPr>
        <w:t>da União</w:t>
      </w:r>
      <w:r w:rsidRPr="00A34D0B">
        <w:rPr>
          <w:sz w:val="24"/>
          <w:szCs w:val="24"/>
        </w:rPr>
        <w:t xml:space="preserve"> e Defensoria Pública da União que, apesar de grande parte serem classificadas como </w:t>
      </w:r>
      <w:r w:rsidR="00905C35">
        <w:rPr>
          <w:sz w:val="24"/>
          <w:szCs w:val="24"/>
        </w:rPr>
        <w:t xml:space="preserve">despesas </w:t>
      </w:r>
      <w:r w:rsidRPr="00A34D0B">
        <w:rPr>
          <w:sz w:val="24"/>
          <w:szCs w:val="24"/>
        </w:rPr>
        <w:t>discricionárias, na perspectiva do demonstrativo, para o Poder Executivo, t</w:t>
      </w:r>
      <w:r w:rsidR="00EB736F">
        <w:rPr>
          <w:sz w:val="24"/>
          <w:szCs w:val="24"/>
        </w:rPr>
        <w:t>ê</w:t>
      </w:r>
      <w:r w:rsidRPr="00A34D0B">
        <w:rPr>
          <w:sz w:val="24"/>
          <w:szCs w:val="24"/>
        </w:rPr>
        <w:t xml:space="preserve">m tratamento de </w:t>
      </w:r>
      <w:r w:rsidR="00905C35">
        <w:rPr>
          <w:sz w:val="24"/>
          <w:szCs w:val="24"/>
        </w:rPr>
        <w:t xml:space="preserve">despesas </w:t>
      </w:r>
      <w:r w:rsidRPr="00A34D0B">
        <w:rPr>
          <w:sz w:val="24"/>
          <w:szCs w:val="24"/>
        </w:rPr>
        <w:t>obrigatórias na sua totalidade, haja vis</w:t>
      </w:r>
      <w:r w:rsidR="0022571F" w:rsidRPr="00A34D0B">
        <w:rPr>
          <w:sz w:val="24"/>
          <w:szCs w:val="24"/>
        </w:rPr>
        <w:t xml:space="preserve">ta sua condição constitucional </w:t>
      </w:r>
      <w:r w:rsidR="00AD65D2" w:rsidRPr="00A34D0B">
        <w:rPr>
          <w:sz w:val="24"/>
          <w:szCs w:val="24"/>
        </w:rPr>
        <w:t xml:space="preserve">disposta no </w:t>
      </w:r>
      <w:r w:rsidR="00AD65D2" w:rsidRPr="00A34D0B">
        <w:rPr>
          <w:rFonts w:cstheme="minorHAnsi"/>
          <w:color w:val="000000"/>
          <w:sz w:val="24"/>
          <w:szCs w:val="24"/>
          <w:shd w:val="clear" w:color="auto" w:fill="FFFFFF"/>
        </w:rPr>
        <w:t xml:space="preserve">Art. 168: </w:t>
      </w:r>
    </w:p>
    <w:p w14:paraId="4FF2859F" w14:textId="77777777" w:rsidR="00DC4943" w:rsidRPr="00A34D0B" w:rsidRDefault="00AD65D2" w:rsidP="00A34D0B">
      <w:pPr>
        <w:pStyle w:val="Citao"/>
        <w:jc w:val="both"/>
      </w:pPr>
      <w:r w:rsidRPr="00A34D0B">
        <w:rPr>
          <w:color w:val="auto"/>
          <w:shd w:val="clear" w:color="auto" w:fill="FFFFFF"/>
        </w:rPr>
        <w:t xml:space="preserve">“Os recursos correspondentes às dotações orçamentárias, compreendidos os créditos suplementares e especiais, destinados aos órgãos dos Poderes Legislativo e Judiciário, </w:t>
      </w:r>
      <w:r w:rsidRPr="00A34D0B">
        <w:rPr>
          <w:color w:val="auto"/>
          <w:shd w:val="clear" w:color="auto" w:fill="FFFFFF"/>
        </w:rPr>
        <w:lastRenderedPageBreak/>
        <w:t>do Ministério Público e da Defensoria Pública, ser-lhes-ão entregues até o dia 20 de cada mês, em duodécimos, na forma da lei complementar a que se refere o art. 165, § 9º”.</w:t>
      </w:r>
    </w:p>
    <w:p w14:paraId="25FD0B6A" w14:textId="665185C3" w:rsidR="009A120D" w:rsidRPr="00A34D0B" w:rsidRDefault="00D7487C" w:rsidP="009A120D">
      <w:pPr>
        <w:jc w:val="both"/>
        <w:rPr>
          <w:sz w:val="24"/>
          <w:szCs w:val="24"/>
        </w:rPr>
      </w:pPr>
      <w:r>
        <w:rPr>
          <w:sz w:val="24"/>
          <w:szCs w:val="24"/>
        </w:rPr>
        <w:t>Além das despesas</w:t>
      </w:r>
      <w:r w:rsidR="00D60FC2" w:rsidRPr="00D60FC2">
        <w:rPr>
          <w:shd w:val="clear" w:color="auto" w:fill="FFFFFF"/>
        </w:rPr>
        <w:t xml:space="preserve"> </w:t>
      </w:r>
      <w:r w:rsidR="00D60FC2" w:rsidRPr="00A34D0B">
        <w:rPr>
          <w:shd w:val="clear" w:color="auto" w:fill="FFFFFF"/>
        </w:rPr>
        <w:t>dos Poderes Legislativo e Judiciário, do Ministério Público e da Defensoria Pública</w:t>
      </w:r>
      <w:r w:rsidR="00D60FC2">
        <w:rPr>
          <w:shd w:val="clear" w:color="auto" w:fill="FFFFFF"/>
        </w:rPr>
        <w:t>, o</w:t>
      </w:r>
      <w:r w:rsidR="009A120D" w:rsidRPr="00A34D0B">
        <w:rPr>
          <w:sz w:val="24"/>
          <w:szCs w:val="24"/>
        </w:rPr>
        <w:t xml:space="preserve">s principais itens de despesa </w:t>
      </w:r>
      <w:r w:rsidR="00D60FC2">
        <w:rPr>
          <w:sz w:val="24"/>
          <w:szCs w:val="24"/>
        </w:rPr>
        <w:t xml:space="preserve">obrigatórias </w:t>
      </w:r>
      <w:r w:rsidR="009A120D" w:rsidRPr="00A34D0B">
        <w:rPr>
          <w:sz w:val="24"/>
          <w:szCs w:val="24"/>
        </w:rPr>
        <w:t>são:</w:t>
      </w:r>
    </w:p>
    <w:p w14:paraId="77ABB580" w14:textId="77777777" w:rsidR="009A120D" w:rsidRPr="00A34D0B" w:rsidRDefault="00EB736F" w:rsidP="009A120D">
      <w:pPr>
        <w:pStyle w:val="PargrafodaLista"/>
        <w:numPr>
          <w:ilvl w:val="0"/>
          <w:numId w:val="2"/>
        </w:numPr>
        <w:jc w:val="both"/>
        <w:rPr>
          <w:sz w:val="24"/>
          <w:szCs w:val="24"/>
        </w:rPr>
      </w:pPr>
      <w:r>
        <w:rPr>
          <w:sz w:val="24"/>
          <w:szCs w:val="24"/>
        </w:rPr>
        <w:t>S</w:t>
      </w:r>
      <w:r w:rsidR="009A120D" w:rsidRPr="00A34D0B">
        <w:rPr>
          <w:sz w:val="24"/>
          <w:szCs w:val="24"/>
        </w:rPr>
        <w:t>eguro-</w:t>
      </w:r>
      <w:r>
        <w:rPr>
          <w:sz w:val="24"/>
          <w:szCs w:val="24"/>
        </w:rPr>
        <w:t>D</w:t>
      </w:r>
      <w:r w:rsidR="009A120D" w:rsidRPr="00A34D0B">
        <w:rPr>
          <w:sz w:val="24"/>
          <w:szCs w:val="24"/>
        </w:rPr>
        <w:t xml:space="preserve">esemprego e </w:t>
      </w:r>
      <w:r>
        <w:rPr>
          <w:sz w:val="24"/>
          <w:szCs w:val="24"/>
        </w:rPr>
        <w:t>A</w:t>
      </w:r>
      <w:r w:rsidR="009A120D" w:rsidRPr="00A34D0B">
        <w:rPr>
          <w:sz w:val="24"/>
          <w:szCs w:val="24"/>
        </w:rPr>
        <w:t xml:space="preserve">bono </w:t>
      </w:r>
      <w:r>
        <w:rPr>
          <w:sz w:val="24"/>
          <w:szCs w:val="24"/>
        </w:rPr>
        <w:t>S</w:t>
      </w:r>
      <w:r w:rsidR="009A120D" w:rsidRPr="00A34D0B">
        <w:rPr>
          <w:sz w:val="24"/>
          <w:szCs w:val="24"/>
        </w:rPr>
        <w:t xml:space="preserve">alarial: </w:t>
      </w:r>
      <w:r w:rsidR="00712E42">
        <w:rPr>
          <w:sz w:val="24"/>
          <w:szCs w:val="24"/>
        </w:rPr>
        <w:t xml:space="preserve">a </w:t>
      </w:r>
      <w:r w:rsidR="009A120D" w:rsidRPr="00A34D0B">
        <w:rPr>
          <w:sz w:val="24"/>
          <w:szCs w:val="24"/>
        </w:rPr>
        <w:t>projeção</w:t>
      </w:r>
      <w:r>
        <w:rPr>
          <w:sz w:val="24"/>
          <w:szCs w:val="24"/>
        </w:rPr>
        <w:t xml:space="preserve"> dessas despesas</w:t>
      </w:r>
      <w:r w:rsidR="009A120D" w:rsidRPr="00A34D0B">
        <w:rPr>
          <w:sz w:val="24"/>
          <w:szCs w:val="24"/>
        </w:rPr>
        <w:t xml:space="preserve"> baseia-se em indicadores do mercado de trabalho e no reajuste do salário mínimo; </w:t>
      </w:r>
    </w:p>
    <w:p w14:paraId="115EE118" w14:textId="60856879" w:rsidR="009A120D" w:rsidRPr="009A37FC" w:rsidRDefault="000A6262" w:rsidP="009A120D">
      <w:pPr>
        <w:pStyle w:val="PargrafodaLista"/>
        <w:numPr>
          <w:ilvl w:val="0"/>
          <w:numId w:val="2"/>
        </w:numPr>
        <w:jc w:val="both"/>
        <w:rPr>
          <w:sz w:val="24"/>
          <w:szCs w:val="24"/>
        </w:rPr>
      </w:pPr>
      <w:r w:rsidRPr="00C35838">
        <w:rPr>
          <w:sz w:val="24"/>
          <w:szCs w:val="24"/>
        </w:rPr>
        <w:t>S</w:t>
      </w:r>
      <w:r w:rsidR="009A120D" w:rsidRPr="009A37FC">
        <w:rPr>
          <w:sz w:val="24"/>
          <w:szCs w:val="24"/>
        </w:rPr>
        <w:t xml:space="preserve">entenças </w:t>
      </w:r>
      <w:r w:rsidRPr="00C35838">
        <w:rPr>
          <w:sz w:val="24"/>
          <w:szCs w:val="24"/>
        </w:rPr>
        <w:t>J</w:t>
      </w:r>
      <w:r w:rsidR="009A120D" w:rsidRPr="00C35838">
        <w:rPr>
          <w:sz w:val="24"/>
          <w:szCs w:val="24"/>
        </w:rPr>
        <w:t xml:space="preserve">udiciais: </w:t>
      </w:r>
      <w:r w:rsidR="00B4191E" w:rsidRPr="005A2E56">
        <w:rPr>
          <w:rFonts w:ascii="Calibri" w:hAnsi="Calibri" w:cs="Calibri"/>
          <w:color w:val="000000"/>
          <w:sz w:val="24"/>
          <w:szCs w:val="24"/>
        </w:rPr>
        <w:t xml:space="preserve">as </w:t>
      </w:r>
      <w:r w:rsidRPr="005A2E56">
        <w:rPr>
          <w:rFonts w:ascii="Calibri" w:hAnsi="Calibri"/>
          <w:color w:val="000000"/>
          <w:sz w:val="24"/>
          <w:szCs w:val="24"/>
        </w:rPr>
        <w:t xml:space="preserve">despesas </w:t>
      </w:r>
      <w:r w:rsidR="00B4191E" w:rsidRPr="005A2E56">
        <w:rPr>
          <w:rFonts w:ascii="Calibri" w:hAnsi="Calibri" w:cs="Calibri"/>
          <w:color w:val="000000"/>
          <w:sz w:val="24"/>
          <w:szCs w:val="24"/>
        </w:rPr>
        <w:t>constantes no Relatório</w:t>
      </w:r>
      <w:r w:rsidR="009A120D" w:rsidRPr="005A2E56">
        <w:rPr>
          <w:rFonts w:ascii="Calibri" w:hAnsi="Calibri"/>
          <w:color w:val="000000"/>
          <w:sz w:val="24"/>
          <w:szCs w:val="24"/>
        </w:rPr>
        <w:t xml:space="preserve"> de </w:t>
      </w:r>
      <w:r w:rsidR="00B4191E" w:rsidRPr="005A2E56">
        <w:rPr>
          <w:rFonts w:ascii="Calibri" w:hAnsi="Calibri" w:cs="Calibri"/>
          <w:color w:val="000000"/>
          <w:sz w:val="24"/>
          <w:szCs w:val="24"/>
        </w:rPr>
        <w:t>Avaliação das Receitas e Despesas referente ao primeiro bimestre de 2020, encaminhadas ao Congresso Nacional por meio da Mensagem Presidencial nº 115, foram corrigidas</w:t>
      </w:r>
      <w:r w:rsidR="009A120D" w:rsidRPr="005A2E56">
        <w:rPr>
          <w:rFonts w:ascii="Calibri" w:hAnsi="Calibri"/>
          <w:color w:val="000000"/>
          <w:sz w:val="24"/>
          <w:szCs w:val="24"/>
        </w:rPr>
        <w:t xml:space="preserve"> pelo </w:t>
      </w:r>
      <w:r w:rsidR="00B4191E" w:rsidRPr="005A2E56">
        <w:rPr>
          <w:rFonts w:ascii="Calibri" w:hAnsi="Calibri" w:cs="Calibri"/>
          <w:color w:val="000000"/>
          <w:sz w:val="24"/>
          <w:szCs w:val="24"/>
        </w:rPr>
        <w:t>IPCA</w:t>
      </w:r>
      <w:r w:rsidR="009A120D" w:rsidRPr="00C35838">
        <w:rPr>
          <w:sz w:val="24"/>
          <w:szCs w:val="24"/>
        </w:rPr>
        <w:t>;</w:t>
      </w:r>
    </w:p>
    <w:p w14:paraId="7FEE1747" w14:textId="12262B0E" w:rsidR="009A120D" w:rsidRPr="00302272" w:rsidRDefault="000A6262" w:rsidP="009A120D">
      <w:pPr>
        <w:pStyle w:val="PargrafodaLista"/>
        <w:numPr>
          <w:ilvl w:val="0"/>
          <w:numId w:val="2"/>
        </w:numPr>
        <w:jc w:val="both"/>
        <w:rPr>
          <w:sz w:val="24"/>
          <w:szCs w:val="24"/>
        </w:rPr>
      </w:pPr>
      <w:r>
        <w:rPr>
          <w:sz w:val="24"/>
          <w:szCs w:val="24"/>
        </w:rPr>
        <w:t>C</w:t>
      </w:r>
      <w:r w:rsidR="009A120D" w:rsidRPr="00A34D0B">
        <w:rPr>
          <w:sz w:val="24"/>
          <w:szCs w:val="24"/>
        </w:rPr>
        <w:t xml:space="preserve">omplementação da União </w:t>
      </w:r>
      <w:r w:rsidR="009A120D" w:rsidRPr="00302272">
        <w:rPr>
          <w:sz w:val="24"/>
          <w:szCs w:val="24"/>
        </w:rPr>
        <w:t xml:space="preserve">ao Fundo de Manutenção e Desenvolvimento da Educação Básica e de Valorização dos Profissionais da Educação </w:t>
      </w:r>
      <w:proofErr w:type="gramStart"/>
      <w:r w:rsidR="009A120D" w:rsidRPr="00302272">
        <w:rPr>
          <w:sz w:val="24"/>
          <w:szCs w:val="24"/>
        </w:rPr>
        <w:t>(</w:t>
      </w:r>
      <w:r w:rsidR="00905C35">
        <w:rPr>
          <w:sz w:val="24"/>
          <w:szCs w:val="24"/>
        </w:rPr>
        <w:t xml:space="preserve"> FUNDEB</w:t>
      </w:r>
      <w:proofErr w:type="gramEnd"/>
      <w:r w:rsidR="009A120D" w:rsidRPr="00302272">
        <w:rPr>
          <w:sz w:val="24"/>
          <w:szCs w:val="24"/>
        </w:rPr>
        <w:t xml:space="preserve">): </w:t>
      </w:r>
      <w:r w:rsidR="009B21A6">
        <w:rPr>
          <w:sz w:val="24"/>
          <w:szCs w:val="24"/>
        </w:rPr>
        <w:t>esse fundo será extinto</w:t>
      </w:r>
      <w:r w:rsidR="009A120D" w:rsidRPr="00302272">
        <w:rPr>
          <w:sz w:val="24"/>
          <w:szCs w:val="24"/>
        </w:rPr>
        <w:t xml:space="preserve"> em </w:t>
      </w:r>
      <w:r w:rsidR="009B21A6">
        <w:rPr>
          <w:sz w:val="24"/>
          <w:szCs w:val="24"/>
        </w:rPr>
        <w:t>2020, conforme dispõe</w:t>
      </w:r>
      <w:r w:rsidR="009A120D" w:rsidRPr="00302272">
        <w:rPr>
          <w:sz w:val="24"/>
          <w:szCs w:val="24"/>
        </w:rPr>
        <w:t xml:space="preserve"> o </w:t>
      </w:r>
      <w:r w:rsidR="00905C35">
        <w:rPr>
          <w:sz w:val="24"/>
          <w:szCs w:val="24"/>
        </w:rPr>
        <w:t>A</w:t>
      </w:r>
      <w:r w:rsidR="009A120D" w:rsidRPr="00302272">
        <w:rPr>
          <w:sz w:val="24"/>
          <w:szCs w:val="24"/>
        </w:rPr>
        <w:t>rt. 60, inciso VII, item d, do ADCT</w:t>
      </w:r>
      <w:r w:rsidR="009B21A6">
        <w:rPr>
          <w:sz w:val="24"/>
          <w:szCs w:val="24"/>
        </w:rPr>
        <w:t>. No entanto, considerando as propostas em tramitação para dar continuidade a essa despesa, que</w:t>
      </w:r>
      <w:r w:rsidR="00E57E96">
        <w:rPr>
          <w:sz w:val="24"/>
          <w:szCs w:val="24"/>
        </w:rPr>
        <w:t>,</w:t>
      </w:r>
      <w:r w:rsidR="009B21A6">
        <w:rPr>
          <w:sz w:val="24"/>
          <w:szCs w:val="24"/>
        </w:rPr>
        <w:t xml:space="preserve"> provavelmente</w:t>
      </w:r>
      <w:r w:rsidR="00E57E96">
        <w:rPr>
          <w:sz w:val="24"/>
          <w:szCs w:val="24"/>
        </w:rPr>
        <w:t>,</w:t>
      </w:r>
      <w:r w:rsidR="009B21A6">
        <w:rPr>
          <w:sz w:val="24"/>
          <w:szCs w:val="24"/>
        </w:rPr>
        <w:t xml:space="preserve"> não desaparecerá, </w:t>
      </w:r>
      <w:r w:rsidR="00A955C2">
        <w:rPr>
          <w:sz w:val="24"/>
          <w:szCs w:val="24"/>
        </w:rPr>
        <w:t>dado seu apelo</w:t>
      </w:r>
      <w:r w:rsidR="009B21A6">
        <w:rPr>
          <w:sz w:val="24"/>
          <w:szCs w:val="24"/>
        </w:rPr>
        <w:t>, considerou-se no cenário para 2021 a 2023, o aumento da Complementação em questão em 1 p</w:t>
      </w:r>
      <w:r w:rsidR="00E57E96">
        <w:rPr>
          <w:sz w:val="24"/>
          <w:szCs w:val="24"/>
        </w:rPr>
        <w:t>onto percentual</w:t>
      </w:r>
      <w:r w:rsidR="009B21A6">
        <w:rPr>
          <w:sz w:val="24"/>
          <w:szCs w:val="24"/>
        </w:rPr>
        <w:t xml:space="preserve"> ao ano </w:t>
      </w:r>
      <w:r w:rsidR="00A955C2">
        <w:rPr>
          <w:sz w:val="24"/>
          <w:szCs w:val="24"/>
        </w:rPr>
        <w:t>sobre as</w:t>
      </w:r>
      <w:r w:rsidR="009B21A6">
        <w:rPr>
          <w:sz w:val="24"/>
          <w:szCs w:val="24"/>
        </w:rPr>
        <w:t xml:space="preserve"> receitas do FUNDEB, partindo-se dos 10% atuais, até que se atinja o percentual de 15%;</w:t>
      </w:r>
    </w:p>
    <w:p w14:paraId="6BFFFC85" w14:textId="3544E48C" w:rsidR="009A120D" w:rsidRPr="00A34D0B" w:rsidRDefault="000A6262" w:rsidP="009A120D">
      <w:pPr>
        <w:pStyle w:val="PargrafodaLista"/>
        <w:numPr>
          <w:ilvl w:val="0"/>
          <w:numId w:val="2"/>
        </w:numPr>
        <w:jc w:val="both"/>
        <w:rPr>
          <w:sz w:val="24"/>
          <w:szCs w:val="24"/>
        </w:rPr>
      </w:pPr>
      <w:r>
        <w:rPr>
          <w:sz w:val="24"/>
          <w:szCs w:val="24"/>
        </w:rPr>
        <w:t>B</w:t>
      </w:r>
      <w:r w:rsidR="009A120D" w:rsidRPr="00A34D0B">
        <w:rPr>
          <w:sz w:val="24"/>
          <w:szCs w:val="24"/>
        </w:rPr>
        <w:t>enefício</w:t>
      </w:r>
      <w:r w:rsidR="00905C35">
        <w:rPr>
          <w:sz w:val="24"/>
          <w:szCs w:val="24"/>
        </w:rPr>
        <w:t xml:space="preserve"> de Prestação Continuada</w:t>
      </w:r>
      <w:r w:rsidR="009A120D" w:rsidRPr="00A34D0B">
        <w:rPr>
          <w:sz w:val="24"/>
          <w:szCs w:val="24"/>
        </w:rPr>
        <w:t xml:space="preserve"> da Lei Orgânica de Assistência Social (LOAS) e Renda Mensal Vitalícia (RMV): projetad</w:t>
      </w:r>
      <w:r>
        <w:rPr>
          <w:sz w:val="24"/>
          <w:szCs w:val="24"/>
        </w:rPr>
        <w:t>os</w:t>
      </w:r>
      <w:r w:rsidR="009A120D" w:rsidRPr="00A34D0B">
        <w:rPr>
          <w:sz w:val="24"/>
          <w:szCs w:val="24"/>
        </w:rPr>
        <w:t xml:space="preserve"> de acordo com crescimento vegetativo desses benefícios e o reajuste do salário mínimo</w:t>
      </w:r>
      <w:r w:rsidR="009B21A6">
        <w:rPr>
          <w:sz w:val="24"/>
          <w:szCs w:val="24"/>
        </w:rPr>
        <w:t>. A projeção</w:t>
      </w:r>
      <w:r w:rsidR="00A1632B">
        <w:rPr>
          <w:sz w:val="24"/>
          <w:szCs w:val="24"/>
        </w:rPr>
        <w:t xml:space="preserve"> para o cenário aqui apresentado</w:t>
      </w:r>
      <w:r w:rsidR="00A955C2">
        <w:rPr>
          <w:sz w:val="24"/>
          <w:szCs w:val="24"/>
        </w:rPr>
        <w:t>, de acordo com alterações legislativas recentes,</w:t>
      </w:r>
      <w:r w:rsidR="009B21A6">
        <w:rPr>
          <w:sz w:val="24"/>
          <w:szCs w:val="24"/>
        </w:rPr>
        <w:t xml:space="preserve"> considera </w:t>
      </w:r>
      <w:r w:rsidR="00A1632B">
        <w:rPr>
          <w:sz w:val="24"/>
          <w:szCs w:val="24"/>
        </w:rPr>
        <w:t xml:space="preserve">ainda: (1) </w:t>
      </w:r>
      <w:r w:rsidR="009B21A6">
        <w:rPr>
          <w:sz w:val="24"/>
          <w:szCs w:val="24"/>
        </w:rPr>
        <w:t>a concessão dos benefícios com o critério de</w:t>
      </w:r>
      <w:r w:rsidR="00A1632B">
        <w:rPr>
          <w:sz w:val="24"/>
          <w:szCs w:val="24"/>
        </w:rPr>
        <w:t xml:space="preserve"> elegibilidade</w:t>
      </w:r>
      <w:r w:rsidR="00A955C2">
        <w:rPr>
          <w:sz w:val="24"/>
          <w:szCs w:val="24"/>
        </w:rPr>
        <w:t xml:space="preserve"> de</w:t>
      </w:r>
      <w:r w:rsidR="009B21A6">
        <w:rPr>
          <w:sz w:val="24"/>
          <w:szCs w:val="24"/>
        </w:rPr>
        <w:t xml:space="preserve"> 1/2 salário mínimo</w:t>
      </w:r>
      <w:r w:rsidR="009B21A6" w:rsidRPr="00B3250C">
        <w:rPr>
          <w:sz w:val="24"/>
          <w:szCs w:val="24"/>
        </w:rPr>
        <w:t xml:space="preserve"> durante a calamidade pública</w:t>
      </w:r>
      <w:r w:rsidR="00A1632B">
        <w:rPr>
          <w:sz w:val="24"/>
          <w:szCs w:val="24"/>
        </w:rPr>
        <w:t xml:space="preserve">, em lugar dos atuais </w:t>
      </w:r>
      <w:r w:rsidR="00346D5A">
        <w:rPr>
          <w:sz w:val="24"/>
          <w:szCs w:val="24"/>
        </w:rPr>
        <w:t xml:space="preserve">1/4 </w:t>
      </w:r>
      <w:r w:rsidR="00A1632B">
        <w:rPr>
          <w:sz w:val="24"/>
          <w:szCs w:val="24"/>
        </w:rPr>
        <w:t>de salário mínimo</w:t>
      </w:r>
      <w:r w:rsidR="009B21A6" w:rsidRPr="00B3250C">
        <w:rPr>
          <w:sz w:val="24"/>
          <w:szCs w:val="24"/>
        </w:rPr>
        <w:t xml:space="preserve">; </w:t>
      </w:r>
      <w:r w:rsidR="00A1632B">
        <w:rPr>
          <w:sz w:val="24"/>
          <w:szCs w:val="24"/>
        </w:rPr>
        <w:t xml:space="preserve">(2) o </w:t>
      </w:r>
      <w:r w:rsidR="009B21A6" w:rsidRPr="00B3250C">
        <w:rPr>
          <w:sz w:val="24"/>
          <w:szCs w:val="24"/>
        </w:rPr>
        <w:t xml:space="preserve">não cômputo do </w:t>
      </w:r>
      <w:r w:rsidR="009B21A6">
        <w:rPr>
          <w:sz w:val="24"/>
          <w:szCs w:val="24"/>
        </w:rPr>
        <w:t xml:space="preserve">benefício </w:t>
      </w:r>
      <w:r w:rsidR="00905C35">
        <w:rPr>
          <w:sz w:val="24"/>
          <w:szCs w:val="24"/>
        </w:rPr>
        <w:t xml:space="preserve"> da </w:t>
      </w:r>
      <w:r w:rsidR="009B21A6">
        <w:rPr>
          <w:sz w:val="24"/>
          <w:szCs w:val="24"/>
        </w:rPr>
        <w:t>LOAS</w:t>
      </w:r>
      <w:r w:rsidR="009B21A6" w:rsidRPr="00B3250C">
        <w:rPr>
          <w:sz w:val="24"/>
          <w:szCs w:val="24"/>
        </w:rPr>
        <w:t xml:space="preserve"> ou de benefício previdenciários de até 1 </w:t>
      </w:r>
      <w:r w:rsidR="00905C35">
        <w:rPr>
          <w:sz w:val="24"/>
          <w:szCs w:val="24"/>
        </w:rPr>
        <w:t xml:space="preserve">salário mínimo </w:t>
      </w:r>
      <w:r w:rsidR="009B21A6" w:rsidRPr="00B3250C">
        <w:rPr>
          <w:sz w:val="24"/>
          <w:szCs w:val="24"/>
        </w:rPr>
        <w:t>no cálculo da renda</w:t>
      </w:r>
      <w:r w:rsidR="00734BE0">
        <w:rPr>
          <w:sz w:val="24"/>
          <w:szCs w:val="24"/>
        </w:rPr>
        <w:t xml:space="preserve"> familiar</w:t>
      </w:r>
      <w:r w:rsidR="00A1632B">
        <w:rPr>
          <w:sz w:val="24"/>
          <w:szCs w:val="24"/>
        </w:rPr>
        <w:t>, para fins de elegibilidade</w:t>
      </w:r>
      <w:r w:rsidR="009B21A6" w:rsidRPr="00B3250C">
        <w:rPr>
          <w:sz w:val="24"/>
          <w:szCs w:val="24"/>
        </w:rPr>
        <w:t>; e</w:t>
      </w:r>
      <w:r w:rsidR="00A1632B">
        <w:rPr>
          <w:sz w:val="24"/>
          <w:szCs w:val="24"/>
        </w:rPr>
        <w:t xml:space="preserve"> (3)</w:t>
      </w:r>
      <w:r w:rsidR="009B21A6" w:rsidRPr="00B3250C">
        <w:rPr>
          <w:sz w:val="24"/>
          <w:szCs w:val="24"/>
        </w:rPr>
        <w:t xml:space="preserve"> adiamento do cronograma de regularização no </w:t>
      </w:r>
      <w:r w:rsidR="00905C35">
        <w:rPr>
          <w:sz w:val="24"/>
          <w:szCs w:val="24"/>
        </w:rPr>
        <w:t>Cadastro Único para Programas Sociais do Governo Federal (</w:t>
      </w:r>
      <w:proofErr w:type="spellStart"/>
      <w:r w:rsidR="009B21A6" w:rsidRPr="00B3250C">
        <w:rPr>
          <w:sz w:val="24"/>
          <w:szCs w:val="24"/>
        </w:rPr>
        <w:t>CadÚnico</w:t>
      </w:r>
      <w:proofErr w:type="spellEnd"/>
      <w:r w:rsidR="00905C35">
        <w:rPr>
          <w:sz w:val="24"/>
          <w:szCs w:val="24"/>
        </w:rPr>
        <w:t>)</w:t>
      </w:r>
      <w:r w:rsidR="009A120D" w:rsidRPr="00A34D0B">
        <w:rPr>
          <w:sz w:val="24"/>
          <w:szCs w:val="24"/>
        </w:rPr>
        <w:t xml:space="preserve">; </w:t>
      </w:r>
    </w:p>
    <w:p w14:paraId="568772BA" w14:textId="77777777" w:rsidR="009A120D" w:rsidRPr="00A34D0B" w:rsidRDefault="000A6262" w:rsidP="009A120D">
      <w:pPr>
        <w:pStyle w:val="PargrafodaLista"/>
        <w:numPr>
          <w:ilvl w:val="0"/>
          <w:numId w:val="2"/>
        </w:numPr>
        <w:jc w:val="both"/>
        <w:rPr>
          <w:sz w:val="24"/>
          <w:szCs w:val="24"/>
        </w:rPr>
      </w:pPr>
      <w:r>
        <w:rPr>
          <w:sz w:val="24"/>
          <w:szCs w:val="24"/>
        </w:rPr>
        <w:t>I</w:t>
      </w:r>
      <w:r w:rsidR="009A120D" w:rsidRPr="00A34D0B">
        <w:rPr>
          <w:sz w:val="24"/>
          <w:szCs w:val="24"/>
        </w:rPr>
        <w:t>ndenizações relativas ao Programa de Garantia da Atividade Agropecuária (</w:t>
      </w:r>
      <w:proofErr w:type="spellStart"/>
      <w:r w:rsidR="009A120D" w:rsidRPr="00A34D0B">
        <w:rPr>
          <w:sz w:val="24"/>
          <w:szCs w:val="24"/>
        </w:rPr>
        <w:t>Proagro</w:t>
      </w:r>
      <w:proofErr w:type="spellEnd"/>
      <w:r w:rsidR="009A120D" w:rsidRPr="00A34D0B">
        <w:rPr>
          <w:sz w:val="24"/>
          <w:szCs w:val="24"/>
        </w:rPr>
        <w:t>) e os Subsídios e as Subvenções Econômicas: projeções feitas de acordo com a política nacional referente a esses temas e a legislação vigente.</w:t>
      </w:r>
    </w:p>
    <w:p w14:paraId="25491F84" w14:textId="77777777" w:rsidR="00192180" w:rsidRDefault="00192180" w:rsidP="007562E5">
      <w:pPr>
        <w:jc w:val="both"/>
        <w:rPr>
          <w:i/>
          <w:u w:val="single"/>
        </w:rPr>
      </w:pPr>
    </w:p>
    <w:p w14:paraId="014ACB8C" w14:textId="77777777" w:rsidR="007F693E" w:rsidRPr="00A34D0B" w:rsidRDefault="007F693E" w:rsidP="007562E5">
      <w:pPr>
        <w:jc w:val="both"/>
        <w:rPr>
          <w:i/>
          <w:sz w:val="24"/>
          <w:szCs w:val="24"/>
          <w:u w:val="single"/>
        </w:rPr>
      </w:pPr>
      <w:r w:rsidRPr="00A34D0B">
        <w:rPr>
          <w:i/>
          <w:sz w:val="24"/>
          <w:szCs w:val="24"/>
          <w:u w:val="single"/>
        </w:rPr>
        <w:t>Despesas do Poder Executivo sujeitas à Programação Financeira - Obrigatórias com Controle de Fluxo:</w:t>
      </w:r>
    </w:p>
    <w:p w14:paraId="2D6F5D01" w14:textId="77777777" w:rsidR="000E4A94" w:rsidRPr="00A34D0B" w:rsidRDefault="000E4A94" w:rsidP="00A34D0B">
      <w:pPr>
        <w:ind w:firstLine="709"/>
        <w:jc w:val="both"/>
        <w:rPr>
          <w:sz w:val="24"/>
          <w:szCs w:val="24"/>
        </w:rPr>
      </w:pPr>
      <w:r w:rsidRPr="00A34D0B">
        <w:rPr>
          <w:sz w:val="24"/>
          <w:szCs w:val="24"/>
        </w:rPr>
        <w:t xml:space="preserve">Consideram-se nesse grupo as despesas obrigatórias com benefícios aos servidores, </w:t>
      </w:r>
      <w:r w:rsidR="008630B6">
        <w:rPr>
          <w:sz w:val="24"/>
          <w:szCs w:val="24"/>
        </w:rPr>
        <w:t>militares e seus dependentes</w:t>
      </w:r>
      <w:r w:rsidRPr="00A34D0B">
        <w:rPr>
          <w:sz w:val="24"/>
          <w:szCs w:val="24"/>
        </w:rPr>
        <w:t xml:space="preserve">, bem como determinadas ações e programas obrigatórios na área da saúde e educação, além dos montantes para atendimento do Programa Bolsa-Família. </w:t>
      </w:r>
      <w:r w:rsidR="008630B6">
        <w:rPr>
          <w:sz w:val="24"/>
          <w:szCs w:val="24"/>
        </w:rPr>
        <w:t xml:space="preserve">Quanto às despesas com benefícios aos servidores, militares e seus dependentes, essas foram projetadas considerando o IPCA para o auxílio transporte, o dólar para os benefícios no exterior, e a manutenção do valor nominal dos demais benefícios, ajustado pelo quantitativo de beneficiários. </w:t>
      </w:r>
      <w:r w:rsidRPr="00A34D0B">
        <w:rPr>
          <w:sz w:val="24"/>
          <w:szCs w:val="24"/>
        </w:rPr>
        <w:t>A previsão dessas despesas se dá com base em informações enviadas pelos órgãos responsáveis, que fixam e distribuem as despesas sob seu controle de acordo com a legislação vigente e necessidades apuradas.</w:t>
      </w:r>
    </w:p>
    <w:p w14:paraId="244FAA1C" w14:textId="2F00966B" w:rsidR="007F7489" w:rsidRPr="00A34D0B" w:rsidRDefault="004537D3" w:rsidP="002145C2">
      <w:pPr>
        <w:ind w:firstLine="709"/>
        <w:jc w:val="both"/>
        <w:rPr>
          <w:sz w:val="24"/>
          <w:szCs w:val="24"/>
        </w:rPr>
      </w:pPr>
      <w:r w:rsidRPr="00622A21">
        <w:rPr>
          <w:sz w:val="24"/>
          <w:szCs w:val="24"/>
        </w:rPr>
        <w:lastRenderedPageBreak/>
        <w:t>Neste item consta previsão para a</w:t>
      </w:r>
      <w:r w:rsidR="00A81CF9" w:rsidRPr="00622A21">
        <w:rPr>
          <w:sz w:val="24"/>
          <w:szCs w:val="24"/>
        </w:rPr>
        <w:t xml:space="preserve"> despesa do Fundo Aeronáutico relativa </w:t>
      </w:r>
      <w:r w:rsidR="00C35838">
        <w:rPr>
          <w:sz w:val="24"/>
          <w:szCs w:val="24"/>
        </w:rPr>
        <w:t>à</w:t>
      </w:r>
      <w:r w:rsidR="00A81CF9" w:rsidRPr="00622A21">
        <w:rPr>
          <w:sz w:val="24"/>
          <w:szCs w:val="24"/>
        </w:rPr>
        <w:t xml:space="preserve"> Operação do Sistema de Controle do Espaço Aéreo Brasileiro – SISCEAB, estimada em R$ 1,</w:t>
      </w:r>
      <w:r w:rsidR="00622A21">
        <w:rPr>
          <w:sz w:val="24"/>
          <w:szCs w:val="24"/>
        </w:rPr>
        <w:t>8</w:t>
      </w:r>
      <w:r w:rsidR="00A81CF9" w:rsidRPr="00622A21">
        <w:rPr>
          <w:sz w:val="24"/>
          <w:szCs w:val="24"/>
        </w:rPr>
        <w:t xml:space="preserve"> bilhão em cada exercício, de 2020 a 2022. </w:t>
      </w:r>
      <w:r w:rsidRPr="00622A21">
        <w:rPr>
          <w:sz w:val="24"/>
          <w:szCs w:val="24"/>
        </w:rPr>
        <w:t>Essa ação</w:t>
      </w:r>
      <w:r w:rsidR="00A81CF9" w:rsidRPr="00622A21">
        <w:rPr>
          <w:sz w:val="24"/>
          <w:szCs w:val="24"/>
        </w:rPr>
        <w:t xml:space="preserve"> co</w:t>
      </w:r>
      <w:r w:rsidR="002B4A28" w:rsidRPr="00622A21">
        <w:rPr>
          <w:sz w:val="24"/>
          <w:szCs w:val="24"/>
        </w:rPr>
        <w:t>ntém</w:t>
      </w:r>
      <w:r w:rsidR="000A3A8A" w:rsidRPr="00622A21">
        <w:rPr>
          <w:sz w:val="24"/>
          <w:szCs w:val="24"/>
        </w:rPr>
        <w:t xml:space="preserve"> a contraprestação administrativa da parceria público privada pretendida para administração do SISCEAB</w:t>
      </w:r>
      <w:r w:rsidR="002B4A28" w:rsidRPr="00622A21">
        <w:rPr>
          <w:sz w:val="24"/>
          <w:szCs w:val="24"/>
        </w:rPr>
        <w:t>, alocada em plano orçamentário específico</w:t>
      </w:r>
      <w:r w:rsidR="000A3A8A" w:rsidRPr="00622A21">
        <w:rPr>
          <w:sz w:val="24"/>
          <w:szCs w:val="24"/>
        </w:rPr>
        <w:t xml:space="preserve">, </w:t>
      </w:r>
      <w:r w:rsidRPr="00622A21">
        <w:rPr>
          <w:sz w:val="24"/>
          <w:szCs w:val="24"/>
        </w:rPr>
        <w:t>com a seguinte estimativa para o período considerado: R$ 11,</w:t>
      </w:r>
      <w:r w:rsidR="002145C2">
        <w:rPr>
          <w:sz w:val="24"/>
          <w:szCs w:val="24"/>
        </w:rPr>
        <w:t>0</w:t>
      </w:r>
      <w:r w:rsidRPr="00622A21">
        <w:rPr>
          <w:sz w:val="24"/>
          <w:szCs w:val="24"/>
        </w:rPr>
        <w:t xml:space="preserve"> milhões para </w:t>
      </w:r>
      <w:r w:rsidR="002145C2" w:rsidRPr="00622A21">
        <w:rPr>
          <w:sz w:val="24"/>
          <w:szCs w:val="24"/>
        </w:rPr>
        <w:t>20</w:t>
      </w:r>
      <w:r w:rsidR="002145C2">
        <w:rPr>
          <w:sz w:val="24"/>
          <w:szCs w:val="24"/>
        </w:rPr>
        <w:t>20</w:t>
      </w:r>
      <w:r w:rsidRPr="00622A21">
        <w:rPr>
          <w:sz w:val="24"/>
          <w:szCs w:val="24"/>
        </w:rPr>
        <w:t xml:space="preserve">; R$ </w:t>
      </w:r>
      <w:r w:rsidR="002145C2">
        <w:rPr>
          <w:sz w:val="24"/>
          <w:szCs w:val="24"/>
        </w:rPr>
        <w:t>129,5</w:t>
      </w:r>
      <w:r w:rsidRPr="00622A21">
        <w:rPr>
          <w:sz w:val="24"/>
          <w:szCs w:val="24"/>
        </w:rPr>
        <w:t xml:space="preserve"> milhões para </w:t>
      </w:r>
      <w:r w:rsidR="002145C2" w:rsidRPr="00622A21">
        <w:rPr>
          <w:sz w:val="24"/>
          <w:szCs w:val="24"/>
        </w:rPr>
        <w:t>202</w:t>
      </w:r>
      <w:r w:rsidR="002145C2">
        <w:rPr>
          <w:sz w:val="24"/>
          <w:szCs w:val="24"/>
        </w:rPr>
        <w:t>1</w:t>
      </w:r>
      <w:r w:rsidRPr="00622A21">
        <w:rPr>
          <w:sz w:val="24"/>
          <w:szCs w:val="24"/>
        </w:rPr>
        <w:t xml:space="preserve">; R$ </w:t>
      </w:r>
      <w:r w:rsidR="002145C2">
        <w:rPr>
          <w:sz w:val="24"/>
          <w:szCs w:val="24"/>
        </w:rPr>
        <w:t>210</w:t>
      </w:r>
      <w:r w:rsidRPr="00622A21">
        <w:rPr>
          <w:sz w:val="24"/>
          <w:szCs w:val="24"/>
        </w:rPr>
        <w:t xml:space="preserve"> milhões para </w:t>
      </w:r>
      <w:r w:rsidR="002145C2" w:rsidRPr="00622A21">
        <w:rPr>
          <w:sz w:val="24"/>
          <w:szCs w:val="24"/>
        </w:rPr>
        <w:t>202</w:t>
      </w:r>
      <w:r w:rsidR="002145C2">
        <w:rPr>
          <w:sz w:val="24"/>
          <w:szCs w:val="24"/>
        </w:rPr>
        <w:t>2</w:t>
      </w:r>
      <w:r w:rsidRPr="00622A21">
        <w:rPr>
          <w:sz w:val="24"/>
          <w:szCs w:val="24"/>
        </w:rPr>
        <w:t xml:space="preserve">; R$ </w:t>
      </w:r>
      <w:r w:rsidR="002145C2">
        <w:rPr>
          <w:sz w:val="24"/>
          <w:szCs w:val="24"/>
        </w:rPr>
        <w:t>210</w:t>
      </w:r>
      <w:r w:rsidRPr="00622A21">
        <w:rPr>
          <w:sz w:val="24"/>
          <w:szCs w:val="24"/>
        </w:rPr>
        <w:t xml:space="preserve">,0 milhões para </w:t>
      </w:r>
      <w:r w:rsidR="002145C2" w:rsidRPr="00622A21">
        <w:rPr>
          <w:sz w:val="24"/>
          <w:szCs w:val="24"/>
        </w:rPr>
        <w:t>202</w:t>
      </w:r>
      <w:r w:rsidR="002145C2">
        <w:rPr>
          <w:sz w:val="24"/>
          <w:szCs w:val="24"/>
        </w:rPr>
        <w:t>3</w:t>
      </w:r>
      <w:r w:rsidRPr="00622A21">
        <w:rPr>
          <w:sz w:val="24"/>
          <w:szCs w:val="24"/>
        </w:rPr>
        <w:t>. Assim, demonstra-se o cumprimento</w:t>
      </w:r>
      <w:r w:rsidR="00D54C34" w:rsidRPr="00622A21">
        <w:rPr>
          <w:sz w:val="24"/>
          <w:szCs w:val="24"/>
        </w:rPr>
        <w:t xml:space="preserve"> </w:t>
      </w:r>
      <w:r w:rsidRPr="00622A21">
        <w:rPr>
          <w:sz w:val="24"/>
          <w:szCs w:val="24"/>
        </w:rPr>
        <w:t>d</w:t>
      </w:r>
      <w:r w:rsidR="00D54C34" w:rsidRPr="00622A21">
        <w:rPr>
          <w:sz w:val="24"/>
          <w:szCs w:val="24"/>
        </w:rPr>
        <w:t>a exigência estabelecida na alí</w:t>
      </w:r>
      <w:r w:rsidR="00396F23" w:rsidRPr="00622A21">
        <w:rPr>
          <w:sz w:val="24"/>
          <w:szCs w:val="24"/>
        </w:rPr>
        <w:t>ne</w:t>
      </w:r>
      <w:r w:rsidR="00D54C34" w:rsidRPr="00622A21">
        <w:rPr>
          <w:sz w:val="24"/>
          <w:szCs w:val="24"/>
        </w:rPr>
        <w:t xml:space="preserve">a “b”, do art. 10, da Lei </w:t>
      </w:r>
      <w:r w:rsidRPr="00622A21">
        <w:rPr>
          <w:sz w:val="24"/>
          <w:szCs w:val="24"/>
        </w:rPr>
        <w:br/>
      </w:r>
      <w:r w:rsidR="00D54C34" w:rsidRPr="00622A21">
        <w:rPr>
          <w:sz w:val="24"/>
          <w:szCs w:val="24"/>
        </w:rPr>
        <w:t>n</w:t>
      </w:r>
      <w:r w:rsidR="00D54C34" w:rsidRPr="00622A21">
        <w:rPr>
          <w:sz w:val="24"/>
          <w:szCs w:val="24"/>
          <w:u w:val="single"/>
          <w:vertAlign w:val="superscript"/>
        </w:rPr>
        <w:t>o</w:t>
      </w:r>
      <w:r w:rsidR="00D54C34" w:rsidRPr="00622A21">
        <w:rPr>
          <w:sz w:val="24"/>
          <w:szCs w:val="24"/>
        </w:rPr>
        <w:t xml:space="preserve"> 11.079, de 30 de dezembro de 2004, que </w:t>
      </w:r>
      <w:r w:rsidR="002145C2">
        <w:rPr>
          <w:sz w:val="24"/>
          <w:szCs w:val="24"/>
        </w:rPr>
        <w:t>i</w:t>
      </w:r>
      <w:r w:rsidR="00D54C34" w:rsidRPr="00622A21">
        <w:rPr>
          <w:sz w:val="24"/>
          <w:szCs w:val="24"/>
        </w:rPr>
        <w:t xml:space="preserve">nstitui normas gerais para licitação e contratação de parceria público-privada no âmbito da administração </w:t>
      </w:r>
      <w:r w:rsidR="00C932CC" w:rsidRPr="00622A21">
        <w:rPr>
          <w:sz w:val="24"/>
          <w:szCs w:val="24"/>
        </w:rPr>
        <w:t>pública.</w:t>
      </w:r>
    </w:p>
    <w:p w14:paraId="1F3DC2BD" w14:textId="77777777" w:rsidR="001552D7" w:rsidRPr="00A34D0B" w:rsidRDefault="007F693E">
      <w:pPr>
        <w:rPr>
          <w:i/>
          <w:sz w:val="24"/>
          <w:szCs w:val="24"/>
          <w:u w:val="single"/>
        </w:rPr>
      </w:pPr>
      <w:r w:rsidRPr="00A34D0B">
        <w:rPr>
          <w:i/>
          <w:sz w:val="24"/>
          <w:szCs w:val="24"/>
          <w:u w:val="single"/>
        </w:rPr>
        <w:t xml:space="preserve">Despesas do Poder Executivo sujeitas à Programação Financeira - </w:t>
      </w:r>
      <w:r w:rsidR="002A524C" w:rsidRPr="00A34D0B">
        <w:rPr>
          <w:i/>
          <w:sz w:val="24"/>
          <w:szCs w:val="24"/>
          <w:u w:val="single"/>
        </w:rPr>
        <w:t>Discricionárias</w:t>
      </w:r>
    </w:p>
    <w:p w14:paraId="7B707324" w14:textId="7B553B17" w:rsidR="00C93864" w:rsidRDefault="000E4A94" w:rsidP="00A6056C">
      <w:pPr>
        <w:ind w:firstLine="709"/>
        <w:jc w:val="both"/>
        <w:sectPr w:rsidR="00C93864" w:rsidSect="00CE347D">
          <w:headerReference w:type="default" r:id="rId14"/>
          <w:footerReference w:type="default" r:id="rId15"/>
          <w:pgSz w:w="11906" w:h="16838"/>
          <w:pgMar w:top="1417" w:right="1701" w:bottom="1417" w:left="709" w:header="708" w:footer="708" w:gutter="0"/>
          <w:cols w:space="708"/>
          <w:docGrid w:linePitch="360"/>
        </w:sectPr>
      </w:pPr>
      <w:r w:rsidRPr="00A34D0B">
        <w:rPr>
          <w:sz w:val="24"/>
          <w:szCs w:val="24"/>
        </w:rPr>
        <w:t xml:space="preserve">As despesas discricionárias são aquelas sobre as quais se possui flexibilidade quanto ao momento de sua execução e discricionariedade de alocação das dotações orçamentárias de acordo com suas metas e prioridades. Caso seja necessária a limitação de empenho e movimentação financeira para cumprimento da meta fiscal, no transcorrer da execução orçamentária, essa limitação recairá sobre esse item de despesa, de acordo com o que estabelece o art. 9º da Lei de Responsabilidade Fiscal (LRF). </w:t>
      </w:r>
      <w:r w:rsidR="00C163F6" w:rsidRPr="00A34D0B">
        <w:rPr>
          <w:sz w:val="24"/>
          <w:szCs w:val="24"/>
        </w:rPr>
        <w:t>Para o cenário fiscal aqui projetado, recaiu</w:t>
      </w:r>
      <w:r w:rsidR="00214098" w:rsidRPr="00A34D0B">
        <w:rPr>
          <w:sz w:val="24"/>
          <w:szCs w:val="24"/>
        </w:rPr>
        <w:t xml:space="preserve"> sobre esse item de despesa</w:t>
      </w:r>
      <w:r w:rsidR="00C163F6" w:rsidRPr="00A34D0B">
        <w:rPr>
          <w:sz w:val="24"/>
          <w:szCs w:val="24"/>
        </w:rPr>
        <w:t xml:space="preserve"> o ajuste necessário para que </w:t>
      </w:r>
      <w:r w:rsidR="00734BE0">
        <w:rPr>
          <w:sz w:val="24"/>
          <w:szCs w:val="24"/>
        </w:rPr>
        <w:t>se garanta o cumprimento do</w:t>
      </w:r>
      <w:r w:rsidR="00C163F6" w:rsidRPr="00A34D0B">
        <w:rPr>
          <w:sz w:val="24"/>
          <w:szCs w:val="24"/>
        </w:rPr>
        <w:t xml:space="preserve"> </w:t>
      </w:r>
      <w:r w:rsidR="00694A39">
        <w:rPr>
          <w:sz w:val="24"/>
          <w:szCs w:val="24"/>
        </w:rPr>
        <w:t>T</w:t>
      </w:r>
      <w:r w:rsidR="00694A39" w:rsidRPr="00A34D0B">
        <w:rPr>
          <w:sz w:val="24"/>
          <w:szCs w:val="24"/>
        </w:rPr>
        <w:t xml:space="preserve">eto </w:t>
      </w:r>
      <w:r w:rsidR="00C163F6" w:rsidRPr="00A34D0B">
        <w:rPr>
          <w:sz w:val="24"/>
          <w:szCs w:val="24"/>
        </w:rPr>
        <w:t xml:space="preserve">dos </w:t>
      </w:r>
      <w:r w:rsidR="00694A39">
        <w:rPr>
          <w:sz w:val="24"/>
          <w:szCs w:val="24"/>
        </w:rPr>
        <w:t>G</w:t>
      </w:r>
      <w:r w:rsidR="00694A39" w:rsidRPr="00A34D0B">
        <w:rPr>
          <w:sz w:val="24"/>
          <w:szCs w:val="24"/>
        </w:rPr>
        <w:t xml:space="preserve">astos </w:t>
      </w:r>
      <w:r w:rsidR="00C163F6" w:rsidRPr="00A34D0B">
        <w:rPr>
          <w:sz w:val="24"/>
          <w:szCs w:val="24"/>
        </w:rPr>
        <w:t xml:space="preserve">relativo ao Novo Regime Fiscal </w:t>
      </w:r>
      <w:r w:rsidR="00734BE0">
        <w:rPr>
          <w:sz w:val="24"/>
          <w:szCs w:val="24"/>
        </w:rPr>
        <w:t>no período de</w:t>
      </w:r>
      <w:r w:rsidR="00C163F6" w:rsidRPr="00A34D0B">
        <w:rPr>
          <w:sz w:val="24"/>
          <w:szCs w:val="24"/>
        </w:rPr>
        <w:t xml:space="preserve"> </w:t>
      </w:r>
      <w:r w:rsidR="003837F5" w:rsidRPr="00A34D0B">
        <w:rPr>
          <w:sz w:val="24"/>
          <w:szCs w:val="24"/>
        </w:rPr>
        <w:t>202</w:t>
      </w:r>
      <w:r w:rsidR="003837F5">
        <w:rPr>
          <w:sz w:val="24"/>
          <w:szCs w:val="24"/>
        </w:rPr>
        <w:t>1</w:t>
      </w:r>
      <w:r w:rsidR="003837F5" w:rsidRPr="00A34D0B">
        <w:rPr>
          <w:sz w:val="24"/>
          <w:szCs w:val="24"/>
        </w:rPr>
        <w:t xml:space="preserve"> </w:t>
      </w:r>
      <w:r w:rsidR="00C163F6" w:rsidRPr="00A34D0B">
        <w:rPr>
          <w:sz w:val="24"/>
          <w:szCs w:val="24"/>
        </w:rPr>
        <w:t xml:space="preserve">a </w:t>
      </w:r>
      <w:r w:rsidR="003837F5" w:rsidRPr="00A34D0B">
        <w:rPr>
          <w:sz w:val="24"/>
          <w:szCs w:val="24"/>
        </w:rPr>
        <w:t>202</w:t>
      </w:r>
      <w:r w:rsidR="003837F5">
        <w:rPr>
          <w:sz w:val="24"/>
          <w:szCs w:val="24"/>
        </w:rPr>
        <w:t>3</w:t>
      </w:r>
      <w:r w:rsidR="00C163F6" w:rsidRPr="00A34D0B">
        <w:rPr>
          <w:sz w:val="24"/>
          <w:szCs w:val="24"/>
        </w:rPr>
        <w:t>.</w:t>
      </w:r>
    </w:p>
    <w:p w14:paraId="5C5C4453" w14:textId="2282E6ED" w:rsidR="00520E5A" w:rsidRDefault="007D6F35">
      <w:r>
        <w:rPr>
          <w:b/>
          <w:u w:val="single"/>
        </w:rPr>
        <w:lastRenderedPageBreak/>
        <w:t>C</w:t>
      </w:r>
      <w:r w:rsidRPr="00995CB5">
        <w:rPr>
          <w:b/>
          <w:u w:val="single"/>
        </w:rPr>
        <w:t xml:space="preserve">) </w:t>
      </w:r>
      <w:r>
        <w:rPr>
          <w:b/>
          <w:u w:val="single"/>
        </w:rPr>
        <w:t>Comparação das metas e projeções com os anos anteriores</w:t>
      </w:r>
      <w:r w:rsidR="001C479C" w:rsidRPr="001C479C">
        <w:rPr>
          <w:b/>
          <w:u w:val="single"/>
        </w:rPr>
        <w:t xml:space="preserve"> </w:t>
      </w:r>
    </w:p>
    <w:p w14:paraId="23FE1727" w14:textId="396D2110" w:rsidR="007D6F35" w:rsidRDefault="00731B90">
      <w:pPr>
        <w:sectPr w:rsidR="007D6F35" w:rsidSect="005A2E56">
          <w:pgSz w:w="16838" w:h="11906" w:orient="landscape"/>
          <w:pgMar w:top="709" w:right="1418" w:bottom="1134" w:left="1418" w:header="709" w:footer="709" w:gutter="0"/>
          <w:cols w:space="708"/>
          <w:docGrid w:linePitch="360"/>
        </w:sectPr>
      </w:pPr>
      <w:r w:rsidRPr="00731B90">
        <w:rPr>
          <w:noProof/>
          <w:lang w:eastAsia="pt-BR"/>
        </w:rPr>
        <w:drawing>
          <wp:inline distT="0" distB="0" distL="0" distR="0" wp14:anchorId="21DFC702" wp14:editId="11FC4943">
            <wp:extent cx="7603568" cy="5788324"/>
            <wp:effectExtent l="0" t="0" r="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9219" cy="5807851"/>
                    </a:xfrm>
                    <a:prstGeom prst="rect">
                      <a:avLst/>
                    </a:prstGeom>
                    <a:noFill/>
                    <a:ln>
                      <a:noFill/>
                    </a:ln>
                  </pic:spPr>
                </pic:pic>
              </a:graphicData>
            </a:graphic>
          </wp:inline>
        </w:drawing>
      </w:r>
    </w:p>
    <w:p w14:paraId="442069E4" w14:textId="62D021F5" w:rsidR="00BE2478" w:rsidRPr="00A34D0B" w:rsidRDefault="00621C36" w:rsidP="005A2E56">
      <w:pPr>
        <w:spacing w:before="240"/>
        <w:ind w:firstLine="708"/>
        <w:jc w:val="both"/>
        <w:rPr>
          <w:sz w:val="24"/>
          <w:szCs w:val="24"/>
        </w:rPr>
      </w:pPr>
      <w:r>
        <w:rPr>
          <w:sz w:val="24"/>
          <w:szCs w:val="24"/>
        </w:rPr>
        <w:lastRenderedPageBreak/>
        <w:t>Após apresentar um movimento de recuperação</w:t>
      </w:r>
      <w:r w:rsidR="00EA32A3">
        <w:rPr>
          <w:sz w:val="24"/>
          <w:szCs w:val="24"/>
        </w:rPr>
        <w:t>, a partir de 2018,</w:t>
      </w:r>
      <w:r>
        <w:rPr>
          <w:sz w:val="24"/>
          <w:szCs w:val="24"/>
        </w:rPr>
        <w:t xml:space="preserve"> e alcançar 22,</w:t>
      </w:r>
      <w:r w:rsidR="00613369">
        <w:rPr>
          <w:sz w:val="24"/>
          <w:szCs w:val="24"/>
        </w:rPr>
        <w:t>53</w:t>
      </w:r>
      <w:r>
        <w:rPr>
          <w:sz w:val="24"/>
          <w:szCs w:val="24"/>
        </w:rPr>
        <w:t>%</w:t>
      </w:r>
      <w:r w:rsidR="008534C3">
        <w:rPr>
          <w:sz w:val="24"/>
          <w:szCs w:val="24"/>
        </w:rPr>
        <w:t xml:space="preserve"> do PIB em 2019, </w:t>
      </w:r>
      <w:r w:rsidR="00EF58F0">
        <w:rPr>
          <w:sz w:val="24"/>
          <w:szCs w:val="24"/>
        </w:rPr>
        <w:t xml:space="preserve">projeta-se uma queda da receita primária total para </w:t>
      </w:r>
      <w:r w:rsidR="00613369">
        <w:rPr>
          <w:sz w:val="24"/>
          <w:szCs w:val="24"/>
        </w:rPr>
        <w:t>21,32</w:t>
      </w:r>
      <w:r w:rsidR="00EF58F0">
        <w:rPr>
          <w:sz w:val="24"/>
          <w:szCs w:val="24"/>
        </w:rPr>
        <w:t>%</w:t>
      </w:r>
      <w:r w:rsidR="00613369">
        <w:rPr>
          <w:rStyle w:val="Refdenotaderodap"/>
          <w:sz w:val="24"/>
          <w:szCs w:val="24"/>
        </w:rPr>
        <w:footnoteReference w:id="4"/>
      </w:r>
      <w:r w:rsidR="00EF58F0">
        <w:rPr>
          <w:sz w:val="24"/>
          <w:szCs w:val="24"/>
        </w:rPr>
        <w:t xml:space="preserve"> do PIB em 2020 no Relatório de Avaliação de Receitas e Despesas Primárias referente ao 1º bimestre</w:t>
      </w:r>
      <w:r w:rsidR="007D64D1">
        <w:rPr>
          <w:sz w:val="24"/>
          <w:szCs w:val="24"/>
        </w:rPr>
        <w:t xml:space="preserve">, publicado em </w:t>
      </w:r>
      <w:r w:rsidR="00603DB6">
        <w:rPr>
          <w:sz w:val="24"/>
          <w:szCs w:val="24"/>
        </w:rPr>
        <w:t>20</w:t>
      </w:r>
      <w:r w:rsidR="007D64D1">
        <w:rPr>
          <w:sz w:val="24"/>
          <w:szCs w:val="24"/>
        </w:rPr>
        <w:t xml:space="preserve"> de março de 2020</w:t>
      </w:r>
      <w:r w:rsidR="00EF58F0">
        <w:rPr>
          <w:sz w:val="24"/>
          <w:szCs w:val="24"/>
        </w:rPr>
        <w:t xml:space="preserve">. </w:t>
      </w:r>
      <w:r w:rsidR="003056CE">
        <w:rPr>
          <w:sz w:val="24"/>
          <w:szCs w:val="24"/>
        </w:rPr>
        <w:t>Porém, destaca-se</w:t>
      </w:r>
      <w:r w:rsidR="00EF58F0">
        <w:rPr>
          <w:sz w:val="24"/>
          <w:szCs w:val="24"/>
        </w:rPr>
        <w:t xml:space="preserve"> que tal posição não reflete ainda</w:t>
      </w:r>
      <w:r w:rsidR="00EF58F0" w:rsidRPr="00EF58F0">
        <w:rPr>
          <w:sz w:val="24"/>
          <w:szCs w:val="24"/>
        </w:rPr>
        <w:t xml:space="preserve"> </w:t>
      </w:r>
      <w:r w:rsidR="00EF58F0">
        <w:rPr>
          <w:sz w:val="24"/>
          <w:szCs w:val="24"/>
        </w:rPr>
        <w:t xml:space="preserve">os impactos da </w:t>
      </w:r>
      <w:r w:rsidR="00EF58F0" w:rsidRPr="00EF58F0">
        <w:rPr>
          <w:sz w:val="24"/>
          <w:szCs w:val="24"/>
        </w:rPr>
        <w:t>pandemia relacionada ao Covid-19 sobre</w:t>
      </w:r>
      <w:r w:rsidR="00EF58F0">
        <w:rPr>
          <w:sz w:val="24"/>
          <w:szCs w:val="24"/>
        </w:rPr>
        <w:t xml:space="preserve"> o cenário econômico</w:t>
      </w:r>
      <w:r w:rsidR="003056CE">
        <w:rPr>
          <w:sz w:val="24"/>
          <w:szCs w:val="24"/>
        </w:rPr>
        <w:t xml:space="preserve"> e, consequentemente, sobre a receita.</w:t>
      </w:r>
      <w:r w:rsidR="009466E5">
        <w:rPr>
          <w:sz w:val="24"/>
          <w:szCs w:val="24"/>
        </w:rPr>
        <w:t xml:space="preserve"> Nesse sentido, a atualização</w:t>
      </w:r>
      <w:r w:rsidR="003056CE">
        <w:rPr>
          <w:sz w:val="24"/>
          <w:szCs w:val="24"/>
        </w:rPr>
        <w:t xml:space="preserve"> </w:t>
      </w:r>
      <w:r w:rsidR="009466E5">
        <w:rPr>
          <w:sz w:val="24"/>
          <w:szCs w:val="24"/>
        </w:rPr>
        <w:t>d</w:t>
      </w:r>
      <w:r w:rsidR="003056CE">
        <w:rPr>
          <w:sz w:val="24"/>
          <w:szCs w:val="24"/>
        </w:rPr>
        <w:t>as</w:t>
      </w:r>
      <w:r w:rsidR="00EF58F0">
        <w:rPr>
          <w:sz w:val="24"/>
          <w:szCs w:val="24"/>
        </w:rPr>
        <w:t xml:space="preserve"> projeções de receita para o exercício de 2020 pelos parâmetros indicados na </w:t>
      </w:r>
      <w:r w:rsidR="00905C35">
        <w:rPr>
          <w:sz w:val="24"/>
          <w:szCs w:val="24"/>
        </w:rPr>
        <w:t>T</w:t>
      </w:r>
      <w:r w:rsidR="00EF58F0">
        <w:rPr>
          <w:sz w:val="24"/>
          <w:szCs w:val="24"/>
        </w:rPr>
        <w:t>abela 1 do presente anexo</w:t>
      </w:r>
      <w:r w:rsidR="009466E5">
        <w:rPr>
          <w:sz w:val="24"/>
          <w:szCs w:val="24"/>
        </w:rPr>
        <w:t xml:space="preserve"> indicam</w:t>
      </w:r>
      <w:r w:rsidR="00EF58F0">
        <w:rPr>
          <w:sz w:val="24"/>
          <w:szCs w:val="24"/>
        </w:rPr>
        <w:t xml:space="preserve"> uma ampliação da queda da receita primária total, em termos nominais, para R$ 1.</w:t>
      </w:r>
      <w:r w:rsidR="001916B9">
        <w:rPr>
          <w:sz w:val="24"/>
          <w:szCs w:val="24"/>
        </w:rPr>
        <w:t>577</w:t>
      </w:r>
      <w:r w:rsidR="00EF58F0">
        <w:rPr>
          <w:sz w:val="24"/>
          <w:szCs w:val="24"/>
        </w:rPr>
        <w:t>,</w:t>
      </w:r>
      <w:r w:rsidR="001916B9">
        <w:rPr>
          <w:sz w:val="24"/>
          <w:szCs w:val="24"/>
        </w:rPr>
        <w:t xml:space="preserve">77 </w:t>
      </w:r>
      <w:r w:rsidR="00EF58F0">
        <w:rPr>
          <w:sz w:val="24"/>
          <w:szCs w:val="24"/>
        </w:rPr>
        <w:t>bilhões</w:t>
      </w:r>
      <w:r w:rsidR="00BE2478">
        <w:rPr>
          <w:sz w:val="24"/>
          <w:szCs w:val="24"/>
        </w:rPr>
        <w:t xml:space="preserve">, R$ </w:t>
      </w:r>
      <w:r w:rsidR="001916B9">
        <w:rPr>
          <w:sz w:val="24"/>
          <w:szCs w:val="24"/>
        </w:rPr>
        <w:t>33</w:t>
      </w:r>
      <w:r w:rsidR="00BE2478">
        <w:rPr>
          <w:sz w:val="24"/>
          <w:szCs w:val="24"/>
        </w:rPr>
        <w:t>,</w:t>
      </w:r>
      <w:r w:rsidR="001916B9">
        <w:rPr>
          <w:sz w:val="24"/>
          <w:szCs w:val="24"/>
        </w:rPr>
        <w:t xml:space="preserve">61 </w:t>
      </w:r>
      <w:r w:rsidR="00BE2478">
        <w:rPr>
          <w:sz w:val="24"/>
          <w:szCs w:val="24"/>
        </w:rPr>
        <w:t>bilhões abaixo da previsão constante no referido relatório.</w:t>
      </w:r>
      <w:r w:rsidR="00753A96">
        <w:rPr>
          <w:sz w:val="24"/>
          <w:szCs w:val="24"/>
        </w:rPr>
        <w:t xml:space="preserve"> A partir de 2021, espera-se um crescimento gradual da receita em termos nominais, estabilizando-se em torno de 20,50% do PIB no período de 2021 a 2023.</w:t>
      </w:r>
    </w:p>
    <w:p w14:paraId="3740B41C" w14:textId="4563964D" w:rsidR="00656F9C" w:rsidRPr="00A34D0B" w:rsidRDefault="00C35838" w:rsidP="00A34D0B">
      <w:pPr>
        <w:spacing w:before="240"/>
        <w:ind w:firstLine="709"/>
        <w:jc w:val="both"/>
        <w:rPr>
          <w:sz w:val="24"/>
          <w:szCs w:val="24"/>
        </w:rPr>
      </w:pPr>
      <w:r>
        <w:rPr>
          <w:sz w:val="24"/>
          <w:szCs w:val="24"/>
        </w:rPr>
        <w:t>Em relação ao histórico da</w:t>
      </w:r>
      <w:r w:rsidR="00A1266A">
        <w:rPr>
          <w:sz w:val="24"/>
          <w:szCs w:val="24"/>
        </w:rPr>
        <w:t xml:space="preserve"> </w:t>
      </w:r>
      <w:r w:rsidR="002577C1">
        <w:rPr>
          <w:sz w:val="24"/>
          <w:szCs w:val="24"/>
        </w:rPr>
        <w:t>R</w:t>
      </w:r>
      <w:r w:rsidR="00A1266A">
        <w:rPr>
          <w:sz w:val="24"/>
          <w:szCs w:val="24"/>
        </w:rPr>
        <w:t xml:space="preserve">eceita </w:t>
      </w:r>
      <w:r w:rsidR="002577C1">
        <w:rPr>
          <w:sz w:val="24"/>
          <w:szCs w:val="24"/>
        </w:rPr>
        <w:t>A</w:t>
      </w:r>
      <w:r w:rsidR="00A1266A">
        <w:rPr>
          <w:sz w:val="24"/>
          <w:szCs w:val="24"/>
        </w:rPr>
        <w:t>dministrada</w:t>
      </w:r>
      <w:r w:rsidR="002577C1">
        <w:rPr>
          <w:sz w:val="24"/>
          <w:szCs w:val="24"/>
        </w:rPr>
        <w:t xml:space="preserve"> pela RFB e </w:t>
      </w:r>
      <w:r>
        <w:rPr>
          <w:sz w:val="24"/>
          <w:szCs w:val="24"/>
        </w:rPr>
        <w:t>da</w:t>
      </w:r>
      <w:r w:rsidR="002577C1">
        <w:rPr>
          <w:sz w:val="24"/>
          <w:szCs w:val="24"/>
        </w:rPr>
        <w:t xml:space="preserve"> Arrecadação para o RGPS</w:t>
      </w:r>
      <w:r w:rsidR="00A1266A">
        <w:rPr>
          <w:sz w:val="24"/>
          <w:szCs w:val="24"/>
        </w:rPr>
        <w:t xml:space="preserve">, a contribuição dos esforços de gestão fiscal de cunho estrutural, como a instituição do </w:t>
      </w:r>
      <w:r w:rsidR="00F11FAB">
        <w:rPr>
          <w:sz w:val="24"/>
          <w:szCs w:val="24"/>
        </w:rPr>
        <w:t xml:space="preserve">Teto </w:t>
      </w:r>
      <w:r w:rsidR="00A1266A">
        <w:rPr>
          <w:sz w:val="24"/>
          <w:szCs w:val="24"/>
        </w:rPr>
        <w:t>do</w:t>
      </w:r>
      <w:r w:rsidR="00F11FAB">
        <w:rPr>
          <w:sz w:val="24"/>
          <w:szCs w:val="24"/>
        </w:rPr>
        <w:t>s</w:t>
      </w:r>
      <w:r w:rsidR="00A1266A">
        <w:rPr>
          <w:sz w:val="24"/>
          <w:szCs w:val="24"/>
        </w:rPr>
        <w:t xml:space="preserve"> </w:t>
      </w:r>
      <w:r w:rsidR="00F11FAB">
        <w:rPr>
          <w:sz w:val="24"/>
          <w:szCs w:val="24"/>
        </w:rPr>
        <w:t xml:space="preserve">Gastos </w:t>
      </w:r>
      <w:r w:rsidR="00A1266A">
        <w:rPr>
          <w:sz w:val="24"/>
          <w:szCs w:val="24"/>
        </w:rPr>
        <w:t>e o encaminhamento da Reforma da Previdência, é evidente, uma vez que há impacto direto na atividade econômica, que decorre, sobretudo, de um ganho de credibilidade na política fiscal</w:t>
      </w:r>
      <w:r w:rsidR="002577C1">
        <w:rPr>
          <w:sz w:val="24"/>
          <w:szCs w:val="24"/>
        </w:rPr>
        <w:t xml:space="preserve">, </w:t>
      </w:r>
      <w:r w:rsidR="007D64D1">
        <w:rPr>
          <w:sz w:val="24"/>
          <w:szCs w:val="24"/>
        </w:rPr>
        <w:t xml:space="preserve">o que se reflete </w:t>
      </w:r>
      <w:r w:rsidR="002577C1">
        <w:rPr>
          <w:sz w:val="24"/>
          <w:szCs w:val="24"/>
        </w:rPr>
        <w:t xml:space="preserve">positivamente, portanto, </w:t>
      </w:r>
      <w:r w:rsidR="007D64D1">
        <w:rPr>
          <w:sz w:val="24"/>
          <w:szCs w:val="24"/>
        </w:rPr>
        <w:t>n</w:t>
      </w:r>
      <w:r w:rsidR="002577C1">
        <w:rPr>
          <w:sz w:val="24"/>
          <w:szCs w:val="24"/>
        </w:rPr>
        <w:t>a arrecadação</w:t>
      </w:r>
      <w:r w:rsidR="00A1266A">
        <w:rPr>
          <w:sz w:val="24"/>
          <w:szCs w:val="24"/>
        </w:rPr>
        <w:t xml:space="preserve">. </w:t>
      </w:r>
      <w:r w:rsidR="002577C1">
        <w:rPr>
          <w:sz w:val="24"/>
          <w:szCs w:val="24"/>
        </w:rPr>
        <w:t>Porém</w:t>
      </w:r>
      <w:r w:rsidR="00656F9C" w:rsidRPr="00A34D0B">
        <w:rPr>
          <w:sz w:val="24"/>
          <w:szCs w:val="24"/>
        </w:rPr>
        <w:t xml:space="preserve">, </w:t>
      </w:r>
      <w:r w:rsidR="002577C1">
        <w:rPr>
          <w:sz w:val="24"/>
          <w:szCs w:val="24"/>
        </w:rPr>
        <w:t xml:space="preserve">também </w:t>
      </w:r>
      <w:r w:rsidR="00656F9C" w:rsidRPr="00A34D0B">
        <w:rPr>
          <w:sz w:val="24"/>
          <w:szCs w:val="24"/>
        </w:rPr>
        <w:t>vale destacar</w:t>
      </w:r>
      <w:r w:rsidR="002577C1">
        <w:rPr>
          <w:sz w:val="24"/>
          <w:szCs w:val="24"/>
        </w:rPr>
        <w:t xml:space="preserve"> iniciativas que visam incrementar temporariamente a arrecadação, como</w:t>
      </w:r>
      <w:r w:rsidR="00656F9C" w:rsidRPr="00A34D0B">
        <w:rPr>
          <w:sz w:val="24"/>
          <w:szCs w:val="24"/>
        </w:rPr>
        <w:t xml:space="preserve"> a edição do Programa de Regularização Tributária (PRT/PERT), que buscou a regularização de dívidas tributárias exigíveis, parceladas ou com exigibilidade suspensa, resultando em grande contribuição para arrecadação de vários tributos administrados pela RFB. Tal Programa alcançou uma arrecadação total</w:t>
      </w:r>
      <w:r w:rsidR="00FC66E7">
        <w:rPr>
          <w:sz w:val="24"/>
          <w:szCs w:val="24"/>
        </w:rPr>
        <w:t>,</w:t>
      </w:r>
      <w:r w:rsidR="00656F9C" w:rsidRPr="00A34D0B">
        <w:rPr>
          <w:sz w:val="24"/>
          <w:szCs w:val="24"/>
        </w:rPr>
        <w:t xml:space="preserve"> no biênio 2017 a 2018</w:t>
      </w:r>
      <w:r w:rsidR="00FC66E7">
        <w:rPr>
          <w:sz w:val="24"/>
          <w:szCs w:val="24"/>
        </w:rPr>
        <w:t>,</w:t>
      </w:r>
      <w:r w:rsidR="00656F9C" w:rsidRPr="00A34D0B">
        <w:rPr>
          <w:sz w:val="24"/>
          <w:szCs w:val="24"/>
        </w:rPr>
        <w:t xml:space="preserve"> em torno de R$ 40,0 bilhões, conforme informações da Secretaria Especial da Receita Federal</w:t>
      </w:r>
      <w:r w:rsidR="00757A55">
        <w:rPr>
          <w:sz w:val="24"/>
          <w:szCs w:val="24"/>
        </w:rPr>
        <w:t xml:space="preserve"> do Brasil</w:t>
      </w:r>
      <w:r w:rsidR="00656F9C" w:rsidRPr="00A34D0B">
        <w:rPr>
          <w:sz w:val="24"/>
          <w:szCs w:val="24"/>
        </w:rPr>
        <w:t>.</w:t>
      </w:r>
    </w:p>
    <w:p w14:paraId="69C67F9F" w14:textId="59533E2E" w:rsidR="00656F9C" w:rsidRPr="00A34D0B" w:rsidRDefault="00757A55" w:rsidP="00A34D0B">
      <w:pPr>
        <w:spacing w:before="240"/>
        <w:ind w:firstLine="709"/>
        <w:jc w:val="both"/>
        <w:rPr>
          <w:sz w:val="24"/>
          <w:szCs w:val="24"/>
        </w:rPr>
      </w:pPr>
      <w:r>
        <w:rPr>
          <w:sz w:val="24"/>
          <w:szCs w:val="24"/>
        </w:rPr>
        <w:t>Destac</w:t>
      </w:r>
      <w:r w:rsidR="00243A72">
        <w:rPr>
          <w:sz w:val="24"/>
          <w:szCs w:val="24"/>
        </w:rPr>
        <w:t>aram-se</w:t>
      </w:r>
      <w:r>
        <w:rPr>
          <w:sz w:val="24"/>
          <w:szCs w:val="24"/>
        </w:rPr>
        <w:t xml:space="preserve"> </w:t>
      </w:r>
      <w:r w:rsidR="00656F9C" w:rsidRPr="00A34D0B">
        <w:rPr>
          <w:sz w:val="24"/>
          <w:szCs w:val="24"/>
        </w:rPr>
        <w:t>em 2018</w:t>
      </w:r>
      <w:r w:rsidR="00621C36">
        <w:rPr>
          <w:sz w:val="24"/>
          <w:szCs w:val="24"/>
        </w:rPr>
        <w:t xml:space="preserve"> e 2019</w:t>
      </w:r>
      <w:r w:rsidR="00656F9C" w:rsidRPr="00A34D0B">
        <w:rPr>
          <w:sz w:val="24"/>
          <w:szCs w:val="24"/>
        </w:rPr>
        <w:t xml:space="preserve"> os leilões de concessões e permissões de serviço público</w:t>
      </w:r>
      <w:r w:rsidR="00986FF0">
        <w:rPr>
          <w:sz w:val="24"/>
          <w:szCs w:val="24"/>
        </w:rPr>
        <w:t xml:space="preserve">, </w:t>
      </w:r>
      <w:r w:rsidR="00BE2478">
        <w:rPr>
          <w:sz w:val="24"/>
          <w:szCs w:val="24"/>
        </w:rPr>
        <w:t xml:space="preserve">sendo registrado, </w:t>
      </w:r>
      <w:r w:rsidR="00986FF0">
        <w:rPr>
          <w:sz w:val="24"/>
          <w:szCs w:val="24"/>
        </w:rPr>
        <w:t xml:space="preserve">inclusive, recorde </w:t>
      </w:r>
      <w:r w:rsidR="00BE2478">
        <w:rPr>
          <w:sz w:val="24"/>
          <w:szCs w:val="24"/>
        </w:rPr>
        <w:t>de receitas relativas a tal rubrica em</w:t>
      </w:r>
      <w:r w:rsidR="00986FF0">
        <w:rPr>
          <w:sz w:val="24"/>
          <w:szCs w:val="24"/>
        </w:rPr>
        <w:t xml:space="preserve"> 2019</w:t>
      </w:r>
      <w:r w:rsidR="00BE2478">
        <w:rPr>
          <w:sz w:val="24"/>
          <w:szCs w:val="24"/>
        </w:rPr>
        <w:t xml:space="preserve">, no montante de R$ 93,28 </w:t>
      </w:r>
      <w:r w:rsidR="00753A96">
        <w:rPr>
          <w:sz w:val="24"/>
          <w:szCs w:val="24"/>
        </w:rPr>
        <w:t>bilhões</w:t>
      </w:r>
      <w:r w:rsidR="00656F9C" w:rsidRPr="00A34D0B">
        <w:rPr>
          <w:sz w:val="24"/>
          <w:szCs w:val="24"/>
        </w:rPr>
        <w:t>.</w:t>
      </w:r>
      <w:r w:rsidR="00BE2478" w:rsidRPr="00A34D0B">
        <w:rPr>
          <w:sz w:val="24"/>
          <w:szCs w:val="24"/>
        </w:rPr>
        <w:t xml:space="preserve"> Os</w:t>
      </w:r>
      <w:r w:rsidR="00986FF0">
        <w:rPr>
          <w:sz w:val="24"/>
          <w:szCs w:val="24"/>
        </w:rPr>
        <w:t xml:space="preserve"> destaques no período foram</w:t>
      </w:r>
      <w:r w:rsidR="009D3698" w:rsidRPr="009D3698">
        <w:t xml:space="preserve"> </w:t>
      </w:r>
      <w:r w:rsidR="009D3698" w:rsidRPr="009D3698">
        <w:rPr>
          <w:sz w:val="24"/>
          <w:szCs w:val="24"/>
        </w:rPr>
        <w:t>os bônus de assinatura decorrentes de conc</w:t>
      </w:r>
      <w:r w:rsidR="000F3807">
        <w:rPr>
          <w:sz w:val="24"/>
          <w:szCs w:val="24"/>
        </w:rPr>
        <w:t>essões de petróleo, em especial</w:t>
      </w:r>
      <w:r w:rsidR="009D3698" w:rsidRPr="009D3698">
        <w:rPr>
          <w:sz w:val="24"/>
          <w:szCs w:val="24"/>
        </w:rPr>
        <w:t xml:space="preserve"> a realização do leilão do excedente da Cessão Onerosa, realizado em 06 de novembro de 2019</w:t>
      </w:r>
      <w:r w:rsidR="00656F9C" w:rsidRPr="00A34D0B">
        <w:rPr>
          <w:sz w:val="24"/>
          <w:szCs w:val="24"/>
        </w:rPr>
        <w:t>.</w:t>
      </w:r>
      <w:r w:rsidR="009D3698">
        <w:rPr>
          <w:sz w:val="24"/>
          <w:szCs w:val="24"/>
        </w:rPr>
        <w:t xml:space="preserve"> </w:t>
      </w:r>
      <w:r w:rsidR="00986FF0">
        <w:rPr>
          <w:sz w:val="24"/>
          <w:szCs w:val="24"/>
        </w:rPr>
        <w:t>Já para 2020, prevê-se uma receita advinda de permissões e concessões mais modesta, de R$ 4,72 bilhões</w:t>
      </w:r>
      <w:r w:rsidR="00CD5907">
        <w:rPr>
          <w:sz w:val="24"/>
          <w:szCs w:val="24"/>
        </w:rPr>
        <w:t>, o que se verifica também para o período de 2021 a 2023, porém, apresentando uma tendência de crescimento</w:t>
      </w:r>
      <w:r w:rsidR="00986FF0">
        <w:rPr>
          <w:sz w:val="24"/>
          <w:szCs w:val="24"/>
        </w:rPr>
        <w:t>.</w:t>
      </w:r>
      <w:r w:rsidR="002577C1">
        <w:rPr>
          <w:sz w:val="24"/>
          <w:szCs w:val="24"/>
        </w:rPr>
        <w:t xml:space="preserve"> Os valores mais modestos previstos para os anos subsequentes se justificam, sobretudo, pelo volume significativo de concessões realizadas até 2019</w:t>
      </w:r>
      <w:r w:rsidR="003D0254">
        <w:rPr>
          <w:sz w:val="24"/>
          <w:szCs w:val="24"/>
        </w:rPr>
        <w:t>, período em que os ativos mais relevantes foram concedidos</w:t>
      </w:r>
      <w:r w:rsidR="002577C1">
        <w:rPr>
          <w:sz w:val="24"/>
          <w:szCs w:val="24"/>
        </w:rPr>
        <w:t>.</w:t>
      </w:r>
      <w:r w:rsidR="00CD5907">
        <w:rPr>
          <w:sz w:val="24"/>
          <w:szCs w:val="24"/>
        </w:rPr>
        <w:t xml:space="preserve"> Para 2021, as principais concessões previstas são</w:t>
      </w:r>
      <w:r w:rsidR="009D3698">
        <w:rPr>
          <w:sz w:val="24"/>
          <w:szCs w:val="24"/>
        </w:rPr>
        <w:t xml:space="preserve"> as aeroportuárias</w:t>
      </w:r>
      <w:r w:rsidR="00CD5907">
        <w:rPr>
          <w:sz w:val="24"/>
          <w:szCs w:val="24"/>
        </w:rPr>
        <w:t>.</w:t>
      </w:r>
    </w:p>
    <w:p w14:paraId="7F1AF769" w14:textId="6D22718E" w:rsidR="00656F9C" w:rsidRPr="00373A73" w:rsidRDefault="00656F9C" w:rsidP="00A34D0B">
      <w:pPr>
        <w:spacing w:before="240"/>
        <w:ind w:firstLine="709"/>
        <w:jc w:val="both"/>
        <w:rPr>
          <w:i/>
          <w:sz w:val="24"/>
          <w:szCs w:val="24"/>
        </w:rPr>
      </w:pPr>
      <w:r w:rsidRPr="00A34D0B">
        <w:rPr>
          <w:sz w:val="24"/>
          <w:szCs w:val="24"/>
        </w:rPr>
        <w:t xml:space="preserve">Outra arrecadação que obteve desempenho marcante </w:t>
      </w:r>
      <w:r w:rsidR="00CD5907">
        <w:rPr>
          <w:sz w:val="24"/>
          <w:szCs w:val="24"/>
        </w:rPr>
        <w:t>no período de</w:t>
      </w:r>
      <w:r w:rsidR="00CD5907" w:rsidRPr="00A34D0B">
        <w:rPr>
          <w:sz w:val="24"/>
          <w:szCs w:val="24"/>
        </w:rPr>
        <w:t xml:space="preserve"> </w:t>
      </w:r>
      <w:r w:rsidRPr="00A34D0B">
        <w:rPr>
          <w:sz w:val="24"/>
          <w:szCs w:val="24"/>
        </w:rPr>
        <w:t>2018</w:t>
      </w:r>
      <w:r w:rsidR="00CD5907">
        <w:rPr>
          <w:sz w:val="24"/>
          <w:szCs w:val="24"/>
        </w:rPr>
        <w:t xml:space="preserve"> e 2019</w:t>
      </w:r>
      <w:r w:rsidRPr="00A34D0B">
        <w:rPr>
          <w:sz w:val="24"/>
          <w:szCs w:val="24"/>
        </w:rPr>
        <w:t xml:space="preserve"> foi com a exploração de recursos naturais, notadamente</w:t>
      </w:r>
      <w:r w:rsidR="000B12D4">
        <w:rPr>
          <w:sz w:val="24"/>
          <w:szCs w:val="24"/>
        </w:rPr>
        <w:t xml:space="preserve"> com</w:t>
      </w:r>
      <w:r w:rsidRPr="00A34D0B">
        <w:rPr>
          <w:sz w:val="24"/>
          <w:szCs w:val="24"/>
        </w:rPr>
        <w:t xml:space="preserve"> os </w:t>
      </w:r>
      <w:r w:rsidRPr="005A2E56">
        <w:rPr>
          <w:i/>
          <w:sz w:val="24"/>
        </w:rPr>
        <w:t>royalties</w:t>
      </w:r>
      <w:r w:rsidRPr="00A34D0B">
        <w:rPr>
          <w:sz w:val="24"/>
          <w:szCs w:val="24"/>
        </w:rPr>
        <w:t xml:space="preserve"> e </w:t>
      </w:r>
      <w:r w:rsidR="000B12D4">
        <w:rPr>
          <w:sz w:val="24"/>
          <w:szCs w:val="24"/>
        </w:rPr>
        <w:t xml:space="preserve">a </w:t>
      </w:r>
      <w:r w:rsidRPr="00A34D0B">
        <w:rPr>
          <w:sz w:val="24"/>
          <w:szCs w:val="24"/>
        </w:rPr>
        <w:t xml:space="preserve">participação especial na exploração de petróleo e gás natural. </w:t>
      </w:r>
      <w:r w:rsidR="00CD5907">
        <w:rPr>
          <w:sz w:val="24"/>
          <w:szCs w:val="24"/>
        </w:rPr>
        <w:t xml:space="preserve">Destaca-se </w:t>
      </w:r>
      <w:r w:rsidRPr="00A34D0B">
        <w:rPr>
          <w:sz w:val="24"/>
          <w:szCs w:val="24"/>
        </w:rPr>
        <w:t>o</w:t>
      </w:r>
      <w:r w:rsidR="00757A55">
        <w:rPr>
          <w:sz w:val="24"/>
          <w:szCs w:val="24"/>
        </w:rPr>
        <w:t xml:space="preserve"> aumento</w:t>
      </w:r>
      <w:r w:rsidRPr="00A34D0B">
        <w:rPr>
          <w:sz w:val="24"/>
          <w:szCs w:val="24"/>
        </w:rPr>
        <w:t xml:space="preserve"> expressivo </w:t>
      </w:r>
      <w:r w:rsidR="00243A72">
        <w:rPr>
          <w:sz w:val="24"/>
          <w:szCs w:val="24"/>
        </w:rPr>
        <w:t xml:space="preserve">do </w:t>
      </w:r>
      <w:r w:rsidRPr="00A34D0B">
        <w:rPr>
          <w:sz w:val="24"/>
          <w:szCs w:val="24"/>
        </w:rPr>
        <w:t xml:space="preserve">preço do barril de petróleo </w:t>
      </w:r>
      <w:r w:rsidR="00757A55">
        <w:rPr>
          <w:sz w:val="24"/>
          <w:szCs w:val="24"/>
        </w:rPr>
        <w:t>Brent</w:t>
      </w:r>
      <w:r w:rsidRPr="00A34D0B">
        <w:rPr>
          <w:sz w:val="24"/>
          <w:szCs w:val="24"/>
        </w:rPr>
        <w:t xml:space="preserve"> verificado no mercado internacional, com uma cotação média de</w:t>
      </w:r>
      <w:r w:rsidR="00CD5907">
        <w:rPr>
          <w:sz w:val="24"/>
          <w:szCs w:val="24"/>
        </w:rPr>
        <w:t>, respectivamente,</w:t>
      </w:r>
      <w:r w:rsidRPr="00A34D0B">
        <w:rPr>
          <w:sz w:val="24"/>
          <w:szCs w:val="24"/>
        </w:rPr>
        <w:t xml:space="preserve"> US$ 70 </w:t>
      </w:r>
      <w:r w:rsidR="009957F4">
        <w:rPr>
          <w:sz w:val="24"/>
          <w:szCs w:val="24"/>
        </w:rPr>
        <w:t>e US$ 64/</w:t>
      </w:r>
      <w:r w:rsidRPr="00A34D0B">
        <w:rPr>
          <w:sz w:val="24"/>
          <w:szCs w:val="24"/>
        </w:rPr>
        <w:t xml:space="preserve"> barril.</w:t>
      </w:r>
      <w:r w:rsidR="00753A96">
        <w:rPr>
          <w:sz w:val="24"/>
          <w:szCs w:val="24"/>
        </w:rPr>
        <w:t xml:space="preserve"> </w:t>
      </w:r>
      <w:r w:rsidR="00757A55">
        <w:rPr>
          <w:sz w:val="24"/>
          <w:szCs w:val="24"/>
        </w:rPr>
        <w:t>Todavia, d</w:t>
      </w:r>
      <w:r w:rsidR="00753A96">
        <w:rPr>
          <w:sz w:val="24"/>
          <w:szCs w:val="24"/>
        </w:rPr>
        <w:t xml:space="preserve">iante </w:t>
      </w:r>
      <w:r w:rsidR="00753A96">
        <w:rPr>
          <w:sz w:val="24"/>
          <w:szCs w:val="24"/>
        </w:rPr>
        <w:lastRenderedPageBreak/>
        <w:t>da deterioração atual do cenário econômico global, projeta</w:t>
      </w:r>
      <w:r w:rsidR="00846989">
        <w:rPr>
          <w:sz w:val="24"/>
          <w:szCs w:val="24"/>
        </w:rPr>
        <w:t xml:space="preserve">-se uma cotação média menos favorável em 2020, de US$ 41,8/barril, </w:t>
      </w:r>
      <w:r w:rsidR="009957F4">
        <w:rPr>
          <w:sz w:val="24"/>
          <w:szCs w:val="24"/>
        </w:rPr>
        <w:t>com uma recuperação gradual par</w:t>
      </w:r>
      <w:r w:rsidR="00846989">
        <w:rPr>
          <w:sz w:val="24"/>
          <w:szCs w:val="24"/>
        </w:rPr>
        <w:t>a</w:t>
      </w:r>
      <w:r w:rsidR="009957F4">
        <w:rPr>
          <w:sz w:val="24"/>
          <w:szCs w:val="24"/>
        </w:rPr>
        <w:t xml:space="preserve"> </w:t>
      </w:r>
      <w:r w:rsidR="00846989">
        <w:rPr>
          <w:sz w:val="24"/>
          <w:szCs w:val="24"/>
        </w:rPr>
        <w:t>o período de 2021 a 2023, o que contribui para uma projeção de receita relativa à exploração de recursos naturais</w:t>
      </w:r>
      <w:r w:rsidR="003D0254">
        <w:rPr>
          <w:sz w:val="24"/>
          <w:szCs w:val="24"/>
        </w:rPr>
        <w:t>, em média, de cerca de 15%</w:t>
      </w:r>
      <w:r w:rsidR="00846989">
        <w:rPr>
          <w:sz w:val="24"/>
          <w:szCs w:val="24"/>
        </w:rPr>
        <w:t xml:space="preserve"> abaixo do patamar observado em 2019.</w:t>
      </w:r>
    </w:p>
    <w:p w14:paraId="35444B27" w14:textId="03D87F79" w:rsidR="00656F9C" w:rsidRPr="00A34D0B" w:rsidRDefault="003D0254" w:rsidP="00A34D0B">
      <w:pPr>
        <w:spacing w:before="240"/>
        <w:ind w:firstLine="709"/>
        <w:jc w:val="both"/>
        <w:rPr>
          <w:sz w:val="24"/>
          <w:szCs w:val="24"/>
        </w:rPr>
      </w:pPr>
      <w:r>
        <w:rPr>
          <w:sz w:val="24"/>
          <w:szCs w:val="24"/>
        </w:rPr>
        <w:t>Tendo em vista o contexto adverso, em que a busca pelo incremento de receitas tributárias resultaria em efeito recessivo, prejudicando, portanto, a recuperação econômica no curto e médio prazo, é premente avançar na agenda de reformas estruturais</w:t>
      </w:r>
      <w:r w:rsidR="0030220D">
        <w:rPr>
          <w:sz w:val="24"/>
          <w:szCs w:val="24"/>
        </w:rPr>
        <w:t>, conforme já citado,</w:t>
      </w:r>
      <w:r>
        <w:rPr>
          <w:sz w:val="24"/>
          <w:szCs w:val="24"/>
        </w:rPr>
        <w:t xml:space="preserve"> com vistas a possibilitar</w:t>
      </w:r>
      <w:r w:rsidR="0030220D">
        <w:rPr>
          <w:sz w:val="24"/>
          <w:szCs w:val="24"/>
        </w:rPr>
        <w:t xml:space="preserve"> que a recuperação econômica se dê em bases mais sólidas e que haja ganhos de receita maiores que os previstos para o período de 2021 a 2023.</w:t>
      </w:r>
    </w:p>
    <w:p w14:paraId="007942DE" w14:textId="5D6B3DA2" w:rsidR="00D718FC" w:rsidRDefault="00591499" w:rsidP="00302272">
      <w:pPr>
        <w:spacing w:before="240"/>
        <w:ind w:firstLine="709"/>
        <w:jc w:val="both"/>
        <w:rPr>
          <w:sz w:val="24"/>
          <w:szCs w:val="24"/>
        </w:rPr>
      </w:pPr>
      <w:r w:rsidRPr="00591499">
        <w:rPr>
          <w:sz w:val="24"/>
          <w:szCs w:val="24"/>
        </w:rPr>
        <w:t xml:space="preserve"> </w:t>
      </w:r>
      <w:r>
        <w:rPr>
          <w:sz w:val="24"/>
          <w:szCs w:val="24"/>
        </w:rPr>
        <w:t>No que tange à despesa, em que pese os esforços e medidas adotadas nos últimos anos, verificou-se, no</w:t>
      </w:r>
      <w:r w:rsidR="00B00EAB">
        <w:rPr>
          <w:sz w:val="24"/>
          <w:szCs w:val="24"/>
        </w:rPr>
        <w:t xml:space="preserve"> biênio </w:t>
      </w:r>
      <w:r>
        <w:rPr>
          <w:sz w:val="24"/>
          <w:szCs w:val="24"/>
        </w:rPr>
        <w:t xml:space="preserve">2018 e 2019, um crescimento nominal e relativo, </w:t>
      </w:r>
      <w:r w:rsidR="00B00EAB">
        <w:rPr>
          <w:sz w:val="24"/>
          <w:szCs w:val="24"/>
        </w:rPr>
        <w:t>alcançando 19,87</w:t>
      </w:r>
      <w:r>
        <w:rPr>
          <w:sz w:val="24"/>
          <w:szCs w:val="24"/>
        </w:rPr>
        <w:t>% do PIB em 201</w:t>
      </w:r>
      <w:r w:rsidR="00B00EAB">
        <w:rPr>
          <w:sz w:val="24"/>
          <w:szCs w:val="24"/>
        </w:rPr>
        <w:t>9</w:t>
      </w:r>
      <w:r>
        <w:rPr>
          <w:sz w:val="24"/>
          <w:szCs w:val="24"/>
        </w:rPr>
        <w:t xml:space="preserve">, o que decorre do crescimento das despesas obrigatórias, sobretudo, aquelas relacionadas ao pagamento de benefícios previdenciários no âmbito do RGPS, cuja relevância, dentre as despesas primárias, é a maior. A despesa com pessoal e encargos sociais, segunda mais representativa, </w:t>
      </w:r>
      <w:r w:rsidR="00B00EAB">
        <w:rPr>
          <w:sz w:val="24"/>
          <w:szCs w:val="24"/>
        </w:rPr>
        <w:t>apresenta queda no mesmo período</w:t>
      </w:r>
      <w:r w:rsidR="00603DB6">
        <w:rPr>
          <w:sz w:val="24"/>
          <w:szCs w:val="24"/>
        </w:rPr>
        <w:t xml:space="preserve"> em termos percentuais do PIB</w:t>
      </w:r>
      <w:r w:rsidR="00D718FC">
        <w:rPr>
          <w:sz w:val="24"/>
          <w:szCs w:val="24"/>
        </w:rPr>
        <w:t xml:space="preserve">. </w:t>
      </w:r>
    </w:p>
    <w:p w14:paraId="2657126A" w14:textId="1889D082" w:rsidR="0070154C" w:rsidRDefault="00757A55" w:rsidP="00302272">
      <w:pPr>
        <w:spacing w:before="240"/>
        <w:ind w:firstLine="709"/>
        <w:jc w:val="both"/>
        <w:rPr>
          <w:sz w:val="24"/>
          <w:szCs w:val="24"/>
        </w:rPr>
      </w:pPr>
      <w:r>
        <w:rPr>
          <w:sz w:val="24"/>
          <w:szCs w:val="24"/>
        </w:rPr>
        <w:t xml:space="preserve">Em relação ao ano de </w:t>
      </w:r>
      <w:r w:rsidR="00F0520B">
        <w:rPr>
          <w:sz w:val="24"/>
          <w:szCs w:val="24"/>
        </w:rPr>
        <w:t xml:space="preserve">2020, o Relatório de Avaliação de Receitas e Despesas Primárias referente ao 1º bimestre aponta para uma queda da despesa primária total </w:t>
      </w:r>
      <w:r w:rsidR="00B00EAB">
        <w:rPr>
          <w:sz w:val="24"/>
          <w:szCs w:val="24"/>
        </w:rPr>
        <w:t>para 19,66%</w:t>
      </w:r>
      <w:r w:rsidR="00D718FC">
        <w:rPr>
          <w:sz w:val="24"/>
          <w:szCs w:val="24"/>
        </w:rPr>
        <w:t xml:space="preserve"> </w:t>
      </w:r>
      <w:r w:rsidR="00B00EAB">
        <w:rPr>
          <w:sz w:val="24"/>
          <w:szCs w:val="24"/>
        </w:rPr>
        <w:t>do PIB</w:t>
      </w:r>
      <w:r w:rsidR="00D718FC">
        <w:rPr>
          <w:sz w:val="24"/>
          <w:szCs w:val="24"/>
        </w:rPr>
        <w:t>.</w:t>
      </w:r>
      <w:r w:rsidR="00162C4F">
        <w:rPr>
          <w:sz w:val="24"/>
          <w:szCs w:val="24"/>
        </w:rPr>
        <w:t xml:space="preserve"> </w:t>
      </w:r>
      <w:r w:rsidR="00B00EAB">
        <w:rPr>
          <w:sz w:val="24"/>
          <w:szCs w:val="24"/>
        </w:rPr>
        <w:t>Tal movimen</w:t>
      </w:r>
      <w:r w:rsidR="0070154C">
        <w:rPr>
          <w:sz w:val="24"/>
          <w:szCs w:val="24"/>
        </w:rPr>
        <w:t xml:space="preserve">to seria justificado pela queda das despesas discricionárias, sobretudo, daquelas </w:t>
      </w:r>
      <w:r>
        <w:rPr>
          <w:sz w:val="24"/>
          <w:szCs w:val="24"/>
        </w:rPr>
        <w:t xml:space="preserve">despesas </w:t>
      </w:r>
      <w:r w:rsidR="0070154C">
        <w:rPr>
          <w:sz w:val="24"/>
          <w:szCs w:val="24"/>
        </w:rPr>
        <w:t>relacionadas a</w:t>
      </w:r>
      <w:r>
        <w:rPr>
          <w:sz w:val="24"/>
          <w:szCs w:val="24"/>
        </w:rPr>
        <w:t>o</w:t>
      </w:r>
      <w:r w:rsidR="0070154C">
        <w:rPr>
          <w:sz w:val="24"/>
          <w:szCs w:val="24"/>
        </w:rPr>
        <w:t xml:space="preserve"> aporte de capital a </w:t>
      </w:r>
      <w:r>
        <w:rPr>
          <w:sz w:val="24"/>
          <w:szCs w:val="24"/>
        </w:rPr>
        <w:t xml:space="preserve">empresas </w:t>
      </w:r>
      <w:r w:rsidR="0070154C">
        <w:rPr>
          <w:sz w:val="24"/>
          <w:szCs w:val="24"/>
        </w:rPr>
        <w:t>estatais não dependentes, uma vez que, com exceção da despesa com pessoal e encargos sociais, que se ma</w:t>
      </w:r>
      <w:r>
        <w:rPr>
          <w:sz w:val="24"/>
          <w:szCs w:val="24"/>
        </w:rPr>
        <w:t>n</w:t>
      </w:r>
      <w:r w:rsidR="0070154C">
        <w:rPr>
          <w:sz w:val="24"/>
          <w:szCs w:val="24"/>
        </w:rPr>
        <w:t>t</w:t>
      </w:r>
      <w:r w:rsidR="00FB4349">
        <w:rPr>
          <w:sz w:val="24"/>
          <w:szCs w:val="24"/>
        </w:rPr>
        <w:t>é</w:t>
      </w:r>
      <w:r w:rsidR="0070154C">
        <w:rPr>
          <w:sz w:val="24"/>
          <w:szCs w:val="24"/>
        </w:rPr>
        <w:t xml:space="preserve">m estável em relação ao PIB, os demais agregados de despesa obrigatória continuam apresentando </w:t>
      </w:r>
      <w:r>
        <w:rPr>
          <w:sz w:val="24"/>
          <w:szCs w:val="24"/>
        </w:rPr>
        <w:t xml:space="preserve">trajetória de </w:t>
      </w:r>
      <w:r w:rsidR="0070154C">
        <w:rPr>
          <w:sz w:val="24"/>
          <w:szCs w:val="24"/>
        </w:rPr>
        <w:t>crescimento.</w:t>
      </w:r>
      <w:r w:rsidR="002959C8">
        <w:rPr>
          <w:sz w:val="24"/>
          <w:szCs w:val="24"/>
        </w:rPr>
        <w:t xml:space="preserve"> Cabe observar que, apesar da Reforma da Previdência ter sido aprovada em 2019, seu efeito direto sobre a despesa previdenciária se d</w:t>
      </w:r>
      <w:r w:rsidR="00603DB6">
        <w:rPr>
          <w:sz w:val="24"/>
          <w:szCs w:val="24"/>
        </w:rPr>
        <w:t>ará</w:t>
      </w:r>
      <w:r w:rsidR="002959C8">
        <w:rPr>
          <w:sz w:val="24"/>
          <w:szCs w:val="24"/>
        </w:rPr>
        <w:t xml:space="preserve"> de forma diluída </w:t>
      </w:r>
      <w:r>
        <w:rPr>
          <w:sz w:val="24"/>
          <w:szCs w:val="24"/>
        </w:rPr>
        <w:t xml:space="preserve">ao longo do </w:t>
      </w:r>
      <w:r w:rsidR="002959C8">
        <w:rPr>
          <w:sz w:val="24"/>
          <w:szCs w:val="24"/>
        </w:rPr>
        <w:t xml:space="preserve">tempo, não sendo significativo no curto prazo. Porém, conforme já destacado, a sua aprovação foi positiva para ancorar </w:t>
      </w:r>
      <w:r>
        <w:rPr>
          <w:sz w:val="24"/>
          <w:szCs w:val="24"/>
        </w:rPr>
        <w:t xml:space="preserve">as </w:t>
      </w:r>
      <w:r w:rsidR="002959C8">
        <w:rPr>
          <w:sz w:val="24"/>
          <w:szCs w:val="24"/>
        </w:rPr>
        <w:t>expectativas e reforçar a credibilidade da política fiscal, tendo impacto indireto positivo para a situação fiscal.</w:t>
      </w:r>
    </w:p>
    <w:p w14:paraId="30D427AC" w14:textId="407AF60B" w:rsidR="000F3523" w:rsidRDefault="000F3523" w:rsidP="00302272">
      <w:pPr>
        <w:spacing w:before="240"/>
        <w:ind w:firstLine="709"/>
        <w:jc w:val="both"/>
        <w:rPr>
          <w:sz w:val="24"/>
          <w:szCs w:val="24"/>
        </w:rPr>
      </w:pPr>
      <w:r>
        <w:rPr>
          <w:sz w:val="24"/>
          <w:szCs w:val="24"/>
        </w:rPr>
        <w:t>Ainda sobre 2020, cabe destacar que as projeções constantes do Relatório de Avaliação de Receitas e Despesas Primárias</w:t>
      </w:r>
      <w:r w:rsidR="008E49CB">
        <w:rPr>
          <w:sz w:val="24"/>
          <w:szCs w:val="24"/>
        </w:rPr>
        <w:t xml:space="preserve"> não incorpora</w:t>
      </w:r>
      <w:r w:rsidR="00603DB6">
        <w:rPr>
          <w:sz w:val="24"/>
          <w:szCs w:val="24"/>
        </w:rPr>
        <w:t>ram</w:t>
      </w:r>
      <w:r w:rsidR="008E49CB">
        <w:rPr>
          <w:sz w:val="24"/>
          <w:szCs w:val="24"/>
        </w:rPr>
        <w:t xml:space="preserve"> o impacto de medidas adotadas pelo Governo Federal ao fim do mês de março com vistas ao enfrentamento das causas e efeitos da pandemia relacionada ao Covid-19. </w:t>
      </w:r>
      <w:r w:rsidR="00603DB6">
        <w:rPr>
          <w:sz w:val="24"/>
          <w:szCs w:val="24"/>
        </w:rPr>
        <w:t xml:space="preserve">Uma vez que o cenário se deteriorou muito rapidamente, não havendo tempo hábil para tanto, </w:t>
      </w:r>
      <w:r w:rsidR="002B2A0D">
        <w:rPr>
          <w:sz w:val="24"/>
          <w:szCs w:val="24"/>
        </w:rPr>
        <w:t xml:space="preserve">e </w:t>
      </w:r>
      <w:r w:rsidR="00603DB6">
        <w:rPr>
          <w:sz w:val="24"/>
          <w:szCs w:val="24"/>
        </w:rPr>
        <w:t xml:space="preserve">considerando que esse relatório possui prazo legal para ser publicado, </w:t>
      </w:r>
      <w:r w:rsidR="002B2A0D">
        <w:rPr>
          <w:sz w:val="24"/>
          <w:szCs w:val="24"/>
        </w:rPr>
        <w:t xml:space="preserve">até o </w:t>
      </w:r>
      <w:r w:rsidR="00603DB6">
        <w:rPr>
          <w:sz w:val="24"/>
          <w:szCs w:val="24"/>
        </w:rPr>
        <w:t xml:space="preserve">22º dia após o encerramento de cada bimestre. </w:t>
      </w:r>
      <w:r w:rsidR="008E49CB">
        <w:rPr>
          <w:sz w:val="24"/>
          <w:szCs w:val="24"/>
        </w:rPr>
        <w:t xml:space="preserve">Entre tais medidas, destaca-se a edição de créditos extraordinários no montante de R$ </w:t>
      </w:r>
      <w:r w:rsidR="001916B9">
        <w:rPr>
          <w:sz w:val="24"/>
          <w:szCs w:val="24"/>
        </w:rPr>
        <w:t>223</w:t>
      </w:r>
      <w:r w:rsidR="008E49CB">
        <w:rPr>
          <w:sz w:val="24"/>
          <w:szCs w:val="24"/>
        </w:rPr>
        <w:t>,</w:t>
      </w:r>
      <w:r w:rsidR="001916B9">
        <w:rPr>
          <w:sz w:val="24"/>
          <w:szCs w:val="24"/>
        </w:rPr>
        <w:t>1</w:t>
      </w:r>
      <w:r w:rsidR="008E49CB">
        <w:rPr>
          <w:sz w:val="24"/>
          <w:szCs w:val="24"/>
        </w:rPr>
        <w:t xml:space="preserve">3 bilhões (posição do dia </w:t>
      </w:r>
      <w:r w:rsidR="001916B9">
        <w:rPr>
          <w:sz w:val="24"/>
          <w:szCs w:val="24"/>
        </w:rPr>
        <w:t xml:space="preserve">07 </w:t>
      </w:r>
      <w:r w:rsidR="008E49CB">
        <w:rPr>
          <w:sz w:val="24"/>
          <w:szCs w:val="24"/>
        </w:rPr>
        <w:t>de abril),</w:t>
      </w:r>
      <w:r w:rsidR="00C97579">
        <w:rPr>
          <w:sz w:val="24"/>
          <w:szCs w:val="24"/>
        </w:rPr>
        <w:t xml:space="preserve"> fazendo com que a despesa primária total </w:t>
      </w:r>
      <w:r w:rsidR="0027095F">
        <w:rPr>
          <w:sz w:val="24"/>
          <w:szCs w:val="24"/>
        </w:rPr>
        <w:t xml:space="preserve">estimada para 2020 </w:t>
      </w:r>
      <w:r w:rsidR="00C97579">
        <w:rPr>
          <w:sz w:val="24"/>
          <w:szCs w:val="24"/>
        </w:rPr>
        <w:t>alcance 22,</w:t>
      </w:r>
      <w:r w:rsidR="001916B9">
        <w:rPr>
          <w:sz w:val="24"/>
          <w:szCs w:val="24"/>
        </w:rPr>
        <w:t>48</w:t>
      </w:r>
      <w:r w:rsidR="00C97579">
        <w:rPr>
          <w:sz w:val="24"/>
          <w:szCs w:val="24"/>
        </w:rPr>
        <w:t>% do PIB</w:t>
      </w:r>
      <w:r w:rsidR="007A13C0">
        <w:rPr>
          <w:sz w:val="24"/>
          <w:szCs w:val="24"/>
        </w:rPr>
        <w:t>. Repisa-se que a declaração do estado de calamidade pública permite a não observância da meta de resultado primário estabelecida na LDO-2020.</w:t>
      </w:r>
    </w:p>
    <w:p w14:paraId="1FA48B8D" w14:textId="1AA22850" w:rsidR="007A13C0" w:rsidRPr="00A34D0B" w:rsidRDefault="007A13C0" w:rsidP="00302272">
      <w:pPr>
        <w:spacing w:before="240"/>
        <w:ind w:firstLine="709"/>
        <w:jc w:val="both"/>
        <w:rPr>
          <w:sz w:val="24"/>
          <w:szCs w:val="24"/>
        </w:rPr>
      </w:pPr>
      <w:r>
        <w:rPr>
          <w:sz w:val="24"/>
          <w:szCs w:val="24"/>
        </w:rPr>
        <w:lastRenderedPageBreak/>
        <w:t xml:space="preserve">A revisão do cenário fiscal com base nos parâmetros constantes da </w:t>
      </w:r>
      <w:r w:rsidR="00757A55">
        <w:rPr>
          <w:sz w:val="24"/>
          <w:szCs w:val="24"/>
        </w:rPr>
        <w:t xml:space="preserve">Tabela </w:t>
      </w:r>
      <w:r>
        <w:rPr>
          <w:sz w:val="24"/>
          <w:szCs w:val="24"/>
        </w:rPr>
        <w:t xml:space="preserve">1 deste anexo e no impacto de créditos extraordinários referidos no parágrafo anterior permite projetar um déficit primário de R$ </w:t>
      </w:r>
      <w:r w:rsidR="001916B9">
        <w:rPr>
          <w:sz w:val="24"/>
          <w:szCs w:val="24"/>
        </w:rPr>
        <w:t>403</w:t>
      </w:r>
      <w:r>
        <w:rPr>
          <w:sz w:val="24"/>
          <w:szCs w:val="24"/>
        </w:rPr>
        <w:t>,</w:t>
      </w:r>
      <w:r w:rsidR="001916B9">
        <w:rPr>
          <w:sz w:val="24"/>
          <w:szCs w:val="24"/>
        </w:rPr>
        <w:t xml:space="preserve">93 </w:t>
      </w:r>
      <w:r>
        <w:rPr>
          <w:sz w:val="24"/>
          <w:szCs w:val="24"/>
        </w:rPr>
        <w:t>bilhões</w:t>
      </w:r>
      <w:r w:rsidR="00812097">
        <w:rPr>
          <w:sz w:val="24"/>
          <w:szCs w:val="24"/>
        </w:rPr>
        <w:t>, que representa 5,</w:t>
      </w:r>
      <w:r w:rsidR="00EA5DA6">
        <w:rPr>
          <w:sz w:val="24"/>
          <w:szCs w:val="24"/>
        </w:rPr>
        <w:t>35</w:t>
      </w:r>
      <w:r w:rsidR="00812097">
        <w:rPr>
          <w:sz w:val="24"/>
          <w:szCs w:val="24"/>
        </w:rPr>
        <w:t xml:space="preserve">% do PIB, o maior da série histórica. </w:t>
      </w:r>
    </w:p>
    <w:p w14:paraId="0354839C" w14:textId="41B388F0" w:rsidR="00A053DD" w:rsidRDefault="00C97579" w:rsidP="00373A73">
      <w:pPr>
        <w:tabs>
          <w:tab w:val="left" w:pos="709"/>
        </w:tabs>
        <w:spacing w:before="240"/>
        <w:ind w:firstLine="709"/>
        <w:jc w:val="both"/>
        <w:rPr>
          <w:sz w:val="24"/>
          <w:szCs w:val="24"/>
        </w:rPr>
      </w:pPr>
      <w:r>
        <w:rPr>
          <w:sz w:val="24"/>
          <w:szCs w:val="24"/>
        </w:rPr>
        <w:t xml:space="preserve">Dada a situação excepcional verificada em 2020, espera-se que a despesa primária total </w:t>
      </w:r>
      <w:r w:rsidR="00C55AB7">
        <w:rPr>
          <w:sz w:val="24"/>
          <w:szCs w:val="24"/>
        </w:rPr>
        <w:t xml:space="preserve">em proporção do PIB </w:t>
      </w:r>
      <w:r>
        <w:rPr>
          <w:sz w:val="24"/>
          <w:szCs w:val="24"/>
        </w:rPr>
        <w:t>retome tendência declinante a partir de 2021,</w:t>
      </w:r>
      <w:r w:rsidR="00C55AB7">
        <w:rPr>
          <w:sz w:val="24"/>
          <w:szCs w:val="24"/>
        </w:rPr>
        <w:t xml:space="preserve"> </w:t>
      </w:r>
      <w:r w:rsidR="00A053DD">
        <w:rPr>
          <w:sz w:val="24"/>
          <w:szCs w:val="24"/>
        </w:rPr>
        <w:t xml:space="preserve">prevista em </w:t>
      </w:r>
      <w:r w:rsidR="00C55AB7">
        <w:rPr>
          <w:sz w:val="24"/>
          <w:szCs w:val="24"/>
        </w:rPr>
        <w:t>18,77% do PIB</w:t>
      </w:r>
      <w:r w:rsidR="00A053DD">
        <w:rPr>
          <w:sz w:val="24"/>
          <w:szCs w:val="24"/>
        </w:rPr>
        <w:t xml:space="preserve"> para tal ano</w:t>
      </w:r>
      <w:r w:rsidR="00C55AB7">
        <w:rPr>
          <w:sz w:val="24"/>
          <w:szCs w:val="24"/>
        </w:rPr>
        <w:t xml:space="preserve">. Para 2023, projeta-se uma queda para 17,81% do PIB, o que reflete a limitação para crescimento da despesa primária imposta pelo </w:t>
      </w:r>
      <w:r w:rsidR="00757A55">
        <w:rPr>
          <w:sz w:val="24"/>
          <w:szCs w:val="24"/>
        </w:rPr>
        <w:t>t</w:t>
      </w:r>
      <w:r w:rsidR="00C55AB7">
        <w:rPr>
          <w:sz w:val="24"/>
          <w:szCs w:val="24"/>
        </w:rPr>
        <w:t>eto do</w:t>
      </w:r>
      <w:r w:rsidR="00603DB6">
        <w:rPr>
          <w:sz w:val="24"/>
          <w:szCs w:val="24"/>
        </w:rPr>
        <w:t>s</w:t>
      </w:r>
      <w:r w:rsidR="00C55AB7">
        <w:rPr>
          <w:sz w:val="24"/>
          <w:szCs w:val="24"/>
        </w:rPr>
        <w:t xml:space="preserve"> </w:t>
      </w:r>
      <w:r w:rsidR="00757A55">
        <w:rPr>
          <w:sz w:val="24"/>
          <w:szCs w:val="24"/>
        </w:rPr>
        <w:t>g</w:t>
      </w:r>
      <w:r w:rsidR="00C55AB7">
        <w:rPr>
          <w:sz w:val="24"/>
          <w:szCs w:val="24"/>
        </w:rPr>
        <w:t>asto</w:t>
      </w:r>
      <w:r w:rsidR="00603DB6">
        <w:rPr>
          <w:sz w:val="24"/>
          <w:szCs w:val="24"/>
        </w:rPr>
        <w:t>s</w:t>
      </w:r>
      <w:r w:rsidR="00C55AB7">
        <w:rPr>
          <w:sz w:val="24"/>
          <w:szCs w:val="24"/>
        </w:rPr>
        <w:t xml:space="preserve"> e a recuperação gradual da atividade econômica no período.</w:t>
      </w:r>
      <w:r w:rsidR="00A053DD">
        <w:rPr>
          <w:sz w:val="24"/>
          <w:szCs w:val="24"/>
        </w:rPr>
        <w:t xml:space="preserve"> Tal tendência é verificada para todos os agregados de despesa, obrigatórias e discricionárias.</w:t>
      </w:r>
      <w:r w:rsidR="00A053DD" w:rsidDel="00A053DD">
        <w:rPr>
          <w:sz w:val="24"/>
          <w:szCs w:val="24"/>
        </w:rPr>
        <w:t xml:space="preserve"> </w:t>
      </w:r>
    </w:p>
    <w:p w14:paraId="6F827399" w14:textId="1D93C3B7" w:rsidR="00A053DD" w:rsidRDefault="00A053DD" w:rsidP="00373A73">
      <w:pPr>
        <w:spacing w:before="240"/>
        <w:ind w:firstLine="851"/>
        <w:jc w:val="both"/>
        <w:rPr>
          <w:sz w:val="24"/>
          <w:szCs w:val="24"/>
        </w:rPr>
      </w:pPr>
      <w:r>
        <w:rPr>
          <w:sz w:val="24"/>
          <w:szCs w:val="24"/>
        </w:rPr>
        <w:t xml:space="preserve">Ainda no período de 2021 a 2023, </w:t>
      </w:r>
      <w:r w:rsidR="00603DB6">
        <w:rPr>
          <w:sz w:val="24"/>
          <w:szCs w:val="24"/>
        </w:rPr>
        <w:t>projeta</w:t>
      </w:r>
      <w:r>
        <w:rPr>
          <w:sz w:val="24"/>
          <w:szCs w:val="24"/>
        </w:rPr>
        <w:t>-se a tendência de redução da meta de déficit primário, tanto em termos nominais, quanto em relação ao PIB, o que reflete o movimento de queda relativa das despesas e o cenário de recuperação gradual da atividade econômica.</w:t>
      </w:r>
    </w:p>
    <w:p w14:paraId="64752DA6" w14:textId="7A10B81B" w:rsidR="00BA5B53" w:rsidRDefault="00BA5B53" w:rsidP="00BA5B53">
      <w:pPr>
        <w:spacing w:before="240"/>
        <w:ind w:firstLine="851"/>
        <w:jc w:val="both"/>
        <w:rPr>
          <w:sz w:val="24"/>
          <w:szCs w:val="24"/>
        </w:rPr>
      </w:pPr>
      <w:r>
        <w:rPr>
          <w:sz w:val="24"/>
          <w:szCs w:val="24"/>
        </w:rPr>
        <w:t xml:space="preserve">Por fim, acerca da trajetória do endividamento público, considerando </w:t>
      </w:r>
      <w:r w:rsidR="002B2A0D">
        <w:rPr>
          <w:sz w:val="24"/>
          <w:szCs w:val="24"/>
        </w:rPr>
        <w:t>a projeção preliminar para o</w:t>
      </w:r>
      <w:r>
        <w:rPr>
          <w:sz w:val="24"/>
          <w:szCs w:val="24"/>
        </w:rPr>
        <w:t xml:space="preserve"> déficit primário de R$ 403,93 bilhões em 2020, bem como os demais parâmetros do cenário macroeconômico, em particular, a taxa de variação do PIB real igual a zero nesse mesmo ano, estimamos que a DBGG/PIB alcançaria 84,5% do PIB ao final de 2020, aumentando 8,7% do PIB em relação a 2019, quando a DBGG/PIB encerrou o ano em 75,8% do PIB. Por sua vez, a DLSP/PIB terminaria 2020 em 63,1% do PIB, contra 55,7% do PIB no ano anterior. Esses números evidenciam que o crescimento da dívida pública é notório em 2020, mas associado essencialmente ao contexto de reação fiscal aos efeitos da pandemia do</w:t>
      </w:r>
      <w:r w:rsidR="00FF12FB">
        <w:rPr>
          <w:sz w:val="24"/>
          <w:szCs w:val="24"/>
        </w:rPr>
        <w:t xml:space="preserve"> novo</w:t>
      </w:r>
      <w:r>
        <w:rPr>
          <w:sz w:val="24"/>
          <w:szCs w:val="24"/>
        </w:rPr>
        <w:t xml:space="preserve"> </w:t>
      </w:r>
      <w:r w:rsidR="00FF12FB">
        <w:rPr>
          <w:sz w:val="24"/>
          <w:szCs w:val="24"/>
        </w:rPr>
        <w:t>c</w:t>
      </w:r>
      <w:r>
        <w:rPr>
          <w:sz w:val="24"/>
          <w:szCs w:val="24"/>
        </w:rPr>
        <w:t>oronavírus e seus impactos nas finanças públicas do Brasil.</w:t>
      </w:r>
    </w:p>
    <w:p w14:paraId="23CE35F6" w14:textId="77777777" w:rsidR="00BA5B53" w:rsidRPr="00A34D0B" w:rsidRDefault="00BA5B53" w:rsidP="00373A73">
      <w:pPr>
        <w:spacing w:before="240"/>
        <w:ind w:firstLine="851"/>
        <w:jc w:val="both"/>
        <w:rPr>
          <w:sz w:val="24"/>
          <w:szCs w:val="24"/>
        </w:rPr>
      </w:pPr>
    </w:p>
    <w:p w14:paraId="663AB634" w14:textId="77777777" w:rsidR="00543919" w:rsidRDefault="00543919" w:rsidP="00B7489C">
      <w:pPr>
        <w:jc w:val="center"/>
        <w:rPr>
          <w:b/>
          <w:color w:val="FF0000"/>
        </w:rPr>
      </w:pPr>
    </w:p>
    <w:sectPr w:rsidR="00543919">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984CE" w16cex:dateUtc="2020-04-09T14:26:00Z"/>
  <w16cex:commentExtensible w16cex:durableId="22399012" w16cex:dateUtc="2020-04-09T15:14:00Z"/>
  <w16cex:commentExtensible w16cex:durableId="2239ADCB" w16cex:dateUtc="2020-04-09T17:20:00Z"/>
  <w16cex:commentExtensible w16cex:durableId="2239DAF7" w16cex:dateUtc="2020-04-09T20:33:00Z"/>
  <w16cex:commentExtensible w16cex:durableId="2239B517" w16cex:dateUtc="2020-04-09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3A0E1C" w16cid:durableId="223984CE"/>
  <w16cid:commentId w16cid:paraId="016F4F3B" w16cid:durableId="22399012"/>
  <w16cid:commentId w16cid:paraId="07EB4322" w16cid:durableId="2239ADCB"/>
  <w16cid:commentId w16cid:paraId="5483B399" w16cid:durableId="2239DAF7"/>
  <w16cid:commentId w16cid:paraId="0CB12011" w16cid:durableId="2239B5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06D3F" w14:textId="77777777" w:rsidR="003B283A" w:rsidRDefault="003B283A" w:rsidP="00C000A7">
      <w:pPr>
        <w:spacing w:after="0" w:line="240" w:lineRule="auto"/>
      </w:pPr>
      <w:r>
        <w:separator/>
      </w:r>
    </w:p>
  </w:endnote>
  <w:endnote w:type="continuationSeparator" w:id="0">
    <w:p w14:paraId="1D4E5193" w14:textId="77777777" w:rsidR="003B283A" w:rsidRDefault="003B283A" w:rsidP="00C000A7">
      <w:pPr>
        <w:spacing w:after="0" w:line="240" w:lineRule="auto"/>
      </w:pPr>
      <w:r>
        <w:continuationSeparator/>
      </w:r>
    </w:p>
  </w:endnote>
  <w:endnote w:type="continuationNotice" w:id="1">
    <w:p w14:paraId="611A5B43" w14:textId="77777777" w:rsidR="003B283A" w:rsidRDefault="003B2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8E6A3" w14:textId="77777777" w:rsidR="009D03F7" w:rsidRDefault="009D03F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DD448" w14:textId="77777777" w:rsidR="003B283A" w:rsidRDefault="003B283A" w:rsidP="00C000A7">
      <w:pPr>
        <w:spacing w:after="0" w:line="240" w:lineRule="auto"/>
      </w:pPr>
      <w:r>
        <w:separator/>
      </w:r>
    </w:p>
  </w:footnote>
  <w:footnote w:type="continuationSeparator" w:id="0">
    <w:p w14:paraId="4D1EAB38" w14:textId="77777777" w:rsidR="003B283A" w:rsidRDefault="003B283A" w:rsidP="00C000A7">
      <w:pPr>
        <w:spacing w:after="0" w:line="240" w:lineRule="auto"/>
      </w:pPr>
      <w:r>
        <w:continuationSeparator/>
      </w:r>
    </w:p>
  </w:footnote>
  <w:footnote w:type="continuationNotice" w:id="1">
    <w:p w14:paraId="60A2F69D" w14:textId="77777777" w:rsidR="003B283A" w:rsidRDefault="003B283A">
      <w:pPr>
        <w:spacing w:after="0" w:line="240" w:lineRule="auto"/>
      </w:pPr>
    </w:p>
  </w:footnote>
  <w:footnote w:id="2">
    <w:p w14:paraId="35230E79" w14:textId="574599AA" w:rsidR="00952B2D" w:rsidRDefault="00952B2D" w:rsidP="00A6056C">
      <w:pPr>
        <w:pStyle w:val="Textodenotaderodap"/>
        <w:jc w:val="both"/>
      </w:pPr>
      <w:r>
        <w:rPr>
          <w:rStyle w:val="Refdenotaderodap"/>
        </w:rPr>
        <w:footnoteRef/>
      </w:r>
      <w:r>
        <w:t xml:space="preserve"> O cenário macroeconômico baseia-se na Grade de Parâmetros da Secretaria de Política Econômica (SPE/ME) produzida em 19/03/2020.</w:t>
      </w:r>
    </w:p>
  </w:footnote>
  <w:footnote w:id="3">
    <w:p w14:paraId="07166FBF" w14:textId="1BBF766D" w:rsidR="00DB4174" w:rsidRDefault="00DB4174" w:rsidP="00DB4174">
      <w:pPr>
        <w:pStyle w:val="Textodenotaderodap"/>
        <w:jc w:val="both"/>
      </w:pPr>
      <w:r>
        <w:rPr>
          <w:rStyle w:val="Refdenotaderodap"/>
        </w:rPr>
        <w:footnoteRef/>
      </w:r>
      <w:r>
        <w:t xml:space="preserve"> </w:t>
      </w:r>
      <w:r w:rsidRPr="00DB4174">
        <w:t>O percentual obtido foi calculado com base na proporção observada na alocação de dotações em investimentos em projetos em relação ao conjunto apurado das despesas Discricionárias do Poder Executivo no âmbito do Projeto de Lei Orçamentária de 2020 - PLOA-2020. Para isso, o somatório dos valores do grupo de natureza de despesa “Investimentos” das despesas Discricionárias, marcadas com identificador de resultado primário RP 2, alocados em projetos do Poder Executivo no PLOA-2020, num total de R$ 7,0 bilhões, foi dividido pelo conjunto apurado das despesas Discricionárias do Poder Executivo no PLOA-2020, que totalizam R$ 73,3 bilhões.</w:t>
      </w:r>
    </w:p>
  </w:footnote>
  <w:footnote w:id="4">
    <w:p w14:paraId="1AC44860" w14:textId="7D3DECE2" w:rsidR="00613369" w:rsidRDefault="00613369">
      <w:pPr>
        <w:pStyle w:val="Textodenotaderodap"/>
      </w:pPr>
      <w:r>
        <w:rPr>
          <w:rStyle w:val="Refdenotaderodap"/>
        </w:rPr>
        <w:footnoteRef/>
      </w:r>
      <w:r>
        <w:t xml:space="preserve"> Considera, como base, a projeção atualizada do PIB constante na tabela 1 deste anexo.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96A2A" w14:textId="77777777" w:rsidR="009D03F7" w:rsidRDefault="009D03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14B0C"/>
    <w:multiLevelType w:val="hybridMultilevel"/>
    <w:tmpl w:val="E6B07FB2"/>
    <w:lvl w:ilvl="0" w:tplc="D076BAF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CB2593B"/>
    <w:multiLevelType w:val="hybridMultilevel"/>
    <w:tmpl w:val="CCE4FA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89"/>
    <w:rsid w:val="0000052C"/>
    <w:rsid w:val="00002270"/>
    <w:rsid w:val="00003085"/>
    <w:rsid w:val="00006FE5"/>
    <w:rsid w:val="00013415"/>
    <w:rsid w:val="0001568F"/>
    <w:rsid w:val="00025A8F"/>
    <w:rsid w:val="000269A5"/>
    <w:rsid w:val="00027618"/>
    <w:rsid w:val="00030D7B"/>
    <w:rsid w:val="00037CC8"/>
    <w:rsid w:val="00042D98"/>
    <w:rsid w:val="00047BD7"/>
    <w:rsid w:val="00050224"/>
    <w:rsid w:val="0005033A"/>
    <w:rsid w:val="0005043C"/>
    <w:rsid w:val="00060035"/>
    <w:rsid w:val="000605A2"/>
    <w:rsid w:val="000615E6"/>
    <w:rsid w:val="0006552B"/>
    <w:rsid w:val="00071078"/>
    <w:rsid w:val="00073C17"/>
    <w:rsid w:val="00077BB0"/>
    <w:rsid w:val="00091149"/>
    <w:rsid w:val="000932D0"/>
    <w:rsid w:val="000A11F9"/>
    <w:rsid w:val="000A3A8A"/>
    <w:rsid w:val="000A3F93"/>
    <w:rsid w:val="000A6262"/>
    <w:rsid w:val="000A74B7"/>
    <w:rsid w:val="000B00C5"/>
    <w:rsid w:val="000B12D4"/>
    <w:rsid w:val="000B28DC"/>
    <w:rsid w:val="000C09E7"/>
    <w:rsid w:val="000C1058"/>
    <w:rsid w:val="000C2B27"/>
    <w:rsid w:val="000C449F"/>
    <w:rsid w:val="000C49E1"/>
    <w:rsid w:val="000E4A94"/>
    <w:rsid w:val="000F3523"/>
    <w:rsid w:val="000F3807"/>
    <w:rsid w:val="000F4A41"/>
    <w:rsid w:val="000F7924"/>
    <w:rsid w:val="0010228A"/>
    <w:rsid w:val="001116C6"/>
    <w:rsid w:val="0011704C"/>
    <w:rsid w:val="00120FFA"/>
    <w:rsid w:val="0012279D"/>
    <w:rsid w:val="00122AC2"/>
    <w:rsid w:val="00131C58"/>
    <w:rsid w:val="00133659"/>
    <w:rsid w:val="001349B6"/>
    <w:rsid w:val="00136C07"/>
    <w:rsid w:val="00143136"/>
    <w:rsid w:val="00143C93"/>
    <w:rsid w:val="0014671C"/>
    <w:rsid w:val="0015199F"/>
    <w:rsid w:val="001552D7"/>
    <w:rsid w:val="001557AD"/>
    <w:rsid w:val="001617BA"/>
    <w:rsid w:val="00162C4F"/>
    <w:rsid w:val="00163351"/>
    <w:rsid w:val="00166E03"/>
    <w:rsid w:val="00171246"/>
    <w:rsid w:val="00176963"/>
    <w:rsid w:val="00181D06"/>
    <w:rsid w:val="00186D41"/>
    <w:rsid w:val="00190490"/>
    <w:rsid w:val="001916B9"/>
    <w:rsid w:val="00192180"/>
    <w:rsid w:val="00192532"/>
    <w:rsid w:val="001A5786"/>
    <w:rsid w:val="001A6751"/>
    <w:rsid w:val="001A682B"/>
    <w:rsid w:val="001B097D"/>
    <w:rsid w:val="001C0BD3"/>
    <w:rsid w:val="001C479C"/>
    <w:rsid w:val="001C654E"/>
    <w:rsid w:val="001D03FD"/>
    <w:rsid w:val="001E760C"/>
    <w:rsid w:val="001E7F81"/>
    <w:rsid w:val="001F5FE1"/>
    <w:rsid w:val="001F78E6"/>
    <w:rsid w:val="00207D0E"/>
    <w:rsid w:val="00212D67"/>
    <w:rsid w:val="00214098"/>
    <w:rsid w:val="002145C2"/>
    <w:rsid w:val="00216145"/>
    <w:rsid w:val="0021698D"/>
    <w:rsid w:val="0022571F"/>
    <w:rsid w:val="00231BFF"/>
    <w:rsid w:val="00233724"/>
    <w:rsid w:val="00240EF4"/>
    <w:rsid w:val="002417E1"/>
    <w:rsid w:val="00243A72"/>
    <w:rsid w:val="00246578"/>
    <w:rsid w:val="00256AB2"/>
    <w:rsid w:val="002577C1"/>
    <w:rsid w:val="0026006F"/>
    <w:rsid w:val="002617CD"/>
    <w:rsid w:val="002640D9"/>
    <w:rsid w:val="0026418D"/>
    <w:rsid w:val="00264BED"/>
    <w:rsid w:val="0027095F"/>
    <w:rsid w:val="00273D67"/>
    <w:rsid w:val="00277102"/>
    <w:rsid w:val="00277BB5"/>
    <w:rsid w:val="00282183"/>
    <w:rsid w:val="002959C8"/>
    <w:rsid w:val="002A524C"/>
    <w:rsid w:val="002B2A0D"/>
    <w:rsid w:val="002B2C1D"/>
    <w:rsid w:val="002B4A28"/>
    <w:rsid w:val="002C428F"/>
    <w:rsid w:val="002D55A4"/>
    <w:rsid w:val="002E0397"/>
    <w:rsid w:val="002E1C63"/>
    <w:rsid w:val="002E2167"/>
    <w:rsid w:val="002E3902"/>
    <w:rsid w:val="002F07BB"/>
    <w:rsid w:val="002F1095"/>
    <w:rsid w:val="002F1801"/>
    <w:rsid w:val="002F4820"/>
    <w:rsid w:val="002F76CC"/>
    <w:rsid w:val="0030220D"/>
    <w:rsid w:val="00302272"/>
    <w:rsid w:val="003056CE"/>
    <w:rsid w:val="0030592C"/>
    <w:rsid w:val="00315CCE"/>
    <w:rsid w:val="00320BF4"/>
    <w:rsid w:val="00323015"/>
    <w:rsid w:val="0032548F"/>
    <w:rsid w:val="0032648D"/>
    <w:rsid w:val="0033156E"/>
    <w:rsid w:val="00334329"/>
    <w:rsid w:val="003352CA"/>
    <w:rsid w:val="003358DC"/>
    <w:rsid w:val="00345F8F"/>
    <w:rsid w:val="00346D5A"/>
    <w:rsid w:val="003471FC"/>
    <w:rsid w:val="0035083B"/>
    <w:rsid w:val="003570C1"/>
    <w:rsid w:val="00362731"/>
    <w:rsid w:val="00363252"/>
    <w:rsid w:val="00364259"/>
    <w:rsid w:val="00373A73"/>
    <w:rsid w:val="00380DA6"/>
    <w:rsid w:val="003837F5"/>
    <w:rsid w:val="00383F26"/>
    <w:rsid w:val="00396E83"/>
    <w:rsid w:val="00396F23"/>
    <w:rsid w:val="003A1902"/>
    <w:rsid w:val="003A5039"/>
    <w:rsid w:val="003A7B55"/>
    <w:rsid w:val="003B283A"/>
    <w:rsid w:val="003B38C0"/>
    <w:rsid w:val="003B6B6D"/>
    <w:rsid w:val="003C0DF7"/>
    <w:rsid w:val="003C6E89"/>
    <w:rsid w:val="003C76C2"/>
    <w:rsid w:val="003D0254"/>
    <w:rsid w:val="003D09B8"/>
    <w:rsid w:val="003D32B2"/>
    <w:rsid w:val="003D4951"/>
    <w:rsid w:val="003D71A5"/>
    <w:rsid w:val="003D7D5C"/>
    <w:rsid w:val="003E0A06"/>
    <w:rsid w:val="003E2D9A"/>
    <w:rsid w:val="003E312B"/>
    <w:rsid w:val="003E4C82"/>
    <w:rsid w:val="003F013E"/>
    <w:rsid w:val="003F6976"/>
    <w:rsid w:val="00401BB5"/>
    <w:rsid w:val="004022C2"/>
    <w:rsid w:val="00404CE1"/>
    <w:rsid w:val="00406ACD"/>
    <w:rsid w:val="00407B76"/>
    <w:rsid w:val="00411EAD"/>
    <w:rsid w:val="004122DD"/>
    <w:rsid w:val="0041419E"/>
    <w:rsid w:val="00414706"/>
    <w:rsid w:val="0041791C"/>
    <w:rsid w:val="0042583B"/>
    <w:rsid w:val="00427CBE"/>
    <w:rsid w:val="0043040C"/>
    <w:rsid w:val="00434932"/>
    <w:rsid w:val="00434D14"/>
    <w:rsid w:val="00444C4C"/>
    <w:rsid w:val="00450542"/>
    <w:rsid w:val="004508B8"/>
    <w:rsid w:val="0045296B"/>
    <w:rsid w:val="004537D3"/>
    <w:rsid w:val="00456832"/>
    <w:rsid w:val="00461C32"/>
    <w:rsid w:val="004636AB"/>
    <w:rsid w:val="0046662D"/>
    <w:rsid w:val="00470C1B"/>
    <w:rsid w:val="0047202C"/>
    <w:rsid w:val="00472F7B"/>
    <w:rsid w:val="004749E1"/>
    <w:rsid w:val="00481887"/>
    <w:rsid w:val="004877D0"/>
    <w:rsid w:val="004906EB"/>
    <w:rsid w:val="0049088F"/>
    <w:rsid w:val="004A2491"/>
    <w:rsid w:val="004A7F88"/>
    <w:rsid w:val="004B2990"/>
    <w:rsid w:val="004B39F6"/>
    <w:rsid w:val="004B3E5E"/>
    <w:rsid w:val="004C22EA"/>
    <w:rsid w:val="004C4828"/>
    <w:rsid w:val="004C4A5E"/>
    <w:rsid w:val="004D05FF"/>
    <w:rsid w:val="004D11A2"/>
    <w:rsid w:val="004D41B3"/>
    <w:rsid w:val="004D4BAB"/>
    <w:rsid w:val="004E6ED2"/>
    <w:rsid w:val="004F1E26"/>
    <w:rsid w:val="004F4712"/>
    <w:rsid w:val="004F707D"/>
    <w:rsid w:val="00500743"/>
    <w:rsid w:val="00500B8F"/>
    <w:rsid w:val="00501CD9"/>
    <w:rsid w:val="00507A32"/>
    <w:rsid w:val="00512B35"/>
    <w:rsid w:val="00515F56"/>
    <w:rsid w:val="00520E5A"/>
    <w:rsid w:val="005258B5"/>
    <w:rsid w:val="00525EA8"/>
    <w:rsid w:val="00533411"/>
    <w:rsid w:val="00533978"/>
    <w:rsid w:val="005348FF"/>
    <w:rsid w:val="00535A50"/>
    <w:rsid w:val="005404AA"/>
    <w:rsid w:val="00541922"/>
    <w:rsid w:val="0054359E"/>
    <w:rsid w:val="00543919"/>
    <w:rsid w:val="00544471"/>
    <w:rsid w:val="00561F5A"/>
    <w:rsid w:val="00564237"/>
    <w:rsid w:val="0056555B"/>
    <w:rsid w:val="005677FC"/>
    <w:rsid w:val="00574751"/>
    <w:rsid w:val="005812F7"/>
    <w:rsid w:val="00591499"/>
    <w:rsid w:val="00594016"/>
    <w:rsid w:val="005950D5"/>
    <w:rsid w:val="00596F4D"/>
    <w:rsid w:val="005A0BF7"/>
    <w:rsid w:val="005A151F"/>
    <w:rsid w:val="005A2E56"/>
    <w:rsid w:val="005A5626"/>
    <w:rsid w:val="005B3FB7"/>
    <w:rsid w:val="005C3FD8"/>
    <w:rsid w:val="005C5192"/>
    <w:rsid w:val="005E2D2E"/>
    <w:rsid w:val="005E2EEE"/>
    <w:rsid w:val="005F0ED6"/>
    <w:rsid w:val="00603833"/>
    <w:rsid w:val="00603DB6"/>
    <w:rsid w:val="00607FFA"/>
    <w:rsid w:val="00610E35"/>
    <w:rsid w:val="00611DAE"/>
    <w:rsid w:val="00613369"/>
    <w:rsid w:val="006155F9"/>
    <w:rsid w:val="0062110F"/>
    <w:rsid w:val="00621C36"/>
    <w:rsid w:val="00622A21"/>
    <w:rsid w:val="00626699"/>
    <w:rsid w:val="00636E6D"/>
    <w:rsid w:val="00647CF1"/>
    <w:rsid w:val="00647FC7"/>
    <w:rsid w:val="006526CA"/>
    <w:rsid w:val="00656F9C"/>
    <w:rsid w:val="006661DD"/>
    <w:rsid w:val="006662B9"/>
    <w:rsid w:val="006679BF"/>
    <w:rsid w:val="00675E4A"/>
    <w:rsid w:val="006766C3"/>
    <w:rsid w:val="006944EF"/>
    <w:rsid w:val="00694A39"/>
    <w:rsid w:val="00695DDA"/>
    <w:rsid w:val="006A0D42"/>
    <w:rsid w:val="006A3A39"/>
    <w:rsid w:val="006B143E"/>
    <w:rsid w:val="006B276C"/>
    <w:rsid w:val="006B4DC7"/>
    <w:rsid w:val="006C61A8"/>
    <w:rsid w:val="006C6DF7"/>
    <w:rsid w:val="006C7790"/>
    <w:rsid w:val="006D33DF"/>
    <w:rsid w:val="006E409A"/>
    <w:rsid w:val="006F061B"/>
    <w:rsid w:val="006F6527"/>
    <w:rsid w:val="0070154C"/>
    <w:rsid w:val="00702565"/>
    <w:rsid w:val="007064B3"/>
    <w:rsid w:val="007106CC"/>
    <w:rsid w:val="00712E42"/>
    <w:rsid w:val="00715BD1"/>
    <w:rsid w:val="00715E16"/>
    <w:rsid w:val="00716D7D"/>
    <w:rsid w:val="00721140"/>
    <w:rsid w:val="00731B90"/>
    <w:rsid w:val="0073265F"/>
    <w:rsid w:val="00734BE0"/>
    <w:rsid w:val="007376C2"/>
    <w:rsid w:val="00744593"/>
    <w:rsid w:val="007445C2"/>
    <w:rsid w:val="007500E6"/>
    <w:rsid w:val="00751073"/>
    <w:rsid w:val="00752C29"/>
    <w:rsid w:val="00753A96"/>
    <w:rsid w:val="00753D93"/>
    <w:rsid w:val="00754C2D"/>
    <w:rsid w:val="0075582F"/>
    <w:rsid w:val="007562E5"/>
    <w:rsid w:val="00757A55"/>
    <w:rsid w:val="0076473A"/>
    <w:rsid w:val="00770FE7"/>
    <w:rsid w:val="007755D5"/>
    <w:rsid w:val="007773EA"/>
    <w:rsid w:val="007820BC"/>
    <w:rsid w:val="00784D9A"/>
    <w:rsid w:val="007865C3"/>
    <w:rsid w:val="0078706F"/>
    <w:rsid w:val="00791765"/>
    <w:rsid w:val="00795BB7"/>
    <w:rsid w:val="0079686E"/>
    <w:rsid w:val="00796885"/>
    <w:rsid w:val="007A13C0"/>
    <w:rsid w:val="007B201B"/>
    <w:rsid w:val="007B5A22"/>
    <w:rsid w:val="007C2D16"/>
    <w:rsid w:val="007C35DA"/>
    <w:rsid w:val="007D3A2D"/>
    <w:rsid w:val="007D3ED3"/>
    <w:rsid w:val="007D5281"/>
    <w:rsid w:val="007D64D1"/>
    <w:rsid w:val="007D6F35"/>
    <w:rsid w:val="007E7F40"/>
    <w:rsid w:val="007F0D1E"/>
    <w:rsid w:val="007F1643"/>
    <w:rsid w:val="007F65D7"/>
    <w:rsid w:val="007F693E"/>
    <w:rsid w:val="007F7489"/>
    <w:rsid w:val="007F7979"/>
    <w:rsid w:val="0081121B"/>
    <w:rsid w:val="00811833"/>
    <w:rsid w:val="00812097"/>
    <w:rsid w:val="008224C6"/>
    <w:rsid w:val="008344AE"/>
    <w:rsid w:val="00835EAE"/>
    <w:rsid w:val="008410FB"/>
    <w:rsid w:val="00844FFA"/>
    <w:rsid w:val="00846989"/>
    <w:rsid w:val="008534C3"/>
    <w:rsid w:val="00853A07"/>
    <w:rsid w:val="008630B6"/>
    <w:rsid w:val="00871CF4"/>
    <w:rsid w:val="00884275"/>
    <w:rsid w:val="00884D28"/>
    <w:rsid w:val="008857B1"/>
    <w:rsid w:val="008862B2"/>
    <w:rsid w:val="00897C62"/>
    <w:rsid w:val="00897E3A"/>
    <w:rsid w:val="008A2592"/>
    <w:rsid w:val="008B1CBB"/>
    <w:rsid w:val="008B45D0"/>
    <w:rsid w:val="008B5A29"/>
    <w:rsid w:val="008C0D17"/>
    <w:rsid w:val="008E05E5"/>
    <w:rsid w:val="008E3341"/>
    <w:rsid w:val="008E49CB"/>
    <w:rsid w:val="008E7C77"/>
    <w:rsid w:val="008F2AE4"/>
    <w:rsid w:val="008F2D42"/>
    <w:rsid w:val="008F4095"/>
    <w:rsid w:val="00901EE6"/>
    <w:rsid w:val="00905C35"/>
    <w:rsid w:val="009167C3"/>
    <w:rsid w:val="00924BAE"/>
    <w:rsid w:val="009327BA"/>
    <w:rsid w:val="00932EBB"/>
    <w:rsid w:val="0093792E"/>
    <w:rsid w:val="00942F1F"/>
    <w:rsid w:val="00946378"/>
    <w:rsid w:val="009466E5"/>
    <w:rsid w:val="00947221"/>
    <w:rsid w:val="00952B2D"/>
    <w:rsid w:val="00953CDE"/>
    <w:rsid w:val="00961622"/>
    <w:rsid w:val="00963C2E"/>
    <w:rsid w:val="00974B8C"/>
    <w:rsid w:val="009809F5"/>
    <w:rsid w:val="00986FF0"/>
    <w:rsid w:val="00991D52"/>
    <w:rsid w:val="009940C0"/>
    <w:rsid w:val="009957F4"/>
    <w:rsid w:val="00995CB5"/>
    <w:rsid w:val="009A118C"/>
    <w:rsid w:val="009A120D"/>
    <w:rsid w:val="009A3048"/>
    <w:rsid w:val="009A37FC"/>
    <w:rsid w:val="009A5014"/>
    <w:rsid w:val="009A680B"/>
    <w:rsid w:val="009B082D"/>
    <w:rsid w:val="009B1FC5"/>
    <w:rsid w:val="009B21A6"/>
    <w:rsid w:val="009B4081"/>
    <w:rsid w:val="009B7E43"/>
    <w:rsid w:val="009D03F7"/>
    <w:rsid w:val="009D0A46"/>
    <w:rsid w:val="009D3698"/>
    <w:rsid w:val="009E19CE"/>
    <w:rsid w:val="009E2724"/>
    <w:rsid w:val="009E2EC3"/>
    <w:rsid w:val="009E4019"/>
    <w:rsid w:val="00A01DEB"/>
    <w:rsid w:val="00A02A95"/>
    <w:rsid w:val="00A053DD"/>
    <w:rsid w:val="00A071A7"/>
    <w:rsid w:val="00A1171F"/>
    <w:rsid w:val="00A120F0"/>
    <w:rsid w:val="00A1232D"/>
    <w:rsid w:val="00A1266A"/>
    <w:rsid w:val="00A14969"/>
    <w:rsid w:val="00A1632B"/>
    <w:rsid w:val="00A17C33"/>
    <w:rsid w:val="00A24D76"/>
    <w:rsid w:val="00A30603"/>
    <w:rsid w:val="00A3222E"/>
    <w:rsid w:val="00A34D0B"/>
    <w:rsid w:val="00A35767"/>
    <w:rsid w:val="00A4004B"/>
    <w:rsid w:val="00A426A5"/>
    <w:rsid w:val="00A5272B"/>
    <w:rsid w:val="00A55AC7"/>
    <w:rsid w:val="00A6056C"/>
    <w:rsid w:val="00A63AA2"/>
    <w:rsid w:val="00A662A7"/>
    <w:rsid w:val="00A71418"/>
    <w:rsid w:val="00A74724"/>
    <w:rsid w:val="00A76218"/>
    <w:rsid w:val="00A77930"/>
    <w:rsid w:val="00A81CF9"/>
    <w:rsid w:val="00A85A92"/>
    <w:rsid w:val="00A91436"/>
    <w:rsid w:val="00A941B0"/>
    <w:rsid w:val="00A955C2"/>
    <w:rsid w:val="00A96328"/>
    <w:rsid w:val="00AB6FA8"/>
    <w:rsid w:val="00AB7973"/>
    <w:rsid w:val="00AC4095"/>
    <w:rsid w:val="00AC6FAF"/>
    <w:rsid w:val="00AD65D2"/>
    <w:rsid w:val="00AD75FA"/>
    <w:rsid w:val="00AE4C24"/>
    <w:rsid w:val="00AF1819"/>
    <w:rsid w:val="00AF5E7E"/>
    <w:rsid w:val="00AF7482"/>
    <w:rsid w:val="00AF78B1"/>
    <w:rsid w:val="00B00EAB"/>
    <w:rsid w:val="00B05258"/>
    <w:rsid w:val="00B20185"/>
    <w:rsid w:val="00B226F0"/>
    <w:rsid w:val="00B31F19"/>
    <w:rsid w:val="00B33B3A"/>
    <w:rsid w:val="00B33BFF"/>
    <w:rsid w:val="00B34E1A"/>
    <w:rsid w:val="00B4191E"/>
    <w:rsid w:val="00B440D8"/>
    <w:rsid w:val="00B44E13"/>
    <w:rsid w:val="00B459BF"/>
    <w:rsid w:val="00B5408F"/>
    <w:rsid w:val="00B61886"/>
    <w:rsid w:val="00B65999"/>
    <w:rsid w:val="00B72EB1"/>
    <w:rsid w:val="00B7489C"/>
    <w:rsid w:val="00B74BAB"/>
    <w:rsid w:val="00B76280"/>
    <w:rsid w:val="00B818C8"/>
    <w:rsid w:val="00B835AC"/>
    <w:rsid w:val="00B83DF3"/>
    <w:rsid w:val="00B84D70"/>
    <w:rsid w:val="00B9437B"/>
    <w:rsid w:val="00B956FB"/>
    <w:rsid w:val="00BA0332"/>
    <w:rsid w:val="00BA1C45"/>
    <w:rsid w:val="00BA1F85"/>
    <w:rsid w:val="00BA5B53"/>
    <w:rsid w:val="00BB193F"/>
    <w:rsid w:val="00BC1098"/>
    <w:rsid w:val="00BC42AE"/>
    <w:rsid w:val="00BC5264"/>
    <w:rsid w:val="00BE2478"/>
    <w:rsid w:val="00BE3564"/>
    <w:rsid w:val="00BF26C7"/>
    <w:rsid w:val="00BF7FF5"/>
    <w:rsid w:val="00C000A7"/>
    <w:rsid w:val="00C11413"/>
    <w:rsid w:val="00C163F6"/>
    <w:rsid w:val="00C224B4"/>
    <w:rsid w:val="00C24473"/>
    <w:rsid w:val="00C35650"/>
    <w:rsid w:val="00C35838"/>
    <w:rsid w:val="00C379A7"/>
    <w:rsid w:val="00C41BFF"/>
    <w:rsid w:val="00C41DAA"/>
    <w:rsid w:val="00C422C1"/>
    <w:rsid w:val="00C44C1F"/>
    <w:rsid w:val="00C55AB7"/>
    <w:rsid w:val="00C57E34"/>
    <w:rsid w:val="00C677DA"/>
    <w:rsid w:val="00C753BD"/>
    <w:rsid w:val="00C81433"/>
    <w:rsid w:val="00C84C30"/>
    <w:rsid w:val="00C85690"/>
    <w:rsid w:val="00C861F5"/>
    <w:rsid w:val="00C932CC"/>
    <w:rsid w:val="00C93864"/>
    <w:rsid w:val="00C94E6C"/>
    <w:rsid w:val="00C97579"/>
    <w:rsid w:val="00CA210D"/>
    <w:rsid w:val="00CB5598"/>
    <w:rsid w:val="00CC1607"/>
    <w:rsid w:val="00CC47DF"/>
    <w:rsid w:val="00CC66B2"/>
    <w:rsid w:val="00CD092E"/>
    <w:rsid w:val="00CD0A3D"/>
    <w:rsid w:val="00CD5907"/>
    <w:rsid w:val="00CE0701"/>
    <w:rsid w:val="00CE347D"/>
    <w:rsid w:val="00CE3CA9"/>
    <w:rsid w:val="00CE458E"/>
    <w:rsid w:val="00CF0836"/>
    <w:rsid w:val="00D03026"/>
    <w:rsid w:val="00D03908"/>
    <w:rsid w:val="00D1034A"/>
    <w:rsid w:val="00D10752"/>
    <w:rsid w:val="00D13274"/>
    <w:rsid w:val="00D205FA"/>
    <w:rsid w:val="00D21FDE"/>
    <w:rsid w:val="00D22353"/>
    <w:rsid w:val="00D305BD"/>
    <w:rsid w:val="00D32C20"/>
    <w:rsid w:val="00D34CEA"/>
    <w:rsid w:val="00D54C34"/>
    <w:rsid w:val="00D60FC2"/>
    <w:rsid w:val="00D61423"/>
    <w:rsid w:val="00D61B21"/>
    <w:rsid w:val="00D65F8F"/>
    <w:rsid w:val="00D661D9"/>
    <w:rsid w:val="00D70484"/>
    <w:rsid w:val="00D70F05"/>
    <w:rsid w:val="00D718FC"/>
    <w:rsid w:val="00D7487C"/>
    <w:rsid w:val="00D74B48"/>
    <w:rsid w:val="00D758B8"/>
    <w:rsid w:val="00D7769C"/>
    <w:rsid w:val="00D80532"/>
    <w:rsid w:val="00D85419"/>
    <w:rsid w:val="00D8667B"/>
    <w:rsid w:val="00D86D74"/>
    <w:rsid w:val="00DA32E8"/>
    <w:rsid w:val="00DA6556"/>
    <w:rsid w:val="00DB1F0D"/>
    <w:rsid w:val="00DB4174"/>
    <w:rsid w:val="00DC1AC9"/>
    <w:rsid w:val="00DC2228"/>
    <w:rsid w:val="00DC3CE3"/>
    <w:rsid w:val="00DC4943"/>
    <w:rsid w:val="00DC5A2C"/>
    <w:rsid w:val="00DD086E"/>
    <w:rsid w:val="00DE3086"/>
    <w:rsid w:val="00DE40F0"/>
    <w:rsid w:val="00DE4F65"/>
    <w:rsid w:val="00DE6ACD"/>
    <w:rsid w:val="00DF1277"/>
    <w:rsid w:val="00DF1D01"/>
    <w:rsid w:val="00DF1E45"/>
    <w:rsid w:val="00DF5C5C"/>
    <w:rsid w:val="00DF6420"/>
    <w:rsid w:val="00E01521"/>
    <w:rsid w:val="00E13400"/>
    <w:rsid w:val="00E14DF8"/>
    <w:rsid w:val="00E20F02"/>
    <w:rsid w:val="00E21A02"/>
    <w:rsid w:val="00E30C93"/>
    <w:rsid w:val="00E351DD"/>
    <w:rsid w:val="00E454B5"/>
    <w:rsid w:val="00E52E0F"/>
    <w:rsid w:val="00E57E96"/>
    <w:rsid w:val="00E61C77"/>
    <w:rsid w:val="00E63AC6"/>
    <w:rsid w:val="00E64A04"/>
    <w:rsid w:val="00E7546E"/>
    <w:rsid w:val="00E85D50"/>
    <w:rsid w:val="00E91CFE"/>
    <w:rsid w:val="00E9551D"/>
    <w:rsid w:val="00EA147C"/>
    <w:rsid w:val="00EA32A3"/>
    <w:rsid w:val="00EA5DA6"/>
    <w:rsid w:val="00EB367B"/>
    <w:rsid w:val="00EB3FD0"/>
    <w:rsid w:val="00EB736F"/>
    <w:rsid w:val="00EC208D"/>
    <w:rsid w:val="00ED2942"/>
    <w:rsid w:val="00ED2D48"/>
    <w:rsid w:val="00EE15DF"/>
    <w:rsid w:val="00EE23ED"/>
    <w:rsid w:val="00EE79E4"/>
    <w:rsid w:val="00EF3FFD"/>
    <w:rsid w:val="00EF4EBD"/>
    <w:rsid w:val="00EF58F0"/>
    <w:rsid w:val="00F04311"/>
    <w:rsid w:val="00F04FA1"/>
    <w:rsid w:val="00F0520B"/>
    <w:rsid w:val="00F11FAB"/>
    <w:rsid w:val="00F128CF"/>
    <w:rsid w:val="00F138CC"/>
    <w:rsid w:val="00F14D7D"/>
    <w:rsid w:val="00F15B2A"/>
    <w:rsid w:val="00F2310D"/>
    <w:rsid w:val="00F266F3"/>
    <w:rsid w:val="00F27604"/>
    <w:rsid w:val="00F31D6A"/>
    <w:rsid w:val="00F4048B"/>
    <w:rsid w:val="00F517E7"/>
    <w:rsid w:val="00F51E11"/>
    <w:rsid w:val="00F523F7"/>
    <w:rsid w:val="00F6327C"/>
    <w:rsid w:val="00F65D90"/>
    <w:rsid w:val="00F65EAA"/>
    <w:rsid w:val="00F70FB3"/>
    <w:rsid w:val="00F73C9E"/>
    <w:rsid w:val="00F76EA2"/>
    <w:rsid w:val="00F77323"/>
    <w:rsid w:val="00F843BF"/>
    <w:rsid w:val="00F93E85"/>
    <w:rsid w:val="00F94E85"/>
    <w:rsid w:val="00FB3E0C"/>
    <w:rsid w:val="00FB4349"/>
    <w:rsid w:val="00FC66E7"/>
    <w:rsid w:val="00FE05A5"/>
    <w:rsid w:val="00FE56F1"/>
    <w:rsid w:val="00FE6C0A"/>
    <w:rsid w:val="00FF12FB"/>
    <w:rsid w:val="00FF1B8E"/>
    <w:rsid w:val="00FF6319"/>
    <w:rsid w:val="00FF6E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EDAF"/>
  <w15:docId w15:val="{D3AE6B9E-0B5E-436B-ACE0-864C9BE0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99"/>
    <w:qFormat/>
    <w:rsid w:val="005C5192"/>
    <w:pPr>
      <w:spacing w:after="0" w:line="240" w:lineRule="auto"/>
      <w:jc w:val="center"/>
    </w:pPr>
    <w:rPr>
      <w:rFonts w:ascii="Times New Roman" w:eastAsiaTheme="minorEastAsia" w:hAnsi="Times New Roman" w:cs="Times New Roman"/>
      <w:b/>
      <w:bCs/>
      <w:sz w:val="24"/>
      <w:szCs w:val="24"/>
      <w:lang w:eastAsia="pt-BR"/>
    </w:rPr>
  </w:style>
  <w:style w:type="character" w:customStyle="1" w:styleId="TtuloChar">
    <w:name w:val="Título Char"/>
    <w:basedOn w:val="Fontepargpadro"/>
    <w:link w:val="Ttulo"/>
    <w:uiPriority w:val="99"/>
    <w:rsid w:val="005C5192"/>
    <w:rPr>
      <w:rFonts w:ascii="Times New Roman" w:eastAsiaTheme="minorEastAsia" w:hAnsi="Times New Roman" w:cs="Times New Roman"/>
      <w:b/>
      <w:bCs/>
      <w:sz w:val="24"/>
      <w:szCs w:val="24"/>
      <w:lang w:eastAsia="pt-BR"/>
    </w:rPr>
  </w:style>
  <w:style w:type="paragraph" w:styleId="PargrafodaLista">
    <w:name w:val="List Paragraph"/>
    <w:basedOn w:val="Normal"/>
    <w:uiPriority w:val="34"/>
    <w:qFormat/>
    <w:rsid w:val="007F693E"/>
    <w:pPr>
      <w:ind w:left="720"/>
      <w:contextualSpacing/>
    </w:pPr>
  </w:style>
  <w:style w:type="paragraph" w:styleId="NormalWeb">
    <w:name w:val="Normal (Web)"/>
    <w:basedOn w:val="Normal"/>
    <w:uiPriority w:val="99"/>
    <w:unhideWhenUsed/>
    <w:rsid w:val="00240EF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932D0"/>
    <w:rPr>
      <w:b/>
      <w:bCs/>
    </w:rPr>
  </w:style>
  <w:style w:type="character" w:styleId="Hyperlink">
    <w:name w:val="Hyperlink"/>
    <w:basedOn w:val="Fontepargpadro"/>
    <w:uiPriority w:val="99"/>
    <w:semiHidden/>
    <w:unhideWhenUsed/>
    <w:rsid w:val="000932D0"/>
    <w:rPr>
      <w:color w:val="0000FF"/>
      <w:u w:val="single"/>
    </w:rPr>
  </w:style>
  <w:style w:type="paragraph" w:styleId="Textodebalo">
    <w:name w:val="Balloon Text"/>
    <w:basedOn w:val="Normal"/>
    <w:link w:val="TextodebaloChar"/>
    <w:uiPriority w:val="99"/>
    <w:semiHidden/>
    <w:unhideWhenUsed/>
    <w:rsid w:val="009A118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A118C"/>
    <w:rPr>
      <w:rFonts w:ascii="Segoe UI" w:hAnsi="Segoe UI" w:cs="Segoe UI"/>
      <w:sz w:val="18"/>
      <w:szCs w:val="18"/>
    </w:rPr>
  </w:style>
  <w:style w:type="paragraph" w:styleId="Citao">
    <w:name w:val="Quote"/>
    <w:basedOn w:val="Normal"/>
    <w:next w:val="Normal"/>
    <w:link w:val="CitaoChar"/>
    <w:uiPriority w:val="29"/>
    <w:qFormat/>
    <w:rsid w:val="00EB736F"/>
    <w:pPr>
      <w:spacing w:before="200"/>
      <w:ind w:left="864" w:right="864"/>
      <w:jc w:val="center"/>
    </w:pPr>
    <w:rPr>
      <w:i/>
      <w:iCs/>
      <w:color w:val="404040" w:themeColor="text1" w:themeTint="BF"/>
    </w:rPr>
  </w:style>
  <w:style w:type="character" w:customStyle="1" w:styleId="CitaoChar">
    <w:name w:val="Citação Char"/>
    <w:basedOn w:val="Fontepargpadro"/>
    <w:link w:val="Citao"/>
    <w:uiPriority w:val="29"/>
    <w:rsid w:val="00EB736F"/>
    <w:rPr>
      <w:i/>
      <w:iCs/>
      <w:color w:val="404040" w:themeColor="text1" w:themeTint="BF"/>
    </w:rPr>
  </w:style>
  <w:style w:type="paragraph" w:styleId="Textodenotaderodap">
    <w:name w:val="footnote text"/>
    <w:basedOn w:val="Normal"/>
    <w:link w:val="TextodenotaderodapChar"/>
    <w:uiPriority w:val="99"/>
    <w:semiHidden/>
    <w:unhideWhenUsed/>
    <w:rsid w:val="00C000A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000A7"/>
    <w:rPr>
      <w:sz w:val="20"/>
      <w:szCs w:val="20"/>
    </w:rPr>
  </w:style>
  <w:style w:type="character" w:styleId="Refdenotaderodap">
    <w:name w:val="footnote reference"/>
    <w:basedOn w:val="Fontepargpadro"/>
    <w:uiPriority w:val="99"/>
    <w:semiHidden/>
    <w:unhideWhenUsed/>
    <w:rsid w:val="00C000A7"/>
    <w:rPr>
      <w:vertAlign w:val="superscript"/>
    </w:rPr>
  </w:style>
  <w:style w:type="paragraph" w:styleId="Cabealho">
    <w:name w:val="header"/>
    <w:basedOn w:val="Normal"/>
    <w:link w:val="CabealhoChar"/>
    <w:uiPriority w:val="99"/>
    <w:unhideWhenUsed/>
    <w:rsid w:val="001170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1704C"/>
  </w:style>
  <w:style w:type="paragraph" w:styleId="Rodap">
    <w:name w:val="footer"/>
    <w:basedOn w:val="Normal"/>
    <w:link w:val="RodapChar"/>
    <w:uiPriority w:val="99"/>
    <w:unhideWhenUsed/>
    <w:rsid w:val="0011704C"/>
    <w:pPr>
      <w:tabs>
        <w:tab w:val="center" w:pos="4252"/>
        <w:tab w:val="right" w:pos="8504"/>
      </w:tabs>
      <w:spacing w:after="0" w:line="240" w:lineRule="auto"/>
    </w:pPr>
  </w:style>
  <w:style w:type="character" w:customStyle="1" w:styleId="RodapChar">
    <w:name w:val="Rodapé Char"/>
    <w:basedOn w:val="Fontepargpadro"/>
    <w:link w:val="Rodap"/>
    <w:uiPriority w:val="99"/>
    <w:rsid w:val="0011704C"/>
  </w:style>
  <w:style w:type="character" w:styleId="Refdecomentrio">
    <w:name w:val="annotation reference"/>
    <w:basedOn w:val="Fontepargpadro"/>
    <w:uiPriority w:val="99"/>
    <w:semiHidden/>
    <w:unhideWhenUsed/>
    <w:rsid w:val="00323015"/>
    <w:rPr>
      <w:sz w:val="16"/>
      <w:szCs w:val="16"/>
    </w:rPr>
  </w:style>
  <w:style w:type="paragraph" w:styleId="Textodecomentrio">
    <w:name w:val="annotation text"/>
    <w:basedOn w:val="Normal"/>
    <w:link w:val="TextodecomentrioChar"/>
    <w:uiPriority w:val="99"/>
    <w:semiHidden/>
    <w:unhideWhenUsed/>
    <w:rsid w:val="003230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23015"/>
    <w:rPr>
      <w:sz w:val="20"/>
      <w:szCs w:val="20"/>
    </w:rPr>
  </w:style>
  <w:style w:type="paragraph" w:styleId="Assuntodocomentrio">
    <w:name w:val="annotation subject"/>
    <w:basedOn w:val="Textodecomentrio"/>
    <w:next w:val="Textodecomentrio"/>
    <w:link w:val="AssuntodocomentrioChar"/>
    <w:uiPriority w:val="99"/>
    <w:semiHidden/>
    <w:unhideWhenUsed/>
    <w:rsid w:val="00323015"/>
    <w:rPr>
      <w:b/>
      <w:bCs/>
    </w:rPr>
  </w:style>
  <w:style w:type="character" w:customStyle="1" w:styleId="AssuntodocomentrioChar">
    <w:name w:val="Assunto do comentário Char"/>
    <w:basedOn w:val="TextodecomentrioChar"/>
    <w:link w:val="Assuntodocomentrio"/>
    <w:uiPriority w:val="99"/>
    <w:semiHidden/>
    <w:rsid w:val="00323015"/>
    <w:rPr>
      <w:b/>
      <w:bCs/>
      <w:sz w:val="20"/>
      <w:szCs w:val="20"/>
    </w:rPr>
  </w:style>
  <w:style w:type="paragraph" w:styleId="Reviso">
    <w:name w:val="Revision"/>
    <w:hidden/>
    <w:uiPriority w:val="99"/>
    <w:semiHidden/>
    <w:rsid w:val="009D03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0997">
      <w:bodyDiv w:val="1"/>
      <w:marLeft w:val="0"/>
      <w:marRight w:val="0"/>
      <w:marTop w:val="0"/>
      <w:marBottom w:val="0"/>
      <w:divBdr>
        <w:top w:val="none" w:sz="0" w:space="0" w:color="auto"/>
        <w:left w:val="none" w:sz="0" w:space="0" w:color="auto"/>
        <w:bottom w:val="none" w:sz="0" w:space="0" w:color="auto"/>
        <w:right w:val="none" w:sz="0" w:space="0" w:color="auto"/>
      </w:divBdr>
    </w:div>
    <w:div w:id="270553537">
      <w:bodyDiv w:val="1"/>
      <w:marLeft w:val="0"/>
      <w:marRight w:val="0"/>
      <w:marTop w:val="0"/>
      <w:marBottom w:val="0"/>
      <w:divBdr>
        <w:top w:val="none" w:sz="0" w:space="0" w:color="auto"/>
        <w:left w:val="none" w:sz="0" w:space="0" w:color="auto"/>
        <w:bottom w:val="none" w:sz="0" w:space="0" w:color="auto"/>
        <w:right w:val="none" w:sz="0" w:space="0" w:color="auto"/>
      </w:divBdr>
    </w:div>
    <w:div w:id="596715402">
      <w:bodyDiv w:val="1"/>
      <w:marLeft w:val="0"/>
      <w:marRight w:val="0"/>
      <w:marTop w:val="0"/>
      <w:marBottom w:val="0"/>
      <w:divBdr>
        <w:top w:val="none" w:sz="0" w:space="0" w:color="auto"/>
        <w:left w:val="none" w:sz="0" w:space="0" w:color="auto"/>
        <w:bottom w:val="none" w:sz="0" w:space="0" w:color="auto"/>
        <w:right w:val="none" w:sz="0" w:space="0" w:color="auto"/>
      </w:divBdr>
    </w:div>
    <w:div w:id="1021934312">
      <w:bodyDiv w:val="1"/>
      <w:marLeft w:val="0"/>
      <w:marRight w:val="0"/>
      <w:marTop w:val="0"/>
      <w:marBottom w:val="0"/>
      <w:divBdr>
        <w:top w:val="none" w:sz="0" w:space="0" w:color="auto"/>
        <w:left w:val="none" w:sz="0" w:space="0" w:color="auto"/>
        <w:bottom w:val="none" w:sz="0" w:space="0" w:color="auto"/>
        <w:right w:val="none" w:sz="0" w:space="0" w:color="auto"/>
      </w:divBdr>
    </w:div>
    <w:div w:id="1355887693">
      <w:bodyDiv w:val="1"/>
      <w:marLeft w:val="0"/>
      <w:marRight w:val="0"/>
      <w:marTop w:val="0"/>
      <w:marBottom w:val="0"/>
      <w:divBdr>
        <w:top w:val="none" w:sz="0" w:space="0" w:color="auto"/>
        <w:left w:val="none" w:sz="0" w:space="0" w:color="auto"/>
        <w:bottom w:val="none" w:sz="0" w:space="0" w:color="auto"/>
        <w:right w:val="none" w:sz="0" w:space="0" w:color="auto"/>
      </w:divBdr>
    </w:div>
    <w:div w:id="21343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8" Type="http://schemas.microsoft.com/office/2016/09/relationships/commentsIds" Target="commentsId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legislacao.planalto.gov.br/legisla/legislacao.nsf/Viw_Identificacao/mpv%20871-2019?OpenDocument" TargetMode="External"/><Relationship Id="rId14" Type="http://schemas.openxmlformats.org/officeDocument/2006/relationships/header" Target="header1.xml"/><Relationship Id="rId27" Type="http://schemas.microsoft.com/office/2018/08/relationships/commentsExtensible" Target="commentsExtensi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393EF-F63C-4C37-9ACD-DDA999D8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5912</Words>
  <Characters>31925</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SOF</Company>
  <LinksUpToDate>false</LinksUpToDate>
  <CharactersWithSpaces>37762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Guilherme Pinto Henriques</dc:creator>
  <cp:lastModifiedBy>Claudinei Ferrari</cp:lastModifiedBy>
  <cp:revision>2</cp:revision>
  <dcterms:created xsi:type="dcterms:W3CDTF">2020-04-14T00:11:00Z</dcterms:created>
  <dcterms:modified xsi:type="dcterms:W3CDTF">2020-04-14T00:11:00Z</dcterms:modified>
</cp:coreProperties>
</file>