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68C83" w14:textId="6B0153CB" w:rsidR="00C365E8" w:rsidRPr="0022645B" w:rsidRDefault="00C365E8" w:rsidP="000C3C71">
      <w:pPr>
        <w:jc w:val="center"/>
        <w:rPr>
          <w:b/>
          <w:sz w:val="28"/>
          <w:szCs w:val="28"/>
          <w:lang w:eastAsia="pt-BR"/>
        </w:rPr>
      </w:pPr>
      <w:r w:rsidRPr="0022645B">
        <w:rPr>
          <w:b/>
          <w:sz w:val="28"/>
          <w:szCs w:val="28"/>
          <w:lang w:eastAsia="pt-BR"/>
        </w:rPr>
        <w:t>Anexo V</w:t>
      </w:r>
    </w:p>
    <w:p w14:paraId="1679448D" w14:textId="77777777" w:rsidR="00C365E8" w:rsidRPr="0022645B" w:rsidRDefault="00C365E8" w:rsidP="00D06E4B">
      <w:pPr>
        <w:spacing w:after="0" w:line="240" w:lineRule="auto"/>
        <w:jc w:val="center"/>
        <w:rPr>
          <w:b/>
          <w:sz w:val="28"/>
          <w:szCs w:val="28"/>
          <w:lang w:eastAsia="pt-BR"/>
        </w:rPr>
      </w:pPr>
      <w:r w:rsidRPr="0022645B">
        <w:rPr>
          <w:b/>
          <w:sz w:val="28"/>
          <w:szCs w:val="28"/>
          <w:lang w:eastAsia="pt-BR"/>
        </w:rPr>
        <w:t>Riscos Fiscais</w:t>
      </w:r>
    </w:p>
    <w:p w14:paraId="45478939" w14:textId="77777777" w:rsidR="00C365E8" w:rsidRPr="0022645B" w:rsidRDefault="00C365E8" w:rsidP="00D06E4B">
      <w:pPr>
        <w:spacing w:after="0" w:line="240" w:lineRule="auto"/>
        <w:jc w:val="center"/>
        <w:rPr>
          <w:sz w:val="28"/>
          <w:szCs w:val="28"/>
        </w:rPr>
      </w:pPr>
      <w:r w:rsidRPr="0022645B">
        <w:rPr>
          <w:sz w:val="28"/>
          <w:szCs w:val="28"/>
        </w:rPr>
        <w:t>(Art. 4</w:t>
      </w:r>
      <w:r w:rsidRPr="0022645B">
        <w:rPr>
          <w:sz w:val="28"/>
          <w:szCs w:val="28"/>
          <w:u w:val="single"/>
          <w:vertAlign w:val="superscript"/>
        </w:rPr>
        <w:t>o</w:t>
      </w:r>
      <w:r w:rsidRPr="0022645B">
        <w:rPr>
          <w:sz w:val="28"/>
          <w:szCs w:val="28"/>
        </w:rPr>
        <w:t>, § 3</w:t>
      </w:r>
      <w:r w:rsidRPr="0022645B">
        <w:rPr>
          <w:sz w:val="28"/>
          <w:szCs w:val="28"/>
          <w:u w:val="single"/>
          <w:vertAlign w:val="superscript"/>
        </w:rPr>
        <w:t>o</w:t>
      </w:r>
      <w:r w:rsidRPr="0022645B">
        <w:rPr>
          <w:sz w:val="28"/>
          <w:szCs w:val="28"/>
        </w:rPr>
        <w:t xml:space="preserve">, da Lei Complementar </w:t>
      </w:r>
      <w:proofErr w:type="gramStart"/>
      <w:r w:rsidRPr="0022645B">
        <w:rPr>
          <w:sz w:val="28"/>
          <w:szCs w:val="28"/>
        </w:rPr>
        <w:t>n</w:t>
      </w:r>
      <w:r w:rsidRPr="0022645B">
        <w:rPr>
          <w:sz w:val="28"/>
          <w:szCs w:val="28"/>
          <w:u w:val="single"/>
          <w:vertAlign w:val="superscript"/>
        </w:rPr>
        <w:t>o</w:t>
      </w:r>
      <w:r w:rsidRPr="0022645B">
        <w:rPr>
          <w:sz w:val="28"/>
          <w:szCs w:val="28"/>
        </w:rPr>
        <w:t xml:space="preserve"> 101</w:t>
      </w:r>
      <w:proofErr w:type="gramEnd"/>
      <w:r w:rsidRPr="0022645B">
        <w:rPr>
          <w:sz w:val="28"/>
          <w:szCs w:val="28"/>
        </w:rPr>
        <w:t>, de 4 de maio de 2000)</w:t>
      </w:r>
    </w:p>
    <w:p w14:paraId="64682BCB" w14:textId="77777777" w:rsidR="0082250D" w:rsidRPr="0022645B" w:rsidRDefault="0082250D" w:rsidP="00D06E4B">
      <w:pPr>
        <w:spacing w:after="0" w:line="240" w:lineRule="auto"/>
        <w:rPr>
          <w:sz w:val="28"/>
          <w:szCs w:val="28"/>
        </w:rPr>
      </w:pPr>
    </w:p>
    <w:p w14:paraId="2AB74CE0" w14:textId="77777777" w:rsidR="00137B10" w:rsidRPr="0022645B" w:rsidRDefault="00137B10" w:rsidP="00D06E4B">
      <w:pPr>
        <w:spacing w:after="0" w:line="240" w:lineRule="auto"/>
        <w:rPr>
          <w:sz w:val="28"/>
          <w:szCs w:val="28"/>
        </w:rPr>
      </w:pPr>
    </w:p>
    <w:sdt>
      <w:sdtPr>
        <w:id w:val="-277797497"/>
        <w:docPartObj>
          <w:docPartGallery w:val="Table of Contents"/>
          <w:docPartUnique/>
        </w:docPartObj>
      </w:sdtPr>
      <w:sdtEndPr>
        <w:rPr>
          <w:b/>
          <w:bCs/>
          <w:sz w:val="2"/>
          <w:szCs w:val="2"/>
        </w:rPr>
      </w:sdtEndPr>
      <w:sdtContent>
        <w:p w14:paraId="0B64EDA8" w14:textId="77777777" w:rsidR="00ED7FD0" w:rsidRPr="0022645B" w:rsidRDefault="00ED7FD0" w:rsidP="00D06E4B">
          <w:pPr>
            <w:spacing w:line="240" w:lineRule="auto"/>
            <w:rPr>
              <w:b/>
              <w:sz w:val="28"/>
              <w:szCs w:val="28"/>
            </w:rPr>
          </w:pPr>
          <w:r w:rsidRPr="0022645B">
            <w:rPr>
              <w:b/>
              <w:sz w:val="28"/>
              <w:szCs w:val="28"/>
            </w:rPr>
            <w:t>Sumário</w:t>
          </w:r>
        </w:p>
        <w:p w14:paraId="591BF603" w14:textId="4F123001" w:rsidR="00304F5F" w:rsidRDefault="005E4023">
          <w:pPr>
            <w:pStyle w:val="Sumrio1"/>
            <w:tabs>
              <w:tab w:val="left" w:pos="442"/>
              <w:tab w:val="right" w:leader="dot" w:pos="9913"/>
            </w:tabs>
            <w:rPr>
              <w:rFonts w:eastAsiaTheme="minorEastAsia"/>
              <w:noProof/>
              <w:sz w:val="22"/>
              <w:lang w:eastAsia="pt-BR"/>
            </w:rPr>
          </w:pPr>
          <w:r w:rsidRPr="0022645B">
            <w:fldChar w:fldCharType="begin"/>
          </w:r>
          <w:r w:rsidRPr="0022645B">
            <w:instrText xml:space="preserve"> TOC \o "1-3" \h \z \u </w:instrText>
          </w:r>
          <w:r w:rsidRPr="0022645B">
            <w:fldChar w:fldCharType="separate"/>
          </w:r>
          <w:hyperlink w:anchor="_Toc69121208" w:history="1">
            <w:r w:rsidR="00304F5F" w:rsidRPr="00844DAE">
              <w:rPr>
                <w:rStyle w:val="Hyperlink"/>
                <w:b/>
                <w:noProof/>
                <w:lang w:eastAsia="pt-BR"/>
              </w:rPr>
              <w:t>1</w:t>
            </w:r>
            <w:r w:rsidR="00304F5F">
              <w:rPr>
                <w:rFonts w:eastAsiaTheme="minorEastAsia"/>
                <w:noProof/>
                <w:sz w:val="22"/>
                <w:lang w:eastAsia="pt-BR"/>
              </w:rPr>
              <w:tab/>
            </w:r>
            <w:r w:rsidR="00304F5F" w:rsidRPr="00844DAE">
              <w:rPr>
                <w:rStyle w:val="Hyperlink"/>
                <w:b/>
                <w:noProof/>
                <w:lang w:eastAsia="pt-BR"/>
              </w:rPr>
              <w:t>INTRODUÇÃO</w:t>
            </w:r>
            <w:r w:rsidR="00304F5F">
              <w:rPr>
                <w:noProof/>
                <w:webHidden/>
              </w:rPr>
              <w:tab/>
            </w:r>
            <w:r w:rsidR="00304F5F">
              <w:rPr>
                <w:noProof/>
                <w:webHidden/>
              </w:rPr>
              <w:fldChar w:fldCharType="begin"/>
            </w:r>
            <w:r w:rsidR="00304F5F">
              <w:rPr>
                <w:noProof/>
                <w:webHidden/>
              </w:rPr>
              <w:instrText xml:space="preserve"> PAGEREF _Toc69121208 \h </w:instrText>
            </w:r>
            <w:r w:rsidR="00304F5F">
              <w:rPr>
                <w:noProof/>
                <w:webHidden/>
              </w:rPr>
            </w:r>
            <w:r w:rsidR="00304F5F">
              <w:rPr>
                <w:noProof/>
                <w:webHidden/>
              </w:rPr>
              <w:fldChar w:fldCharType="separate"/>
            </w:r>
            <w:r w:rsidR="00BD76F0">
              <w:rPr>
                <w:noProof/>
                <w:webHidden/>
              </w:rPr>
              <w:t>6</w:t>
            </w:r>
            <w:r w:rsidR="00304F5F">
              <w:rPr>
                <w:noProof/>
                <w:webHidden/>
              </w:rPr>
              <w:fldChar w:fldCharType="end"/>
            </w:r>
          </w:hyperlink>
        </w:p>
        <w:p w14:paraId="20B9BB57" w14:textId="5742C8C4" w:rsidR="00304F5F" w:rsidRDefault="009B05DF">
          <w:pPr>
            <w:pStyle w:val="Sumrio1"/>
            <w:tabs>
              <w:tab w:val="left" w:pos="442"/>
              <w:tab w:val="right" w:leader="dot" w:pos="9913"/>
            </w:tabs>
            <w:rPr>
              <w:rFonts w:eastAsiaTheme="minorEastAsia"/>
              <w:noProof/>
              <w:sz w:val="22"/>
              <w:lang w:eastAsia="pt-BR"/>
            </w:rPr>
          </w:pPr>
          <w:hyperlink w:anchor="_Toc69121209" w:history="1">
            <w:r w:rsidR="00304F5F" w:rsidRPr="00844DAE">
              <w:rPr>
                <w:rStyle w:val="Hyperlink"/>
                <w:b/>
                <w:noProof/>
                <w:lang w:eastAsia="pt-BR"/>
              </w:rPr>
              <w:t>2</w:t>
            </w:r>
            <w:r w:rsidR="00304F5F">
              <w:rPr>
                <w:rFonts w:eastAsiaTheme="minorEastAsia"/>
                <w:noProof/>
                <w:sz w:val="22"/>
                <w:lang w:eastAsia="pt-BR"/>
              </w:rPr>
              <w:tab/>
            </w:r>
            <w:r w:rsidR="00304F5F" w:rsidRPr="00844DAE">
              <w:rPr>
                <w:rStyle w:val="Hyperlink"/>
                <w:b/>
                <w:noProof/>
                <w:lang w:eastAsia="pt-BR"/>
              </w:rPr>
              <w:t>SUMÁRIO EXECUTIVO</w:t>
            </w:r>
            <w:r w:rsidR="00304F5F">
              <w:rPr>
                <w:noProof/>
                <w:webHidden/>
              </w:rPr>
              <w:tab/>
            </w:r>
            <w:r w:rsidR="00304F5F">
              <w:rPr>
                <w:noProof/>
                <w:webHidden/>
              </w:rPr>
              <w:fldChar w:fldCharType="begin"/>
            </w:r>
            <w:r w:rsidR="00304F5F">
              <w:rPr>
                <w:noProof/>
                <w:webHidden/>
              </w:rPr>
              <w:instrText xml:space="preserve"> PAGEREF _Toc69121209 \h </w:instrText>
            </w:r>
            <w:r w:rsidR="00304F5F">
              <w:rPr>
                <w:noProof/>
                <w:webHidden/>
              </w:rPr>
            </w:r>
            <w:r w:rsidR="00304F5F">
              <w:rPr>
                <w:noProof/>
                <w:webHidden/>
              </w:rPr>
              <w:fldChar w:fldCharType="separate"/>
            </w:r>
            <w:r w:rsidR="00BD76F0">
              <w:rPr>
                <w:noProof/>
                <w:webHidden/>
              </w:rPr>
              <w:t>8</w:t>
            </w:r>
            <w:r w:rsidR="00304F5F">
              <w:rPr>
                <w:noProof/>
                <w:webHidden/>
              </w:rPr>
              <w:fldChar w:fldCharType="end"/>
            </w:r>
          </w:hyperlink>
        </w:p>
        <w:p w14:paraId="1054C1D0" w14:textId="2900242C" w:rsidR="00304F5F" w:rsidRDefault="009B05DF">
          <w:pPr>
            <w:pStyle w:val="Sumrio1"/>
            <w:tabs>
              <w:tab w:val="left" w:pos="442"/>
              <w:tab w:val="right" w:leader="dot" w:pos="9913"/>
            </w:tabs>
            <w:rPr>
              <w:rFonts w:eastAsiaTheme="minorEastAsia"/>
              <w:noProof/>
              <w:sz w:val="22"/>
              <w:lang w:eastAsia="pt-BR"/>
            </w:rPr>
          </w:pPr>
          <w:hyperlink w:anchor="_Toc69121210" w:history="1">
            <w:r w:rsidR="00304F5F" w:rsidRPr="00844DAE">
              <w:rPr>
                <w:rStyle w:val="Hyperlink"/>
                <w:b/>
                <w:noProof/>
                <w:lang w:eastAsia="pt-BR"/>
              </w:rPr>
              <w:t>3</w:t>
            </w:r>
            <w:r w:rsidR="00304F5F">
              <w:rPr>
                <w:rFonts w:eastAsiaTheme="minorEastAsia"/>
                <w:noProof/>
                <w:sz w:val="22"/>
                <w:lang w:eastAsia="pt-BR"/>
              </w:rPr>
              <w:tab/>
            </w:r>
            <w:r w:rsidR="00304F5F" w:rsidRPr="00844DAE">
              <w:rPr>
                <w:rStyle w:val="Hyperlink"/>
                <w:b/>
                <w:noProof/>
                <w:lang w:eastAsia="pt-BR"/>
              </w:rPr>
              <w:t>ANÁLISE DOS RISCOS MACROECONÔMICOS (GERAIS)</w:t>
            </w:r>
            <w:r w:rsidR="00304F5F">
              <w:rPr>
                <w:noProof/>
                <w:webHidden/>
              </w:rPr>
              <w:tab/>
            </w:r>
            <w:r w:rsidR="00304F5F">
              <w:rPr>
                <w:noProof/>
                <w:webHidden/>
              </w:rPr>
              <w:fldChar w:fldCharType="begin"/>
            </w:r>
            <w:r w:rsidR="00304F5F">
              <w:rPr>
                <w:noProof/>
                <w:webHidden/>
              </w:rPr>
              <w:instrText xml:space="preserve"> PAGEREF _Toc69121210 \h </w:instrText>
            </w:r>
            <w:r w:rsidR="00304F5F">
              <w:rPr>
                <w:noProof/>
                <w:webHidden/>
              </w:rPr>
            </w:r>
            <w:r w:rsidR="00304F5F">
              <w:rPr>
                <w:noProof/>
                <w:webHidden/>
              </w:rPr>
              <w:fldChar w:fldCharType="separate"/>
            </w:r>
            <w:r w:rsidR="00BD76F0">
              <w:rPr>
                <w:noProof/>
                <w:webHidden/>
              </w:rPr>
              <w:t>13</w:t>
            </w:r>
            <w:r w:rsidR="00304F5F">
              <w:rPr>
                <w:noProof/>
                <w:webHidden/>
              </w:rPr>
              <w:fldChar w:fldCharType="end"/>
            </w:r>
          </w:hyperlink>
        </w:p>
        <w:p w14:paraId="1E9C0DCC" w14:textId="1532E5EC" w:rsidR="00304F5F" w:rsidRDefault="009B05DF">
          <w:pPr>
            <w:pStyle w:val="Sumrio2"/>
            <w:rPr>
              <w:rFonts w:eastAsiaTheme="minorEastAsia"/>
              <w:noProof/>
              <w:sz w:val="22"/>
              <w:lang w:eastAsia="pt-BR"/>
            </w:rPr>
          </w:pPr>
          <w:hyperlink w:anchor="_Toc69121211" w:history="1">
            <w:r w:rsidR="00304F5F" w:rsidRPr="00844DAE">
              <w:rPr>
                <w:rStyle w:val="Hyperlink"/>
                <w:rFonts w:cs="Times New Roman"/>
                <w:noProof/>
              </w:rPr>
              <w:t>3.1</w:t>
            </w:r>
            <w:r w:rsidR="00304F5F">
              <w:rPr>
                <w:rFonts w:eastAsiaTheme="minorEastAsia"/>
                <w:noProof/>
                <w:sz w:val="22"/>
                <w:lang w:eastAsia="pt-BR"/>
              </w:rPr>
              <w:tab/>
            </w:r>
            <w:r w:rsidR="00304F5F" w:rsidRPr="00844DAE">
              <w:rPr>
                <w:rStyle w:val="Hyperlink"/>
                <w:rFonts w:cs="Times New Roman"/>
                <w:noProof/>
              </w:rPr>
              <w:t>SENSIBILIDADE DAS RECEITAS ADMINISTRADAS PELA RFB</w:t>
            </w:r>
            <w:r w:rsidR="00304F5F">
              <w:rPr>
                <w:noProof/>
                <w:webHidden/>
              </w:rPr>
              <w:tab/>
            </w:r>
            <w:r w:rsidR="00304F5F">
              <w:rPr>
                <w:noProof/>
                <w:webHidden/>
              </w:rPr>
              <w:fldChar w:fldCharType="begin"/>
            </w:r>
            <w:r w:rsidR="00304F5F">
              <w:rPr>
                <w:noProof/>
                <w:webHidden/>
              </w:rPr>
              <w:instrText xml:space="preserve"> PAGEREF _Toc69121211 \h </w:instrText>
            </w:r>
            <w:r w:rsidR="00304F5F">
              <w:rPr>
                <w:noProof/>
                <w:webHidden/>
              </w:rPr>
            </w:r>
            <w:r w:rsidR="00304F5F">
              <w:rPr>
                <w:noProof/>
                <w:webHidden/>
              </w:rPr>
              <w:fldChar w:fldCharType="separate"/>
            </w:r>
            <w:r w:rsidR="00BD76F0">
              <w:rPr>
                <w:noProof/>
                <w:webHidden/>
              </w:rPr>
              <w:t>13</w:t>
            </w:r>
            <w:r w:rsidR="00304F5F">
              <w:rPr>
                <w:noProof/>
                <w:webHidden/>
              </w:rPr>
              <w:fldChar w:fldCharType="end"/>
            </w:r>
          </w:hyperlink>
        </w:p>
        <w:p w14:paraId="63CA1EA7" w14:textId="21184B63" w:rsidR="00304F5F" w:rsidRDefault="009B05DF">
          <w:pPr>
            <w:pStyle w:val="Sumrio3"/>
            <w:rPr>
              <w:rFonts w:eastAsiaTheme="minorEastAsia"/>
              <w:noProof/>
              <w:sz w:val="22"/>
              <w:lang w:eastAsia="pt-BR"/>
            </w:rPr>
          </w:pPr>
          <w:hyperlink w:anchor="_Toc69121212" w:history="1">
            <w:r w:rsidR="00304F5F" w:rsidRPr="00844DAE">
              <w:rPr>
                <w:rStyle w:val="Hyperlink"/>
                <w:b/>
                <w:noProof/>
              </w:rPr>
              <w:t>3.1.1</w:t>
            </w:r>
            <w:r w:rsidR="00304F5F">
              <w:rPr>
                <w:rFonts w:eastAsiaTheme="minorEastAsia"/>
                <w:noProof/>
                <w:sz w:val="22"/>
                <w:lang w:eastAsia="pt-BR"/>
              </w:rPr>
              <w:tab/>
            </w:r>
            <w:r w:rsidR="00304F5F" w:rsidRPr="00844DAE">
              <w:rPr>
                <w:rStyle w:val="Hyperlink"/>
                <w:b/>
                <w:noProof/>
              </w:rPr>
              <w:t>Receitas Administradas pela RFB</w:t>
            </w:r>
            <w:r w:rsidR="00304F5F">
              <w:rPr>
                <w:noProof/>
                <w:webHidden/>
              </w:rPr>
              <w:tab/>
            </w:r>
            <w:r w:rsidR="00304F5F">
              <w:rPr>
                <w:noProof/>
                <w:webHidden/>
              </w:rPr>
              <w:fldChar w:fldCharType="begin"/>
            </w:r>
            <w:r w:rsidR="00304F5F">
              <w:rPr>
                <w:noProof/>
                <w:webHidden/>
              </w:rPr>
              <w:instrText xml:space="preserve"> PAGEREF _Toc69121212 \h </w:instrText>
            </w:r>
            <w:r w:rsidR="00304F5F">
              <w:rPr>
                <w:noProof/>
                <w:webHidden/>
              </w:rPr>
            </w:r>
            <w:r w:rsidR="00304F5F">
              <w:rPr>
                <w:noProof/>
                <w:webHidden/>
              </w:rPr>
              <w:fldChar w:fldCharType="separate"/>
            </w:r>
            <w:r w:rsidR="00BD76F0">
              <w:rPr>
                <w:noProof/>
                <w:webHidden/>
              </w:rPr>
              <w:t>13</w:t>
            </w:r>
            <w:r w:rsidR="00304F5F">
              <w:rPr>
                <w:noProof/>
                <w:webHidden/>
              </w:rPr>
              <w:fldChar w:fldCharType="end"/>
            </w:r>
          </w:hyperlink>
        </w:p>
        <w:p w14:paraId="5C06DAD0" w14:textId="7A36FCDE" w:rsidR="00304F5F" w:rsidRDefault="009B05DF">
          <w:pPr>
            <w:pStyle w:val="Sumrio3"/>
            <w:rPr>
              <w:rFonts w:eastAsiaTheme="minorEastAsia"/>
              <w:noProof/>
              <w:sz w:val="22"/>
              <w:lang w:eastAsia="pt-BR"/>
            </w:rPr>
          </w:pPr>
          <w:hyperlink w:anchor="_Toc69121213" w:history="1">
            <w:r w:rsidR="00304F5F" w:rsidRPr="00844DAE">
              <w:rPr>
                <w:rStyle w:val="Hyperlink"/>
                <w:b/>
                <w:noProof/>
              </w:rPr>
              <w:t>3.1.2</w:t>
            </w:r>
            <w:r w:rsidR="00304F5F">
              <w:rPr>
                <w:rFonts w:eastAsiaTheme="minorEastAsia"/>
                <w:noProof/>
                <w:sz w:val="22"/>
                <w:lang w:eastAsia="pt-BR"/>
              </w:rPr>
              <w:tab/>
            </w:r>
            <w:r w:rsidR="00304F5F" w:rsidRPr="00844DAE">
              <w:rPr>
                <w:rStyle w:val="Hyperlink"/>
                <w:b/>
                <w:noProof/>
              </w:rPr>
              <w:t>Sensibilidade da Receita Administrada pela RFB aos Parâmetros Macroeconômicos</w:t>
            </w:r>
            <w:r w:rsidR="00304F5F">
              <w:rPr>
                <w:noProof/>
                <w:webHidden/>
              </w:rPr>
              <w:tab/>
            </w:r>
            <w:r w:rsidR="00304F5F">
              <w:rPr>
                <w:noProof/>
                <w:webHidden/>
              </w:rPr>
              <w:fldChar w:fldCharType="begin"/>
            </w:r>
            <w:r w:rsidR="00304F5F">
              <w:rPr>
                <w:noProof/>
                <w:webHidden/>
              </w:rPr>
              <w:instrText xml:space="preserve"> PAGEREF _Toc69121213 \h </w:instrText>
            </w:r>
            <w:r w:rsidR="00304F5F">
              <w:rPr>
                <w:noProof/>
                <w:webHidden/>
              </w:rPr>
            </w:r>
            <w:r w:rsidR="00304F5F">
              <w:rPr>
                <w:noProof/>
                <w:webHidden/>
              </w:rPr>
              <w:fldChar w:fldCharType="separate"/>
            </w:r>
            <w:r w:rsidR="00BD76F0">
              <w:rPr>
                <w:noProof/>
                <w:webHidden/>
              </w:rPr>
              <w:t>14</w:t>
            </w:r>
            <w:r w:rsidR="00304F5F">
              <w:rPr>
                <w:noProof/>
                <w:webHidden/>
              </w:rPr>
              <w:fldChar w:fldCharType="end"/>
            </w:r>
          </w:hyperlink>
        </w:p>
        <w:p w14:paraId="0E0537DB" w14:textId="4F80AD30" w:rsidR="00304F5F" w:rsidRDefault="009B05DF">
          <w:pPr>
            <w:pStyle w:val="Sumrio2"/>
            <w:rPr>
              <w:rFonts w:eastAsiaTheme="minorEastAsia"/>
              <w:noProof/>
              <w:sz w:val="22"/>
              <w:lang w:eastAsia="pt-BR"/>
            </w:rPr>
          </w:pPr>
          <w:hyperlink w:anchor="_Toc69121214" w:history="1">
            <w:r w:rsidR="00304F5F" w:rsidRPr="00844DAE">
              <w:rPr>
                <w:rStyle w:val="Hyperlink"/>
                <w:rFonts w:cs="Times New Roman"/>
                <w:noProof/>
              </w:rPr>
              <w:t>3.2</w:t>
            </w:r>
            <w:r w:rsidR="00304F5F">
              <w:rPr>
                <w:rFonts w:eastAsiaTheme="minorEastAsia"/>
                <w:noProof/>
                <w:sz w:val="22"/>
                <w:lang w:eastAsia="pt-BR"/>
              </w:rPr>
              <w:tab/>
            </w:r>
            <w:r w:rsidR="00304F5F" w:rsidRPr="00844DAE">
              <w:rPr>
                <w:rStyle w:val="Hyperlink"/>
                <w:rFonts w:cs="Times New Roman"/>
                <w:noProof/>
              </w:rPr>
              <w:t>SENSIBILIDADE DA DESPESA PRIMÁRIA</w:t>
            </w:r>
            <w:r w:rsidR="00304F5F">
              <w:rPr>
                <w:noProof/>
                <w:webHidden/>
              </w:rPr>
              <w:tab/>
            </w:r>
            <w:r w:rsidR="00304F5F">
              <w:rPr>
                <w:noProof/>
                <w:webHidden/>
              </w:rPr>
              <w:fldChar w:fldCharType="begin"/>
            </w:r>
            <w:r w:rsidR="00304F5F">
              <w:rPr>
                <w:noProof/>
                <w:webHidden/>
              </w:rPr>
              <w:instrText xml:space="preserve"> PAGEREF _Toc69121214 \h </w:instrText>
            </w:r>
            <w:r w:rsidR="00304F5F">
              <w:rPr>
                <w:noProof/>
                <w:webHidden/>
              </w:rPr>
            </w:r>
            <w:r w:rsidR="00304F5F">
              <w:rPr>
                <w:noProof/>
                <w:webHidden/>
              </w:rPr>
              <w:fldChar w:fldCharType="separate"/>
            </w:r>
            <w:r w:rsidR="00BD76F0">
              <w:rPr>
                <w:noProof/>
                <w:webHidden/>
              </w:rPr>
              <w:t>16</w:t>
            </w:r>
            <w:r w:rsidR="00304F5F">
              <w:rPr>
                <w:noProof/>
                <w:webHidden/>
              </w:rPr>
              <w:fldChar w:fldCharType="end"/>
            </w:r>
          </w:hyperlink>
        </w:p>
        <w:p w14:paraId="793C7B50" w14:textId="1D83F025" w:rsidR="00304F5F" w:rsidRDefault="009B05DF">
          <w:pPr>
            <w:pStyle w:val="Sumrio3"/>
            <w:rPr>
              <w:rFonts w:eastAsiaTheme="minorEastAsia"/>
              <w:noProof/>
              <w:sz w:val="22"/>
              <w:lang w:eastAsia="pt-BR"/>
            </w:rPr>
          </w:pPr>
          <w:hyperlink w:anchor="_Toc69121215" w:history="1">
            <w:r w:rsidR="00304F5F" w:rsidRPr="00844DAE">
              <w:rPr>
                <w:rStyle w:val="Hyperlink"/>
                <w:b/>
                <w:noProof/>
              </w:rPr>
              <w:t>3.2.1</w:t>
            </w:r>
            <w:r w:rsidR="00304F5F">
              <w:rPr>
                <w:rFonts w:eastAsiaTheme="minorEastAsia"/>
                <w:noProof/>
                <w:sz w:val="22"/>
                <w:lang w:eastAsia="pt-BR"/>
              </w:rPr>
              <w:tab/>
            </w:r>
            <w:r w:rsidR="00304F5F" w:rsidRPr="00844DAE">
              <w:rPr>
                <w:rStyle w:val="Hyperlink"/>
                <w:b/>
                <w:noProof/>
              </w:rPr>
              <w:t>Sensibilidade da Despesa Primária Geral</w:t>
            </w:r>
            <w:r w:rsidR="00304F5F">
              <w:rPr>
                <w:noProof/>
                <w:webHidden/>
              </w:rPr>
              <w:tab/>
            </w:r>
            <w:r w:rsidR="00304F5F">
              <w:rPr>
                <w:noProof/>
                <w:webHidden/>
              </w:rPr>
              <w:fldChar w:fldCharType="begin"/>
            </w:r>
            <w:r w:rsidR="00304F5F">
              <w:rPr>
                <w:noProof/>
                <w:webHidden/>
              </w:rPr>
              <w:instrText xml:space="preserve"> PAGEREF _Toc69121215 \h </w:instrText>
            </w:r>
            <w:r w:rsidR="00304F5F">
              <w:rPr>
                <w:noProof/>
                <w:webHidden/>
              </w:rPr>
            </w:r>
            <w:r w:rsidR="00304F5F">
              <w:rPr>
                <w:noProof/>
                <w:webHidden/>
              </w:rPr>
              <w:fldChar w:fldCharType="separate"/>
            </w:r>
            <w:r w:rsidR="00BD76F0">
              <w:rPr>
                <w:noProof/>
                <w:webHidden/>
              </w:rPr>
              <w:t>16</w:t>
            </w:r>
            <w:r w:rsidR="00304F5F">
              <w:rPr>
                <w:noProof/>
                <w:webHidden/>
              </w:rPr>
              <w:fldChar w:fldCharType="end"/>
            </w:r>
          </w:hyperlink>
        </w:p>
        <w:p w14:paraId="20539317" w14:textId="57D5E4AE" w:rsidR="00304F5F" w:rsidRDefault="009B05DF">
          <w:pPr>
            <w:pStyle w:val="Sumrio3"/>
            <w:rPr>
              <w:rFonts w:eastAsiaTheme="minorEastAsia"/>
              <w:noProof/>
              <w:sz w:val="22"/>
              <w:lang w:eastAsia="pt-BR"/>
            </w:rPr>
          </w:pPr>
          <w:hyperlink w:anchor="_Toc69121216" w:history="1">
            <w:r w:rsidR="00304F5F" w:rsidRPr="00844DAE">
              <w:rPr>
                <w:rStyle w:val="Hyperlink"/>
                <w:b/>
                <w:noProof/>
              </w:rPr>
              <w:t>3.2.2</w:t>
            </w:r>
            <w:r w:rsidR="00304F5F">
              <w:rPr>
                <w:rFonts w:eastAsiaTheme="minorEastAsia"/>
                <w:noProof/>
                <w:sz w:val="22"/>
                <w:lang w:eastAsia="pt-BR"/>
              </w:rPr>
              <w:tab/>
            </w:r>
            <w:r w:rsidR="00304F5F" w:rsidRPr="00844DAE">
              <w:rPr>
                <w:rStyle w:val="Hyperlink"/>
                <w:b/>
                <w:noProof/>
              </w:rPr>
              <w:t>Sensibilidade da Despesa com Subsídios e Subvenções</w:t>
            </w:r>
            <w:r w:rsidR="00304F5F">
              <w:rPr>
                <w:noProof/>
                <w:webHidden/>
              </w:rPr>
              <w:tab/>
            </w:r>
            <w:r w:rsidR="00304F5F">
              <w:rPr>
                <w:noProof/>
                <w:webHidden/>
              </w:rPr>
              <w:fldChar w:fldCharType="begin"/>
            </w:r>
            <w:r w:rsidR="00304F5F">
              <w:rPr>
                <w:noProof/>
                <w:webHidden/>
              </w:rPr>
              <w:instrText xml:space="preserve"> PAGEREF _Toc69121216 \h </w:instrText>
            </w:r>
            <w:r w:rsidR="00304F5F">
              <w:rPr>
                <w:noProof/>
                <w:webHidden/>
              </w:rPr>
            </w:r>
            <w:r w:rsidR="00304F5F">
              <w:rPr>
                <w:noProof/>
                <w:webHidden/>
              </w:rPr>
              <w:fldChar w:fldCharType="separate"/>
            </w:r>
            <w:r w:rsidR="00BD76F0">
              <w:rPr>
                <w:noProof/>
                <w:webHidden/>
              </w:rPr>
              <w:t>19</w:t>
            </w:r>
            <w:r w:rsidR="00304F5F">
              <w:rPr>
                <w:noProof/>
                <w:webHidden/>
              </w:rPr>
              <w:fldChar w:fldCharType="end"/>
            </w:r>
          </w:hyperlink>
        </w:p>
        <w:p w14:paraId="413EA9E7" w14:textId="7E8A39BF" w:rsidR="00304F5F" w:rsidRDefault="009B05DF">
          <w:pPr>
            <w:pStyle w:val="Sumrio2"/>
            <w:rPr>
              <w:rFonts w:eastAsiaTheme="minorEastAsia"/>
              <w:noProof/>
              <w:sz w:val="22"/>
              <w:lang w:eastAsia="pt-BR"/>
            </w:rPr>
          </w:pPr>
          <w:hyperlink w:anchor="_Toc69121217" w:history="1">
            <w:r w:rsidR="00304F5F" w:rsidRPr="00844DAE">
              <w:rPr>
                <w:rStyle w:val="Hyperlink"/>
                <w:rFonts w:cs="Times New Roman"/>
                <w:noProof/>
              </w:rPr>
              <w:t>3.3</w:t>
            </w:r>
            <w:r w:rsidR="00304F5F">
              <w:rPr>
                <w:rFonts w:eastAsiaTheme="minorEastAsia"/>
                <w:noProof/>
                <w:sz w:val="22"/>
                <w:lang w:eastAsia="pt-BR"/>
              </w:rPr>
              <w:tab/>
            </w:r>
            <w:r w:rsidR="00304F5F" w:rsidRPr="00844DAE">
              <w:rPr>
                <w:rStyle w:val="Hyperlink"/>
                <w:rFonts w:cs="Times New Roman"/>
                <w:noProof/>
              </w:rPr>
              <w:t>SENSIBILIDADE DA DÍVIDA PÚBLICA</w:t>
            </w:r>
            <w:r w:rsidR="00304F5F">
              <w:rPr>
                <w:noProof/>
                <w:webHidden/>
              </w:rPr>
              <w:tab/>
            </w:r>
            <w:r w:rsidR="00304F5F">
              <w:rPr>
                <w:noProof/>
                <w:webHidden/>
              </w:rPr>
              <w:fldChar w:fldCharType="begin"/>
            </w:r>
            <w:r w:rsidR="00304F5F">
              <w:rPr>
                <w:noProof/>
                <w:webHidden/>
              </w:rPr>
              <w:instrText xml:space="preserve"> PAGEREF _Toc69121217 \h </w:instrText>
            </w:r>
            <w:r w:rsidR="00304F5F">
              <w:rPr>
                <w:noProof/>
                <w:webHidden/>
              </w:rPr>
            </w:r>
            <w:r w:rsidR="00304F5F">
              <w:rPr>
                <w:noProof/>
                <w:webHidden/>
              </w:rPr>
              <w:fldChar w:fldCharType="separate"/>
            </w:r>
            <w:r w:rsidR="00BD76F0">
              <w:rPr>
                <w:noProof/>
                <w:webHidden/>
              </w:rPr>
              <w:t>19</w:t>
            </w:r>
            <w:r w:rsidR="00304F5F">
              <w:rPr>
                <w:noProof/>
                <w:webHidden/>
              </w:rPr>
              <w:fldChar w:fldCharType="end"/>
            </w:r>
          </w:hyperlink>
        </w:p>
        <w:p w14:paraId="1C08E6E0" w14:textId="418111B4" w:rsidR="00304F5F" w:rsidRDefault="009B05DF">
          <w:pPr>
            <w:pStyle w:val="Sumrio3"/>
            <w:rPr>
              <w:rFonts w:eastAsiaTheme="minorEastAsia"/>
              <w:noProof/>
              <w:sz w:val="22"/>
              <w:lang w:eastAsia="pt-BR"/>
            </w:rPr>
          </w:pPr>
          <w:hyperlink w:anchor="_Toc69121218" w:history="1">
            <w:r w:rsidR="00304F5F" w:rsidRPr="00844DAE">
              <w:rPr>
                <w:rStyle w:val="Hyperlink"/>
                <w:b/>
                <w:noProof/>
              </w:rPr>
              <w:t>3.3.1</w:t>
            </w:r>
            <w:r w:rsidR="00304F5F">
              <w:rPr>
                <w:rFonts w:eastAsiaTheme="minorEastAsia"/>
                <w:noProof/>
                <w:sz w:val="22"/>
                <w:lang w:eastAsia="pt-BR"/>
              </w:rPr>
              <w:tab/>
            </w:r>
            <w:r w:rsidR="00304F5F" w:rsidRPr="00844DAE">
              <w:rPr>
                <w:rStyle w:val="Hyperlink"/>
                <w:b/>
                <w:noProof/>
              </w:rPr>
              <w:t>Riscos de Mercado</w:t>
            </w:r>
            <w:r w:rsidR="00304F5F">
              <w:rPr>
                <w:noProof/>
                <w:webHidden/>
              </w:rPr>
              <w:tab/>
            </w:r>
            <w:r w:rsidR="00304F5F">
              <w:rPr>
                <w:noProof/>
                <w:webHidden/>
              </w:rPr>
              <w:fldChar w:fldCharType="begin"/>
            </w:r>
            <w:r w:rsidR="00304F5F">
              <w:rPr>
                <w:noProof/>
                <w:webHidden/>
              </w:rPr>
              <w:instrText xml:space="preserve"> PAGEREF _Toc69121218 \h </w:instrText>
            </w:r>
            <w:r w:rsidR="00304F5F">
              <w:rPr>
                <w:noProof/>
                <w:webHidden/>
              </w:rPr>
            </w:r>
            <w:r w:rsidR="00304F5F">
              <w:rPr>
                <w:noProof/>
                <w:webHidden/>
              </w:rPr>
              <w:fldChar w:fldCharType="separate"/>
            </w:r>
            <w:r w:rsidR="00BD76F0">
              <w:rPr>
                <w:noProof/>
                <w:webHidden/>
              </w:rPr>
              <w:t>20</w:t>
            </w:r>
            <w:r w:rsidR="00304F5F">
              <w:rPr>
                <w:noProof/>
                <w:webHidden/>
              </w:rPr>
              <w:fldChar w:fldCharType="end"/>
            </w:r>
          </w:hyperlink>
        </w:p>
        <w:p w14:paraId="1C8DDEB1" w14:textId="4FA9FE4D" w:rsidR="00304F5F" w:rsidRDefault="009B05DF">
          <w:pPr>
            <w:pStyle w:val="Sumrio3"/>
            <w:rPr>
              <w:rFonts w:eastAsiaTheme="minorEastAsia"/>
              <w:noProof/>
              <w:sz w:val="22"/>
              <w:lang w:eastAsia="pt-BR"/>
            </w:rPr>
          </w:pPr>
          <w:hyperlink w:anchor="_Toc69121219" w:history="1">
            <w:r w:rsidR="00304F5F" w:rsidRPr="00844DAE">
              <w:rPr>
                <w:rStyle w:val="Hyperlink"/>
                <w:b/>
                <w:noProof/>
              </w:rPr>
              <w:t>3.3.2</w:t>
            </w:r>
            <w:r w:rsidR="00304F5F">
              <w:rPr>
                <w:rFonts w:eastAsiaTheme="minorEastAsia"/>
                <w:noProof/>
                <w:sz w:val="22"/>
                <w:lang w:eastAsia="pt-BR"/>
              </w:rPr>
              <w:tab/>
            </w:r>
            <w:r w:rsidR="00304F5F" w:rsidRPr="00844DAE">
              <w:rPr>
                <w:rStyle w:val="Hyperlink"/>
                <w:b/>
                <w:noProof/>
              </w:rPr>
              <w:t>Risco de Refinanciamento</w:t>
            </w:r>
            <w:r w:rsidR="00304F5F">
              <w:rPr>
                <w:noProof/>
                <w:webHidden/>
              </w:rPr>
              <w:tab/>
            </w:r>
            <w:r w:rsidR="00304F5F">
              <w:rPr>
                <w:noProof/>
                <w:webHidden/>
              </w:rPr>
              <w:fldChar w:fldCharType="begin"/>
            </w:r>
            <w:r w:rsidR="00304F5F">
              <w:rPr>
                <w:noProof/>
                <w:webHidden/>
              </w:rPr>
              <w:instrText xml:space="preserve"> PAGEREF _Toc69121219 \h </w:instrText>
            </w:r>
            <w:r w:rsidR="00304F5F">
              <w:rPr>
                <w:noProof/>
                <w:webHidden/>
              </w:rPr>
            </w:r>
            <w:r w:rsidR="00304F5F">
              <w:rPr>
                <w:noProof/>
                <w:webHidden/>
              </w:rPr>
              <w:fldChar w:fldCharType="separate"/>
            </w:r>
            <w:r w:rsidR="00BD76F0">
              <w:rPr>
                <w:noProof/>
                <w:webHidden/>
              </w:rPr>
              <w:t>25</w:t>
            </w:r>
            <w:r w:rsidR="00304F5F">
              <w:rPr>
                <w:noProof/>
                <w:webHidden/>
              </w:rPr>
              <w:fldChar w:fldCharType="end"/>
            </w:r>
          </w:hyperlink>
        </w:p>
        <w:p w14:paraId="09A4F270" w14:textId="57E6DF52" w:rsidR="00304F5F" w:rsidRDefault="009B05DF">
          <w:pPr>
            <w:pStyle w:val="Sumrio2"/>
            <w:rPr>
              <w:rFonts w:eastAsiaTheme="minorEastAsia"/>
              <w:noProof/>
              <w:sz w:val="22"/>
              <w:lang w:eastAsia="pt-BR"/>
            </w:rPr>
          </w:pPr>
          <w:hyperlink w:anchor="_Toc69121220" w:history="1">
            <w:r w:rsidR="00304F5F" w:rsidRPr="00844DAE">
              <w:rPr>
                <w:rStyle w:val="Hyperlink"/>
                <w:rFonts w:cs="Times New Roman"/>
                <w:noProof/>
              </w:rPr>
              <w:t>3.4</w:t>
            </w:r>
            <w:r w:rsidR="00304F5F">
              <w:rPr>
                <w:rFonts w:eastAsiaTheme="minorEastAsia"/>
                <w:noProof/>
                <w:sz w:val="22"/>
                <w:lang w:eastAsia="pt-BR"/>
              </w:rPr>
              <w:tab/>
            </w:r>
            <w:r w:rsidR="00304F5F" w:rsidRPr="00844DAE">
              <w:rPr>
                <w:rStyle w:val="Hyperlink"/>
                <w:rFonts w:cs="Times New Roman"/>
                <w:noProof/>
              </w:rPr>
              <w:t>ESTRESSE DOS PARÂMETROS MACROECONÔMICOS E SIMULAÇÕES</w:t>
            </w:r>
            <w:r w:rsidR="00304F5F">
              <w:rPr>
                <w:noProof/>
                <w:webHidden/>
              </w:rPr>
              <w:tab/>
            </w:r>
            <w:r w:rsidR="00304F5F">
              <w:rPr>
                <w:noProof/>
                <w:webHidden/>
              </w:rPr>
              <w:fldChar w:fldCharType="begin"/>
            </w:r>
            <w:r w:rsidR="00304F5F">
              <w:rPr>
                <w:noProof/>
                <w:webHidden/>
              </w:rPr>
              <w:instrText xml:space="preserve"> PAGEREF _Toc69121220 \h </w:instrText>
            </w:r>
            <w:r w:rsidR="00304F5F">
              <w:rPr>
                <w:noProof/>
                <w:webHidden/>
              </w:rPr>
            </w:r>
            <w:r w:rsidR="00304F5F">
              <w:rPr>
                <w:noProof/>
                <w:webHidden/>
              </w:rPr>
              <w:fldChar w:fldCharType="separate"/>
            </w:r>
            <w:r w:rsidR="00BD76F0">
              <w:rPr>
                <w:noProof/>
                <w:webHidden/>
              </w:rPr>
              <w:t>27</w:t>
            </w:r>
            <w:r w:rsidR="00304F5F">
              <w:rPr>
                <w:noProof/>
                <w:webHidden/>
              </w:rPr>
              <w:fldChar w:fldCharType="end"/>
            </w:r>
          </w:hyperlink>
        </w:p>
        <w:p w14:paraId="17F566C4" w14:textId="6D575A17" w:rsidR="00304F5F" w:rsidRDefault="009B05DF">
          <w:pPr>
            <w:pStyle w:val="Sumrio3"/>
            <w:rPr>
              <w:rFonts w:eastAsiaTheme="minorEastAsia"/>
              <w:noProof/>
              <w:sz w:val="22"/>
              <w:lang w:eastAsia="pt-BR"/>
            </w:rPr>
          </w:pPr>
          <w:hyperlink w:anchor="_Toc69121221" w:history="1">
            <w:r w:rsidR="00304F5F" w:rsidRPr="00844DAE">
              <w:rPr>
                <w:rStyle w:val="Hyperlink"/>
                <w:b/>
                <w:noProof/>
              </w:rPr>
              <w:t>3.4.1</w:t>
            </w:r>
            <w:r w:rsidR="00304F5F">
              <w:rPr>
                <w:rFonts w:eastAsiaTheme="minorEastAsia"/>
                <w:noProof/>
                <w:sz w:val="22"/>
                <w:lang w:eastAsia="pt-BR"/>
              </w:rPr>
              <w:tab/>
            </w:r>
            <w:r w:rsidR="00304F5F" w:rsidRPr="00844DAE">
              <w:rPr>
                <w:rStyle w:val="Hyperlink"/>
                <w:b/>
                <w:noProof/>
              </w:rPr>
              <w:t>Receitas</w:t>
            </w:r>
            <w:r w:rsidR="00304F5F">
              <w:rPr>
                <w:noProof/>
                <w:webHidden/>
              </w:rPr>
              <w:tab/>
            </w:r>
            <w:r w:rsidR="00304F5F">
              <w:rPr>
                <w:noProof/>
                <w:webHidden/>
              </w:rPr>
              <w:fldChar w:fldCharType="begin"/>
            </w:r>
            <w:r w:rsidR="00304F5F">
              <w:rPr>
                <w:noProof/>
                <w:webHidden/>
              </w:rPr>
              <w:instrText xml:space="preserve"> PAGEREF _Toc69121221 \h </w:instrText>
            </w:r>
            <w:r w:rsidR="00304F5F">
              <w:rPr>
                <w:noProof/>
                <w:webHidden/>
              </w:rPr>
            </w:r>
            <w:r w:rsidR="00304F5F">
              <w:rPr>
                <w:noProof/>
                <w:webHidden/>
              </w:rPr>
              <w:fldChar w:fldCharType="separate"/>
            </w:r>
            <w:r w:rsidR="00BD76F0">
              <w:rPr>
                <w:noProof/>
                <w:webHidden/>
              </w:rPr>
              <w:t>28</w:t>
            </w:r>
            <w:r w:rsidR="00304F5F">
              <w:rPr>
                <w:noProof/>
                <w:webHidden/>
              </w:rPr>
              <w:fldChar w:fldCharType="end"/>
            </w:r>
          </w:hyperlink>
        </w:p>
        <w:p w14:paraId="3C7429E5" w14:textId="310CCD80" w:rsidR="00304F5F" w:rsidRDefault="009B05DF">
          <w:pPr>
            <w:pStyle w:val="Sumrio3"/>
            <w:rPr>
              <w:rFonts w:eastAsiaTheme="minorEastAsia"/>
              <w:noProof/>
              <w:sz w:val="22"/>
              <w:lang w:eastAsia="pt-BR"/>
            </w:rPr>
          </w:pPr>
          <w:hyperlink w:anchor="_Toc69121222" w:history="1">
            <w:r w:rsidR="00304F5F" w:rsidRPr="00844DAE">
              <w:rPr>
                <w:rStyle w:val="Hyperlink"/>
                <w:b/>
                <w:noProof/>
              </w:rPr>
              <w:t>3.4.2</w:t>
            </w:r>
            <w:r w:rsidR="00304F5F">
              <w:rPr>
                <w:rFonts w:eastAsiaTheme="minorEastAsia"/>
                <w:noProof/>
                <w:sz w:val="22"/>
                <w:lang w:eastAsia="pt-BR"/>
              </w:rPr>
              <w:tab/>
            </w:r>
            <w:r w:rsidR="00304F5F" w:rsidRPr="00844DAE">
              <w:rPr>
                <w:rStyle w:val="Hyperlink"/>
                <w:b/>
                <w:noProof/>
              </w:rPr>
              <w:t>Despesas</w:t>
            </w:r>
            <w:r w:rsidR="00304F5F">
              <w:rPr>
                <w:noProof/>
                <w:webHidden/>
              </w:rPr>
              <w:tab/>
            </w:r>
            <w:r w:rsidR="00304F5F">
              <w:rPr>
                <w:noProof/>
                <w:webHidden/>
              </w:rPr>
              <w:fldChar w:fldCharType="begin"/>
            </w:r>
            <w:r w:rsidR="00304F5F">
              <w:rPr>
                <w:noProof/>
                <w:webHidden/>
              </w:rPr>
              <w:instrText xml:space="preserve"> PAGEREF _Toc69121222 \h </w:instrText>
            </w:r>
            <w:r w:rsidR="00304F5F">
              <w:rPr>
                <w:noProof/>
                <w:webHidden/>
              </w:rPr>
            </w:r>
            <w:r w:rsidR="00304F5F">
              <w:rPr>
                <w:noProof/>
                <w:webHidden/>
              </w:rPr>
              <w:fldChar w:fldCharType="separate"/>
            </w:r>
            <w:r w:rsidR="00BD76F0">
              <w:rPr>
                <w:noProof/>
                <w:webHidden/>
              </w:rPr>
              <w:t>29</w:t>
            </w:r>
            <w:r w:rsidR="00304F5F">
              <w:rPr>
                <w:noProof/>
                <w:webHidden/>
              </w:rPr>
              <w:fldChar w:fldCharType="end"/>
            </w:r>
          </w:hyperlink>
        </w:p>
        <w:p w14:paraId="4F7814FA" w14:textId="0733B5E3" w:rsidR="00304F5F" w:rsidRDefault="009B05DF">
          <w:pPr>
            <w:pStyle w:val="Sumrio3"/>
            <w:rPr>
              <w:rFonts w:eastAsiaTheme="minorEastAsia"/>
              <w:noProof/>
              <w:sz w:val="22"/>
              <w:lang w:eastAsia="pt-BR"/>
            </w:rPr>
          </w:pPr>
          <w:hyperlink w:anchor="_Toc69121223" w:history="1">
            <w:r w:rsidR="00304F5F" w:rsidRPr="00844DAE">
              <w:rPr>
                <w:rStyle w:val="Hyperlink"/>
                <w:b/>
                <w:noProof/>
              </w:rPr>
              <w:t>3.4.3</w:t>
            </w:r>
            <w:r w:rsidR="00304F5F">
              <w:rPr>
                <w:rFonts w:eastAsiaTheme="minorEastAsia"/>
                <w:noProof/>
                <w:sz w:val="22"/>
                <w:lang w:eastAsia="pt-BR"/>
              </w:rPr>
              <w:tab/>
            </w:r>
            <w:r w:rsidR="00304F5F" w:rsidRPr="00844DAE">
              <w:rPr>
                <w:rStyle w:val="Hyperlink"/>
                <w:b/>
                <w:noProof/>
              </w:rPr>
              <w:t>Resultado Primário</w:t>
            </w:r>
            <w:r w:rsidR="00304F5F">
              <w:rPr>
                <w:noProof/>
                <w:webHidden/>
              </w:rPr>
              <w:tab/>
            </w:r>
            <w:r w:rsidR="00304F5F">
              <w:rPr>
                <w:noProof/>
                <w:webHidden/>
              </w:rPr>
              <w:fldChar w:fldCharType="begin"/>
            </w:r>
            <w:r w:rsidR="00304F5F">
              <w:rPr>
                <w:noProof/>
                <w:webHidden/>
              </w:rPr>
              <w:instrText xml:space="preserve"> PAGEREF _Toc69121223 \h </w:instrText>
            </w:r>
            <w:r w:rsidR="00304F5F">
              <w:rPr>
                <w:noProof/>
                <w:webHidden/>
              </w:rPr>
            </w:r>
            <w:r w:rsidR="00304F5F">
              <w:rPr>
                <w:noProof/>
                <w:webHidden/>
              </w:rPr>
              <w:fldChar w:fldCharType="separate"/>
            </w:r>
            <w:r w:rsidR="00BD76F0">
              <w:rPr>
                <w:noProof/>
                <w:webHidden/>
              </w:rPr>
              <w:t>31</w:t>
            </w:r>
            <w:r w:rsidR="00304F5F">
              <w:rPr>
                <w:noProof/>
                <w:webHidden/>
              </w:rPr>
              <w:fldChar w:fldCharType="end"/>
            </w:r>
          </w:hyperlink>
        </w:p>
        <w:p w14:paraId="4CC98C0B" w14:textId="4191B0F1" w:rsidR="00304F5F" w:rsidRDefault="009B05DF">
          <w:pPr>
            <w:pStyle w:val="Sumrio3"/>
            <w:rPr>
              <w:rFonts w:eastAsiaTheme="minorEastAsia"/>
              <w:noProof/>
              <w:sz w:val="22"/>
              <w:lang w:eastAsia="pt-BR"/>
            </w:rPr>
          </w:pPr>
          <w:hyperlink w:anchor="_Toc69121224" w:history="1">
            <w:r w:rsidR="00304F5F" w:rsidRPr="00844DAE">
              <w:rPr>
                <w:rStyle w:val="Hyperlink"/>
                <w:b/>
                <w:noProof/>
              </w:rPr>
              <w:t>3.4.4</w:t>
            </w:r>
            <w:r w:rsidR="00304F5F">
              <w:rPr>
                <w:rFonts w:eastAsiaTheme="minorEastAsia"/>
                <w:noProof/>
                <w:sz w:val="22"/>
                <w:lang w:eastAsia="pt-BR"/>
              </w:rPr>
              <w:tab/>
            </w:r>
            <w:r w:rsidR="00304F5F" w:rsidRPr="00844DAE">
              <w:rPr>
                <w:rStyle w:val="Hyperlink"/>
                <w:b/>
                <w:noProof/>
              </w:rPr>
              <w:t>Dívida Pública</w:t>
            </w:r>
            <w:r w:rsidR="00304F5F">
              <w:rPr>
                <w:noProof/>
                <w:webHidden/>
              </w:rPr>
              <w:tab/>
            </w:r>
            <w:r w:rsidR="00304F5F">
              <w:rPr>
                <w:noProof/>
                <w:webHidden/>
              </w:rPr>
              <w:fldChar w:fldCharType="begin"/>
            </w:r>
            <w:r w:rsidR="00304F5F">
              <w:rPr>
                <w:noProof/>
                <w:webHidden/>
              </w:rPr>
              <w:instrText xml:space="preserve"> PAGEREF _Toc69121224 \h </w:instrText>
            </w:r>
            <w:r w:rsidR="00304F5F">
              <w:rPr>
                <w:noProof/>
                <w:webHidden/>
              </w:rPr>
            </w:r>
            <w:r w:rsidR="00304F5F">
              <w:rPr>
                <w:noProof/>
                <w:webHidden/>
              </w:rPr>
              <w:fldChar w:fldCharType="separate"/>
            </w:r>
            <w:r w:rsidR="00BD76F0">
              <w:rPr>
                <w:noProof/>
                <w:webHidden/>
              </w:rPr>
              <w:t>31</w:t>
            </w:r>
            <w:r w:rsidR="00304F5F">
              <w:rPr>
                <w:noProof/>
                <w:webHidden/>
              </w:rPr>
              <w:fldChar w:fldCharType="end"/>
            </w:r>
          </w:hyperlink>
        </w:p>
        <w:p w14:paraId="6B0E57F0" w14:textId="2BE4C15A" w:rsidR="00304F5F" w:rsidRDefault="009B05DF">
          <w:pPr>
            <w:pStyle w:val="Sumrio1"/>
            <w:tabs>
              <w:tab w:val="left" w:pos="442"/>
              <w:tab w:val="right" w:leader="dot" w:pos="9913"/>
            </w:tabs>
            <w:rPr>
              <w:rFonts w:eastAsiaTheme="minorEastAsia"/>
              <w:noProof/>
              <w:sz w:val="22"/>
              <w:lang w:eastAsia="pt-BR"/>
            </w:rPr>
          </w:pPr>
          <w:hyperlink w:anchor="_Toc69121225" w:history="1">
            <w:r w:rsidR="00304F5F" w:rsidRPr="00844DAE">
              <w:rPr>
                <w:rStyle w:val="Hyperlink"/>
                <w:b/>
                <w:noProof/>
                <w:lang w:eastAsia="pt-BR"/>
              </w:rPr>
              <w:t>4</w:t>
            </w:r>
            <w:r w:rsidR="00304F5F">
              <w:rPr>
                <w:rFonts w:eastAsiaTheme="minorEastAsia"/>
                <w:noProof/>
                <w:sz w:val="22"/>
                <w:lang w:eastAsia="pt-BR"/>
              </w:rPr>
              <w:tab/>
            </w:r>
            <w:r w:rsidR="00304F5F" w:rsidRPr="00844DAE">
              <w:rPr>
                <w:rStyle w:val="Hyperlink"/>
                <w:b/>
                <w:noProof/>
                <w:lang w:eastAsia="pt-BR"/>
              </w:rPr>
              <w:t>ANÁLISE DOS RISCOS ESPECÍFICOS</w:t>
            </w:r>
            <w:r w:rsidR="00304F5F">
              <w:rPr>
                <w:noProof/>
                <w:webHidden/>
              </w:rPr>
              <w:tab/>
            </w:r>
            <w:r w:rsidR="00304F5F">
              <w:rPr>
                <w:noProof/>
                <w:webHidden/>
              </w:rPr>
              <w:fldChar w:fldCharType="begin"/>
            </w:r>
            <w:r w:rsidR="00304F5F">
              <w:rPr>
                <w:noProof/>
                <w:webHidden/>
              </w:rPr>
              <w:instrText xml:space="preserve"> PAGEREF _Toc69121225 \h </w:instrText>
            </w:r>
            <w:r w:rsidR="00304F5F">
              <w:rPr>
                <w:noProof/>
                <w:webHidden/>
              </w:rPr>
            </w:r>
            <w:r w:rsidR="00304F5F">
              <w:rPr>
                <w:noProof/>
                <w:webHidden/>
              </w:rPr>
              <w:fldChar w:fldCharType="separate"/>
            </w:r>
            <w:r w:rsidR="00BD76F0">
              <w:rPr>
                <w:noProof/>
                <w:webHidden/>
              </w:rPr>
              <w:t>38</w:t>
            </w:r>
            <w:r w:rsidR="00304F5F">
              <w:rPr>
                <w:noProof/>
                <w:webHidden/>
              </w:rPr>
              <w:fldChar w:fldCharType="end"/>
            </w:r>
          </w:hyperlink>
        </w:p>
        <w:p w14:paraId="20507924" w14:textId="0558B2BD" w:rsidR="00304F5F" w:rsidRDefault="009B05DF">
          <w:pPr>
            <w:pStyle w:val="Sumrio2"/>
            <w:rPr>
              <w:rFonts w:eastAsiaTheme="minorEastAsia"/>
              <w:noProof/>
              <w:sz w:val="22"/>
              <w:lang w:eastAsia="pt-BR"/>
            </w:rPr>
          </w:pPr>
          <w:hyperlink w:anchor="_Toc69121226" w:history="1">
            <w:r w:rsidR="00304F5F" w:rsidRPr="00844DAE">
              <w:rPr>
                <w:rStyle w:val="Hyperlink"/>
                <w:rFonts w:cs="Times New Roman"/>
                <w:noProof/>
              </w:rPr>
              <w:t>4.1</w:t>
            </w:r>
            <w:r w:rsidR="00304F5F">
              <w:rPr>
                <w:rFonts w:eastAsiaTheme="minorEastAsia"/>
                <w:noProof/>
                <w:sz w:val="22"/>
                <w:lang w:eastAsia="pt-BR"/>
              </w:rPr>
              <w:tab/>
            </w:r>
            <w:r w:rsidR="00304F5F" w:rsidRPr="00844DAE">
              <w:rPr>
                <w:rStyle w:val="Hyperlink"/>
                <w:rFonts w:cs="Times New Roman"/>
                <w:noProof/>
              </w:rPr>
              <w:t>PASSIVOS CONTINGENTES</w:t>
            </w:r>
            <w:r w:rsidR="00304F5F">
              <w:rPr>
                <w:noProof/>
                <w:webHidden/>
              </w:rPr>
              <w:tab/>
            </w:r>
            <w:r w:rsidR="00304F5F">
              <w:rPr>
                <w:noProof/>
                <w:webHidden/>
              </w:rPr>
              <w:fldChar w:fldCharType="begin"/>
            </w:r>
            <w:r w:rsidR="00304F5F">
              <w:rPr>
                <w:noProof/>
                <w:webHidden/>
              </w:rPr>
              <w:instrText xml:space="preserve"> PAGEREF _Toc69121226 \h </w:instrText>
            </w:r>
            <w:r w:rsidR="00304F5F">
              <w:rPr>
                <w:noProof/>
                <w:webHidden/>
              </w:rPr>
            </w:r>
            <w:r w:rsidR="00304F5F">
              <w:rPr>
                <w:noProof/>
                <w:webHidden/>
              </w:rPr>
              <w:fldChar w:fldCharType="separate"/>
            </w:r>
            <w:r w:rsidR="00BD76F0">
              <w:rPr>
                <w:noProof/>
                <w:webHidden/>
              </w:rPr>
              <w:t>39</w:t>
            </w:r>
            <w:r w:rsidR="00304F5F">
              <w:rPr>
                <w:noProof/>
                <w:webHidden/>
              </w:rPr>
              <w:fldChar w:fldCharType="end"/>
            </w:r>
          </w:hyperlink>
        </w:p>
        <w:p w14:paraId="4A4423BB" w14:textId="17542091" w:rsidR="00304F5F" w:rsidRDefault="009B05DF">
          <w:pPr>
            <w:pStyle w:val="Sumrio3"/>
            <w:rPr>
              <w:rFonts w:eastAsiaTheme="minorEastAsia"/>
              <w:noProof/>
              <w:sz w:val="22"/>
              <w:lang w:eastAsia="pt-BR"/>
            </w:rPr>
          </w:pPr>
          <w:hyperlink w:anchor="_Toc69121227" w:history="1">
            <w:r w:rsidR="00304F5F" w:rsidRPr="00844DAE">
              <w:rPr>
                <w:rStyle w:val="Hyperlink"/>
                <w:b/>
                <w:noProof/>
              </w:rPr>
              <w:t>4.1.1</w:t>
            </w:r>
            <w:r w:rsidR="00304F5F">
              <w:rPr>
                <w:rFonts w:eastAsiaTheme="minorEastAsia"/>
                <w:noProof/>
                <w:sz w:val="22"/>
                <w:lang w:eastAsia="pt-BR"/>
              </w:rPr>
              <w:tab/>
            </w:r>
            <w:r w:rsidR="00304F5F" w:rsidRPr="00844DAE">
              <w:rPr>
                <w:rStyle w:val="Hyperlink"/>
                <w:b/>
                <w:noProof/>
              </w:rPr>
              <w:t>Demandas Judiciais</w:t>
            </w:r>
            <w:r w:rsidR="00304F5F">
              <w:rPr>
                <w:noProof/>
                <w:webHidden/>
              </w:rPr>
              <w:tab/>
            </w:r>
            <w:r w:rsidR="00304F5F">
              <w:rPr>
                <w:noProof/>
                <w:webHidden/>
              </w:rPr>
              <w:fldChar w:fldCharType="begin"/>
            </w:r>
            <w:r w:rsidR="00304F5F">
              <w:rPr>
                <w:noProof/>
                <w:webHidden/>
              </w:rPr>
              <w:instrText xml:space="preserve"> PAGEREF _Toc69121227 \h </w:instrText>
            </w:r>
            <w:r w:rsidR="00304F5F">
              <w:rPr>
                <w:noProof/>
                <w:webHidden/>
              </w:rPr>
            </w:r>
            <w:r w:rsidR="00304F5F">
              <w:rPr>
                <w:noProof/>
                <w:webHidden/>
              </w:rPr>
              <w:fldChar w:fldCharType="separate"/>
            </w:r>
            <w:r w:rsidR="00BD76F0">
              <w:rPr>
                <w:noProof/>
                <w:webHidden/>
              </w:rPr>
              <w:t>39</w:t>
            </w:r>
            <w:r w:rsidR="00304F5F">
              <w:rPr>
                <w:noProof/>
                <w:webHidden/>
              </w:rPr>
              <w:fldChar w:fldCharType="end"/>
            </w:r>
          </w:hyperlink>
        </w:p>
        <w:p w14:paraId="331BABFA" w14:textId="003B23DA" w:rsidR="00304F5F" w:rsidRDefault="009B05DF">
          <w:pPr>
            <w:pStyle w:val="Sumrio3"/>
            <w:rPr>
              <w:rFonts w:eastAsiaTheme="minorEastAsia"/>
              <w:noProof/>
              <w:sz w:val="22"/>
              <w:lang w:eastAsia="pt-BR"/>
            </w:rPr>
          </w:pPr>
          <w:hyperlink w:anchor="_Toc69121228" w:history="1">
            <w:r w:rsidR="00304F5F" w:rsidRPr="00844DAE">
              <w:rPr>
                <w:rStyle w:val="Hyperlink"/>
                <w:b/>
                <w:noProof/>
              </w:rPr>
              <w:t>4.1.2</w:t>
            </w:r>
            <w:r w:rsidR="00304F5F">
              <w:rPr>
                <w:rFonts w:eastAsiaTheme="minorEastAsia"/>
                <w:noProof/>
                <w:sz w:val="22"/>
                <w:lang w:eastAsia="pt-BR"/>
              </w:rPr>
              <w:tab/>
            </w:r>
            <w:r w:rsidR="00304F5F" w:rsidRPr="00844DAE">
              <w:rPr>
                <w:rStyle w:val="Hyperlink"/>
                <w:b/>
                <w:noProof/>
              </w:rPr>
              <w:t>Passivos Contingentes em Fase de Reconhecimento</w:t>
            </w:r>
            <w:r w:rsidR="00304F5F">
              <w:rPr>
                <w:noProof/>
                <w:webHidden/>
              </w:rPr>
              <w:tab/>
            </w:r>
            <w:r w:rsidR="00304F5F">
              <w:rPr>
                <w:noProof/>
                <w:webHidden/>
              </w:rPr>
              <w:fldChar w:fldCharType="begin"/>
            </w:r>
            <w:r w:rsidR="00304F5F">
              <w:rPr>
                <w:noProof/>
                <w:webHidden/>
              </w:rPr>
              <w:instrText xml:space="preserve"> PAGEREF _Toc69121228 \h </w:instrText>
            </w:r>
            <w:r w:rsidR="00304F5F">
              <w:rPr>
                <w:noProof/>
                <w:webHidden/>
              </w:rPr>
            </w:r>
            <w:r w:rsidR="00304F5F">
              <w:rPr>
                <w:noProof/>
                <w:webHidden/>
              </w:rPr>
              <w:fldChar w:fldCharType="separate"/>
            </w:r>
            <w:r w:rsidR="00BD76F0">
              <w:rPr>
                <w:noProof/>
                <w:webHidden/>
              </w:rPr>
              <w:t>51</w:t>
            </w:r>
            <w:r w:rsidR="00304F5F">
              <w:rPr>
                <w:noProof/>
                <w:webHidden/>
              </w:rPr>
              <w:fldChar w:fldCharType="end"/>
            </w:r>
          </w:hyperlink>
        </w:p>
        <w:p w14:paraId="47A17701" w14:textId="0FA33DDE" w:rsidR="00304F5F" w:rsidRDefault="009B05DF">
          <w:pPr>
            <w:pStyle w:val="Sumrio3"/>
            <w:rPr>
              <w:rFonts w:eastAsiaTheme="minorEastAsia"/>
              <w:noProof/>
              <w:sz w:val="22"/>
              <w:lang w:eastAsia="pt-BR"/>
            </w:rPr>
          </w:pPr>
          <w:hyperlink w:anchor="_Toc69121229" w:history="1">
            <w:r w:rsidR="00304F5F" w:rsidRPr="00844DAE">
              <w:rPr>
                <w:rStyle w:val="Hyperlink"/>
                <w:b/>
                <w:noProof/>
              </w:rPr>
              <w:t>4.1.3</w:t>
            </w:r>
            <w:r w:rsidR="00304F5F">
              <w:rPr>
                <w:rFonts w:eastAsiaTheme="minorEastAsia"/>
                <w:noProof/>
                <w:sz w:val="22"/>
                <w:lang w:eastAsia="pt-BR"/>
              </w:rPr>
              <w:tab/>
            </w:r>
            <w:r w:rsidR="00304F5F" w:rsidRPr="00844DAE">
              <w:rPr>
                <w:rStyle w:val="Hyperlink"/>
                <w:b/>
                <w:noProof/>
              </w:rPr>
              <w:t>Garantias Prestadas pelo Tesouro Nacional</w:t>
            </w:r>
            <w:r w:rsidR="00304F5F">
              <w:rPr>
                <w:noProof/>
                <w:webHidden/>
              </w:rPr>
              <w:tab/>
            </w:r>
            <w:r w:rsidR="00304F5F">
              <w:rPr>
                <w:noProof/>
                <w:webHidden/>
              </w:rPr>
              <w:fldChar w:fldCharType="begin"/>
            </w:r>
            <w:r w:rsidR="00304F5F">
              <w:rPr>
                <w:noProof/>
                <w:webHidden/>
              </w:rPr>
              <w:instrText xml:space="preserve"> PAGEREF _Toc69121229 \h </w:instrText>
            </w:r>
            <w:r w:rsidR="00304F5F">
              <w:rPr>
                <w:noProof/>
                <w:webHidden/>
              </w:rPr>
            </w:r>
            <w:r w:rsidR="00304F5F">
              <w:rPr>
                <w:noProof/>
                <w:webHidden/>
              </w:rPr>
              <w:fldChar w:fldCharType="separate"/>
            </w:r>
            <w:r w:rsidR="00BD76F0">
              <w:rPr>
                <w:noProof/>
                <w:webHidden/>
              </w:rPr>
              <w:t>54</w:t>
            </w:r>
            <w:r w:rsidR="00304F5F">
              <w:rPr>
                <w:noProof/>
                <w:webHidden/>
              </w:rPr>
              <w:fldChar w:fldCharType="end"/>
            </w:r>
          </w:hyperlink>
        </w:p>
        <w:p w14:paraId="185F2B65" w14:textId="0E766633" w:rsidR="00304F5F" w:rsidRDefault="009B05DF">
          <w:pPr>
            <w:pStyle w:val="Sumrio3"/>
            <w:rPr>
              <w:rFonts w:eastAsiaTheme="minorEastAsia"/>
              <w:noProof/>
              <w:sz w:val="22"/>
              <w:lang w:eastAsia="pt-BR"/>
            </w:rPr>
          </w:pPr>
          <w:hyperlink w:anchor="_Toc69121230" w:history="1">
            <w:r w:rsidR="00304F5F" w:rsidRPr="00844DAE">
              <w:rPr>
                <w:rStyle w:val="Hyperlink"/>
                <w:b/>
                <w:noProof/>
              </w:rPr>
              <w:t>4.1.4</w:t>
            </w:r>
            <w:r w:rsidR="00304F5F">
              <w:rPr>
                <w:rFonts w:eastAsiaTheme="minorEastAsia"/>
                <w:noProof/>
                <w:sz w:val="22"/>
                <w:lang w:eastAsia="pt-BR"/>
              </w:rPr>
              <w:tab/>
            </w:r>
            <w:r w:rsidR="00304F5F" w:rsidRPr="00844DAE">
              <w:rPr>
                <w:rStyle w:val="Hyperlink"/>
                <w:b/>
                <w:noProof/>
              </w:rPr>
              <w:t>Contragarantias da União</w:t>
            </w:r>
            <w:r w:rsidR="00304F5F">
              <w:rPr>
                <w:noProof/>
                <w:webHidden/>
              </w:rPr>
              <w:tab/>
            </w:r>
            <w:r w:rsidR="00304F5F">
              <w:rPr>
                <w:noProof/>
                <w:webHidden/>
              </w:rPr>
              <w:fldChar w:fldCharType="begin"/>
            </w:r>
            <w:r w:rsidR="00304F5F">
              <w:rPr>
                <w:noProof/>
                <w:webHidden/>
              </w:rPr>
              <w:instrText xml:space="preserve"> PAGEREF _Toc69121230 \h </w:instrText>
            </w:r>
            <w:r w:rsidR="00304F5F">
              <w:rPr>
                <w:noProof/>
                <w:webHidden/>
              </w:rPr>
            </w:r>
            <w:r w:rsidR="00304F5F">
              <w:rPr>
                <w:noProof/>
                <w:webHidden/>
              </w:rPr>
              <w:fldChar w:fldCharType="separate"/>
            </w:r>
            <w:r w:rsidR="00BD76F0">
              <w:rPr>
                <w:noProof/>
                <w:webHidden/>
              </w:rPr>
              <w:t>57</w:t>
            </w:r>
            <w:r w:rsidR="00304F5F">
              <w:rPr>
                <w:noProof/>
                <w:webHidden/>
              </w:rPr>
              <w:fldChar w:fldCharType="end"/>
            </w:r>
          </w:hyperlink>
        </w:p>
        <w:p w14:paraId="161086DA" w14:textId="7168099F" w:rsidR="00304F5F" w:rsidRDefault="009B05DF">
          <w:pPr>
            <w:pStyle w:val="Sumrio3"/>
            <w:rPr>
              <w:rFonts w:eastAsiaTheme="minorEastAsia"/>
              <w:noProof/>
              <w:sz w:val="22"/>
              <w:lang w:eastAsia="pt-BR"/>
            </w:rPr>
          </w:pPr>
          <w:hyperlink w:anchor="_Toc69121231" w:history="1">
            <w:r w:rsidR="00304F5F" w:rsidRPr="00844DAE">
              <w:rPr>
                <w:rStyle w:val="Hyperlink"/>
                <w:b/>
                <w:noProof/>
              </w:rPr>
              <w:t>4.1.5</w:t>
            </w:r>
            <w:r w:rsidR="00304F5F">
              <w:rPr>
                <w:rFonts w:eastAsiaTheme="minorEastAsia"/>
                <w:noProof/>
                <w:sz w:val="22"/>
                <w:lang w:eastAsia="pt-BR"/>
              </w:rPr>
              <w:tab/>
            </w:r>
            <w:r w:rsidR="00304F5F" w:rsidRPr="00844DAE">
              <w:rPr>
                <w:rStyle w:val="Hyperlink"/>
                <w:b/>
                <w:noProof/>
              </w:rPr>
              <w:t>Fundos Constitucionais de Financiamento</w:t>
            </w:r>
            <w:r w:rsidR="00304F5F">
              <w:rPr>
                <w:noProof/>
                <w:webHidden/>
              </w:rPr>
              <w:tab/>
            </w:r>
            <w:r w:rsidR="00304F5F">
              <w:rPr>
                <w:noProof/>
                <w:webHidden/>
              </w:rPr>
              <w:fldChar w:fldCharType="begin"/>
            </w:r>
            <w:r w:rsidR="00304F5F">
              <w:rPr>
                <w:noProof/>
                <w:webHidden/>
              </w:rPr>
              <w:instrText xml:space="preserve"> PAGEREF _Toc69121231 \h </w:instrText>
            </w:r>
            <w:r w:rsidR="00304F5F">
              <w:rPr>
                <w:noProof/>
                <w:webHidden/>
              </w:rPr>
            </w:r>
            <w:r w:rsidR="00304F5F">
              <w:rPr>
                <w:noProof/>
                <w:webHidden/>
              </w:rPr>
              <w:fldChar w:fldCharType="separate"/>
            </w:r>
            <w:r w:rsidR="00BD76F0">
              <w:rPr>
                <w:noProof/>
                <w:webHidden/>
              </w:rPr>
              <w:t>59</w:t>
            </w:r>
            <w:r w:rsidR="00304F5F">
              <w:rPr>
                <w:noProof/>
                <w:webHidden/>
              </w:rPr>
              <w:fldChar w:fldCharType="end"/>
            </w:r>
          </w:hyperlink>
        </w:p>
        <w:p w14:paraId="131225C6" w14:textId="2EB0B1D4" w:rsidR="00304F5F" w:rsidRDefault="009B05DF">
          <w:pPr>
            <w:pStyle w:val="Sumrio3"/>
            <w:rPr>
              <w:rFonts w:eastAsiaTheme="minorEastAsia"/>
              <w:noProof/>
              <w:sz w:val="22"/>
              <w:lang w:eastAsia="pt-BR"/>
            </w:rPr>
          </w:pPr>
          <w:hyperlink w:anchor="_Toc69121232" w:history="1">
            <w:r w:rsidR="00304F5F" w:rsidRPr="00844DAE">
              <w:rPr>
                <w:rStyle w:val="Hyperlink"/>
                <w:b/>
                <w:noProof/>
              </w:rPr>
              <w:t>4.1.6</w:t>
            </w:r>
            <w:r w:rsidR="00304F5F">
              <w:rPr>
                <w:rFonts w:eastAsiaTheme="minorEastAsia"/>
                <w:noProof/>
                <w:sz w:val="22"/>
                <w:lang w:eastAsia="pt-BR"/>
              </w:rPr>
              <w:tab/>
            </w:r>
            <w:r w:rsidR="00304F5F" w:rsidRPr="00844DAE">
              <w:rPr>
                <w:rStyle w:val="Hyperlink"/>
                <w:b/>
                <w:noProof/>
              </w:rPr>
              <w:t>Seguro de Crédito à Exportação - Fundo de Garantia à Exportação</w:t>
            </w:r>
            <w:r w:rsidR="00304F5F">
              <w:rPr>
                <w:noProof/>
                <w:webHidden/>
              </w:rPr>
              <w:tab/>
            </w:r>
            <w:r w:rsidR="00304F5F">
              <w:rPr>
                <w:noProof/>
                <w:webHidden/>
              </w:rPr>
              <w:fldChar w:fldCharType="begin"/>
            </w:r>
            <w:r w:rsidR="00304F5F">
              <w:rPr>
                <w:noProof/>
                <w:webHidden/>
              </w:rPr>
              <w:instrText xml:space="preserve"> PAGEREF _Toc69121232 \h </w:instrText>
            </w:r>
            <w:r w:rsidR="00304F5F">
              <w:rPr>
                <w:noProof/>
                <w:webHidden/>
              </w:rPr>
            </w:r>
            <w:r w:rsidR="00304F5F">
              <w:rPr>
                <w:noProof/>
                <w:webHidden/>
              </w:rPr>
              <w:fldChar w:fldCharType="separate"/>
            </w:r>
            <w:r w:rsidR="00BD76F0">
              <w:rPr>
                <w:noProof/>
                <w:webHidden/>
              </w:rPr>
              <w:t>60</w:t>
            </w:r>
            <w:r w:rsidR="00304F5F">
              <w:rPr>
                <w:noProof/>
                <w:webHidden/>
              </w:rPr>
              <w:fldChar w:fldCharType="end"/>
            </w:r>
          </w:hyperlink>
        </w:p>
        <w:p w14:paraId="3A3FE8D5" w14:textId="01503254" w:rsidR="00304F5F" w:rsidRDefault="009B05DF">
          <w:pPr>
            <w:pStyle w:val="Sumrio3"/>
            <w:rPr>
              <w:rFonts w:eastAsiaTheme="minorEastAsia"/>
              <w:noProof/>
              <w:sz w:val="22"/>
              <w:lang w:eastAsia="pt-BR"/>
            </w:rPr>
          </w:pPr>
          <w:hyperlink w:anchor="_Toc69121233" w:history="1">
            <w:r w:rsidR="00304F5F" w:rsidRPr="00844DAE">
              <w:rPr>
                <w:rStyle w:val="Hyperlink"/>
                <w:b/>
                <w:noProof/>
              </w:rPr>
              <w:t>4.1.7</w:t>
            </w:r>
            <w:r w:rsidR="00304F5F">
              <w:rPr>
                <w:rFonts w:eastAsiaTheme="minorEastAsia"/>
                <w:noProof/>
                <w:sz w:val="22"/>
                <w:lang w:eastAsia="pt-BR"/>
              </w:rPr>
              <w:tab/>
            </w:r>
            <w:r w:rsidR="00304F5F" w:rsidRPr="00844DAE">
              <w:rPr>
                <w:rStyle w:val="Hyperlink"/>
                <w:b/>
                <w:noProof/>
              </w:rPr>
              <w:t>Fundos Garantidores</w:t>
            </w:r>
            <w:r w:rsidR="00304F5F">
              <w:rPr>
                <w:noProof/>
                <w:webHidden/>
              </w:rPr>
              <w:tab/>
            </w:r>
            <w:r w:rsidR="00304F5F">
              <w:rPr>
                <w:noProof/>
                <w:webHidden/>
              </w:rPr>
              <w:fldChar w:fldCharType="begin"/>
            </w:r>
            <w:r w:rsidR="00304F5F">
              <w:rPr>
                <w:noProof/>
                <w:webHidden/>
              </w:rPr>
              <w:instrText xml:space="preserve"> PAGEREF _Toc69121233 \h </w:instrText>
            </w:r>
            <w:r w:rsidR="00304F5F">
              <w:rPr>
                <w:noProof/>
                <w:webHidden/>
              </w:rPr>
            </w:r>
            <w:r w:rsidR="00304F5F">
              <w:rPr>
                <w:noProof/>
                <w:webHidden/>
              </w:rPr>
              <w:fldChar w:fldCharType="separate"/>
            </w:r>
            <w:r w:rsidR="00BD76F0">
              <w:rPr>
                <w:noProof/>
                <w:webHidden/>
              </w:rPr>
              <w:t>63</w:t>
            </w:r>
            <w:r w:rsidR="00304F5F">
              <w:rPr>
                <w:noProof/>
                <w:webHidden/>
              </w:rPr>
              <w:fldChar w:fldCharType="end"/>
            </w:r>
          </w:hyperlink>
        </w:p>
        <w:p w14:paraId="40D40D4B" w14:textId="70FB7501" w:rsidR="00304F5F" w:rsidRDefault="009B05DF">
          <w:pPr>
            <w:pStyle w:val="Sumrio2"/>
            <w:rPr>
              <w:rFonts w:eastAsiaTheme="minorEastAsia"/>
              <w:noProof/>
              <w:sz w:val="22"/>
              <w:lang w:eastAsia="pt-BR"/>
            </w:rPr>
          </w:pPr>
          <w:hyperlink w:anchor="_Toc69121234" w:history="1">
            <w:r w:rsidR="00304F5F" w:rsidRPr="00844DAE">
              <w:rPr>
                <w:rStyle w:val="Hyperlink"/>
                <w:rFonts w:cs="Times New Roman"/>
                <w:noProof/>
              </w:rPr>
              <w:t>4.2</w:t>
            </w:r>
            <w:r w:rsidR="00304F5F">
              <w:rPr>
                <w:rFonts w:eastAsiaTheme="minorEastAsia"/>
                <w:noProof/>
                <w:sz w:val="22"/>
                <w:lang w:eastAsia="pt-BR"/>
              </w:rPr>
              <w:tab/>
            </w:r>
            <w:r w:rsidR="00304F5F" w:rsidRPr="00844DAE">
              <w:rPr>
                <w:rStyle w:val="Hyperlink"/>
                <w:rFonts w:cs="Times New Roman"/>
                <w:noProof/>
              </w:rPr>
              <w:t>RISCOS FISCAIS ASSOCIADOS AOS ATIVOS</w:t>
            </w:r>
            <w:r w:rsidR="00304F5F">
              <w:rPr>
                <w:noProof/>
                <w:webHidden/>
              </w:rPr>
              <w:tab/>
            </w:r>
            <w:r w:rsidR="00304F5F">
              <w:rPr>
                <w:noProof/>
                <w:webHidden/>
              </w:rPr>
              <w:fldChar w:fldCharType="begin"/>
            </w:r>
            <w:r w:rsidR="00304F5F">
              <w:rPr>
                <w:noProof/>
                <w:webHidden/>
              </w:rPr>
              <w:instrText xml:space="preserve"> PAGEREF _Toc69121234 \h </w:instrText>
            </w:r>
            <w:r w:rsidR="00304F5F">
              <w:rPr>
                <w:noProof/>
                <w:webHidden/>
              </w:rPr>
            </w:r>
            <w:r w:rsidR="00304F5F">
              <w:rPr>
                <w:noProof/>
                <w:webHidden/>
              </w:rPr>
              <w:fldChar w:fldCharType="separate"/>
            </w:r>
            <w:r w:rsidR="00BD76F0">
              <w:rPr>
                <w:noProof/>
                <w:webHidden/>
              </w:rPr>
              <w:t>65</w:t>
            </w:r>
            <w:r w:rsidR="00304F5F">
              <w:rPr>
                <w:noProof/>
                <w:webHidden/>
              </w:rPr>
              <w:fldChar w:fldCharType="end"/>
            </w:r>
          </w:hyperlink>
        </w:p>
        <w:p w14:paraId="220ECEE3" w14:textId="41133796" w:rsidR="00304F5F" w:rsidRDefault="009B05DF">
          <w:pPr>
            <w:pStyle w:val="Sumrio3"/>
            <w:rPr>
              <w:rFonts w:eastAsiaTheme="minorEastAsia"/>
              <w:noProof/>
              <w:sz w:val="22"/>
              <w:lang w:eastAsia="pt-BR"/>
            </w:rPr>
          </w:pPr>
          <w:hyperlink w:anchor="_Toc69121235" w:history="1">
            <w:r w:rsidR="00304F5F" w:rsidRPr="00844DAE">
              <w:rPr>
                <w:rStyle w:val="Hyperlink"/>
                <w:b/>
                <w:noProof/>
              </w:rPr>
              <w:t>4.2.1</w:t>
            </w:r>
            <w:r w:rsidR="00304F5F">
              <w:rPr>
                <w:rFonts w:eastAsiaTheme="minorEastAsia"/>
                <w:noProof/>
                <w:sz w:val="22"/>
                <w:lang w:eastAsia="pt-BR"/>
              </w:rPr>
              <w:tab/>
            </w:r>
            <w:r w:rsidR="00304F5F" w:rsidRPr="00844DAE">
              <w:rPr>
                <w:rStyle w:val="Hyperlink"/>
                <w:b/>
                <w:noProof/>
              </w:rPr>
              <w:t>Dívida Ativa da União (DAU)</w:t>
            </w:r>
            <w:r w:rsidR="00304F5F">
              <w:rPr>
                <w:noProof/>
                <w:webHidden/>
              </w:rPr>
              <w:tab/>
            </w:r>
            <w:r w:rsidR="00304F5F">
              <w:rPr>
                <w:noProof/>
                <w:webHidden/>
              </w:rPr>
              <w:fldChar w:fldCharType="begin"/>
            </w:r>
            <w:r w:rsidR="00304F5F">
              <w:rPr>
                <w:noProof/>
                <w:webHidden/>
              </w:rPr>
              <w:instrText xml:space="preserve"> PAGEREF _Toc69121235 \h </w:instrText>
            </w:r>
            <w:r w:rsidR="00304F5F">
              <w:rPr>
                <w:noProof/>
                <w:webHidden/>
              </w:rPr>
            </w:r>
            <w:r w:rsidR="00304F5F">
              <w:rPr>
                <w:noProof/>
                <w:webHidden/>
              </w:rPr>
              <w:fldChar w:fldCharType="separate"/>
            </w:r>
            <w:r w:rsidR="00BD76F0">
              <w:rPr>
                <w:noProof/>
                <w:webHidden/>
              </w:rPr>
              <w:t>65</w:t>
            </w:r>
            <w:r w:rsidR="00304F5F">
              <w:rPr>
                <w:noProof/>
                <w:webHidden/>
              </w:rPr>
              <w:fldChar w:fldCharType="end"/>
            </w:r>
          </w:hyperlink>
        </w:p>
        <w:p w14:paraId="2D23AFBC" w14:textId="30FF24F3" w:rsidR="00304F5F" w:rsidRDefault="009B05DF">
          <w:pPr>
            <w:pStyle w:val="Sumrio3"/>
            <w:rPr>
              <w:rFonts w:eastAsiaTheme="minorEastAsia"/>
              <w:noProof/>
              <w:sz w:val="22"/>
              <w:lang w:eastAsia="pt-BR"/>
            </w:rPr>
          </w:pPr>
          <w:hyperlink w:anchor="_Toc69121236" w:history="1">
            <w:r w:rsidR="00304F5F" w:rsidRPr="00844DAE">
              <w:rPr>
                <w:rStyle w:val="Hyperlink"/>
                <w:b/>
                <w:noProof/>
              </w:rPr>
              <w:t>4.2.2</w:t>
            </w:r>
            <w:r w:rsidR="00304F5F">
              <w:rPr>
                <w:rFonts w:eastAsiaTheme="minorEastAsia"/>
                <w:noProof/>
                <w:sz w:val="22"/>
                <w:lang w:eastAsia="pt-BR"/>
              </w:rPr>
              <w:tab/>
            </w:r>
            <w:r w:rsidR="00304F5F" w:rsidRPr="00844DAE">
              <w:rPr>
                <w:rStyle w:val="Hyperlink"/>
                <w:b/>
                <w:noProof/>
              </w:rPr>
              <w:t>Depósitos Judiciais da União</w:t>
            </w:r>
            <w:r w:rsidR="00304F5F">
              <w:rPr>
                <w:noProof/>
                <w:webHidden/>
              </w:rPr>
              <w:tab/>
            </w:r>
            <w:r w:rsidR="00304F5F">
              <w:rPr>
                <w:noProof/>
                <w:webHidden/>
              </w:rPr>
              <w:fldChar w:fldCharType="begin"/>
            </w:r>
            <w:r w:rsidR="00304F5F">
              <w:rPr>
                <w:noProof/>
                <w:webHidden/>
              </w:rPr>
              <w:instrText xml:space="preserve"> PAGEREF _Toc69121236 \h </w:instrText>
            </w:r>
            <w:r w:rsidR="00304F5F">
              <w:rPr>
                <w:noProof/>
                <w:webHidden/>
              </w:rPr>
            </w:r>
            <w:r w:rsidR="00304F5F">
              <w:rPr>
                <w:noProof/>
                <w:webHidden/>
              </w:rPr>
              <w:fldChar w:fldCharType="separate"/>
            </w:r>
            <w:r w:rsidR="00BD76F0">
              <w:rPr>
                <w:noProof/>
                <w:webHidden/>
              </w:rPr>
              <w:t>67</w:t>
            </w:r>
            <w:r w:rsidR="00304F5F">
              <w:rPr>
                <w:noProof/>
                <w:webHidden/>
              </w:rPr>
              <w:fldChar w:fldCharType="end"/>
            </w:r>
          </w:hyperlink>
        </w:p>
        <w:p w14:paraId="4D198DE5" w14:textId="75FE378E" w:rsidR="00304F5F" w:rsidRDefault="009B05DF">
          <w:pPr>
            <w:pStyle w:val="Sumrio3"/>
            <w:rPr>
              <w:rFonts w:eastAsiaTheme="minorEastAsia"/>
              <w:noProof/>
              <w:sz w:val="22"/>
              <w:lang w:eastAsia="pt-BR"/>
            </w:rPr>
          </w:pPr>
          <w:hyperlink w:anchor="_Toc69121237" w:history="1">
            <w:r w:rsidR="00304F5F" w:rsidRPr="00844DAE">
              <w:rPr>
                <w:rStyle w:val="Hyperlink"/>
                <w:b/>
                <w:noProof/>
              </w:rPr>
              <w:t>4.2.3</w:t>
            </w:r>
            <w:r w:rsidR="00304F5F">
              <w:rPr>
                <w:rFonts w:eastAsiaTheme="minorEastAsia"/>
                <w:noProof/>
                <w:sz w:val="22"/>
                <w:lang w:eastAsia="pt-BR"/>
              </w:rPr>
              <w:tab/>
            </w:r>
            <w:r w:rsidR="00304F5F" w:rsidRPr="00844DAE">
              <w:rPr>
                <w:rStyle w:val="Hyperlink"/>
                <w:b/>
                <w:noProof/>
              </w:rPr>
              <w:t>Créditos do Banco Central do Brasil</w:t>
            </w:r>
            <w:r w:rsidR="00304F5F">
              <w:rPr>
                <w:noProof/>
                <w:webHidden/>
              </w:rPr>
              <w:tab/>
            </w:r>
            <w:r w:rsidR="00304F5F">
              <w:rPr>
                <w:noProof/>
                <w:webHidden/>
              </w:rPr>
              <w:fldChar w:fldCharType="begin"/>
            </w:r>
            <w:r w:rsidR="00304F5F">
              <w:rPr>
                <w:noProof/>
                <w:webHidden/>
              </w:rPr>
              <w:instrText xml:space="preserve"> PAGEREF _Toc69121237 \h </w:instrText>
            </w:r>
            <w:r w:rsidR="00304F5F">
              <w:rPr>
                <w:noProof/>
                <w:webHidden/>
              </w:rPr>
            </w:r>
            <w:r w:rsidR="00304F5F">
              <w:rPr>
                <w:noProof/>
                <w:webHidden/>
              </w:rPr>
              <w:fldChar w:fldCharType="separate"/>
            </w:r>
            <w:r w:rsidR="00BD76F0">
              <w:rPr>
                <w:noProof/>
                <w:webHidden/>
              </w:rPr>
              <w:t>68</w:t>
            </w:r>
            <w:r w:rsidR="00304F5F">
              <w:rPr>
                <w:noProof/>
                <w:webHidden/>
              </w:rPr>
              <w:fldChar w:fldCharType="end"/>
            </w:r>
          </w:hyperlink>
        </w:p>
        <w:p w14:paraId="686578C9" w14:textId="486EF5E9" w:rsidR="00304F5F" w:rsidRDefault="009B05DF">
          <w:pPr>
            <w:pStyle w:val="Sumrio3"/>
            <w:rPr>
              <w:rFonts w:eastAsiaTheme="minorEastAsia"/>
              <w:noProof/>
              <w:sz w:val="22"/>
              <w:lang w:eastAsia="pt-BR"/>
            </w:rPr>
          </w:pPr>
          <w:hyperlink w:anchor="_Toc69121238" w:history="1">
            <w:r w:rsidR="00304F5F" w:rsidRPr="00844DAE">
              <w:rPr>
                <w:rStyle w:val="Hyperlink"/>
                <w:b/>
                <w:noProof/>
              </w:rPr>
              <w:t>4.2.4</w:t>
            </w:r>
            <w:r w:rsidR="00304F5F">
              <w:rPr>
                <w:rFonts w:eastAsiaTheme="minorEastAsia"/>
                <w:noProof/>
                <w:sz w:val="22"/>
                <w:lang w:eastAsia="pt-BR"/>
              </w:rPr>
              <w:tab/>
            </w:r>
            <w:r w:rsidR="00304F5F" w:rsidRPr="00844DAE">
              <w:rPr>
                <w:rStyle w:val="Hyperlink"/>
                <w:b/>
                <w:noProof/>
              </w:rPr>
              <w:t>Haveres Financeiros Relacionados aos Entes Federativos</w:t>
            </w:r>
            <w:r w:rsidR="00304F5F">
              <w:rPr>
                <w:noProof/>
                <w:webHidden/>
              </w:rPr>
              <w:tab/>
            </w:r>
            <w:r w:rsidR="00304F5F">
              <w:rPr>
                <w:noProof/>
                <w:webHidden/>
              </w:rPr>
              <w:fldChar w:fldCharType="begin"/>
            </w:r>
            <w:r w:rsidR="00304F5F">
              <w:rPr>
                <w:noProof/>
                <w:webHidden/>
              </w:rPr>
              <w:instrText xml:space="preserve"> PAGEREF _Toc69121238 \h </w:instrText>
            </w:r>
            <w:r w:rsidR="00304F5F">
              <w:rPr>
                <w:noProof/>
                <w:webHidden/>
              </w:rPr>
            </w:r>
            <w:r w:rsidR="00304F5F">
              <w:rPr>
                <w:noProof/>
                <w:webHidden/>
              </w:rPr>
              <w:fldChar w:fldCharType="separate"/>
            </w:r>
            <w:r w:rsidR="00BD76F0">
              <w:rPr>
                <w:noProof/>
                <w:webHidden/>
              </w:rPr>
              <w:t>69</w:t>
            </w:r>
            <w:r w:rsidR="00304F5F">
              <w:rPr>
                <w:noProof/>
                <w:webHidden/>
              </w:rPr>
              <w:fldChar w:fldCharType="end"/>
            </w:r>
          </w:hyperlink>
        </w:p>
        <w:p w14:paraId="17D794C2" w14:textId="65C2FF80" w:rsidR="00304F5F" w:rsidRDefault="009B05DF">
          <w:pPr>
            <w:pStyle w:val="Sumrio3"/>
            <w:rPr>
              <w:rFonts w:eastAsiaTheme="minorEastAsia"/>
              <w:noProof/>
              <w:sz w:val="22"/>
              <w:lang w:eastAsia="pt-BR"/>
            </w:rPr>
          </w:pPr>
          <w:hyperlink w:anchor="_Toc69121239" w:history="1">
            <w:r w:rsidR="00304F5F" w:rsidRPr="00844DAE">
              <w:rPr>
                <w:rStyle w:val="Hyperlink"/>
                <w:b/>
                <w:noProof/>
              </w:rPr>
              <w:t>4.2.5</w:t>
            </w:r>
            <w:r w:rsidR="00304F5F">
              <w:rPr>
                <w:rFonts w:eastAsiaTheme="minorEastAsia"/>
                <w:noProof/>
                <w:sz w:val="22"/>
                <w:lang w:eastAsia="pt-BR"/>
              </w:rPr>
              <w:tab/>
            </w:r>
            <w:r w:rsidR="00304F5F" w:rsidRPr="00844DAE">
              <w:rPr>
                <w:rStyle w:val="Hyperlink"/>
                <w:b/>
                <w:noProof/>
              </w:rPr>
              <w:t>Haveres Financeiros Não Relacionados a Entes Federativos</w:t>
            </w:r>
            <w:r w:rsidR="00304F5F">
              <w:rPr>
                <w:noProof/>
                <w:webHidden/>
              </w:rPr>
              <w:tab/>
            </w:r>
            <w:r w:rsidR="00304F5F">
              <w:rPr>
                <w:noProof/>
                <w:webHidden/>
              </w:rPr>
              <w:fldChar w:fldCharType="begin"/>
            </w:r>
            <w:r w:rsidR="00304F5F">
              <w:rPr>
                <w:noProof/>
                <w:webHidden/>
              </w:rPr>
              <w:instrText xml:space="preserve"> PAGEREF _Toc69121239 \h </w:instrText>
            </w:r>
            <w:r w:rsidR="00304F5F">
              <w:rPr>
                <w:noProof/>
                <w:webHidden/>
              </w:rPr>
            </w:r>
            <w:r w:rsidR="00304F5F">
              <w:rPr>
                <w:noProof/>
                <w:webHidden/>
              </w:rPr>
              <w:fldChar w:fldCharType="separate"/>
            </w:r>
            <w:r w:rsidR="00BD76F0">
              <w:rPr>
                <w:noProof/>
                <w:webHidden/>
              </w:rPr>
              <w:t>84</w:t>
            </w:r>
            <w:r w:rsidR="00304F5F">
              <w:rPr>
                <w:noProof/>
                <w:webHidden/>
              </w:rPr>
              <w:fldChar w:fldCharType="end"/>
            </w:r>
          </w:hyperlink>
        </w:p>
        <w:p w14:paraId="447292DE" w14:textId="44342ABC" w:rsidR="00304F5F" w:rsidRDefault="009B05DF">
          <w:pPr>
            <w:pStyle w:val="Sumrio2"/>
            <w:rPr>
              <w:rFonts w:eastAsiaTheme="minorEastAsia"/>
              <w:noProof/>
              <w:sz w:val="22"/>
              <w:lang w:eastAsia="pt-BR"/>
            </w:rPr>
          </w:pPr>
          <w:hyperlink w:anchor="_Toc69121240" w:history="1">
            <w:r w:rsidR="00304F5F" w:rsidRPr="00844DAE">
              <w:rPr>
                <w:rStyle w:val="Hyperlink"/>
                <w:rFonts w:cs="Times New Roman"/>
                <w:noProof/>
              </w:rPr>
              <w:t>4.3</w:t>
            </w:r>
            <w:r w:rsidR="00304F5F">
              <w:rPr>
                <w:rFonts w:eastAsiaTheme="minorEastAsia"/>
                <w:noProof/>
                <w:sz w:val="22"/>
                <w:lang w:eastAsia="pt-BR"/>
              </w:rPr>
              <w:tab/>
            </w:r>
            <w:r w:rsidR="00304F5F" w:rsidRPr="00844DAE">
              <w:rPr>
                <w:rStyle w:val="Hyperlink"/>
                <w:rFonts w:cs="Times New Roman"/>
                <w:noProof/>
              </w:rPr>
              <w:t>OUTROS RISCOS ESPECÍFICOS</w:t>
            </w:r>
            <w:r w:rsidR="00304F5F">
              <w:rPr>
                <w:noProof/>
                <w:webHidden/>
              </w:rPr>
              <w:tab/>
            </w:r>
            <w:r w:rsidR="00304F5F">
              <w:rPr>
                <w:noProof/>
                <w:webHidden/>
              </w:rPr>
              <w:fldChar w:fldCharType="begin"/>
            </w:r>
            <w:r w:rsidR="00304F5F">
              <w:rPr>
                <w:noProof/>
                <w:webHidden/>
              </w:rPr>
              <w:instrText xml:space="preserve"> PAGEREF _Toc69121240 \h </w:instrText>
            </w:r>
            <w:r w:rsidR="00304F5F">
              <w:rPr>
                <w:noProof/>
                <w:webHidden/>
              </w:rPr>
            </w:r>
            <w:r w:rsidR="00304F5F">
              <w:rPr>
                <w:noProof/>
                <w:webHidden/>
              </w:rPr>
              <w:fldChar w:fldCharType="separate"/>
            </w:r>
            <w:r w:rsidR="00BD76F0">
              <w:rPr>
                <w:noProof/>
                <w:webHidden/>
              </w:rPr>
              <w:t>88</w:t>
            </w:r>
            <w:r w:rsidR="00304F5F">
              <w:rPr>
                <w:noProof/>
                <w:webHidden/>
              </w:rPr>
              <w:fldChar w:fldCharType="end"/>
            </w:r>
          </w:hyperlink>
        </w:p>
        <w:p w14:paraId="7A7937EB" w14:textId="505BFF44" w:rsidR="00304F5F" w:rsidRDefault="009B05DF">
          <w:pPr>
            <w:pStyle w:val="Sumrio3"/>
            <w:rPr>
              <w:rFonts w:eastAsiaTheme="minorEastAsia"/>
              <w:noProof/>
              <w:sz w:val="22"/>
              <w:lang w:eastAsia="pt-BR"/>
            </w:rPr>
          </w:pPr>
          <w:hyperlink w:anchor="_Toc69121241" w:history="1">
            <w:r w:rsidR="00304F5F" w:rsidRPr="00844DAE">
              <w:rPr>
                <w:rStyle w:val="Hyperlink"/>
                <w:b/>
                <w:noProof/>
              </w:rPr>
              <w:t>4.3.1</w:t>
            </w:r>
            <w:r w:rsidR="00304F5F">
              <w:rPr>
                <w:rFonts w:eastAsiaTheme="minorEastAsia"/>
                <w:noProof/>
                <w:sz w:val="22"/>
                <w:lang w:eastAsia="pt-BR"/>
              </w:rPr>
              <w:tab/>
            </w:r>
            <w:r w:rsidR="00304F5F" w:rsidRPr="00844DAE">
              <w:rPr>
                <w:rStyle w:val="Hyperlink"/>
                <w:b/>
                <w:noProof/>
              </w:rPr>
              <w:t>Parcerias Público-Privadas e às Concessões Públicas</w:t>
            </w:r>
            <w:r w:rsidR="00304F5F">
              <w:rPr>
                <w:noProof/>
                <w:webHidden/>
              </w:rPr>
              <w:tab/>
            </w:r>
            <w:r w:rsidR="00304F5F">
              <w:rPr>
                <w:noProof/>
                <w:webHidden/>
              </w:rPr>
              <w:fldChar w:fldCharType="begin"/>
            </w:r>
            <w:r w:rsidR="00304F5F">
              <w:rPr>
                <w:noProof/>
                <w:webHidden/>
              </w:rPr>
              <w:instrText xml:space="preserve"> PAGEREF _Toc69121241 \h </w:instrText>
            </w:r>
            <w:r w:rsidR="00304F5F">
              <w:rPr>
                <w:noProof/>
                <w:webHidden/>
              </w:rPr>
            </w:r>
            <w:r w:rsidR="00304F5F">
              <w:rPr>
                <w:noProof/>
                <w:webHidden/>
              </w:rPr>
              <w:fldChar w:fldCharType="separate"/>
            </w:r>
            <w:r w:rsidR="00BD76F0">
              <w:rPr>
                <w:noProof/>
                <w:webHidden/>
              </w:rPr>
              <w:t>89</w:t>
            </w:r>
            <w:r w:rsidR="00304F5F">
              <w:rPr>
                <w:noProof/>
                <w:webHidden/>
              </w:rPr>
              <w:fldChar w:fldCharType="end"/>
            </w:r>
          </w:hyperlink>
        </w:p>
        <w:p w14:paraId="17633A72" w14:textId="2EA89072" w:rsidR="00304F5F" w:rsidRDefault="009B05DF">
          <w:pPr>
            <w:pStyle w:val="Sumrio3"/>
            <w:rPr>
              <w:rFonts w:eastAsiaTheme="minorEastAsia"/>
              <w:noProof/>
              <w:sz w:val="22"/>
              <w:lang w:eastAsia="pt-BR"/>
            </w:rPr>
          </w:pPr>
          <w:hyperlink w:anchor="_Toc69121242" w:history="1">
            <w:r w:rsidR="00304F5F" w:rsidRPr="00844DAE">
              <w:rPr>
                <w:rStyle w:val="Hyperlink"/>
                <w:b/>
                <w:noProof/>
              </w:rPr>
              <w:t>4.3.2</w:t>
            </w:r>
            <w:r w:rsidR="00304F5F">
              <w:rPr>
                <w:rFonts w:eastAsiaTheme="minorEastAsia"/>
                <w:noProof/>
                <w:sz w:val="22"/>
                <w:lang w:eastAsia="pt-BR"/>
              </w:rPr>
              <w:tab/>
            </w:r>
            <w:r w:rsidR="00304F5F" w:rsidRPr="00844DAE">
              <w:rPr>
                <w:rStyle w:val="Hyperlink"/>
                <w:b/>
                <w:noProof/>
              </w:rPr>
              <w:t>Estatais Federais</w:t>
            </w:r>
            <w:r w:rsidR="00304F5F">
              <w:rPr>
                <w:noProof/>
                <w:webHidden/>
              </w:rPr>
              <w:tab/>
            </w:r>
            <w:r w:rsidR="00304F5F">
              <w:rPr>
                <w:noProof/>
                <w:webHidden/>
              </w:rPr>
              <w:fldChar w:fldCharType="begin"/>
            </w:r>
            <w:r w:rsidR="00304F5F">
              <w:rPr>
                <w:noProof/>
                <w:webHidden/>
              </w:rPr>
              <w:instrText xml:space="preserve"> PAGEREF _Toc69121242 \h </w:instrText>
            </w:r>
            <w:r w:rsidR="00304F5F">
              <w:rPr>
                <w:noProof/>
                <w:webHidden/>
              </w:rPr>
            </w:r>
            <w:r w:rsidR="00304F5F">
              <w:rPr>
                <w:noProof/>
                <w:webHidden/>
              </w:rPr>
              <w:fldChar w:fldCharType="separate"/>
            </w:r>
            <w:r w:rsidR="00BD76F0">
              <w:rPr>
                <w:noProof/>
                <w:webHidden/>
              </w:rPr>
              <w:t>94</w:t>
            </w:r>
            <w:r w:rsidR="00304F5F">
              <w:rPr>
                <w:noProof/>
                <w:webHidden/>
              </w:rPr>
              <w:fldChar w:fldCharType="end"/>
            </w:r>
          </w:hyperlink>
        </w:p>
        <w:p w14:paraId="54C5D57E" w14:textId="116CC009" w:rsidR="00304F5F" w:rsidRDefault="009B05DF">
          <w:pPr>
            <w:pStyle w:val="Sumrio3"/>
            <w:rPr>
              <w:rFonts w:eastAsiaTheme="minorEastAsia"/>
              <w:noProof/>
              <w:sz w:val="22"/>
              <w:lang w:eastAsia="pt-BR"/>
            </w:rPr>
          </w:pPr>
          <w:hyperlink w:anchor="_Toc69121243" w:history="1">
            <w:r w:rsidR="00304F5F" w:rsidRPr="00844DAE">
              <w:rPr>
                <w:rStyle w:val="Hyperlink"/>
                <w:b/>
                <w:noProof/>
              </w:rPr>
              <w:t>4.3.3</w:t>
            </w:r>
            <w:r w:rsidR="00304F5F">
              <w:rPr>
                <w:rFonts w:eastAsiaTheme="minorEastAsia"/>
                <w:noProof/>
                <w:sz w:val="22"/>
                <w:lang w:eastAsia="pt-BR"/>
              </w:rPr>
              <w:tab/>
            </w:r>
            <w:r w:rsidR="00304F5F" w:rsidRPr="00844DAE">
              <w:rPr>
                <w:rStyle w:val="Hyperlink"/>
                <w:b/>
                <w:noProof/>
              </w:rPr>
              <w:t>Fundo de Financiamento Estudantil (Fies)</w:t>
            </w:r>
            <w:r w:rsidR="00304F5F">
              <w:rPr>
                <w:noProof/>
                <w:webHidden/>
              </w:rPr>
              <w:tab/>
            </w:r>
            <w:r w:rsidR="00304F5F">
              <w:rPr>
                <w:noProof/>
                <w:webHidden/>
              </w:rPr>
              <w:fldChar w:fldCharType="begin"/>
            </w:r>
            <w:r w:rsidR="00304F5F">
              <w:rPr>
                <w:noProof/>
                <w:webHidden/>
              </w:rPr>
              <w:instrText xml:space="preserve"> PAGEREF _Toc69121243 \h </w:instrText>
            </w:r>
            <w:r w:rsidR="00304F5F">
              <w:rPr>
                <w:noProof/>
                <w:webHidden/>
              </w:rPr>
            </w:r>
            <w:r w:rsidR="00304F5F">
              <w:rPr>
                <w:noProof/>
                <w:webHidden/>
              </w:rPr>
              <w:fldChar w:fldCharType="separate"/>
            </w:r>
            <w:r w:rsidR="00BD76F0">
              <w:rPr>
                <w:noProof/>
                <w:webHidden/>
              </w:rPr>
              <w:t>110</w:t>
            </w:r>
            <w:r w:rsidR="00304F5F">
              <w:rPr>
                <w:noProof/>
                <w:webHidden/>
              </w:rPr>
              <w:fldChar w:fldCharType="end"/>
            </w:r>
          </w:hyperlink>
        </w:p>
        <w:p w14:paraId="449C37D0" w14:textId="7B521E87" w:rsidR="00304F5F" w:rsidRDefault="009B05DF">
          <w:pPr>
            <w:pStyle w:val="Sumrio3"/>
            <w:rPr>
              <w:rFonts w:eastAsiaTheme="minorEastAsia"/>
              <w:noProof/>
              <w:sz w:val="22"/>
              <w:lang w:eastAsia="pt-BR"/>
            </w:rPr>
          </w:pPr>
          <w:hyperlink w:anchor="_Toc69121244" w:history="1">
            <w:r w:rsidR="00304F5F" w:rsidRPr="00844DAE">
              <w:rPr>
                <w:rStyle w:val="Hyperlink"/>
                <w:b/>
                <w:noProof/>
              </w:rPr>
              <w:t>4.3.4</w:t>
            </w:r>
            <w:r w:rsidR="00304F5F">
              <w:rPr>
                <w:rFonts w:eastAsiaTheme="minorEastAsia"/>
                <w:noProof/>
                <w:sz w:val="22"/>
                <w:lang w:eastAsia="pt-BR"/>
              </w:rPr>
              <w:tab/>
            </w:r>
            <w:r w:rsidR="00304F5F" w:rsidRPr="00844DAE">
              <w:rPr>
                <w:rStyle w:val="Hyperlink"/>
                <w:b/>
                <w:noProof/>
              </w:rPr>
              <w:t>Sistema Financeiro Nacional (SFN)</w:t>
            </w:r>
            <w:r w:rsidR="00304F5F">
              <w:rPr>
                <w:noProof/>
                <w:webHidden/>
              </w:rPr>
              <w:tab/>
            </w:r>
            <w:r w:rsidR="00304F5F">
              <w:rPr>
                <w:noProof/>
                <w:webHidden/>
              </w:rPr>
              <w:fldChar w:fldCharType="begin"/>
            </w:r>
            <w:r w:rsidR="00304F5F">
              <w:rPr>
                <w:noProof/>
                <w:webHidden/>
              </w:rPr>
              <w:instrText xml:space="preserve"> PAGEREF _Toc69121244 \h </w:instrText>
            </w:r>
            <w:r w:rsidR="00304F5F">
              <w:rPr>
                <w:noProof/>
                <w:webHidden/>
              </w:rPr>
            </w:r>
            <w:r w:rsidR="00304F5F">
              <w:rPr>
                <w:noProof/>
                <w:webHidden/>
              </w:rPr>
              <w:fldChar w:fldCharType="separate"/>
            </w:r>
            <w:r w:rsidR="00BD76F0">
              <w:rPr>
                <w:noProof/>
                <w:webHidden/>
              </w:rPr>
              <w:t>118</w:t>
            </w:r>
            <w:r w:rsidR="00304F5F">
              <w:rPr>
                <w:noProof/>
                <w:webHidden/>
              </w:rPr>
              <w:fldChar w:fldCharType="end"/>
            </w:r>
          </w:hyperlink>
        </w:p>
        <w:p w14:paraId="3815F5C3" w14:textId="117588C8" w:rsidR="00304F5F" w:rsidRDefault="009B05DF">
          <w:pPr>
            <w:pStyle w:val="Sumrio3"/>
            <w:rPr>
              <w:rFonts w:eastAsiaTheme="minorEastAsia"/>
              <w:noProof/>
              <w:sz w:val="22"/>
              <w:lang w:eastAsia="pt-BR"/>
            </w:rPr>
          </w:pPr>
          <w:hyperlink w:anchor="_Toc69121245" w:history="1">
            <w:r w:rsidR="00304F5F" w:rsidRPr="00844DAE">
              <w:rPr>
                <w:rStyle w:val="Hyperlink"/>
                <w:b/>
                <w:noProof/>
              </w:rPr>
              <w:t>4.3.5</w:t>
            </w:r>
            <w:r w:rsidR="00304F5F">
              <w:rPr>
                <w:rFonts w:eastAsiaTheme="minorEastAsia"/>
                <w:noProof/>
                <w:sz w:val="22"/>
                <w:lang w:eastAsia="pt-BR"/>
              </w:rPr>
              <w:tab/>
            </w:r>
            <w:r w:rsidR="00304F5F" w:rsidRPr="00844DAE">
              <w:rPr>
                <w:rStyle w:val="Hyperlink"/>
                <w:b/>
                <w:noProof/>
              </w:rPr>
              <w:t>Desastres</w:t>
            </w:r>
            <w:r w:rsidR="00304F5F">
              <w:rPr>
                <w:noProof/>
                <w:webHidden/>
              </w:rPr>
              <w:tab/>
            </w:r>
            <w:r w:rsidR="00304F5F">
              <w:rPr>
                <w:noProof/>
                <w:webHidden/>
              </w:rPr>
              <w:fldChar w:fldCharType="begin"/>
            </w:r>
            <w:r w:rsidR="00304F5F">
              <w:rPr>
                <w:noProof/>
                <w:webHidden/>
              </w:rPr>
              <w:instrText xml:space="preserve"> PAGEREF _Toc69121245 \h </w:instrText>
            </w:r>
            <w:r w:rsidR="00304F5F">
              <w:rPr>
                <w:noProof/>
                <w:webHidden/>
              </w:rPr>
            </w:r>
            <w:r w:rsidR="00304F5F">
              <w:rPr>
                <w:noProof/>
                <w:webHidden/>
              </w:rPr>
              <w:fldChar w:fldCharType="separate"/>
            </w:r>
            <w:r w:rsidR="00BD76F0">
              <w:rPr>
                <w:noProof/>
                <w:webHidden/>
              </w:rPr>
              <w:t>118</w:t>
            </w:r>
            <w:r w:rsidR="00304F5F">
              <w:rPr>
                <w:noProof/>
                <w:webHidden/>
              </w:rPr>
              <w:fldChar w:fldCharType="end"/>
            </w:r>
          </w:hyperlink>
        </w:p>
        <w:p w14:paraId="3D821374" w14:textId="37D11434" w:rsidR="00304F5F" w:rsidRDefault="009B05DF">
          <w:pPr>
            <w:pStyle w:val="Sumrio3"/>
            <w:rPr>
              <w:rFonts w:eastAsiaTheme="minorEastAsia"/>
              <w:noProof/>
              <w:sz w:val="22"/>
              <w:lang w:eastAsia="pt-BR"/>
            </w:rPr>
          </w:pPr>
          <w:hyperlink w:anchor="_Toc69121246" w:history="1">
            <w:r w:rsidR="00304F5F" w:rsidRPr="00844DAE">
              <w:rPr>
                <w:rStyle w:val="Hyperlink"/>
                <w:b/>
                <w:noProof/>
              </w:rPr>
              <w:t>4.3.6</w:t>
            </w:r>
            <w:r w:rsidR="00304F5F">
              <w:rPr>
                <w:rFonts w:eastAsiaTheme="minorEastAsia"/>
                <w:noProof/>
                <w:sz w:val="22"/>
                <w:lang w:eastAsia="pt-BR"/>
              </w:rPr>
              <w:tab/>
            </w:r>
            <w:r w:rsidR="00304F5F" w:rsidRPr="00844DAE">
              <w:rPr>
                <w:rStyle w:val="Hyperlink"/>
                <w:b/>
                <w:noProof/>
              </w:rPr>
              <w:t>Mudanças Demográficas</w:t>
            </w:r>
            <w:r w:rsidR="00304F5F">
              <w:rPr>
                <w:noProof/>
                <w:webHidden/>
              </w:rPr>
              <w:tab/>
            </w:r>
            <w:r w:rsidR="00304F5F">
              <w:rPr>
                <w:noProof/>
                <w:webHidden/>
              </w:rPr>
              <w:fldChar w:fldCharType="begin"/>
            </w:r>
            <w:r w:rsidR="00304F5F">
              <w:rPr>
                <w:noProof/>
                <w:webHidden/>
              </w:rPr>
              <w:instrText xml:space="preserve"> PAGEREF _Toc69121246 \h </w:instrText>
            </w:r>
            <w:r w:rsidR="00304F5F">
              <w:rPr>
                <w:noProof/>
                <w:webHidden/>
              </w:rPr>
            </w:r>
            <w:r w:rsidR="00304F5F">
              <w:rPr>
                <w:noProof/>
                <w:webHidden/>
              </w:rPr>
              <w:fldChar w:fldCharType="separate"/>
            </w:r>
            <w:r w:rsidR="00BD76F0">
              <w:rPr>
                <w:noProof/>
                <w:webHidden/>
              </w:rPr>
              <w:t>119</w:t>
            </w:r>
            <w:r w:rsidR="00304F5F">
              <w:rPr>
                <w:noProof/>
                <w:webHidden/>
              </w:rPr>
              <w:fldChar w:fldCharType="end"/>
            </w:r>
          </w:hyperlink>
        </w:p>
        <w:p w14:paraId="42312C45" w14:textId="1C4E3F40" w:rsidR="00304F5F" w:rsidRDefault="009B05DF">
          <w:pPr>
            <w:pStyle w:val="Sumrio1"/>
            <w:tabs>
              <w:tab w:val="left" w:pos="442"/>
              <w:tab w:val="right" w:leader="dot" w:pos="9913"/>
            </w:tabs>
            <w:rPr>
              <w:rFonts w:eastAsiaTheme="minorEastAsia"/>
              <w:noProof/>
              <w:sz w:val="22"/>
              <w:lang w:eastAsia="pt-BR"/>
            </w:rPr>
          </w:pPr>
          <w:hyperlink w:anchor="_Toc69121247" w:history="1">
            <w:r w:rsidR="00304F5F" w:rsidRPr="00844DAE">
              <w:rPr>
                <w:rStyle w:val="Hyperlink"/>
                <w:b/>
                <w:noProof/>
                <w:lang w:eastAsia="pt-BR"/>
              </w:rPr>
              <w:t>5</w:t>
            </w:r>
            <w:r w:rsidR="00304F5F">
              <w:rPr>
                <w:rFonts w:eastAsiaTheme="minorEastAsia"/>
                <w:noProof/>
                <w:sz w:val="22"/>
                <w:lang w:eastAsia="pt-BR"/>
              </w:rPr>
              <w:tab/>
            </w:r>
            <w:r w:rsidR="00304F5F" w:rsidRPr="00844DAE">
              <w:rPr>
                <w:rStyle w:val="Hyperlink"/>
                <w:b/>
                <w:noProof/>
                <w:lang w:eastAsia="pt-BR"/>
              </w:rPr>
              <w:t>CONSIDERAÇÕES FINAIS</w:t>
            </w:r>
            <w:r w:rsidR="00304F5F">
              <w:rPr>
                <w:noProof/>
                <w:webHidden/>
              </w:rPr>
              <w:tab/>
            </w:r>
            <w:r w:rsidR="00304F5F">
              <w:rPr>
                <w:noProof/>
                <w:webHidden/>
              </w:rPr>
              <w:fldChar w:fldCharType="begin"/>
            </w:r>
            <w:r w:rsidR="00304F5F">
              <w:rPr>
                <w:noProof/>
                <w:webHidden/>
              </w:rPr>
              <w:instrText xml:space="preserve"> PAGEREF _Toc69121247 \h </w:instrText>
            </w:r>
            <w:r w:rsidR="00304F5F">
              <w:rPr>
                <w:noProof/>
                <w:webHidden/>
              </w:rPr>
            </w:r>
            <w:r w:rsidR="00304F5F">
              <w:rPr>
                <w:noProof/>
                <w:webHidden/>
              </w:rPr>
              <w:fldChar w:fldCharType="separate"/>
            </w:r>
            <w:r w:rsidR="00BD76F0">
              <w:rPr>
                <w:noProof/>
                <w:webHidden/>
              </w:rPr>
              <w:t>121</w:t>
            </w:r>
            <w:r w:rsidR="00304F5F">
              <w:rPr>
                <w:noProof/>
                <w:webHidden/>
              </w:rPr>
              <w:fldChar w:fldCharType="end"/>
            </w:r>
          </w:hyperlink>
        </w:p>
        <w:p w14:paraId="688C0535" w14:textId="737C38D1" w:rsidR="00ED7FD0" w:rsidRPr="0022645B" w:rsidRDefault="005E4023" w:rsidP="00D06E4B">
          <w:pPr>
            <w:spacing w:line="240" w:lineRule="auto"/>
            <w:rPr>
              <w:sz w:val="2"/>
              <w:szCs w:val="2"/>
            </w:rPr>
          </w:pPr>
          <w:r w:rsidRPr="0022645B">
            <w:rPr>
              <w:sz w:val="24"/>
            </w:rPr>
            <w:fldChar w:fldCharType="end"/>
          </w:r>
        </w:p>
      </w:sdtContent>
    </w:sdt>
    <w:p w14:paraId="5EB0A4DC" w14:textId="77777777" w:rsidR="0082250D" w:rsidRPr="0022645B" w:rsidRDefault="0082250D" w:rsidP="00ED7FD0">
      <w:pPr>
        <w:rPr>
          <w:sz w:val="2"/>
          <w:szCs w:val="2"/>
        </w:rPr>
      </w:pPr>
    </w:p>
    <w:p w14:paraId="79B95E6A" w14:textId="576812AD" w:rsidR="00872D6F" w:rsidRDefault="00872D6F">
      <w:pPr>
        <w:rPr>
          <w:b/>
          <w:sz w:val="24"/>
          <w:szCs w:val="24"/>
        </w:rPr>
      </w:pPr>
      <w:r>
        <w:rPr>
          <w:b/>
          <w:sz w:val="24"/>
          <w:szCs w:val="24"/>
        </w:rPr>
        <w:br w:type="page"/>
      </w:r>
    </w:p>
    <w:p w14:paraId="39B16743" w14:textId="77777777" w:rsidR="00F3094E" w:rsidRPr="0022645B" w:rsidRDefault="00F3094E" w:rsidP="005B752D">
      <w:pPr>
        <w:jc w:val="center"/>
        <w:rPr>
          <w:sz w:val="2"/>
          <w:szCs w:val="2"/>
        </w:rPr>
      </w:pPr>
      <w:r w:rsidRPr="0022645B">
        <w:rPr>
          <w:b/>
          <w:sz w:val="24"/>
          <w:szCs w:val="24"/>
        </w:rPr>
        <w:lastRenderedPageBreak/>
        <w:t>ÍNDICE DE TABELAS</w:t>
      </w:r>
    </w:p>
    <w:p w14:paraId="418A3F79" w14:textId="696380FC" w:rsidR="00304F5F" w:rsidRDefault="000D17A6">
      <w:pPr>
        <w:pStyle w:val="ndicedeilustraes"/>
        <w:tabs>
          <w:tab w:val="right" w:leader="dot" w:pos="9913"/>
        </w:tabs>
        <w:rPr>
          <w:rFonts w:eastAsiaTheme="minorEastAsia"/>
          <w:noProof/>
          <w:lang w:eastAsia="pt-BR"/>
        </w:rPr>
      </w:pPr>
      <w:r w:rsidRPr="0022645B">
        <w:rPr>
          <w:sz w:val="24"/>
          <w:szCs w:val="24"/>
        </w:rPr>
        <w:fldChar w:fldCharType="begin"/>
      </w:r>
      <w:r w:rsidRPr="0022645B">
        <w:rPr>
          <w:sz w:val="24"/>
          <w:szCs w:val="24"/>
        </w:rPr>
        <w:instrText xml:space="preserve"> TOC \h \z \c "Tabela" </w:instrText>
      </w:r>
      <w:r w:rsidRPr="0022645B">
        <w:rPr>
          <w:sz w:val="24"/>
          <w:szCs w:val="24"/>
        </w:rPr>
        <w:fldChar w:fldCharType="separate"/>
      </w:r>
      <w:hyperlink w:anchor="_Toc69121347" w:history="1">
        <w:r w:rsidR="00304F5F" w:rsidRPr="005E2FEC">
          <w:rPr>
            <w:rStyle w:val="Hyperlink"/>
            <w:noProof/>
          </w:rPr>
          <w:t>Tabela 1 - Base de atuação dos Riscos Fiscais Específicos Consolidados</w:t>
        </w:r>
        <w:r w:rsidR="00304F5F">
          <w:rPr>
            <w:noProof/>
            <w:webHidden/>
          </w:rPr>
          <w:tab/>
        </w:r>
        <w:r w:rsidR="00304F5F">
          <w:rPr>
            <w:noProof/>
            <w:webHidden/>
          </w:rPr>
          <w:fldChar w:fldCharType="begin"/>
        </w:r>
        <w:r w:rsidR="00304F5F">
          <w:rPr>
            <w:noProof/>
            <w:webHidden/>
          </w:rPr>
          <w:instrText xml:space="preserve"> PAGEREF _Toc69121347 \h </w:instrText>
        </w:r>
        <w:r w:rsidR="00304F5F">
          <w:rPr>
            <w:noProof/>
            <w:webHidden/>
          </w:rPr>
        </w:r>
        <w:r w:rsidR="00304F5F">
          <w:rPr>
            <w:noProof/>
            <w:webHidden/>
          </w:rPr>
          <w:fldChar w:fldCharType="separate"/>
        </w:r>
        <w:r w:rsidR="00BD76F0">
          <w:rPr>
            <w:noProof/>
            <w:webHidden/>
          </w:rPr>
          <w:t>12</w:t>
        </w:r>
        <w:r w:rsidR="00304F5F">
          <w:rPr>
            <w:noProof/>
            <w:webHidden/>
          </w:rPr>
          <w:fldChar w:fldCharType="end"/>
        </w:r>
      </w:hyperlink>
    </w:p>
    <w:p w14:paraId="6FB1CE4F" w14:textId="16CCE135" w:rsidR="00304F5F" w:rsidRDefault="009B05DF">
      <w:pPr>
        <w:pStyle w:val="ndicedeilustraes"/>
        <w:tabs>
          <w:tab w:val="right" w:leader="dot" w:pos="9913"/>
        </w:tabs>
        <w:rPr>
          <w:rFonts w:eastAsiaTheme="minorEastAsia"/>
          <w:noProof/>
          <w:lang w:eastAsia="pt-BR"/>
        </w:rPr>
      </w:pPr>
      <w:hyperlink w:anchor="_Toc69121348" w:history="1">
        <w:r w:rsidR="00304F5F" w:rsidRPr="005E2FEC">
          <w:rPr>
            <w:rStyle w:val="Hyperlink"/>
            <w:noProof/>
          </w:rPr>
          <w:t>Tabela 2 - Previsão das Receitas Administradas pela RFB em 2020</w:t>
        </w:r>
        <w:r w:rsidR="00304F5F">
          <w:rPr>
            <w:noProof/>
            <w:webHidden/>
          </w:rPr>
          <w:tab/>
        </w:r>
        <w:r w:rsidR="00304F5F">
          <w:rPr>
            <w:noProof/>
            <w:webHidden/>
          </w:rPr>
          <w:fldChar w:fldCharType="begin"/>
        </w:r>
        <w:r w:rsidR="00304F5F">
          <w:rPr>
            <w:noProof/>
            <w:webHidden/>
          </w:rPr>
          <w:instrText xml:space="preserve"> PAGEREF _Toc69121348 \h </w:instrText>
        </w:r>
        <w:r w:rsidR="00304F5F">
          <w:rPr>
            <w:noProof/>
            <w:webHidden/>
          </w:rPr>
        </w:r>
        <w:r w:rsidR="00304F5F">
          <w:rPr>
            <w:noProof/>
            <w:webHidden/>
          </w:rPr>
          <w:fldChar w:fldCharType="separate"/>
        </w:r>
        <w:r w:rsidR="00BD76F0">
          <w:rPr>
            <w:noProof/>
            <w:webHidden/>
          </w:rPr>
          <w:t>13</w:t>
        </w:r>
        <w:r w:rsidR="00304F5F">
          <w:rPr>
            <w:noProof/>
            <w:webHidden/>
          </w:rPr>
          <w:fldChar w:fldCharType="end"/>
        </w:r>
      </w:hyperlink>
    </w:p>
    <w:p w14:paraId="1344A63C" w14:textId="76ECA2A3" w:rsidR="00304F5F" w:rsidRDefault="009B05DF">
      <w:pPr>
        <w:pStyle w:val="ndicedeilustraes"/>
        <w:tabs>
          <w:tab w:val="right" w:leader="dot" w:pos="9913"/>
        </w:tabs>
        <w:rPr>
          <w:rFonts w:eastAsiaTheme="minorEastAsia"/>
          <w:noProof/>
          <w:lang w:eastAsia="pt-BR"/>
        </w:rPr>
      </w:pPr>
      <w:hyperlink w:anchor="_Toc69121349" w:history="1">
        <w:r w:rsidR="00304F5F" w:rsidRPr="005E2FEC">
          <w:rPr>
            <w:rStyle w:val="Hyperlink"/>
            <w:noProof/>
          </w:rPr>
          <w:t>Tabela 3 - Receitas Atípicas de 2020</w:t>
        </w:r>
        <w:r w:rsidR="00304F5F">
          <w:rPr>
            <w:noProof/>
            <w:webHidden/>
          </w:rPr>
          <w:tab/>
        </w:r>
        <w:r w:rsidR="00304F5F">
          <w:rPr>
            <w:noProof/>
            <w:webHidden/>
          </w:rPr>
          <w:fldChar w:fldCharType="begin"/>
        </w:r>
        <w:r w:rsidR="00304F5F">
          <w:rPr>
            <w:noProof/>
            <w:webHidden/>
          </w:rPr>
          <w:instrText xml:space="preserve"> PAGEREF _Toc69121349 \h </w:instrText>
        </w:r>
        <w:r w:rsidR="00304F5F">
          <w:rPr>
            <w:noProof/>
            <w:webHidden/>
          </w:rPr>
        </w:r>
        <w:r w:rsidR="00304F5F">
          <w:rPr>
            <w:noProof/>
            <w:webHidden/>
          </w:rPr>
          <w:fldChar w:fldCharType="separate"/>
        </w:r>
        <w:r w:rsidR="00BD76F0">
          <w:rPr>
            <w:noProof/>
            <w:webHidden/>
          </w:rPr>
          <w:t>14</w:t>
        </w:r>
        <w:r w:rsidR="00304F5F">
          <w:rPr>
            <w:noProof/>
            <w:webHidden/>
          </w:rPr>
          <w:fldChar w:fldCharType="end"/>
        </w:r>
      </w:hyperlink>
    </w:p>
    <w:p w14:paraId="4BAA1740" w14:textId="2B144308" w:rsidR="00304F5F" w:rsidRDefault="009B05DF">
      <w:pPr>
        <w:pStyle w:val="ndicedeilustraes"/>
        <w:tabs>
          <w:tab w:val="right" w:leader="dot" w:pos="9913"/>
        </w:tabs>
        <w:rPr>
          <w:rFonts w:eastAsiaTheme="minorEastAsia"/>
          <w:noProof/>
          <w:lang w:eastAsia="pt-BR"/>
        </w:rPr>
      </w:pPr>
      <w:hyperlink w:anchor="_Toc69121350" w:history="1">
        <w:r w:rsidR="00304F5F" w:rsidRPr="005E2FEC">
          <w:rPr>
            <w:rStyle w:val="Hyperlink"/>
            <w:noProof/>
          </w:rPr>
          <w:t>Tabela 4 - Receitas Primárias do Governo Central Indexadas a Parâmetros Macroeconômicos</w:t>
        </w:r>
        <w:r w:rsidR="00304F5F">
          <w:rPr>
            <w:noProof/>
            <w:webHidden/>
          </w:rPr>
          <w:tab/>
        </w:r>
        <w:r w:rsidR="00304F5F">
          <w:rPr>
            <w:noProof/>
            <w:webHidden/>
          </w:rPr>
          <w:fldChar w:fldCharType="begin"/>
        </w:r>
        <w:r w:rsidR="00304F5F">
          <w:rPr>
            <w:noProof/>
            <w:webHidden/>
          </w:rPr>
          <w:instrText xml:space="preserve"> PAGEREF _Toc69121350 \h </w:instrText>
        </w:r>
        <w:r w:rsidR="00304F5F">
          <w:rPr>
            <w:noProof/>
            <w:webHidden/>
          </w:rPr>
        </w:r>
        <w:r w:rsidR="00304F5F">
          <w:rPr>
            <w:noProof/>
            <w:webHidden/>
          </w:rPr>
          <w:fldChar w:fldCharType="separate"/>
        </w:r>
        <w:r w:rsidR="00BD76F0">
          <w:rPr>
            <w:noProof/>
            <w:webHidden/>
          </w:rPr>
          <w:t>14</w:t>
        </w:r>
        <w:r w:rsidR="00304F5F">
          <w:rPr>
            <w:noProof/>
            <w:webHidden/>
          </w:rPr>
          <w:fldChar w:fldCharType="end"/>
        </w:r>
      </w:hyperlink>
    </w:p>
    <w:p w14:paraId="574AC8B7" w14:textId="662DC6FE" w:rsidR="00304F5F" w:rsidRDefault="009B05DF">
      <w:pPr>
        <w:pStyle w:val="ndicedeilustraes"/>
        <w:tabs>
          <w:tab w:val="right" w:leader="dot" w:pos="9913"/>
        </w:tabs>
        <w:rPr>
          <w:rFonts w:eastAsiaTheme="minorEastAsia"/>
          <w:noProof/>
          <w:lang w:eastAsia="pt-BR"/>
        </w:rPr>
      </w:pPr>
      <w:hyperlink w:anchor="_Toc69121351" w:history="1">
        <w:r w:rsidR="00304F5F" w:rsidRPr="005E2FEC">
          <w:rPr>
            <w:rStyle w:val="Hyperlink"/>
            <w:noProof/>
          </w:rPr>
          <w:t>Tabela 5 - Receita Administrada pela RFB em 2021 – Impacto % da variação de 1 p.p. em cada parâmetro</w:t>
        </w:r>
        <w:r w:rsidR="00304F5F">
          <w:rPr>
            <w:noProof/>
            <w:webHidden/>
          </w:rPr>
          <w:tab/>
        </w:r>
        <w:r w:rsidR="00304F5F">
          <w:rPr>
            <w:noProof/>
            <w:webHidden/>
          </w:rPr>
          <w:fldChar w:fldCharType="begin"/>
        </w:r>
        <w:r w:rsidR="00304F5F">
          <w:rPr>
            <w:noProof/>
            <w:webHidden/>
          </w:rPr>
          <w:instrText xml:space="preserve"> PAGEREF _Toc69121351 \h </w:instrText>
        </w:r>
        <w:r w:rsidR="00304F5F">
          <w:rPr>
            <w:noProof/>
            <w:webHidden/>
          </w:rPr>
        </w:r>
        <w:r w:rsidR="00304F5F">
          <w:rPr>
            <w:noProof/>
            <w:webHidden/>
          </w:rPr>
          <w:fldChar w:fldCharType="separate"/>
        </w:r>
        <w:r w:rsidR="00BD76F0">
          <w:rPr>
            <w:noProof/>
            <w:webHidden/>
          </w:rPr>
          <w:t>15</w:t>
        </w:r>
        <w:r w:rsidR="00304F5F">
          <w:rPr>
            <w:noProof/>
            <w:webHidden/>
          </w:rPr>
          <w:fldChar w:fldCharType="end"/>
        </w:r>
      </w:hyperlink>
    </w:p>
    <w:p w14:paraId="6B0305D8" w14:textId="4355F885" w:rsidR="00304F5F" w:rsidRDefault="009B05DF">
      <w:pPr>
        <w:pStyle w:val="ndicedeilustraes"/>
        <w:tabs>
          <w:tab w:val="right" w:leader="dot" w:pos="9913"/>
        </w:tabs>
        <w:rPr>
          <w:rFonts w:eastAsiaTheme="minorEastAsia"/>
          <w:noProof/>
          <w:lang w:eastAsia="pt-BR"/>
        </w:rPr>
      </w:pPr>
      <w:hyperlink w:anchor="_Toc69121352" w:history="1">
        <w:r w:rsidR="00304F5F" w:rsidRPr="005E2FEC">
          <w:rPr>
            <w:rStyle w:val="Hyperlink"/>
            <w:noProof/>
          </w:rPr>
          <w:t>Tabela 6 - Receitas - Impacto da Variação de 1 p.p. nas Variáveis Macroeconômicas</w:t>
        </w:r>
        <w:r w:rsidR="00304F5F">
          <w:rPr>
            <w:noProof/>
            <w:webHidden/>
          </w:rPr>
          <w:tab/>
        </w:r>
        <w:r w:rsidR="00304F5F">
          <w:rPr>
            <w:noProof/>
            <w:webHidden/>
          </w:rPr>
          <w:fldChar w:fldCharType="begin"/>
        </w:r>
        <w:r w:rsidR="00304F5F">
          <w:rPr>
            <w:noProof/>
            <w:webHidden/>
          </w:rPr>
          <w:instrText xml:space="preserve"> PAGEREF _Toc69121352 \h </w:instrText>
        </w:r>
        <w:r w:rsidR="00304F5F">
          <w:rPr>
            <w:noProof/>
            <w:webHidden/>
          </w:rPr>
        </w:r>
        <w:r w:rsidR="00304F5F">
          <w:rPr>
            <w:noProof/>
            <w:webHidden/>
          </w:rPr>
          <w:fldChar w:fldCharType="separate"/>
        </w:r>
        <w:r w:rsidR="00BD76F0">
          <w:rPr>
            <w:noProof/>
            <w:webHidden/>
          </w:rPr>
          <w:t>16</w:t>
        </w:r>
        <w:r w:rsidR="00304F5F">
          <w:rPr>
            <w:noProof/>
            <w:webHidden/>
          </w:rPr>
          <w:fldChar w:fldCharType="end"/>
        </w:r>
      </w:hyperlink>
    </w:p>
    <w:p w14:paraId="6E0428DA" w14:textId="6469A8E8" w:rsidR="00304F5F" w:rsidRDefault="009B05DF">
      <w:pPr>
        <w:pStyle w:val="ndicedeilustraes"/>
        <w:tabs>
          <w:tab w:val="right" w:leader="dot" w:pos="9913"/>
        </w:tabs>
        <w:rPr>
          <w:rFonts w:eastAsiaTheme="minorEastAsia"/>
          <w:noProof/>
          <w:lang w:eastAsia="pt-BR"/>
        </w:rPr>
      </w:pPr>
      <w:hyperlink w:anchor="_Toc69121353" w:history="1">
        <w:r w:rsidR="00304F5F" w:rsidRPr="005E2FEC">
          <w:rPr>
            <w:rStyle w:val="Hyperlink"/>
            <w:noProof/>
          </w:rPr>
          <w:t>Tabela 7 - Despesas Primárias do Governo Central Indexadas a Parâmetros Macroeconômicos</w:t>
        </w:r>
        <w:r w:rsidR="00304F5F">
          <w:rPr>
            <w:noProof/>
            <w:webHidden/>
          </w:rPr>
          <w:tab/>
        </w:r>
        <w:r w:rsidR="00304F5F">
          <w:rPr>
            <w:noProof/>
            <w:webHidden/>
          </w:rPr>
          <w:fldChar w:fldCharType="begin"/>
        </w:r>
        <w:r w:rsidR="00304F5F">
          <w:rPr>
            <w:noProof/>
            <w:webHidden/>
          </w:rPr>
          <w:instrText xml:space="preserve"> PAGEREF _Toc69121353 \h </w:instrText>
        </w:r>
        <w:r w:rsidR="00304F5F">
          <w:rPr>
            <w:noProof/>
            <w:webHidden/>
          </w:rPr>
        </w:r>
        <w:r w:rsidR="00304F5F">
          <w:rPr>
            <w:noProof/>
            <w:webHidden/>
          </w:rPr>
          <w:fldChar w:fldCharType="separate"/>
        </w:r>
        <w:r w:rsidR="00BD76F0">
          <w:rPr>
            <w:noProof/>
            <w:webHidden/>
          </w:rPr>
          <w:t>17</w:t>
        </w:r>
        <w:r w:rsidR="00304F5F">
          <w:rPr>
            <w:noProof/>
            <w:webHidden/>
          </w:rPr>
          <w:fldChar w:fldCharType="end"/>
        </w:r>
      </w:hyperlink>
    </w:p>
    <w:p w14:paraId="30A016ED" w14:textId="2CFAF557" w:rsidR="00304F5F" w:rsidRDefault="009B05DF">
      <w:pPr>
        <w:pStyle w:val="ndicedeilustraes"/>
        <w:tabs>
          <w:tab w:val="right" w:leader="dot" w:pos="9913"/>
        </w:tabs>
        <w:rPr>
          <w:rFonts w:eastAsiaTheme="minorEastAsia"/>
          <w:noProof/>
          <w:lang w:eastAsia="pt-BR"/>
        </w:rPr>
      </w:pPr>
      <w:hyperlink w:anchor="_Toc69121354" w:history="1">
        <w:r w:rsidR="00304F5F" w:rsidRPr="005E2FEC">
          <w:rPr>
            <w:rStyle w:val="Hyperlink"/>
            <w:noProof/>
          </w:rPr>
          <w:t>Tabela 8 - Despesas Primárias – Impacto % da variação de 1 p.p. no INPC</w:t>
        </w:r>
        <w:r w:rsidR="00304F5F">
          <w:rPr>
            <w:noProof/>
            <w:webHidden/>
          </w:rPr>
          <w:tab/>
        </w:r>
        <w:r w:rsidR="00304F5F">
          <w:rPr>
            <w:noProof/>
            <w:webHidden/>
          </w:rPr>
          <w:fldChar w:fldCharType="begin"/>
        </w:r>
        <w:r w:rsidR="00304F5F">
          <w:rPr>
            <w:noProof/>
            <w:webHidden/>
          </w:rPr>
          <w:instrText xml:space="preserve"> PAGEREF _Toc69121354 \h </w:instrText>
        </w:r>
        <w:r w:rsidR="00304F5F">
          <w:rPr>
            <w:noProof/>
            <w:webHidden/>
          </w:rPr>
        </w:r>
        <w:r w:rsidR="00304F5F">
          <w:rPr>
            <w:noProof/>
            <w:webHidden/>
          </w:rPr>
          <w:fldChar w:fldCharType="separate"/>
        </w:r>
        <w:r w:rsidR="00BD76F0">
          <w:rPr>
            <w:noProof/>
            <w:webHidden/>
          </w:rPr>
          <w:t>17</w:t>
        </w:r>
        <w:r w:rsidR="00304F5F">
          <w:rPr>
            <w:noProof/>
            <w:webHidden/>
          </w:rPr>
          <w:fldChar w:fldCharType="end"/>
        </w:r>
      </w:hyperlink>
    </w:p>
    <w:p w14:paraId="089C52F3" w14:textId="29AE3720" w:rsidR="00304F5F" w:rsidRDefault="009B05DF">
      <w:pPr>
        <w:pStyle w:val="ndicedeilustraes"/>
        <w:tabs>
          <w:tab w:val="right" w:leader="dot" w:pos="9913"/>
        </w:tabs>
        <w:rPr>
          <w:rFonts w:eastAsiaTheme="minorEastAsia"/>
          <w:noProof/>
          <w:lang w:eastAsia="pt-BR"/>
        </w:rPr>
      </w:pPr>
      <w:hyperlink w:anchor="_Toc69121355" w:history="1">
        <w:r w:rsidR="00304F5F" w:rsidRPr="005E2FEC">
          <w:rPr>
            <w:rStyle w:val="Hyperlink"/>
            <w:iCs/>
            <w:noProof/>
          </w:rPr>
          <w:t>Tabela 9 - Despesas Primárias Selecionadas – Efeito do INPC e do Salário-Mínimo</w:t>
        </w:r>
        <w:r w:rsidR="00304F5F">
          <w:rPr>
            <w:noProof/>
            <w:webHidden/>
          </w:rPr>
          <w:tab/>
        </w:r>
        <w:r w:rsidR="00304F5F">
          <w:rPr>
            <w:noProof/>
            <w:webHidden/>
          </w:rPr>
          <w:fldChar w:fldCharType="begin"/>
        </w:r>
        <w:r w:rsidR="00304F5F">
          <w:rPr>
            <w:noProof/>
            <w:webHidden/>
          </w:rPr>
          <w:instrText xml:space="preserve"> PAGEREF _Toc69121355 \h </w:instrText>
        </w:r>
        <w:r w:rsidR="00304F5F">
          <w:rPr>
            <w:noProof/>
            <w:webHidden/>
          </w:rPr>
        </w:r>
        <w:r w:rsidR="00304F5F">
          <w:rPr>
            <w:noProof/>
            <w:webHidden/>
          </w:rPr>
          <w:fldChar w:fldCharType="separate"/>
        </w:r>
        <w:r w:rsidR="00BD76F0">
          <w:rPr>
            <w:noProof/>
            <w:webHidden/>
          </w:rPr>
          <w:t>18</w:t>
        </w:r>
        <w:r w:rsidR="00304F5F">
          <w:rPr>
            <w:noProof/>
            <w:webHidden/>
          </w:rPr>
          <w:fldChar w:fldCharType="end"/>
        </w:r>
      </w:hyperlink>
    </w:p>
    <w:p w14:paraId="7026E760" w14:textId="70B1B2C0" w:rsidR="00304F5F" w:rsidRDefault="009B05DF">
      <w:pPr>
        <w:pStyle w:val="ndicedeilustraes"/>
        <w:tabs>
          <w:tab w:val="right" w:leader="dot" w:pos="9913"/>
        </w:tabs>
        <w:rPr>
          <w:rFonts w:eastAsiaTheme="minorEastAsia"/>
          <w:noProof/>
          <w:lang w:eastAsia="pt-BR"/>
        </w:rPr>
      </w:pPr>
      <w:hyperlink w:anchor="_Toc69121356" w:history="1">
        <w:r w:rsidR="00304F5F" w:rsidRPr="005E2FEC">
          <w:rPr>
            <w:rStyle w:val="Hyperlink"/>
            <w:noProof/>
          </w:rPr>
          <w:t>Tabela 10 - Efeito da variação de 0,1 p.p. no IPCA no limite das despesas sujeitas à EC nº 95</w:t>
        </w:r>
        <w:r w:rsidR="00304F5F">
          <w:rPr>
            <w:noProof/>
            <w:webHidden/>
          </w:rPr>
          <w:tab/>
        </w:r>
        <w:r w:rsidR="00304F5F">
          <w:rPr>
            <w:noProof/>
            <w:webHidden/>
          </w:rPr>
          <w:fldChar w:fldCharType="begin"/>
        </w:r>
        <w:r w:rsidR="00304F5F">
          <w:rPr>
            <w:noProof/>
            <w:webHidden/>
          </w:rPr>
          <w:instrText xml:space="preserve"> PAGEREF _Toc69121356 \h </w:instrText>
        </w:r>
        <w:r w:rsidR="00304F5F">
          <w:rPr>
            <w:noProof/>
            <w:webHidden/>
          </w:rPr>
        </w:r>
        <w:r w:rsidR="00304F5F">
          <w:rPr>
            <w:noProof/>
            <w:webHidden/>
          </w:rPr>
          <w:fldChar w:fldCharType="separate"/>
        </w:r>
        <w:r w:rsidR="00BD76F0">
          <w:rPr>
            <w:noProof/>
            <w:webHidden/>
          </w:rPr>
          <w:t>18</w:t>
        </w:r>
        <w:r w:rsidR="00304F5F">
          <w:rPr>
            <w:noProof/>
            <w:webHidden/>
          </w:rPr>
          <w:fldChar w:fldCharType="end"/>
        </w:r>
      </w:hyperlink>
    </w:p>
    <w:p w14:paraId="1F87496F" w14:textId="774CA9F6" w:rsidR="00304F5F" w:rsidRDefault="009B05DF">
      <w:pPr>
        <w:pStyle w:val="ndicedeilustraes"/>
        <w:tabs>
          <w:tab w:val="right" w:leader="dot" w:pos="9913"/>
        </w:tabs>
        <w:rPr>
          <w:rFonts w:eastAsiaTheme="minorEastAsia"/>
          <w:noProof/>
          <w:lang w:eastAsia="pt-BR"/>
        </w:rPr>
      </w:pPr>
      <w:hyperlink w:anchor="_Toc69121357" w:history="1">
        <w:r w:rsidR="00304F5F" w:rsidRPr="005E2FEC">
          <w:rPr>
            <w:rStyle w:val="Hyperlink"/>
            <w:noProof/>
          </w:rPr>
          <w:t>Tabela 11 - Previsões de sensibilidade da despesa orçamentária da dívida a choques de 1%</w:t>
        </w:r>
        <w:r w:rsidR="00304F5F">
          <w:rPr>
            <w:noProof/>
            <w:webHidden/>
          </w:rPr>
          <w:tab/>
        </w:r>
        <w:r w:rsidR="00304F5F">
          <w:rPr>
            <w:noProof/>
            <w:webHidden/>
          </w:rPr>
          <w:fldChar w:fldCharType="begin"/>
        </w:r>
        <w:r w:rsidR="00304F5F">
          <w:rPr>
            <w:noProof/>
            <w:webHidden/>
          </w:rPr>
          <w:instrText xml:space="preserve"> PAGEREF _Toc69121357 \h </w:instrText>
        </w:r>
        <w:r w:rsidR="00304F5F">
          <w:rPr>
            <w:noProof/>
            <w:webHidden/>
          </w:rPr>
        </w:r>
        <w:r w:rsidR="00304F5F">
          <w:rPr>
            <w:noProof/>
            <w:webHidden/>
          </w:rPr>
          <w:fldChar w:fldCharType="separate"/>
        </w:r>
        <w:r w:rsidR="00BD76F0">
          <w:rPr>
            <w:noProof/>
            <w:webHidden/>
          </w:rPr>
          <w:t>23</w:t>
        </w:r>
        <w:r w:rsidR="00304F5F">
          <w:rPr>
            <w:noProof/>
            <w:webHidden/>
          </w:rPr>
          <w:fldChar w:fldCharType="end"/>
        </w:r>
      </w:hyperlink>
    </w:p>
    <w:p w14:paraId="2418EF08" w14:textId="122F759B" w:rsidR="00304F5F" w:rsidRDefault="009B05DF">
      <w:pPr>
        <w:pStyle w:val="ndicedeilustraes"/>
        <w:tabs>
          <w:tab w:val="right" w:leader="dot" w:pos="9913"/>
        </w:tabs>
        <w:rPr>
          <w:rFonts w:eastAsiaTheme="minorEastAsia"/>
          <w:noProof/>
          <w:lang w:eastAsia="pt-BR"/>
        </w:rPr>
      </w:pPr>
      <w:hyperlink w:anchor="_Toc69121358" w:history="1">
        <w:r w:rsidR="00304F5F" w:rsidRPr="005E2FEC">
          <w:rPr>
            <w:rStyle w:val="Hyperlink"/>
            <w:noProof/>
          </w:rPr>
          <w:t>Tabela 12 - Sensibilidade da dívida à taxa de juros, ao crescimento real do PIB e ao resultado primário</w:t>
        </w:r>
        <w:r w:rsidR="00304F5F">
          <w:rPr>
            <w:noProof/>
            <w:webHidden/>
          </w:rPr>
          <w:tab/>
        </w:r>
        <w:r w:rsidR="00304F5F">
          <w:rPr>
            <w:noProof/>
            <w:webHidden/>
          </w:rPr>
          <w:fldChar w:fldCharType="begin"/>
        </w:r>
        <w:r w:rsidR="00304F5F">
          <w:rPr>
            <w:noProof/>
            <w:webHidden/>
          </w:rPr>
          <w:instrText xml:space="preserve"> PAGEREF _Toc69121358 \h </w:instrText>
        </w:r>
        <w:r w:rsidR="00304F5F">
          <w:rPr>
            <w:noProof/>
            <w:webHidden/>
          </w:rPr>
        </w:r>
        <w:r w:rsidR="00304F5F">
          <w:rPr>
            <w:noProof/>
            <w:webHidden/>
          </w:rPr>
          <w:fldChar w:fldCharType="separate"/>
        </w:r>
        <w:r w:rsidR="00BD76F0">
          <w:rPr>
            <w:noProof/>
            <w:webHidden/>
          </w:rPr>
          <w:t>24</w:t>
        </w:r>
        <w:r w:rsidR="00304F5F">
          <w:rPr>
            <w:noProof/>
            <w:webHidden/>
          </w:rPr>
          <w:fldChar w:fldCharType="end"/>
        </w:r>
      </w:hyperlink>
    </w:p>
    <w:p w14:paraId="6B96D939" w14:textId="58507FE2" w:rsidR="00304F5F" w:rsidRDefault="009B05DF">
      <w:pPr>
        <w:pStyle w:val="ndicedeilustraes"/>
        <w:tabs>
          <w:tab w:val="right" w:leader="dot" w:pos="9913"/>
        </w:tabs>
        <w:rPr>
          <w:rFonts w:eastAsiaTheme="minorEastAsia"/>
          <w:noProof/>
          <w:lang w:eastAsia="pt-BR"/>
        </w:rPr>
      </w:pPr>
      <w:hyperlink w:anchor="_Toc69121359" w:history="1">
        <w:r w:rsidR="00304F5F" w:rsidRPr="005E2FEC">
          <w:rPr>
            <w:rStyle w:val="Hyperlink"/>
            <w:noProof/>
          </w:rPr>
          <w:t>Tabela 13 - Limites e Condições para a realização de operações de crédito</w:t>
        </w:r>
        <w:r w:rsidR="00304F5F">
          <w:rPr>
            <w:noProof/>
            <w:webHidden/>
          </w:rPr>
          <w:tab/>
        </w:r>
        <w:r w:rsidR="00304F5F">
          <w:rPr>
            <w:noProof/>
            <w:webHidden/>
          </w:rPr>
          <w:fldChar w:fldCharType="begin"/>
        </w:r>
        <w:r w:rsidR="00304F5F">
          <w:rPr>
            <w:noProof/>
            <w:webHidden/>
          </w:rPr>
          <w:instrText xml:space="preserve"> PAGEREF _Toc69121359 \h </w:instrText>
        </w:r>
        <w:r w:rsidR="00304F5F">
          <w:rPr>
            <w:noProof/>
            <w:webHidden/>
          </w:rPr>
        </w:r>
        <w:r w:rsidR="00304F5F">
          <w:rPr>
            <w:noProof/>
            <w:webHidden/>
          </w:rPr>
          <w:fldChar w:fldCharType="separate"/>
        </w:r>
        <w:r w:rsidR="00BD76F0">
          <w:rPr>
            <w:noProof/>
            <w:webHidden/>
          </w:rPr>
          <w:t>37</w:t>
        </w:r>
        <w:r w:rsidR="00304F5F">
          <w:rPr>
            <w:noProof/>
            <w:webHidden/>
          </w:rPr>
          <w:fldChar w:fldCharType="end"/>
        </w:r>
      </w:hyperlink>
    </w:p>
    <w:p w14:paraId="15185F50" w14:textId="57432D28" w:rsidR="00304F5F" w:rsidRDefault="009B05DF">
      <w:pPr>
        <w:pStyle w:val="ndicedeilustraes"/>
        <w:tabs>
          <w:tab w:val="right" w:leader="dot" w:pos="9913"/>
        </w:tabs>
        <w:rPr>
          <w:rFonts w:eastAsiaTheme="minorEastAsia"/>
          <w:noProof/>
          <w:lang w:eastAsia="pt-BR"/>
        </w:rPr>
      </w:pPr>
      <w:hyperlink w:anchor="_Toc69121360" w:history="1">
        <w:r w:rsidR="00304F5F" w:rsidRPr="005E2FEC">
          <w:rPr>
            <w:rStyle w:val="Hyperlink"/>
            <w:noProof/>
          </w:rPr>
          <w:t>Tabela 14 - Projeção da insuficiência da Regra de Ouro</w:t>
        </w:r>
        <w:r w:rsidR="00304F5F">
          <w:rPr>
            <w:noProof/>
            <w:webHidden/>
          </w:rPr>
          <w:tab/>
        </w:r>
        <w:r w:rsidR="00304F5F">
          <w:rPr>
            <w:noProof/>
            <w:webHidden/>
          </w:rPr>
          <w:fldChar w:fldCharType="begin"/>
        </w:r>
        <w:r w:rsidR="00304F5F">
          <w:rPr>
            <w:noProof/>
            <w:webHidden/>
          </w:rPr>
          <w:instrText xml:space="preserve"> PAGEREF _Toc69121360 \h </w:instrText>
        </w:r>
        <w:r w:rsidR="00304F5F">
          <w:rPr>
            <w:noProof/>
            <w:webHidden/>
          </w:rPr>
        </w:r>
        <w:r w:rsidR="00304F5F">
          <w:rPr>
            <w:noProof/>
            <w:webHidden/>
          </w:rPr>
          <w:fldChar w:fldCharType="separate"/>
        </w:r>
        <w:r w:rsidR="00BD76F0">
          <w:rPr>
            <w:noProof/>
            <w:webHidden/>
          </w:rPr>
          <w:t>37</w:t>
        </w:r>
        <w:r w:rsidR="00304F5F">
          <w:rPr>
            <w:noProof/>
            <w:webHidden/>
          </w:rPr>
          <w:fldChar w:fldCharType="end"/>
        </w:r>
      </w:hyperlink>
    </w:p>
    <w:p w14:paraId="630D406D" w14:textId="645BCAC8" w:rsidR="00304F5F" w:rsidRDefault="009B05DF">
      <w:pPr>
        <w:pStyle w:val="ndicedeilustraes"/>
        <w:tabs>
          <w:tab w:val="right" w:leader="dot" w:pos="9913"/>
        </w:tabs>
        <w:rPr>
          <w:rFonts w:eastAsiaTheme="minorEastAsia"/>
          <w:noProof/>
          <w:lang w:eastAsia="pt-BR"/>
        </w:rPr>
      </w:pPr>
      <w:hyperlink w:anchor="_Toc69121361" w:history="1">
        <w:r w:rsidR="00304F5F" w:rsidRPr="005E2FEC">
          <w:rPr>
            <w:rStyle w:val="Hyperlink"/>
            <w:noProof/>
          </w:rPr>
          <w:t>Tabela 15 - Demandas Judiciais no âmbito da PGU</w:t>
        </w:r>
        <w:r w:rsidR="00304F5F">
          <w:rPr>
            <w:noProof/>
            <w:webHidden/>
          </w:rPr>
          <w:tab/>
        </w:r>
        <w:r w:rsidR="00304F5F">
          <w:rPr>
            <w:noProof/>
            <w:webHidden/>
          </w:rPr>
          <w:fldChar w:fldCharType="begin"/>
        </w:r>
        <w:r w:rsidR="00304F5F">
          <w:rPr>
            <w:noProof/>
            <w:webHidden/>
          </w:rPr>
          <w:instrText xml:space="preserve"> PAGEREF _Toc69121361 \h </w:instrText>
        </w:r>
        <w:r w:rsidR="00304F5F">
          <w:rPr>
            <w:noProof/>
            <w:webHidden/>
          </w:rPr>
        </w:r>
        <w:r w:rsidR="00304F5F">
          <w:rPr>
            <w:noProof/>
            <w:webHidden/>
          </w:rPr>
          <w:fldChar w:fldCharType="separate"/>
        </w:r>
        <w:r w:rsidR="00BD76F0">
          <w:rPr>
            <w:noProof/>
            <w:webHidden/>
          </w:rPr>
          <w:t>43</w:t>
        </w:r>
        <w:r w:rsidR="00304F5F">
          <w:rPr>
            <w:noProof/>
            <w:webHidden/>
          </w:rPr>
          <w:fldChar w:fldCharType="end"/>
        </w:r>
      </w:hyperlink>
    </w:p>
    <w:p w14:paraId="0E6D7090" w14:textId="39830310" w:rsidR="00304F5F" w:rsidRDefault="009B05DF">
      <w:pPr>
        <w:pStyle w:val="ndicedeilustraes"/>
        <w:tabs>
          <w:tab w:val="right" w:leader="dot" w:pos="9913"/>
        </w:tabs>
        <w:rPr>
          <w:rFonts w:eastAsiaTheme="minorEastAsia"/>
          <w:noProof/>
          <w:lang w:eastAsia="pt-BR"/>
        </w:rPr>
      </w:pPr>
      <w:hyperlink w:anchor="_Toc69121362" w:history="1">
        <w:r w:rsidR="00304F5F" w:rsidRPr="005E2FEC">
          <w:rPr>
            <w:rStyle w:val="Hyperlink"/>
            <w:noProof/>
          </w:rPr>
          <w:t>Tabela 16 - Ações judiciais de natureza tributária no STF</w:t>
        </w:r>
        <w:r w:rsidR="00304F5F">
          <w:rPr>
            <w:noProof/>
            <w:webHidden/>
          </w:rPr>
          <w:tab/>
        </w:r>
        <w:r w:rsidR="00304F5F">
          <w:rPr>
            <w:noProof/>
            <w:webHidden/>
          </w:rPr>
          <w:fldChar w:fldCharType="begin"/>
        </w:r>
        <w:r w:rsidR="00304F5F">
          <w:rPr>
            <w:noProof/>
            <w:webHidden/>
          </w:rPr>
          <w:instrText xml:space="preserve"> PAGEREF _Toc69121362 \h </w:instrText>
        </w:r>
        <w:r w:rsidR="00304F5F">
          <w:rPr>
            <w:noProof/>
            <w:webHidden/>
          </w:rPr>
        </w:r>
        <w:r w:rsidR="00304F5F">
          <w:rPr>
            <w:noProof/>
            <w:webHidden/>
          </w:rPr>
          <w:fldChar w:fldCharType="separate"/>
        </w:r>
        <w:r w:rsidR="00BD76F0">
          <w:rPr>
            <w:noProof/>
            <w:webHidden/>
          </w:rPr>
          <w:t>44</w:t>
        </w:r>
        <w:r w:rsidR="00304F5F">
          <w:rPr>
            <w:noProof/>
            <w:webHidden/>
          </w:rPr>
          <w:fldChar w:fldCharType="end"/>
        </w:r>
      </w:hyperlink>
    </w:p>
    <w:p w14:paraId="17840B6C" w14:textId="2835F534" w:rsidR="00304F5F" w:rsidRDefault="009B05DF">
      <w:pPr>
        <w:pStyle w:val="ndicedeilustraes"/>
        <w:tabs>
          <w:tab w:val="right" w:leader="dot" w:pos="9913"/>
        </w:tabs>
        <w:rPr>
          <w:rFonts w:eastAsiaTheme="minorEastAsia"/>
          <w:noProof/>
          <w:lang w:eastAsia="pt-BR"/>
        </w:rPr>
      </w:pPr>
      <w:hyperlink w:anchor="_Toc69121363" w:history="1">
        <w:r w:rsidR="00304F5F" w:rsidRPr="005E2FEC">
          <w:rPr>
            <w:rStyle w:val="Hyperlink"/>
            <w:noProof/>
          </w:rPr>
          <w:t>Tabela 17 - Ações judiciais de natureza tributária no STJ</w:t>
        </w:r>
        <w:r w:rsidR="00304F5F">
          <w:rPr>
            <w:noProof/>
            <w:webHidden/>
          </w:rPr>
          <w:tab/>
        </w:r>
        <w:r w:rsidR="00304F5F">
          <w:rPr>
            <w:noProof/>
            <w:webHidden/>
          </w:rPr>
          <w:fldChar w:fldCharType="begin"/>
        </w:r>
        <w:r w:rsidR="00304F5F">
          <w:rPr>
            <w:noProof/>
            <w:webHidden/>
          </w:rPr>
          <w:instrText xml:space="preserve"> PAGEREF _Toc69121363 \h </w:instrText>
        </w:r>
        <w:r w:rsidR="00304F5F">
          <w:rPr>
            <w:noProof/>
            <w:webHidden/>
          </w:rPr>
        </w:r>
        <w:r w:rsidR="00304F5F">
          <w:rPr>
            <w:noProof/>
            <w:webHidden/>
          </w:rPr>
          <w:fldChar w:fldCharType="separate"/>
        </w:r>
        <w:r w:rsidR="00BD76F0">
          <w:rPr>
            <w:noProof/>
            <w:webHidden/>
          </w:rPr>
          <w:t>46</w:t>
        </w:r>
        <w:r w:rsidR="00304F5F">
          <w:rPr>
            <w:noProof/>
            <w:webHidden/>
          </w:rPr>
          <w:fldChar w:fldCharType="end"/>
        </w:r>
      </w:hyperlink>
    </w:p>
    <w:p w14:paraId="3FB6F02C" w14:textId="02060D3A" w:rsidR="00304F5F" w:rsidRDefault="009B05DF">
      <w:pPr>
        <w:pStyle w:val="ndicedeilustraes"/>
        <w:tabs>
          <w:tab w:val="right" w:leader="dot" w:pos="9913"/>
        </w:tabs>
        <w:rPr>
          <w:rFonts w:eastAsiaTheme="minorEastAsia"/>
          <w:noProof/>
          <w:lang w:eastAsia="pt-BR"/>
        </w:rPr>
      </w:pPr>
      <w:hyperlink w:anchor="_Toc69121364" w:history="1">
        <w:r w:rsidR="00304F5F" w:rsidRPr="005E2FEC">
          <w:rPr>
            <w:rStyle w:val="Hyperlink"/>
            <w:noProof/>
          </w:rPr>
          <w:t>Tabela 18 - Ações judiciais no âmbito da PGF</w:t>
        </w:r>
        <w:r w:rsidR="00304F5F">
          <w:rPr>
            <w:noProof/>
            <w:webHidden/>
          </w:rPr>
          <w:tab/>
        </w:r>
        <w:r w:rsidR="00304F5F">
          <w:rPr>
            <w:noProof/>
            <w:webHidden/>
          </w:rPr>
          <w:fldChar w:fldCharType="begin"/>
        </w:r>
        <w:r w:rsidR="00304F5F">
          <w:rPr>
            <w:noProof/>
            <w:webHidden/>
          </w:rPr>
          <w:instrText xml:space="preserve"> PAGEREF _Toc69121364 \h </w:instrText>
        </w:r>
        <w:r w:rsidR="00304F5F">
          <w:rPr>
            <w:noProof/>
            <w:webHidden/>
          </w:rPr>
        </w:r>
        <w:r w:rsidR="00304F5F">
          <w:rPr>
            <w:noProof/>
            <w:webHidden/>
          </w:rPr>
          <w:fldChar w:fldCharType="separate"/>
        </w:r>
        <w:r w:rsidR="00BD76F0">
          <w:rPr>
            <w:noProof/>
            <w:webHidden/>
          </w:rPr>
          <w:t>46</w:t>
        </w:r>
        <w:r w:rsidR="00304F5F">
          <w:rPr>
            <w:noProof/>
            <w:webHidden/>
          </w:rPr>
          <w:fldChar w:fldCharType="end"/>
        </w:r>
      </w:hyperlink>
    </w:p>
    <w:p w14:paraId="68289BD4" w14:textId="3F59FBFE" w:rsidR="00304F5F" w:rsidRDefault="009B05DF">
      <w:pPr>
        <w:pStyle w:val="ndicedeilustraes"/>
        <w:tabs>
          <w:tab w:val="right" w:leader="dot" w:pos="9913"/>
        </w:tabs>
        <w:rPr>
          <w:rFonts w:eastAsiaTheme="minorEastAsia"/>
          <w:noProof/>
          <w:lang w:eastAsia="pt-BR"/>
        </w:rPr>
      </w:pPr>
      <w:hyperlink w:anchor="_Toc69121365" w:history="1">
        <w:r w:rsidR="00304F5F" w:rsidRPr="005E2FEC">
          <w:rPr>
            <w:rStyle w:val="Hyperlink"/>
            <w:noProof/>
          </w:rPr>
          <w:t>Tabela 19 - Demandas Judiciais das Empresas Estatais Federais</w:t>
        </w:r>
        <w:r w:rsidR="00304F5F">
          <w:rPr>
            <w:noProof/>
            <w:webHidden/>
          </w:rPr>
          <w:tab/>
        </w:r>
        <w:r w:rsidR="00304F5F">
          <w:rPr>
            <w:noProof/>
            <w:webHidden/>
          </w:rPr>
          <w:fldChar w:fldCharType="begin"/>
        </w:r>
        <w:r w:rsidR="00304F5F">
          <w:rPr>
            <w:noProof/>
            <w:webHidden/>
          </w:rPr>
          <w:instrText xml:space="preserve"> PAGEREF _Toc69121365 \h </w:instrText>
        </w:r>
        <w:r w:rsidR="00304F5F">
          <w:rPr>
            <w:noProof/>
            <w:webHidden/>
          </w:rPr>
        </w:r>
        <w:r w:rsidR="00304F5F">
          <w:rPr>
            <w:noProof/>
            <w:webHidden/>
          </w:rPr>
          <w:fldChar w:fldCharType="separate"/>
        </w:r>
        <w:r w:rsidR="00BD76F0">
          <w:rPr>
            <w:noProof/>
            <w:webHidden/>
          </w:rPr>
          <w:t>48</w:t>
        </w:r>
        <w:r w:rsidR="00304F5F">
          <w:rPr>
            <w:noProof/>
            <w:webHidden/>
          </w:rPr>
          <w:fldChar w:fldCharType="end"/>
        </w:r>
      </w:hyperlink>
    </w:p>
    <w:p w14:paraId="78EEF7AB" w14:textId="2AD9BB77" w:rsidR="00304F5F" w:rsidRDefault="009B05DF">
      <w:pPr>
        <w:pStyle w:val="ndicedeilustraes"/>
        <w:tabs>
          <w:tab w:val="right" w:leader="dot" w:pos="9913"/>
        </w:tabs>
        <w:rPr>
          <w:rFonts w:eastAsiaTheme="minorEastAsia"/>
          <w:noProof/>
          <w:lang w:eastAsia="pt-BR"/>
        </w:rPr>
      </w:pPr>
      <w:hyperlink w:anchor="_Toc69121366" w:history="1">
        <w:r w:rsidR="00304F5F" w:rsidRPr="005E2FEC">
          <w:rPr>
            <w:rStyle w:val="Hyperlink"/>
            <w:noProof/>
          </w:rPr>
          <w:t>Tabela 20 - Passivo Contingente do BCB por instância</w:t>
        </w:r>
        <w:r w:rsidR="00304F5F">
          <w:rPr>
            <w:noProof/>
            <w:webHidden/>
          </w:rPr>
          <w:tab/>
        </w:r>
        <w:r w:rsidR="00304F5F">
          <w:rPr>
            <w:noProof/>
            <w:webHidden/>
          </w:rPr>
          <w:fldChar w:fldCharType="begin"/>
        </w:r>
        <w:r w:rsidR="00304F5F">
          <w:rPr>
            <w:noProof/>
            <w:webHidden/>
          </w:rPr>
          <w:instrText xml:space="preserve"> PAGEREF _Toc69121366 \h </w:instrText>
        </w:r>
        <w:r w:rsidR="00304F5F">
          <w:rPr>
            <w:noProof/>
            <w:webHidden/>
          </w:rPr>
        </w:r>
        <w:r w:rsidR="00304F5F">
          <w:rPr>
            <w:noProof/>
            <w:webHidden/>
          </w:rPr>
          <w:fldChar w:fldCharType="separate"/>
        </w:r>
        <w:r w:rsidR="00BD76F0">
          <w:rPr>
            <w:noProof/>
            <w:webHidden/>
          </w:rPr>
          <w:t>49</w:t>
        </w:r>
        <w:r w:rsidR="00304F5F">
          <w:rPr>
            <w:noProof/>
            <w:webHidden/>
          </w:rPr>
          <w:fldChar w:fldCharType="end"/>
        </w:r>
      </w:hyperlink>
    </w:p>
    <w:p w14:paraId="02A04B4B" w14:textId="464042E9" w:rsidR="00304F5F" w:rsidRDefault="009B05DF">
      <w:pPr>
        <w:pStyle w:val="ndicedeilustraes"/>
        <w:tabs>
          <w:tab w:val="right" w:leader="dot" w:pos="9913"/>
        </w:tabs>
        <w:rPr>
          <w:rFonts w:eastAsiaTheme="minorEastAsia"/>
          <w:noProof/>
          <w:lang w:eastAsia="pt-BR"/>
        </w:rPr>
      </w:pPr>
      <w:hyperlink w:anchor="_Toc69121367" w:history="1">
        <w:r w:rsidR="00304F5F" w:rsidRPr="005E2FEC">
          <w:rPr>
            <w:rStyle w:val="Hyperlink"/>
            <w:noProof/>
          </w:rPr>
          <w:t>Tabela 21 - Demandas Judiciais de Risco Possível</w:t>
        </w:r>
        <w:r w:rsidR="00304F5F">
          <w:rPr>
            <w:noProof/>
            <w:webHidden/>
          </w:rPr>
          <w:tab/>
        </w:r>
        <w:r w:rsidR="00304F5F">
          <w:rPr>
            <w:noProof/>
            <w:webHidden/>
          </w:rPr>
          <w:fldChar w:fldCharType="begin"/>
        </w:r>
        <w:r w:rsidR="00304F5F">
          <w:rPr>
            <w:noProof/>
            <w:webHidden/>
          </w:rPr>
          <w:instrText xml:space="preserve"> PAGEREF _Toc69121367 \h </w:instrText>
        </w:r>
        <w:r w:rsidR="00304F5F">
          <w:rPr>
            <w:noProof/>
            <w:webHidden/>
          </w:rPr>
        </w:r>
        <w:r w:rsidR="00304F5F">
          <w:rPr>
            <w:noProof/>
            <w:webHidden/>
          </w:rPr>
          <w:fldChar w:fldCharType="separate"/>
        </w:r>
        <w:r w:rsidR="00BD76F0">
          <w:rPr>
            <w:noProof/>
            <w:webHidden/>
          </w:rPr>
          <w:t>50</w:t>
        </w:r>
        <w:r w:rsidR="00304F5F">
          <w:rPr>
            <w:noProof/>
            <w:webHidden/>
          </w:rPr>
          <w:fldChar w:fldCharType="end"/>
        </w:r>
      </w:hyperlink>
    </w:p>
    <w:p w14:paraId="5A752C93" w14:textId="12B45FC6" w:rsidR="00304F5F" w:rsidRDefault="009B05DF">
      <w:pPr>
        <w:pStyle w:val="ndicedeilustraes"/>
        <w:tabs>
          <w:tab w:val="right" w:leader="dot" w:pos="9913"/>
        </w:tabs>
        <w:rPr>
          <w:rFonts w:eastAsiaTheme="minorEastAsia"/>
          <w:noProof/>
          <w:lang w:eastAsia="pt-BR"/>
        </w:rPr>
      </w:pPr>
      <w:hyperlink w:anchor="_Toc69121368" w:history="1">
        <w:r w:rsidR="00304F5F" w:rsidRPr="005E2FEC">
          <w:rPr>
            <w:rStyle w:val="Hyperlink"/>
            <w:noProof/>
          </w:rPr>
          <w:t>Tabela 22 - Demandas Judiciais de Risco Provável e Possível</w:t>
        </w:r>
        <w:r w:rsidR="00304F5F">
          <w:rPr>
            <w:noProof/>
            <w:webHidden/>
          </w:rPr>
          <w:tab/>
        </w:r>
        <w:r w:rsidR="00304F5F">
          <w:rPr>
            <w:noProof/>
            <w:webHidden/>
          </w:rPr>
          <w:fldChar w:fldCharType="begin"/>
        </w:r>
        <w:r w:rsidR="00304F5F">
          <w:rPr>
            <w:noProof/>
            <w:webHidden/>
          </w:rPr>
          <w:instrText xml:space="preserve"> PAGEREF _Toc69121368 \h </w:instrText>
        </w:r>
        <w:r w:rsidR="00304F5F">
          <w:rPr>
            <w:noProof/>
            <w:webHidden/>
          </w:rPr>
        </w:r>
        <w:r w:rsidR="00304F5F">
          <w:rPr>
            <w:noProof/>
            <w:webHidden/>
          </w:rPr>
          <w:fldChar w:fldCharType="separate"/>
        </w:r>
        <w:r w:rsidR="00BD76F0">
          <w:rPr>
            <w:noProof/>
            <w:webHidden/>
          </w:rPr>
          <w:t>51</w:t>
        </w:r>
        <w:r w:rsidR="00304F5F">
          <w:rPr>
            <w:noProof/>
            <w:webHidden/>
          </w:rPr>
          <w:fldChar w:fldCharType="end"/>
        </w:r>
      </w:hyperlink>
    </w:p>
    <w:p w14:paraId="5C3BE350" w14:textId="2E246FA0" w:rsidR="00304F5F" w:rsidRDefault="009B05DF">
      <w:pPr>
        <w:pStyle w:val="ndicedeilustraes"/>
        <w:tabs>
          <w:tab w:val="right" w:leader="dot" w:pos="9913"/>
        </w:tabs>
        <w:rPr>
          <w:rFonts w:eastAsiaTheme="minorEastAsia"/>
          <w:noProof/>
          <w:lang w:eastAsia="pt-BR"/>
        </w:rPr>
      </w:pPr>
      <w:hyperlink w:anchor="_Toc69121369" w:history="1">
        <w:r w:rsidR="00304F5F" w:rsidRPr="005E2FEC">
          <w:rPr>
            <w:rStyle w:val="Hyperlink"/>
            <w:rFonts w:cstheme="minorHAnsi"/>
            <w:noProof/>
          </w:rPr>
          <w:t xml:space="preserve">Tabela 23 - </w:t>
        </w:r>
        <w:r w:rsidR="00304F5F" w:rsidRPr="005E2FEC">
          <w:rPr>
            <w:rStyle w:val="Hyperlink"/>
            <w:noProof/>
          </w:rPr>
          <w:t>Obrigações oriundas de passivos contingentes regularizadas entre 2018 e 2020</w:t>
        </w:r>
        <w:r w:rsidR="00304F5F">
          <w:rPr>
            <w:noProof/>
            <w:webHidden/>
          </w:rPr>
          <w:tab/>
        </w:r>
        <w:r w:rsidR="00304F5F">
          <w:rPr>
            <w:noProof/>
            <w:webHidden/>
          </w:rPr>
          <w:fldChar w:fldCharType="begin"/>
        </w:r>
        <w:r w:rsidR="00304F5F">
          <w:rPr>
            <w:noProof/>
            <w:webHidden/>
          </w:rPr>
          <w:instrText xml:space="preserve"> PAGEREF _Toc69121369 \h </w:instrText>
        </w:r>
        <w:r w:rsidR="00304F5F">
          <w:rPr>
            <w:noProof/>
            <w:webHidden/>
          </w:rPr>
        </w:r>
        <w:r w:rsidR="00304F5F">
          <w:rPr>
            <w:noProof/>
            <w:webHidden/>
          </w:rPr>
          <w:fldChar w:fldCharType="separate"/>
        </w:r>
        <w:r w:rsidR="00BD76F0">
          <w:rPr>
            <w:noProof/>
            <w:webHidden/>
          </w:rPr>
          <w:t>53</w:t>
        </w:r>
        <w:r w:rsidR="00304F5F">
          <w:rPr>
            <w:noProof/>
            <w:webHidden/>
          </w:rPr>
          <w:fldChar w:fldCharType="end"/>
        </w:r>
      </w:hyperlink>
    </w:p>
    <w:p w14:paraId="008C51BA" w14:textId="5897CEEA" w:rsidR="00304F5F" w:rsidRDefault="009B05DF">
      <w:pPr>
        <w:pStyle w:val="ndicedeilustraes"/>
        <w:tabs>
          <w:tab w:val="right" w:leader="dot" w:pos="9913"/>
        </w:tabs>
        <w:rPr>
          <w:rFonts w:eastAsiaTheme="minorEastAsia"/>
          <w:noProof/>
          <w:lang w:eastAsia="pt-BR"/>
        </w:rPr>
      </w:pPr>
      <w:hyperlink w:anchor="_Toc69121370" w:history="1">
        <w:r w:rsidR="00304F5F" w:rsidRPr="005E2FEC">
          <w:rPr>
            <w:rStyle w:val="Hyperlink"/>
            <w:noProof/>
          </w:rPr>
          <w:t>Tabela 24 - Valores provisionados no BGU e estimado na LOA, segundo Passivo</w:t>
        </w:r>
        <w:r w:rsidR="00304F5F">
          <w:rPr>
            <w:noProof/>
            <w:webHidden/>
          </w:rPr>
          <w:tab/>
        </w:r>
        <w:r w:rsidR="00304F5F">
          <w:rPr>
            <w:noProof/>
            <w:webHidden/>
          </w:rPr>
          <w:fldChar w:fldCharType="begin"/>
        </w:r>
        <w:r w:rsidR="00304F5F">
          <w:rPr>
            <w:noProof/>
            <w:webHidden/>
          </w:rPr>
          <w:instrText xml:space="preserve"> PAGEREF _Toc69121370 \h </w:instrText>
        </w:r>
        <w:r w:rsidR="00304F5F">
          <w:rPr>
            <w:noProof/>
            <w:webHidden/>
          </w:rPr>
        </w:r>
        <w:r w:rsidR="00304F5F">
          <w:rPr>
            <w:noProof/>
            <w:webHidden/>
          </w:rPr>
          <w:fldChar w:fldCharType="separate"/>
        </w:r>
        <w:r w:rsidR="00BD76F0">
          <w:rPr>
            <w:noProof/>
            <w:webHidden/>
          </w:rPr>
          <w:t>54</w:t>
        </w:r>
        <w:r w:rsidR="00304F5F">
          <w:rPr>
            <w:noProof/>
            <w:webHidden/>
          </w:rPr>
          <w:fldChar w:fldCharType="end"/>
        </w:r>
      </w:hyperlink>
    </w:p>
    <w:p w14:paraId="222801FF" w14:textId="7CDFB2A4" w:rsidR="00304F5F" w:rsidRDefault="009B05DF">
      <w:pPr>
        <w:pStyle w:val="ndicedeilustraes"/>
        <w:tabs>
          <w:tab w:val="right" w:leader="dot" w:pos="9913"/>
        </w:tabs>
        <w:rPr>
          <w:rFonts w:eastAsiaTheme="minorEastAsia"/>
          <w:noProof/>
          <w:lang w:eastAsia="pt-BR"/>
        </w:rPr>
      </w:pPr>
      <w:hyperlink w:anchor="_Toc69121371" w:history="1">
        <w:r w:rsidR="00304F5F" w:rsidRPr="005E2FEC">
          <w:rPr>
            <w:rStyle w:val="Hyperlink"/>
            <w:rFonts w:cstheme="minorHAnsi"/>
            <w:noProof/>
          </w:rPr>
          <w:t xml:space="preserve">Tabela </w:t>
        </w:r>
        <w:r w:rsidR="00304F5F" w:rsidRPr="005E2FEC">
          <w:rPr>
            <w:rStyle w:val="Hyperlink"/>
            <w:noProof/>
          </w:rPr>
          <w:t>25</w:t>
        </w:r>
        <w:r w:rsidR="00304F5F" w:rsidRPr="005E2FEC">
          <w:rPr>
            <w:rStyle w:val="Hyperlink"/>
            <w:rFonts w:cstheme="minorHAnsi"/>
            <w:noProof/>
          </w:rPr>
          <w:t xml:space="preserve"> -</w:t>
        </w:r>
        <w:r w:rsidR="00304F5F" w:rsidRPr="005E2FEC">
          <w:rPr>
            <w:rStyle w:val="Hyperlink"/>
            <w:noProof/>
          </w:rPr>
          <w:t xml:space="preserve"> Obrigações oriundas de passivos contingentes a regularizar</w:t>
        </w:r>
        <w:r w:rsidR="00304F5F">
          <w:rPr>
            <w:noProof/>
            <w:webHidden/>
          </w:rPr>
          <w:tab/>
        </w:r>
        <w:r w:rsidR="00304F5F">
          <w:rPr>
            <w:noProof/>
            <w:webHidden/>
          </w:rPr>
          <w:fldChar w:fldCharType="begin"/>
        </w:r>
        <w:r w:rsidR="00304F5F">
          <w:rPr>
            <w:noProof/>
            <w:webHidden/>
          </w:rPr>
          <w:instrText xml:space="preserve"> PAGEREF _Toc69121371 \h </w:instrText>
        </w:r>
        <w:r w:rsidR="00304F5F">
          <w:rPr>
            <w:noProof/>
            <w:webHidden/>
          </w:rPr>
        </w:r>
        <w:r w:rsidR="00304F5F">
          <w:rPr>
            <w:noProof/>
            <w:webHidden/>
          </w:rPr>
          <w:fldChar w:fldCharType="separate"/>
        </w:r>
        <w:r w:rsidR="00BD76F0">
          <w:rPr>
            <w:noProof/>
            <w:webHidden/>
          </w:rPr>
          <w:t>54</w:t>
        </w:r>
        <w:r w:rsidR="00304F5F">
          <w:rPr>
            <w:noProof/>
            <w:webHidden/>
          </w:rPr>
          <w:fldChar w:fldCharType="end"/>
        </w:r>
      </w:hyperlink>
    </w:p>
    <w:p w14:paraId="73E15AAB" w14:textId="48D1B888" w:rsidR="00304F5F" w:rsidRDefault="009B05DF">
      <w:pPr>
        <w:pStyle w:val="ndicedeilustraes"/>
        <w:tabs>
          <w:tab w:val="right" w:leader="dot" w:pos="9913"/>
        </w:tabs>
        <w:rPr>
          <w:rFonts w:eastAsiaTheme="minorEastAsia"/>
          <w:noProof/>
          <w:lang w:eastAsia="pt-BR"/>
        </w:rPr>
      </w:pPr>
      <w:hyperlink w:anchor="_Toc69121372" w:history="1">
        <w:r w:rsidR="00304F5F" w:rsidRPr="005E2FEC">
          <w:rPr>
            <w:rStyle w:val="Hyperlink"/>
            <w:rFonts w:cstheme="minorHAnsi"/>
            <w:noProof/>
          </w:rPr>
          <w:t xml:space="preserve">Tabela 26 </w:t>
        </w:r>
        <w:r w:rsidR="00304F5F" w:rsidRPr="005E2FEC">
          <w:rPr>
            <w:rStyle w:val="Hyperlink"/>
            <w:rFonts w:eastAsia="Calibri" w:cstheme="minorHAnsi"/>
            <w:noProof/>
          </w:rPr>
          <w:t>- Saldo devedor das Dívidas Garantidas em Operações de Crédito</w:t>
        </w:r>
        <w:r w:rsidR="00304F5F">
          <w:rPr>
            <w:noProof/>
            <w:webHidden/>
          </w:rPr>
          <w:tab/>
        </w:r>
        <w:r w:rsidR="00304F5F">
          <w:rPr>
            <w:noProof/>
            <w:webHidden/>
          </w:rPr>
          <w:fldChar w:fldCharType="begin"/>
        </w:r>
        <w:r w:rsidR="00304F5F">
          <w:rPr>
            <w:noProof/>
            <w:webHidden/>
          </w:rPr>
          <w:instrText xml:space="preserve"> PAGEREF _Toc69121372 \h </w:instrText>
        </w:r>
        <w:r w:rsidR="00304F5F">
          <w:rPr>
            <w:noProof/>
            <w:webHidden/>
          </w:rPr>
        </w:r>
        <w:r w:rsidR="00304F5F">
          <w:rPr>
            <w:noProof/>
            <w:webHidden/>
          </w:rPr>
          <w:fldChar w:fldCharType="separate"/>
        </w:r>
        <w:r w:rsidR="00BD76F0">
          <w:rPr>
            <w:noProof/>
            <w:webHidden/>
          </w:rPr>
          <w:t>55</w:t>
        </w:r>
        <w:r w:rsidR="00304F5F">
          <w:rPr>
            <w:noProof/>
            <w:webHidden/>
          </w:rPr>
          <w:fldChar w:fldCharType="end"/>
        </w:r>
      </w:hyperlink>
    </w:p>
    <w:p w14:paraId="27603EF5" w14:textId="5CECA32E" w:rsidR="00304F5F" w:rsidRDefault="009B05DF">
      <w:pPr>
        <w:pStyle w:val="ndicedeilustraes"/>
        <w:tabs>
          <w:tab w:val="right" w:leader="dot" w:pos="9913"/>
        </w:tabs>
        <w:rPr>
          <w:rFonts w:eastAsiaTheme="minorEastAsia"/>
          <w:noProof/>
          <w:lang w:eastAsia="pt-BR"/>
        </w:rPr>
      </w:pPr>
      <w:hyperlink w:anchor="_Toc69121373" w:history="1">
        <w:r w:rsidR="00304F5F" w:rsidRPr="005E2FEC">
          <w:rPr>
            <w:rStyle w:val="Hyperlink"/>
            <w:noProof/>
          </w:rPr>
          <w:t xml:space="preserve">Tabela 27 - </w:t>
        </w:r>
        <w:r w:rsidR="00304F5F" w:rsidRPr="005E2FEC">
          <w:rPr>
            <w:rStyle w:val="Hyperlink"/>
            <w:rFonts w:ascii="Calibri" w:eastAsia="Calibri" w:hAnsi="Calibri" w:cs="Calibri"/>
            <w:noProof/>
          </w:rPr>
          <w:t>Estimativas: Saldo Devedor e Honras de Garantias de Operações de Crédito</w:t>
        </w:r>
        <w:r w:rsidR="00304F5F">
          <w:rPr>
            <w:noProof/>
            <w:webHidden/>
          </w:rPr>
          <w:tab/>
        </w:r>
        <w:r w:rsidR="00304F5F">
          <w:rPr>
            <w:noProof/>
            <w:webHidden/>
          </w:rPr>
          <w:fldChar w:fldCharType="begin"/>
        </w:r>
        <w:r w:rsidR="00304F5F">
          <w:rPr>
            <w:noProof/>
            <w:webHidden/>
          </w:rPr>
          <w:instrText xml:space="preserve"> PAGEREF _Toc69121373 \h </w:instrText>
        </w:r>
        <w:r w:rsidR="00304F5F">
          <w:rPr>
            <w:noProof/>
            <w:webHidden/>
          </w:rPr>
        </w:r>
        <w:r w:rsidR="00304F5F">
          <w:rPr>
            <w:noProof/>
            <w:webHidden/>
          </w:rPr>
          <w:fldChar w:fldCharType="separate"/>
        </w:r>
        <w:r w:rsidR="00BD76F0">
          <w:rPr>
            <w:noProof/>
            <w:webHidden/>
          </w:rPr>
          <w:t>56</w:t>
        </w:r>
        <w:r w:rsidR="00304F5F">
          <w:rPr>
            <w:noProof/>
            <w:webHidden/>
          </w:rPr>
          <w:fldChar w:fldCharType="end"/>
        </w:r>
      </w:hyperlink>
    </w:p>
    <w:p w14:paraId="325BFD5E" w14:textId="298F2887" w:rsidR="00304F5F" w:rsidRDefault="009B05DF">
      <w:pPr>
        <w:pStyle w:val="ndicedeilustraes"/>
        <w:tabs>
          <w:tab w:val="right" w:leader="dot" w:pos="9913"/>
        </w:tabs>
        <w:rPr>
          <w:rFonts w:eastAsiaTheme="minorEastAsia"/>
          <w:noProof/>
          <w:lang w:eastAsia="pt-BR"/>
        </w:rPr>
      </w:pPr>
      <w:hyperlink w:anchor="_Toc69121374" w:history="1">
        <w:r w:rsidR="00304F5F" w:rsidRPr="005E2FEC">
          <w:rPr>
            <w:rStyle w:val="Hyperlink"/>
            <w:rFonts w:cstheme="minorHAnsi"/>
            <w:noProof/>
          </w:rPr>
          <w:t xml:space="preserve">Tabela 28 </w:t>
        </w:r>
        <w:r w:rsidR="00304F5F" w:rsidRPr="005E2FEC">
          <w:rPr>
            <w:rStyle w:val="Hyperlink"/>
            <w:rFonts w:eastAsia="Calibri" w:cstheme="minorHAnsi"/>
            <w:noProof/>
          </w:rPr>
          <w:t>- Garantias honradas pela União</w:t>
        </w:r>
        <w:r w:rsidR="00304F5F">
          <w:rPr>
            <w:noProof/>
            <w:webHidden/>
          </w:rPr>
          <w:tab/>
        </w:r>
        <w:r w:rsidR="00304F5F">
          <w:rPr>
            <w:noProof/>
            <w:webHidden/>
          </w:rPr>
          <w:fldChar w:fldCharType="begin"/>
        </w:r>
        <w:r w:rsidR="00304F5F">
          <w:rPr>
            <w:noProof/>
            <w:webHidden/>
          </w:rPr>
          <w:instrText xml:space="preserve"> PAGEREF _Toc69121374 \h </w:instrText>
        </w:r>
        <w:r w:rsidR="00304F5F">
          <w:rPr>
            <w:noProof/>
            <w:webHidden/>
          </w:rPr>
        </w:r>
        <w:r w:rsidR="00304F5F">
          <w:rPr>
            <w:noProof/>
            <w:webHidden/>
          </w:rPr>
          <w:fldChar w:fldCharType="separate"/>
        </w:r>
        <w:r w:rsidR="00BD76F0">
          <w:rPr>
            <w:noProof/>
            <w:webHidden/>
          </w:rPr>
          <w:t>56</w:t>
        </w:r>
        <w:r w:rsidR="00304F5F">
          <w:rPr>
            <w:noProof/>
            <w:webHidden/>
          </w:rPr>
          <w:fldChar w:fldCharType="end"/>
        </w:r>
      </w:hyperlink>
    </w:p>
    <w:p w14:paraId="0E13DA1D" w14:textId="3164EEE9" w:rsidR="00304F5F" w:rsidRDefault="009B05DF">
      <w:pPr>
        <w:pStyle w:val="ndicedeilustraes"/>
        <w:tabs>
          <w:tab w:val="right" w:leader="dot" w:pos="9913"/>
        </w:tabs>
        <w:rPr>
          <w:rFonts w:eastAsiaTheme="minorEastAsia"/>
          <w:noProof/>
          <w:lang w:eastAsia="pt-BR"/>
        </w:rPr>
      </w:pPr>
      <w:hyperlink w:anchor="_Toc69121375" w:history="1">
        <w:r w:rsidR="00304F5F" w:rsidRPr="005E2FEC">
          <w:rPr>
            <w:rStyle w:val="Hyperlink"/>
            <w:noProof/>
          </w:rPr>
          <w:t>Tabela 29 - Evolução do estoque das contragarantias não executadas, segundo as motivações</w:t>
        </w:r>
        <w:r w:rsidR="00304F5F">
          <w:rPr>
            <w:noProof/>
            <w:webHidden/>
          </w:rPr>
          <w:tab/>
        </w:r>
        <w:r w:rsidR="00304F5F">
          <w:rPr>
            <w:noProof/>
            <w:webHidden/>
          </w:rPr>
          <w:fldChar w:fldCharType="begin"/>
        </w:r>
        <w:r w:rsidR="00304F5F">
          <w:rPr>
            <w:noProof/>
            <w:webHidden/>
          </w:rPr>
          <w:instrText xml:space="preserve"> PAGEREF _Toc69121375 \h </w:instrText>
        </w:r>
        <w:r w:rsidR="00304F5F">
          <w:rPr>
            <w:noProof/>
            <w:webHidden/>
          </w:rPr>
        </w:r>
        <w:r w:rsidR="00304F5F">
          <w:rPr>
            <w:noProof/>
            <w:webHidden/>
          </w:rPr>
          <w:fldChar w:fldCharType="separate"/>
        </w:r>
        <w:r w:rsidR="00BD76F0">
          <w:rPr>
            <w:noProof/>
            <w:webHidden/>
          </w:rPr>
          <w:t>58</w:t>
        </w:r>
        <w:r w:rsidR="00304F5F">
          <w:rPr>
            <w:noProof/>
            <w:webHidden/>
          </w:rPr>
          <w:fldChar w:fldCharType="end"/>
        </w:r>
      </w:hyperlink>
    </w:p>
    <w:p w14:paraId="2AA351A5" w14:textId="6B94980E" w:rsidR="00304F5F" w:rsidRDefault="009B05DF">
      <w:pPr>
        <w:pStyle w:val="ndicedeilustraes"/>
        <w:tabs>
          <w:tab w:val="right" w:leader="dot" w:pos="9913"/>
        </w:tabs>
        <w:rPr>
          <w:rFonts w:eastAsiaTheme="minorEastAsia"/>
          <w:noProof/>
          <w:lang w:eastAsia="pt-BR"/>
        </w:rPr>
      </w:pPr>
      <w:hyperlink w:anchor="_Toc69121376" w:history="1">
        <w:r w:rsidR="00304F5F" w:rsidRPr="005E2FEC">
          <w:rPr>
            <w:rStyle w:val="Hyperlink"/>
            <w:noProof/>
          </w:rPr>
          <w:t xml:space="preserve">Tabela 30 - </w:t>
        </w:r>
        <w:r w:rsidR="00304F5F" w:rsidRPr="005E2FEC">
          <w:rPr>
            <w:rStyle w:val="Hyperlink"/>
            <w:rFonts w:eastAsia="Calibri"/>
            <w:noProof/>
          </w:rPr>
          <w:t>Mensuração dos impactos nas contas públicas dos riscos fiscais mapeados</w:t>
        </w:r>
        <w:r w:rsidR="00304F5F">
          <w:rPr>
            <w:noProof/>
            <w:webHidden/>
          </w:rPr>
          <w:tab/>
        </w:r>
        <w:r w:rsidR="00304F5F">
          <w:rPr>
            <w:noProof/>
            <w:webHidden/>
          </w:rPr>
          <w:fldChar w:fldCharType="begin"/>
        </w:r>
        <w:r w:rsidR="00304F5F">
          <w:rPr>
            <w:noProof/>
            <w:webHidden/>
          </w:rPr>
          <w:instrText xml:space="preserve"> PAGEREF _Toc69121376 \h </w:instrText>
        </w:r>
        <w:r w:rsidR="00304F5F">
          <w:rPr>
            <w:noProof/>
            <w:webHidden/>
          </w:rPr>
        </w:r>
        <w:r w:rsidR="00304F5F">
          <w:rPr>
            <w:noProof/>
            <w:webHidden/>
          </w:rPr>
          <w:fldChar w:fldCharType="separate"/>
        </w:r>
        <w:r w:rsidR="00BD76F0">
          <w:rPr>
            <w:noProof/>
            <w:webHidden/>
          </w:rPr>
          <w:t>59</w:t>
        </w:r>
        <w:r w:rsidR="00304F5F">
          <w:rPr>
            <w:noProof/>
            <w:webHidden/>
          </w:rPr>
          <w:fldChar w:fldCharType="end"/>
        </w:r>
      </w:hyperlink>
    </w:p>
    <w:p w14:paraId="567FE8E1" w14:textId="0F7A0D8B" w:rsidR="00304F5F" w:rsidRDefault="009B05DF">
      <w:pPr>
        <w:pStyle w:val="ndicedeilustraes"/>
        <w:tabs>
          <w:tab w:val="right" w:leader="dot" w:pos="9913"/>
        </w:tabs>
        <w:rPr>
          <w:rFonts w:eastAsiaTheme="minorEastAsia"/>
          <w:noProof/>
          <w:lang w:eastAsia="pt-BR"/>
        </w:rPr>
      </w:pPr>
      <w:hyperlink w:anchor="_Toc69121377" w:history="1">
        <w:r w:rsidR="00304F5F" w:rsidRPr="005E2FEC">
          <w:rPr>
            <w:rStyle w:val="Hyperlink"/>
            <w:noProof/>
          </w:rPr>
          <w:t>Tabela 31 - Riscos dos Fundos Constitucionais: previsão de provisão para devedores duvidosos</w:t>
        </w:r>
        <w:r w:rsidR="00304F5F">
          <w:rPr>
            <w:noProof/>
            <w:webHidden/>
          </w:rPr>
          <w:tab/>
        </w:r>
        <w:r w:rsidR="00304F5F">
          <w:rPr>
            <w:noProof/>
            <w:webHidden/>
          </w:rPr>
          <w:fldChar w:fldCharType="begin"/>
        </w:r>
        <w:r w:rsidR="00304F5F">
          <w:rPr>
            <w:noProof/>
            <w:webHidden/>
          </w:rPr>
          <w:instrText xml:space="preserve"> PAGEREF _Toc69121377 \h </w:instrText>
        </w:r>
        <w:r w:rsidR="00304F5F">
          <w:rPr>
            <w:noProof/>
            <w:webHidden/>
          </w:rPr>
        </w:r>
        <w:r w:rsidR="00304F5F">
          <w:rPr>
            <w:noProof/>
            <w:webHidden/>
          </w:rPr>
          <w:fldChar w:fldCharType="separate"/>
        </w:r>
        <w:r w:rsidR="00BD76F0">
          <w:rPr>
            <w:noProof/>
            <w:webHidden/>
          </w:rPr>
          <w:t>59</w:t>
        </w:r>
        <w:r w:rsidR="00304F5F">
          <w:rPr>
            <w:noProof/>
            <w:webHidden/>
          </w:rPr>
          <w:fldChar w:fldCharType="end"/>
        </w:r>
      </w:hyperlink>
    </w:p>
    <w:p w14:paraId="0415D396" w14:textId="5D16A6A2" w:rsidR="00304F5F" w:rsidRDefault="009B05DF">
      <w:pPr>
        <w:pStyle w:val="ndicedeilustraes"/>
        <w:tabs>
          <w:tab w:val="right" w:leader="dot" w:pos="9913"/>
        </w:tabs>
        <w:rPr>
          <w:rFonts w:eastAsiaTheme="minorEastAsia"/>
          <w:noProof/>
          <w:lang w:eastAsia="pt-BR"/>
        </w:rPr>
      </w:pPr>
      <w:hyperlink w:anchor="_Toc69121378" w:history="1">
        <w:r w:rsidR="00304F5F" w:rsidRPr="005E2FEC">
          <w:rPr>
            <w:rStyle w:val="Hyperlink"/>
            <w:noProof/>
          </w:rPr>
          <w:t>Tabela 32 - Recuperação e estoque de créditos baixados como prejuízo até 2020</w:t>
        </w:r>
        <w:r w:rsidR="00304F5F">
          <w:rPr>
            <w:noProof/>
            <w:webHidden/>
          </w:rPr>
          <w:tab/>
        </w:r>
        <w:r w:rsidR="00304F5F">
          <w:rPr>
            <w:noProof/>
            <w:webHidden/>
          </w:rPr>
          <w:fldChar w:fldCharType="begin"/>
        </w:r>
        <w:r w:rsidR="00304F5F">
          <w:rPr>
            <w:noProof/>
            <w:webHidden/>
          </w:rPr>
          <w:instrText xml:space="preserve"> PAGEREF _Toc69121378 \h </w:instrText>
        </w:r>
        <w:r w:rsidR="00304F5F">
          <w:rPr>
            <w:noProof/>
            <w:webHidden/>
          </w:rPr>
        </w:r>
        <w:r w:rsidR="00304F5F">
          <w:rPr>
            <w:noProof/>
            <w:webHidden/>
          </w:rPr>
          <w:fldChar w:fldCharType="separate"/>
        </w:r>
        <w:r w:rsidR="00BD76F0">
          <w:rPr>
            <w:noProof/>
            <w:webHidden/>
          </w:rPr>
          <w:t>60</w:t>
        </w:r>
        <w:r w:rsidR="00304F5F">
          <w:rPr>
            <w:noProof/>
            <w:webHidden/>
          </w:rPr>
          <w:fldChar w:fldCharType="end"/>
        </w:r>
      </w:hyperlink>
    </w:p>
    <w:p w14:paraId="5462DEC8" w14:textId="2984E8B0" w:rsidR="00304F5F" w:rsidRDefault="009B05DF">
      <w:pPr>
        <w:pStyle w:val="ndicedeilustraes"/>
        <w:tabs>
          <w:tab w:val="right" w:leader="dot" w:pos="9913"/>
        </w:tabs>
        <w:rPr>
          <w:rFonts w:eastAsiaTheme="minorEastAsia"/>
          <w:noProof/>
          <w:lang w:eastAsia="pt-BR"/>
        </w:rPr>
      </w:pPr>
      <w:hyperlink w:anchor="_Toc69121379" w:history="1">
        <w:r w:rsidR="00304F5F" w:rsidRPr="005E2FEC">
          <w:rPr>
            <w:rStyle w:val="Hyperlink"/>
            <w:noProof/>
          </w:rPr>
          <w:t>Tabela 33 - Indicadores de Solvência do FGE em Dezembro/2020</w:t>
        </w:r>
        <w:r w:rsidR="00304F5F">
          <w:rPr>
            <w:noProof/>
            <w:webHidden/>
          </w:rPr>
          <w:tab/>
        </w:r>
        <w:r w:rsidR="00304F5F">
          <w:rPr>
            <w:noProof/>
            <w:webHidden/>
          </w:rPr>
          <w:fldChar w:fldCharType="begin"/>
        </w:r>
        <w:r w:rsidR="00304F5F">
          <w:rPr>
            <w:noProof/>
            <w:webHidden/>
          </w:rPr>
          <w:instrText xml:space="preserve"> PAGEREF _Toc69121379 \h </w:instrText>
        </w:r>
        <w:r w:rsidR="00304F5F">
          <w:rPr>
            <w:noProof/>
            <w:webHidden/>
          </w:rPr>
        </w:r>
        <w:r w:rsidR="00304F5F">
          <w:rPr>
            <w:noProof/>
            <w:webHidden/>
          </w:rPr>
          <w:fldChar w:fldCharType="separate"/>
        </w:r>
        <w:r w:rsidR="00BD76F0">
          <w:rPr>
            <w:noProof/>
            <w:webHidden/>
          </w:rPr>
          <w:t>61</w:t>
        </w:r>
        <w:r w:rsidR="00304F5F">
          <w:rPr>
            <w:noProof/>
            <w:webHidden/>
          </w:rPr>
          <w:fldChar w:fldCharType="end"/>
        </w:r>
      </w:hyperlink>
    </w:p>
    <w:p w14:paraId="70098ED2" w14:textId="0ABDF020" w:rsidR="00304F5F" w:rsidRDefault="009B05DF">
      <w:pPr>
        <w:pStyle w:val="ndicedeilustraes"/>
        <w:tabs>
          <w:tab w:val="right" w:leader="dot" w:pos="9913"/>
        </w:tabs>
        <w:rPr>
          <w:rFonts w:eastAsiaTheme="minorEastAsia"/>
          <w:noProof/>
          <w:lang w:eastAsia="pt-BR"/>
        </w:rPr>
      </w:pPr>
      <w:hyperlink w:anchor="_Toc69121380" w:history="1">
        <w:r w:rsidR="00304F5F" w:rsidRPr="005E2FEC">
          <w:rPr>
            <w:rStyle w:val="Hyperlink"/>
            <w:noProof/>
          </w:rPr>
          <w:t>Tabela 34 - Estimativa de impacto da manutenção do Seguro de Crédito à Exportação</w:t>
        </w:r>
        <w:r w:rsidR="00304F5F">
          <w:rPr>
            <w:noProof/>
            <w:webHidden/>
          </w:rPr>
          <w:tab/>
        </w:r>
        <w:r w:rsidR="00304F5F">
          <w:rPr>
            <w:noProof/>
            <w:webHidden/>
          </w:rPr>
          <w:fldChar w:fldCharType="begin"/>
        </w:r>
        <w:r w:rsidR="00304F5F">
          <w:rPr>
            <w:noProof/>
            <w:webHidden/>
          </w:rPr>
          <w:instrText xml:space="preserve"> PAGEREF _Toc69121380 \h </w:instrText>
        </w:r>
        <w:r w:rsidR="00304F5F">
          <w:rPr>
            <w:noProof/>
            <w:webHidden/>
          </w:rPr>
        </w:r>
        <w:r w:rsidR="00304F5F">
          <w:rPr>
            <w:noProof/>
            <w:webHidden/>
          </w:rPr>
          <w:fldChar w:fldCharType="separate"/>
        </w:r>
        <w:r w:rsidR="00BD76F0">
          <w:rPr>
            <w:noProof/>
            <w:webHidden/>
          </w:rPr>
          <w:t>62</w:t>
        </w:r>
        <w:r w:rsidR="00304F5F">
          <w:rPr>
            <w:noProof/>
            <w:webHidden/>
          </w:rPr>
          <w:fldChar w:fldCharType="end"/>
        </w:r>
      </w:hyperlink>
    </w:p>
    <w:p w14:paraId="39B90B45" w14:textId="2F261E35" w:rsidR="00304F5F" w:rsidRDefault="009B05DF">
      <w:pPr>
        <w:pStyle w:val="ndicedeilustraes"/>
        <w:tabs>
          <w:tab w:val="right" w:leader="dot" w:pos="9913"/>
        </w:tabs>
        <w:rPr>
          <w:rFonts w:eastAsiaTheme="minorEastAsia"/>
          <w:noProof/>
          <w:lang w:eastAsia="pt-BR"/>
        </w:rPr>
      </w:pPr>
      <w:hyperlink w:anchor="_Toc69121381" w:history="1">
        <w:r w:rsidR="00304F5F" w:rsidRPr="005E2FEC">
          <w:rPr>
            <w:rStyle w:val="Hyperlink"/>
            <w:noProof/>
          </w:rPr>
          <w:t>Tabela 35 - Fundos garantidores com participação da União – Dezembro 2020</w:t>
        </w:r>
        <w:r w:rsidR="00304F5F">
          <w:rPr>
            <w:noProof/>
            <w:webHidden/>
          </w:rPr>
          <w:tab/>
        </w:r>
        <w:r w:rsidR="00304F5F">
          <w:rPr>
            <w:noProof/>
            <w:webHidden/>
          </w:rPr>
          <w:fldChar w:fldCharType="begin"/>
        </w:r>
        <w:r w:rsidR="00304F5F">
          <w:rPr>
            <w:noProof/>
            <w:webHidden/>
          </w:rPr>
          <w:instrText xml:space="preserve"> PAGEREF _Toc69121381 \h </w:instrText>
        </w:r>
        <w:r w:rsidR="00304F5F">
          <w:rPr>
            <w:noProof/>
            <w:webHidden/>
          </w:rPr>
        </w:r>
        <w:r w:rsidR="00304F5F">
          <w:rPr>
            <w:noProof/>
            <w:webHidden/>
          </w:rPr>
          <w:fldChar w:fldCharType="separate"/>
        </w:r>
        <w:r w:rsidR="00BD76F0">
          <w:rPr>
            <w:noProof/>
            <w:webHidden/>
          </w:rPr>
          <w:t>64</w:t>
        </w:r>
        <w:r w:rsidR="00304F5F">
          <w:rPr>
            <w:noProof/>
            <w:webHidden/>
          </w:rPr>
          <w:fldChar w:fldCharType="end"/>
        </w:r>
      </w:hyperlink>
    </w:p>
    <w:p w14:paraId="0AF22F03" w14:textId="4834E488" w:rsidR="00304F5F" w:rsidRDefault="009B05DF">
      <w:pPr>
        <w:pStyle w:val="ndicedeilustraes"/>
        <w:tabs>
          <w:tab w:val="right" w:leader="dot" w:pos="9913"/>
        </w:tabs>
        <w:rPr>
          <w:rFonts w:eastAsiaTheme="minorEastAsia"/>
          <w:noProof/>
          <w:lang w:eastAsia="pt-BR"/>
        </w:rPr>
      </w:pPr>
      <w:hyperlink w:anchor="_Toc69121382" w:history="1">
        <w:r w:rsidR="00304F5F" w:rsidRPr="005E2FEC">
          <w:rPr>
            <w:rStyle w:val="Hyperlink"/>
            <w:noProof/>
          </w:rPr>
          <w:t>Tabela 36 - Créditos por exercício segundo o tipo de crédito e classe (rating)</w:t>
        </w:r>
        <w:r w:rsidR="00304F5F">
          <w:rPr>
            <w:noProof/>
            <w:webHidden/>
          </w:rPr>
          <w:tab/>
        </w:r>
        <w:r w:rsidR="00304F5F">
          <w:rPr>
            <w:noProof/>
            <w:webHidden/>
          </w:rPr>
          <w:fldChar w:fldCharType="begin"/>
        </w:r>
        <w:r w:rsidR="00304F5F">
          <w:rPr>
            <w:noProof/>
            <w:webHidden/>
          </w:rPr>
          <w:instrText xml:space="preserve"> PAGEREF _Toc69121382 \h </w:instrText>
        </w:r>
        <w:r w:rsidR="00304F5F">
          <w:rPr>
            <w:noProof/>
            <w:webHidden/>
          </w:rPr>
        </w:r>
        <w:r w:rsidR="00304F5F">
          <w:rPr>
            <w:noProof/>
            <w:webHidden/>
          </w:rPr>
          <w:fldChar w:fldCharType="separate"/>
        </w:r>
        <w:r w:rsidR="00BD76F0">
          <w:rPr>
            <w:noProof/>
            <w:webHidden/>
          </w:rPr>
          <w:t>66</w:t>
        </w:r>
        <w:r w:rsidR="00304F5F">
          <w:rPr>
            <w:noProof/>
            <w:webHidden/>
          </w:rPr>
          <w:fldChar w:fldCharType="end"/>
        </w:r>
      </w:hyperlink>
    </w:p>
    <w:p w14:paraId="08022A82" w14:textId="5EA81A60" w:rsidR="00304F5F" w:rsidRDefault="009B05DF">
      <w:pPr>
        <w:pStyle w:val="ndicedeilustraes"/>
        <w:tabs>
          <w:tab w:val="right" w:leader="dot" w:pos="9913"/>
        </w:tabs>
        <w:rPr>
          <w:rFonts w:eastAsiaTheme="minorEastAsia"/>
          <w:noProof/>
          <w:lang w:eastAsia="pt-BR"/>
        </w:rPr>
      </w:pPr>
      <w:hyperlink w:anchor="_Toc69121383" w:history="1">
        <w:r w:rsidR="00304F5F" w:rsidRPr="005E2FEC">
          <w:rPr>
            <w:rStyle w:val="Hyperlink"/>
            <w:noProof/>
          </w:rPr>
          <w:t>Tabela 37 - Comparação entre os fluxos da arrecadação dos créditos, estimados e realizados, por exercício</w:t>
        </w:r>
        <w:r w:rsidR="00304F5F">
          <w:rPr>
            <w:noProof/>
            <w:webHidden/>
          </w:rPr>
          <w:tab/>
        </w:r>
        <w:r w:rsidR="00304F5F">
          <w:rPr>
            <w:noProof/>
            <w:webHidden/>
          </w:rPr>
          <w:fldChar w:fldCharType="begin"/>
        </w:r>
        <w:r w:rsidR="00304F5F">
          <w:rPr>
            <w:noProof/>
            <w:webHidden/>
          </w:rPr>
          <w:instrText xml:space="preserve"> PAGEREF _Toc69121383 \h </w:instrText>
        </w:r>
        <w:r w:rsidR="00304F5F">
          <w:rPr>
            <w:noProof/>
            <w:webHidden/>
          </w:rPr>
        </w:r>
        <w:r w:rsidR="00304F5F">
          <w:rPr>
            <w:noProof/>
            <w:webHidden/>
          </w:rPr>
          <w:fldChar w:fldCharType="separate"/>
        </w:r>
        <w:r w:rsidR="00BD76F0">
          <w:rPr>
            <w:noProof/>
            <w:webHidden/>
          </w:rPr>
          <w:t>67</w:t>
        </w:r>
        <w:r w:rsidR="00304F5F">
          <w:rPr>
            <w:noProof/>
            <w:webHidden/>
          </w:rPr>
          <w:fldChar w:fldCharType="end"/>
        </w:r>
      </w:hyperlink>
    </w:p>
    <w:p w14:paraId="56257B57" w14:textId="2FAF8064" w:rsidR="00304F5F" w:rsidRDefault="009B05DF">
      <w:pPr>
        <w:pStyle w:val="ndicedeilustraes"/>
        <w:tabs>
          <w:tab w:val="right" w:leader="dot" w:pos="9913"/>
        </w:tabs>
        <w:rPr>
          <w:rFonts w:eastAsiaTheme="minorEastAsia"/>
          <w:noProof/>
          <w:lang w:eastAsia="pt-BR"/>
        </w:rPr>
      </w:pPr>
      <w:hyperlink w:anchor="_Toc69121384" w:history="1">
        <w:r w:rsidR="00304F5F" w:rsidRPr="005E2FEC">
          <w:rPr>
            <w:rStyle w:val="Hyperlink"/>
            <w:noProof/>
          </w:rPr>
          <w:t>Tabela 38 - Estimativa de arrecadação dos créditos da DAU, por exercício</w:t>
        </w:r>
        <w:r w:rsidR="00304F5F">
          <w:rPr>
            <w:noProof/>
            <w:webHidden/>
          </w:rPr>
          <w:tab/>
        </w:r>
        <w:r w:rsidR="00304F5F">
          <w:rPr>
            <w:noProof/>
            <w:webHidden/>
          </w:rPr>
          <w:fldChar w:fldCharType="begin"/>
        </w:r>
        <w:r w:rsidR="00304F5F">
          <w:rPr>
            <w:noProof/>
            <w:webHidden/>
          </w:rPr>
          <w:instrText xml:space="preserve"> PAGEREF _Toc69121384 \h </w:instrText>
        </w:r>
        <w:r w:rsidR="00304F5F">
          <w:rPr>
            <w:noProof/>
            <w:webHidden/>
          </w:rPr>
        </w:r>
        <w:r w:rsidR="00304F5F">
          <w:rPr>
            <w:noProof/>
            <w:webHidden/>
          </w:rPr>
          <w:fldChar w:fldCharType="separate"/>
        </w:r>
        <w:r w:rsidR="00BD76F0">
          <w:rPr>
            <w:noProof/>
            <w:webHidden/>
          </w:rPr>
          <w:t>67</w:t>
        </w:r>
        <w:r w:rsidR="00304F5F">
          <w:rPr>
            <w:noProof/>
            <w:webHidden/>
          </w:rPr>
          <w:fldChar w:fldCharType="end"/>
        </w:r>
      </w:hyperlink>
    </w:p>
    <w:p w14:paraId="76F9A8B2" w14:textId="2A8130D8" w:rsidR="00304F5F" w:rsidRDefault="009B05DF">
      <w:pPr>
        <w:pStyle w:val="ndicedeilustraes"/>
        <w:tabs>
          <w:tab w:val="right" w:leader="dot" w:pos="9913"/>
        </w:tabs>
        <w:rPr>
          <w:rFonts w:eastAsiaTheme="minorEastAsia"/>
          <w:noProof/>
          <w:lang w:eastAsia="pt-BR"/>
        </w:rPr>
      </w:pPr>
      <w:hyperlink w:anchor="_Toc69121385" w:history="1">
        <w:r w:rsidR="00304F5F" w:rsidRPr="005E2FEC">
          <w:rPr>
            <w:rStyle w:val="Hyperlink"/>
            <w:noProof/>
          </w:rPr>
          <w:t>Tabela 39 - Evolução do fluxo dos depósitos judiciais por exercício, segundo movimentação</w:t>
        </w:r>
        <w:r w:rsidR="00304F5F">
          <w:rPr>
            <w:noProof/>
            <w:webHidden/>
          </w:rPr>
          <w:tab/>
        </w:r>
        <w:r w:rsidR="00304F5F">
          <w:rPr>
            <w:noProof/>
            <w:webHidden/>
          </w:rPr>
          <w:fldChar w:fldCharType="begin"/>
        </w:r>
        <w:r w:rsidR="00304F5F">
          <w:rPr>
            <w:noProof/>
            <w:webHidden/>
          </w:rPr>
          <w:instrText xml:space="preserve"> PAGEREF _Toc69121385 \h </w:instrText>
        </w:r>
        <w:r w:rsidR="00304F5F">
          <w:rPr>
            <w:noProof/>
            <w:webHidden/>
          </w:rPr>
        </w:r>
        <w:r w:rsidR="00304F5F">
          <w:rPr>
            <w:noProof/>
            <w:webHidden/>
          </w:rPr>
          <w:fldChar w:fldCharType="separate"/>
        </w:r>
        <w:r w:rsidR="00BD76F0">
          <w:rPr>
            <w:noProof/>
            <w:webHidden/>
          </w:rPr>
          <w:t>68</w:t>
        </w:r>
        <w:r w:rsidR="00304F5F">
          <w:rPr>
            <w:noProof/>
            <w:webHidden/>
          </w:rPr>
          <w:fldChar w:fldCharType="end"/>
        </w:r>
      </w:hyperlink>
    </w:p>
    <w:p w14:paraId="62C9AAAD" w14:textId="773AFC6C" w:rsidR="00304F5F" w:rsidRDefault="009B05DF">
      <w:pPr>
        <w:pStyle w:val="ndicedeilustraes"/>
        <w:tabs>
          <w:tab w:val="right" w:leader="dot" w:pos="9913"/>
        </w:tabs>
        <w:rPr>
          <w:rFonts w:eastAsiaTheme="minorEastAsia"/>
          <w:noProof/>
          <w:lang w:eastAsia="pt-BR"/>
        </w:rPr>
      </w:pPr>
      <w:hyperlink w:anchor="_Toc69121386" w:history="1">
        <w:r w:rsidR="00304F5F" w:rsidRPr="005E2FEC">
          <w:rPr>
            <w:rStyle w:val="Hyperlink"/>
            <w:noProof/>
          </w:rPr>
          <w:t>Tabela 40 - Fluxos estimados de depósitos judiciais por exercício</w:t>
        </w:r>
        <w:r w:rsidR="00304F5F">
          <w:rPr>
            <w:noProof/>
            <w:webHidden/>
          </w:rPr>
          <w:tab/>
        </w:r>
        <w:r w:rsidR="00304F5F">
          <w:rPr>
            <w:noProof/>
            <w:webHidden/>
          </w:rPr>
          <w:fldChar w:fldCharType="begin"/>
        </w:r>
        <w:r w:rsidR="00304F5F">
          <w:rPr>
            <w:noProof/>
            <w:webHidden/>
          </w:rPr>
          <w:instrText xml:space="preserve"> PAGEREF _Toc69121386 \h </w:instrText>
        </w:r>
        <w:r w:rsidR="00304F5F">
          <w:rPr>
            <w:noProof/>
            <w:webHidden/>
          </w:rPr>
        </w:r>
        <w:r w:rsidR="00304F5F">
          <w:rPr>
            <w:noProof/>
            <w:webHidden/>
          </w:rPr>
          <w:fldChar w:fldCharType="separate"/>
        </w:r>
        <w:r w:rsidR="00BD76F0">
          <w:rPr>
            <w:noProof/>
            <w:webHidden/>
          </w:rPr>
          <w:t>68</w:t>
        </w:r>
        <w:r w:rsidR="00304F5F">
          <w:rPr>
            <w:noProof/>
            <w:webHidden/>
          </w:rPr>
          <w:fldChar w:fldCharType="end"/>
        </w:r>
      </w:hyperlink>
    </w:p>
    <w:p w14:paraId="6DA58BFB" w14:textId="07B89DC9" w:rsidR="00304F5F" w:rsidRDefault="009B05DF">
      <w:pPr>
        <w:pStyle w:val="ndicedeilustraes"/>
        <w:tabs>
          <w:tab w:val="right" w:leader="dot" w:pos="9913"/>
        </w:tabs>
        <w:rPr>
          <w:rFonts w:eastAsiaTheme="minorEastAsia"/>
          <w:noProof/>
          <w:lang w:eastAsia="pt-BR"/>
        </w:rPr>
      </w:pPr>
      <w:hyperlink w:anchor="_Toc69121387" w:history="1">
        <w:r w:rsidR="00304F5F" w:rsidRPr="005E2FEC">
          <w:rPr>
            <w:rStyle w:val="Hyperlink"/>
            <w:noProof/>
          </w:rPr>
          <w:t>Tabela 41 - Evolução do estoque, segundo ativo/programa sob gestão da STN, por exercício</w:t>
        </w:r>
        <w:r w:rsidR="00304F5F">
          <w:rPr>
            <w:noProof/>
            <w:webHidden/>
          </w:rPr>
          <w:tab/>
        </w:r>
        <w:r w:rsidR="00304F5F">
          <w:rPr>
            <w:noProof/>
            <w:webHidden/>
          </w:rPr>
          <w:fldChar w:fldCharType="begin"/>
        </w:r>
        <w:r w:rsidR="00304F5F">
          <w:rPr>
            <w:noProof/>
            <w:webHidden/>
          </w:rPr>
          <w:instrText xml:space="preserve"> PAGEREF _Toc69121387 \h </w:instrText>
        </w:r>
        <w:r w:rsidR="00304F5F">
          <w:rPr>
            <w:noProof/>
            <w:webHidden/>
          </w:rPr>
        </w:r>
        <w:r w:rsidR="00304F5F">
          <w:rPr>
            <w:noProof/>
            <w:webHidden/>
          </w:rPr>
          <w:fldChar w:fldCharType="separate"/>
        </w:r>
        <w:r w:rsidR="00BD76F0">
          <w:rPr>
            <w:noProof/>
            <w:webHidden/>
          </w:rPr>
          <w:t>70</w:t>
        </w:r>
        <w:r w:rsidR="00304F5F">
          <w:rPr>
            <w:noProof/>
            <w:webHidden/>
          </w:rPr>
          <w:fldChar w:fldCharType="end"/>
        </w:r>
      </w:hyperlink>
    </w:p>
    <w:p w14:paraId="02F813EC" w14:textId="0FF72D72" w:rsidR="00304F5F" w:rsidRDefault="009B05DF">
      <w:pPr>
        <w:pStyle w:val="ndicedeilustraes"/>
        <w:tabs>
          <w:tab w:val="right" w:leader="dot" w:pos="9913"/>
        </w:tabs>
        <w:rPr>
          <w:rFonts w:eastAsiaTheme="minorEastAsia"/>
          <w:noProof/>
          <w:lang w:eastAsia="pt-BR"/>
        </w:rPr>
      </w:pPr>
      <w:hyperlink w:anchor="_Toc69121388" w:history="1">
        <w:r w:rsidR="00304F5F" w:rsidRPr="005E2FEC">
          <w:rPr>
            <w:rStyle w:val="Hyperlink"/>
            <w:noProof/>
          </w:rPr>
          <w:t>Tabela 42 - Comparação entre os fluxos, estimados e realizados, segundo ativo/programa</w:t>
        </w:r>
        <w:r w:rsidR="00304F5F">
          <w:rPr>
            <w:noProof/>
            <w:webHidden/>
          </w:rPr>
          <w:tab/>
        </w:r>
        <w:r w:rsidR="00304F5F">
          <w:rPr>
            <w:noProof/>
            <w:webHidden/>
          </w:rPr>
          <w:fldChar w:fldCharType="begin"/>
        </w:r>
        <w:r w:rsidR="00304F5F">
          <w:rPr>
            <w:noProof/>
            <w:webHidden/>
          </w:rPr>
          <w:instrText xml:space="preserve"> PAGEREF _Toc69121388 \h </w:instrText>
        </w:r>
        <w:r w:rsidR="00304F5F">
          <w:rPr>
            <w:noProof/>
            <w:webHidden/>
          </w:rPr>
        </w:r>
        <w:r w:rsidR="00304F5F">
          <w:rPr>
            <w:noProof/>
            <w:webHidden/>
          </w:rPr>
          <w:fldChar w:fldCharType="separate"/>
        </w:r>
        <w:r w:rsidR="00BD76F0">
          <w:rPr>
            <w:noProof/>
            <w:webHidden/>
          </w:rPr>
          <w:t>72</w:t>
        </w:r>
        <w:r w:rsidR="00304F5F">
          <w:rPr>
            <w:noProof/>
            <w:webHidden/>
          </w:rPr>
          <w:fldChar w:fldCharType="end"/>
        </w:r>
      </w:hyperlink>
    </w:p>
    <w:p w14:paraId="02210268" w14:textId="6C7CCF8F" w:rsidR="00304F5F" w:rsidRDefault="009B05DF">
      <w:pPr>
        <w:pStyle w:val="ndicedeilustraes"/>
        <w:tabs>
          <w:tab w:val="right" w:leader="dot" w:pos="9913"/>
        </w:tabs>
        <w:rPr>
          <w:rFonts w:eastAsiaTheme="minorEastAsia"/>
          <w:noProof/>
          <w:lang w:eastAsia="pt-BR"/>
        </w:rPr>
      </w:pPr>
      <w:hyperlink w:anchor="_Toc69121389" w:history="1">
        <w:r w:rsidR="00304F5F" w:rsidRPr="005E2FEC">
          <w:rPr>
            <w:rStyle w:val="Hyperlink"/>
            <w:noProof/>
          </w:rPr>
          <w:t>Tabela 43 - Fluxos estimados, segundo Ativo/Programa, por exercício</w:t>
        </w:r>
        <w:r w:rsidR="00304F5F">
          <w:rPr>
            <w:noProof/>
            <w:webHidden/>
          </w:rPr>
          <w:tab/>
        </w:r>
        <w:r w:rsidR="00304F5F">
          <w:rPr>
            <w:noProof/>
            <w:webHidden/>
          </w:rPr>
          <w:fldChar w:fldCharType="begin"/>
        </w:r>
        <w:r w:rsidR="00304F5F">
          <w:rPr>
            <w:noProof/>
            <w:webHidden/>
          </w:rPr>
          <w:instrText xml:space="preserve"> PAGEREF _Toc69121389 \h </w:instrText>
        </w:r>
        <w:r w:rsidR="00304F5F">
          <w:rPr>
            <w:noProof/>
            <w:webHidden/>
          </w:rPr>
        </w:r>
        <w:r w:rsidR="00304F5F">
          <w:rPr>
            <w:noProof/>
            <w:webHidden/>
          </w:rPr>
          <w:fldChar w:fldCharType="separate"/>
        </w:r>
        <w:r w:rsidR="00BD76F0">
          <w:rPr>
            <w:noProof/>
            <w:webHidden/>
          </w:rPr>
          <w:t>74</w:t>
        </w:r>
        <w:r w:rsidR="00304F5F">
          <w:rPr>
            <w:noProof/>
            <w:webHidden/>
          </w:rPr>
          <w:fldChar w:fldCharType="end"/>
        </w:r>
      </w:hyperlink>
    </w:p>
    <w:p w14:paraId="4765EFB4" w14:textId="757AC316" w:rsidR="00304F5F" w:rsidRDefault="009B05DF">
      <w:pPr>
        <w:pStyle w:val="ndicedeilustraes"/>
        <w:tabs>
          <w:tab w:val="right" w:leader="dot" w:pos="9913"/>
        </w:tabs>
        <w:rPr>
          <w:rFonts w:eastAsiaTheme="minorEastAsia"/>
          <w:noProof/>
          <w:lang w:eastAsia="pt-BR"/>
        </w:rPr>
      </w:pPr>
      <w:hyperlink w:anchor="_Toc69121390" w:history="1">
        <w:r w:rsidR="00304F5F" w:rsidRPr="005E2FEC">
          <w:rPr>
            <w:rStyle w:val="Hyperlink"/>
            <w:noProof/>
          </w:rPr>
          <w:t>Tabela 44 - Estimativas dos impactos, segundo a natureza do risco, por exercício</w:t>
        </w:r>
        <w:r w:rsidR="00304F5F">
          <w:rPr>
            <w:noProof/>
            <w:webHidden/>
          </w:rPr>
          <w:tab/>
        </w:r>
        <w:r w:rsidR="00304F5F">
          <w:rPr>
            <w:noProof/>
            <w:webHidden/>
          </w:rPr>
          <w:fldChar w:fldCharType="begin"/>
        </w:r>
        <w:r w:rsidR="00304F5F">
          <w:rPr>
            <w:noProof/>
            <w:webHidden/>
          </w:rPr>
          <w:instrText xml:space="preserve"> PAGEREF _Toc69121390 \h </w:instrText>
        </w:r>
        <w:r w:rsidR="00304F5F">
          <w:rPr>
            <w:noProof/>
            <w:webHidden/>
          </w:rPr>
        </w:r>
        <w:r w:rsidR="00304F5F">
          <w:rPr>
            <w:noProof/>
            <w:webHidden/>
          </w:rPr>
          <w:fldChar w:fldCharType="separate"/>
        </w:r>
        <w:r w:rsidR="00BD76F0">
          <w:rPr>
            <w:noProof/>
            <w:webHidden/>
          </w:rPr>
          <w:t>77</w:t>
        </w:r>
        <w:r w:rsidR="00304F5F">
          <w:rPr>
            <w:noProof/>
            <w:webHidden/>
          </w:rPr>
          <w:fldChar w:fldCharType="end"/>
        </w:r>
      </w:hyperlink>
    </w:p>
    <w:p w14:paraId="2CA9A567" w14:textId="31170A8E" w:rsidR="00304F5F" w:rsidRDefault="009B05DF">
      <w:pPr>
        <w:pStyle w:val="ndicedeilustraes"/>
        <w:tabs>
          <w:tab w:val="right" w:leader="dot" w:pos="9913"/>
        </w:tabs>
        <w:rPr>
          <w:rFonts w:eastAsiaTheme="minorEastAsia"/>
          <w:noProof/>
          <w:lang w:eastAsia="pt-BR"/>
        </w:rPr>
      </w:pPr>
      <w:hyperlink w:anchor="_Toc69121391" w:history="1">
        <w:r w:rsidR="00304F5F" w:rsidRPr="005E2FEC">
          <w:rPr>
            <w:rStyle w:val="Hyperlink"/>
            <w:noProof/>
          </w:rPr>
          <w:t>Tabela 45 - Impacto estimado e realizado, segundo a natureza do risco, para o ano de 2020</w:t>
        </w:r>
        <w:r w:rsidR="00304F5F">
          <w:rPr>
            <w:noProof/>
            <w:webHidden/>
          </w:rPr>
          <w:tab/>
        </w:r>
        <w:r w:rsidR="00304F5F">
          <w:rPr>
            <w:noProof/>
            <w:webHidden/>
          </w:rPr>
          <w:fldChar w:fldCharType="begin"/>
        </w:r>
        <w:r w:rsidR="00304F5F">
          <w:rPr>
            <w:noProof/>
            <w:webHidden/>
          </w:rPr>
          <w:instrText xml:space="preserve"> PAGEREF _Toc69121391 \h </w:instrText>
        </w:r>
        <w:r w:rsidR="00304F5F">
          <w:rPr>
            <w:noProof/>
            <w:webHidden/>
          </w:rPr>
        </w:r>
        <w:r w:rsidR="00304F5F">
          <w:rPr>
            <w:noProof/>
            <w:webHidden/>
          </w:rPr>
          <w:fldChar w:fldCharType="separate"/>
        </w:r>
        <w:r w:rsidR="00BD76F0">
          <w:rPr>
            <w:noProof/>
            <w:webHidden/>
          </w:rPr>
          <w:t>78</w:t>
        </w:r>
        <w:r w:rsidR="00304F5F">
          <w:rPr>
            <w:noProof/>
            <w:webHidden/>
          </w:rPr>
          <w:fldChar w:fldCharType="end"/>
        </w:r>
      </w:hyperlink>
    </w:p>
    <w:p w14:paraId="033B2A87" w14:textId="2B6F3833" w:rsidR="00304F5F" w:rsidRDefault="009B05DF">
      <w:pPr>
        <w:pStyle w:val="ndicedeilustraes"/>
        <w:tabs>
          <w:tab w:val="right" w:leader="dot" w:pos="9913"/>
        </w:tabs>
        <w:rPr>
          <w:rFonts w:eastAsiaTheme="minorEastAsia"/>
          <w:noProof/>
          <w:lang w:eastAsia="pt-BR"/>
        </w:rPr>
      </w:pPr>
      <w:hyperlink w:anchor="_Toc69121392" w:history="1">
        <w:r w:rsidR="00304F5F" w:rsidRPr="005E2FEC">
          <w:rPr>
            <w:rStyle w:val="Hyperlink"/>
            <w:noProof/>
          </w:rPr>
          <w:t>Tabela 46 - Impactos estimados da LC nº 173/2020, segundo Ativo /Programa, por exercício</w:t>
        </w:r>
        <w:r w:rsidR="00304F5F">
          <w:rPr>
            <w:noProof/>
            <w:webHidden/>
          </w:rPr>
          <w:tab/>
        </w:r>
        <w:r w:rsidR="00304F5F">
          <w:rPr>
            <w:noProof/>
            <w:webHidden/>
          </w:rPr>
          <w:fldChar w:fldCharType="begin"/>
        </w:r>
        <w:r w:rsidR="00304F5F">
          <w:rPr>
            <w:noProof/>
            <w:webHidden/>
          </w:rPr>
          <w:instrText xml:space="preserve"> PAGEREF _Toc69121392 \h </w:instrText>
        </w:r>
        <w:r w:rsidR="00304F5F">
          <w:rPr>
            <w:noProof/>
            <w:webHidden/>
          </w:rPr>
        </w:r>
        <w:r w:rsidR="00304F5F">
          <w:rPr>
            <w:noProof/>
            <w:webHidden/>
          </w:rPr>
          <w:fldChar w:fldCharType="separate"/>
        </w:r>
        <w:r w:rsidR="00BD76F0">
          <w:rPr>
            <w:noProof/>
            <w:webHidden/>
          </w:rPr>
          <w:t>79</w:t>
        </w:r>
        <w:r w:rsidR="00304F5F">
          <w:rPr>
            <w:noProof/>
            <w:webHidden/>
          </w:rPr>
          <w:fldChar w:fldCharType="end"/>
        </w:r>
      </w:hyperlink>
    </w:p>
    <w:p w14:paraId="0FDB22CF" w14:textId="6309BEC9" w:rsidR="00304F5F" w:rsidRDefault="009B05DF">
      <w:pPr>
        <w:pStyle w:val="ndicedeilustraes"/>
        <w:tabs>
          <w:tab w:val="right" w:leader="dot" w:pos="9913"/>
        </w:tabs>
        <w:rPr>
          <w:rFonts w:eastAsiaTheme="minorEastAsia"/>
          <w:noProof/>
          <w:lang w:eastAsia="pt-BR"/>
        </w:rPr>
      </w:pPr>
      <w:hyperlink w:anchor="_Toc69121393" w:history="1">
        <w:r w:rsidR="00304F5F" w:rsidRPr="005E2FEC">
          <w:rPr>
            <w:rStyle w:val="Hyperlink"/>
            <w:rFonts w:eastAsia="Calibri"/>
            <w:noProof/>
          </w:rPr>
          <w:t xml:space="preserve">Tabela </w:t>
        </w:r>
        <w:r w:rsidR="00304F5F" w:rsidRPr="005E2FEC">
          <w:rPr>
            <w:rStyle w:val="Hyperlink"/>
            <w:noProof/>
          </w:rPr>
          <w:t xml:space="preserve">47 </w:t>
        </w:r>
        <w:r w:rsidR="00304F5F" w:rsidRPr="005E2FEC">
          <w:rPr>
            <w:rStyle w:val="Hyperlink"/>
            <w:rFonts w:eastAsia="Calibri"/>
            <w:noProof/>
          </w:rPr>
          <w:t>- Impactos estimados da LC nº 178/2021, segundo Ativo /Programa, por exercício</w:t>
        </w:r>
        <w:r w:rsidR="00304F5F">
          <w:rPr>
            <w:noProof/>
            <w:webHidden/>
          </w:rPr>
          <w:tab/>
        </w:r>
        <w:r w:rsidR="00304F5F">
          <w:rPr>
            <w:noProof/>
            <w:webHidden/>
          </w:rPr>
          <w:fldChar w:fldCharType="begin"/>
        </w:r>
        <w:r w:rsidR="00304F5F">
          <w:rPr>
            <w:noProof/>
            <w:webHidden/>
          </w:rPr>
          <w:instrText xml:space="preserve"> PAGEREF _Toc69121393 \h </w:instrText>
        </w:r>
        <w:r w:rsidR="00304F5F">
          <w:rPr>
            <w:noProof/>
            <w:webHidden/>
          </w:rPr>
        </w:r>
        <w:r w:rsidR="00304F5F">
          <w:rPr>
            <w:noProof/>
            <w:webHidden/>
          </w:rPr>
          <w:fldChar w:fldCharType="separate"/>
        </w:r>
        <w:r w:rsidR="00BD76F0">
          <w:rPr>
            <w:noProof/>
            <w:webHidden/>
          </w:rPr>
          <w:t>80</w:t>
        </w:r>
        <w:r w:rsidR="00304F5F">
          <w:rPr>
            <w:noProof/>
            <w:webHidden/>
          </w:rPr>
          <w:fldChar w:fldCharType="end"/>
        </w:r>
      </w:hyperlink>
    </w:p>
    <w:p w14:paraId="64D327A8" w14:textId="1B444248" w:rsidR="00304F5F" w:rsidRDefault="009B05DF">
      <w:pPr>
        <w:pStyle w:val="ndicedeilustraes"/>
        <w:tabs>
          <w:tab w:val="right" w:leader="dot" w:pos="9913"/>
        </w:tabs>
        <w:rPr>
          <w:rFonts w:eastAsiaTheme="minorEastAsia"/>
          <w:noProof/>
          <w:lang w:eastAsia="pt-BR"/>
        </w:rPr>
      </w:pPr>
      <w:hyperlink w:anchor="_Toc69121394" w:history="1">
        <w:r w:rsidR="00304F5F" w:rsidRPr="005E2FEC">
          <w:rPr>
            <w:rStyle w:val="Hyperlink"/>
            <w:rFonts w:eastAsia="Calibri"/>
            <w:noProof/>
          </w:rPr>
          <w:t xml:space="preserve">Tabela </w:t>
        </w:r>
        <w:r w:rsidR="00304F5F" w:rsidRPr="005E2FEC">
          <w:rPr>
            <w:rStyle w:val="Hyperlink"/>
            <w:noProof/>
          </w:rPr>
          <w:t xml:space="preserve">48 </w:t>
        </w:r>
        <w:r w:rsidR="00304F5F" w:rsidRPr="005E2FEC">
          <w:rPr>
            <w:rStyle w:val="Hyperlink"/>
            <w:rFonts w:eastAsia="Calibri"/>
            <w:noProof/>
          </w:rPr>
          <w:t>- Valores registrados nas contas de ajustes de perdas para os empréstimos concedidos</w:t>
        </w:r>
        <w:r w:rsidR="00304F5F">
          <w:rPr>
            <w:noProof/>
            <w:webHidden/>
          </w:rPr>
          <w:tab/>
        </w:r>
        <w:r w:rsidR="00304F5F">
          <w:rPr>
            <w:noProof/>
            <w:webHidden/>
          </w:rPr>
          <w:fldChar w:fldCharType="begin"/>
        </w:r>
        <w:r w:rsidR="00304F5F">
          <w:rPr>
            <w:noProof/>
            <w:webHidden/>
          </w:rPr>
          <w:instrText xml:space="preserve"> PAGEREF _Toc69121394 \h </w:instrText>
        </w:r>
        <w:r w:rsidR="00304F5F">
          <w:rPr>
            <w:noProof/>
            <w:webHidden/>
          </w:rPr>
        </w:r>
        <w:r w:rsidR="00304F5F">
          <w:rPr>
            <w:noProof/>
            <w:webHidden/>
          </w:rPr>
          <w:fldChar w:fldCharType="separate"/>
        </w:r>
        <w:r w:rsidR="00BD76F0">
          <w:rPr>
            <w:noProof/>
            <w:webHidden/>
          </w:rPr>
          <w:t>81</w:t>
        </w:r>
        <w:r w:rsidR="00304F5F">
          <w:rPr>
            <w:noProof/>
            <w:webHidden/>
          </w:rPr>
          <w:fldChar w:fldCharType="end"/>
        </w:r>
      </w:hyperlink>
    </w:p>
    <w:p w14:paraId="13A53B50" w14:textId="1F2C6221" w:rsidR="00304F5F" w:rsidRDefault="009B05DF">
      <w:pPr>
        <w:pStyle w:val="ndicedeilustraes"/>
        <w:tabs>
          <w:tab w:val="right" w:leader="dot" w:pos="9913"/>
        </w:tabs>
        <w:rPr>
          <w:rFonts w:eastAsiaTheme="minorEastAsia"/>
          <w:noProof/>
          <w:lang w:eastAsia="pt-BR"/>
        </w:rPr>
      </w:pPr>
      <w:hyperlink w:anchor="_Toc69121395" w:history="1">
        <w:r w:rsidR="00304F5F" w:rsidRPr="005E2FEC">
          <w:rPr>
            <w:rStyle w:val="Hyperlink"/>
            <w:rFonts w:eastAsia="Calibri"/>
            <w:noProof/>
          </w:rPr>
          <w:t xml:space="preserve">Tabela </w:t>
        </w:r>
        <w:r w:rsidR="00304F5F" w:rsidRPr="005E2FEC">
          <w:rPr>
            <w:rStyle w:val="Hyperlink"/>
            <w:noProof/>
          </w:rPr>
          <w:t>49 -</w:t>
        </w:r>
        <w:r w:rsidR="00304F5F" w:rsidRPr="005E2FEC">
          <w:rPr>
            <w:rStyle w:val="Hyperlink"/>
            <w:rFonts w:eastAsia="Calibri"/>
            <w:noProof/>
          </w:rPr>
          <w:t xml:space="preserve"> Matriz do Modelo de Ajuste de Perdas da STN</w:t>
        </w:r>
        <w:r w:rsidR="00304F5F">
          <w:rPr>
            <w:noProof/>
            <w:webHidden/>
          </w:rPr>
          <w:tab/>
        </w:r>
        <w:r w:rsidR="00304F5F">
          <w:rPr>
            <w:noProof/>
            <w:webHidden/>
          </w:rPr>
          <w:fldChar w:fldCharType="begin"/>
        </w:r>
        <w:r w:rsidR="00304F5F">
          <w:rPr>
            <w:noProof/>
            <w:webHidden/>
          </w:rPr>
          <w:instrText xml:space="preserve"> PAGEREF _Toc69121395 \h </w:instrText>
        </w:r>
        <w:r w:rsidR="00304F5F">
          <w:rPr>
            <w:noProof/>
            <w:webHidden/>
          </w:rPr>
        </w:r>
        <w:r w:rsidR="00304F5F">
          <w:rPr>
            <w:noProof/>
            <w:webHidden/>
          </w:rPr>
          <w:fldChar w:fldCharType="separate"/>
        </w:r>
        <w:r w:rsidR="00BD76F0">
          <w:rPr>
            <w:noProof/>
            <w:webHidden/>
          </w:rPr>
          <w:t>82</w:t>
        </w:r>
        <w:r w:rsidR="00304F5F">
          <w:rPr>
            <w:noProof/>
            <w:webHidden/>
          </w:rPr>
          <w:fldChar w:fldCharType="end"/>
        </w:r>
      </w:hyperlink>
    </w:p>
    <w:p w14:paraId="44E13963" w14:textId="2BD00671" w:rsidR="00304F5F" w:rsidRDefault="009B05DF">
      <w:pPr>
        <w:pStyle w:val="ndicedeilustraes"/>
        <w:tabs>
          <w:tab w:val="right" w:leader="dot" w:pos="9913"/>
        </w:tabs>
        <w:rPr>
          <w:rFonts w:eastAsiaTheme="minorEastAsia"/>
          <w:noProof/>
          <w:lang w:eastAsia="pt-BR"/>
        </w:rPr>
      </w:pPr>
      <w:hyperlink w:anchor="_Toc69121396" w:history="1">
        <w:r w:rsidR="00304F5F" w:rsidRPr="005E2FEC">
          <w:rPr>
            <w:rStyle w:val="Hyperlink"/>
            <w:rFonts w:eastAsia="Calibri"/>
            <w:noProof/>
          </w:rPr>
          <w:t xml:space="preserve">Tabela </w:t>
        </w:r>
        <w:r w:rsidR="00304F5F" w:rsidRPr="005E2FEC">
          <w:rPr>
            <w:rStyle w:val="Hyperlink"/>
            <w:noProof/>
          </w:rPr>
          <w:t>50 -</w:t>
        </w:r>
        <w:r w:rsidR="00304F5F" w:rsidRPr="005E2FEC">
          <w:rPr>
            <w:rStyle w:val="Hyperlink"/>
            <w:rFonts w:eastAsia="Calibri"/>
            <w:noProof/>
          </w:rPr>
          <w:t xml:space="preserve"> Tabela de Conversão das Notas CAPAG para ratings da matriz STN</w:t>
        </w:r>
        <w:r w:rsidR="00304F5F">
          <w:rPr>
            <w:noProof/>
            <w:webHidden/>
          </w:rPr>
          <w:tab/>
        </w:r>
        <w:r w:rsidR="00304F5F">
          <w:rPr>
            <w:noProof/>
            <w:webHidden/>
          </w:rPr>
          <w:fldChar w:fldCharType="begin"/>
        </w:r>
        <w:r w:rsidR="00304F5F">
          <w:rPr>
            <w:noProof/>
            <w:webHidden/>
          </w:rPr>
          <w:instrText xml:space="preserve"> PAGEREF _Toc69121396 \h </w:instrText>
        </w:r>
        <w:r w:rsidR="00304F5F">
          <w:rPr>
            <w:noProof/>
            <w:webHidden/>
          </w:rPr>
        </w:r>
        <w:r w:rsidR="00304F5F">
          <w:rPr>
            <w:noProof/>
            <w:webHidden/>
          </w:rPr>
          <w:fldChar w:fldCharType="separate"/>
        </w:r>
        <w:r w:rsidR="00BD76F0">
          <w:rPr>
            <w:noProof/>
            <w:webHidden/>
          </w:rPr>
          <w:t>83</w:t>
        </w:r>
        <w:r w:rsidR="00304F5F">
          <w:rPr>
            <w:noProof/>
            <w:webHidden/>
          </w:rPr>
          <w:fldChar w:fldCharType="end"/>
        </w:r>
      </w:hyperlink>
    </w:p>
    <w:p w14:paraId="0F637631" w14:textId="13E696ED" w:rsidR="00304F5F" w:rsidRDefault="009B05DF">
      <w:pPr>
        <w:pStyle w:val="ndicedeilustraes"/>
        <w:tabs>
          <w:tab w:val="right" w:leader="dot" w:pos="9913"/>
        </w:tabs>
        <w:rPr>
          <w:rFonts w:eastAsiaTheme="minorEastAsia"/>
          <w:noProof/>
          <w:lang w:eastAsia="pt-BR"/>
        </w:rPr>
      </w:pPr>
      <w:hyperlink w:anchor="_Toc69121397" w:history="1">
        <w:r w:rsidR="00304F5F" w:rsidRPr="005E2FEC">
          <w:rPr>
            <w:rStyle w:val="Hyperlink"/>
            <w:rFonts w:eastAsia="Calibri" w:cstheme="minorHAnsi"/>
            <w:noProof/>
          </w:rPr>
          <w:t xml:space="preserve">Tabela </w:t>
        </w:r>
        <w:r w:rsidR="00304F5F" w:rsidRPr="005E2FEC">
          <w:rPr>
            <w:rStyle w:val="Hyperlink"/>
            <w:rFonts w:cstheme="minorHAnsi"/>
            <w:noProof/>
          </w:rPr>
          <w:t>51</w:t>
        </w:r>
        <w:r w:rsidR="00304F5F" w:rsidRPr="005E2FEC">
          <w:rPr>
            <w:rStyle w:val="Hyperlink"/>
            <w:rFonts w:eastAsia="Calibri" w:cstheme="minorHAnsi"/>
            <w:noProof/>
          </w:rPr>
          <w:t xml:space="preserve"> - </w:t>
        </w:r>
        <w:r w:rsidR="00304F5F" w:rsidRPr="005E2FEC">
          <w:rPr>
            <w:rStyle w:val="Hyperlink"/>
            <w:rFonts w:ascii="Calibri" w:eastAsia="Calibri" w:hAnsi="Calibri" w:cs="Calibri"/>
            <w:noProof/>
          </w:rPr>
          <w:t>Evolução do estoque, segundo haver financeiro sob gestão da STN, por exercício</w:t>
        </w:r>
        <w:r w:rsidR="00304F5F">
          <w:rPr>
            <w:noProof/>
            <w:webHidden/>
          </w:rPr>
          <w:tab/>
        </w:r>
        <w:r w:rsidR="00304F5F">
          <w:rPr>
            <w:noProof/>
            <w:webHidden/>
          </w:rPr>
          <w:fldChar w:fldCharType="begin"/>
        </w:r>
        <w:r w:rsidR="00304F5F">
          <w:rPr>
            <w:noProof/>
            <w:webHidden/>
          </w:rPr>
          <w:instrText xml:space="preserve"> PAGEREF _Toc69121397 \h </w:instrText>
        </w:r>
        <w:r w:rsidR="00304F5F">
          <w:rPr>
            <w:noProof/>
            <w:webHidden/>
          </w:rPr>
        </w:r>
        <w:r w:rsidR="00304F5F">
          <w:rPr>
            <w:noProof/>
            <w:webHidden/>
          </w:rPr>
          <w:fldChar w:fldCharType="separate"/>
        </w:r>
        <w:r w:rsidR="00BD76F0">
          <w:rPr>
            <w:noProof/>
            <w:webHidden/>
          </w:rPr>
          <w:t>85</w:t>
        </w:r>
        <w:r w:rsidR="00304F5F">
          <w:rPr>
            <w:noProof/>
            <w:webHidden/>
          </w:rPr>
          <w:fldChar w:fldCharType="end"/>
        </w:r>
      </w:hyperlink>
    </w:p>
    <w:p w14:paraId="75B9E680" w14:textId="1B77B205" w:rsidR="00304F5F" w:rsidRDefault="009B05DF">
      <w:pPr>
        <w:pStyle w:val="ndicedeilustraes"/>
        <w:tabs>
          <w:tab w:val="right" w:leader="dot" w:pos="9913"/>
        </w:tabs>
        <w:rPr>
          <w:rFonts w:eastAsiaTheme="minorEastAsia"/>
          <w:noProof/>
          <w:lang w:eastAsia="pt-BR"/>
        </w:rPr>
      </w:pPr>
      <w:hyperlink w:anchor="_Toc69121398" w:history="1">
        <w:r w:rsidR="00304F5F" w:rsidRPr="005E2FEC">
          <w:rPr>
            <w:rStyle w:val="Hyperlink"/>
            <w:rFonts w:eastAsia="Calibri" w:cstheme="minorHAnsi"/>
            <w:noProof/>
          </w:rPr>
          <w:t xml:space="preserve">Tabela </w:t>
        </w:r>
        <w:r w:rsidR="00304F5F" w:rsidRPr="005E2FEC">
          <w:rPr>
            <w:rStyle w:val="Hyperlink"/>
            <w:rFonts w:cstheme="minorHAnsi"/>
            <w:noProof/>
          </w:rPr>
          <w:t>52</w:t>
        </w:r>
        <w:r w:rsidR="00304F5F" w:rsidRPr="005E2FEC">
          <w:rPr>
            <w:rStyle w:val="Hyperlink"/>
            <w:rFonts w:eastAsia="Calibri" w:cstheme="minorHAnsi"/>
            <w:noProof/>
          </w:rPr>
          <w:t xml:space="preserve"> - </w:t>
        </w:r>
        <w:r w:rsidR="00304F5F" w:rsidRPr="005E2FEC">
          <w:rPr>
            <w:rStyle w:val="Hyperlink"/>
            <w:rFonts w:ascii="Calibri" w:eastAsia="Calibri" w:hAnsi="Calibri" w:cs="Calibri"/>
            <w:noProof/>
          </w:rPr>
          <w:t>Fluxos estimados e realizados segundo haver financeiro</w:t>
        </w:r>
        <w:r w:rsidR="00304F5F">
          <w:rPr>
            <w:noProof/>
            <w:webHidden/>
          </w:rPr>
          <w:tab/>
        </w:r>
        <w:r w:rsidR="00304F5F">
          <w:rPr>
            <w:noProof/>
            <w:webHidden/>
          </w:rPr>
          <w:fldChar w:fldCharType="begin"/>
        </w:r>
        <w:r w:rsidR="00304F5F">
          <w:rPr>
            <w:noProof/>
            <w:webHidden/>
          </w:rPr>
          <w:instrText xml:space="preserve"> PAGEREF _Toc69121398 \h </w:instrText>
        </w:r>
        <w:r w:rsidR="00304F5F">
          <w:rPr>
            <w:noProof/>
            <w:webHidden/>
          </w:rPr>
        </w:r>
        <w:r w:rsidR="00304F5F">
          <w:rPr>
            <w:noProof/>
            <w:webHidden/>
          </w:rPr>
          <w:fldChar w:fldCharType="separate"/>
        </w:r>
        <w:r w:rsidR="00BD76F0">
          <w:rPr>
            <w:noProof/>
            <w:webHidden/>
          </w:rPr>
          <w:t>86</w:t>
        </w:r>
        <w:r w:rsidR="00304F5F">
          <w:rPr>
            <w:noProof/>
            <w:webHidden/>
          </w:rPr>
          <w:fldChar w:fldCharType="end"/>
        </w:r>
      </w:hyperlink>
    </w:p>
    <w:p w14:paraId="77CCBF3F" w14:textId="640A221D" w:rsidR="00304F5F" w:rsidRDefault="009B05DF">
      <w:pPr>
        <w:pStyle w:val="ndicedeilustraes"/>
        <w:tabs>
          <w:tab w:val="right" w:leader="dot" w:pos="9913"/>
        </w:tabs>
        <w:rPr>
          <w:rFonts w:eastAsiaTheme="minorEastAsia"/>
          <w:noProof/>
          <w:lang w:eastAsia="pt-BR"/>
        </w:rPr>
      </w:pPr>
      <w:hyperlink w:anchor="_Toc69121399" w:history="1">
        <w:r w:rsidR="00304F5F" w:rsidRPr="005E2FEC">
          <w:rPr>
            <w:rStyle w:val="Hyperlink"/>
            <w:rFonts w:eastAsia="Calibri" w:cstheme="minorHAnsi"/>
            <w:noProof/>
          </w:rPr>
          <w:t xml:space="preserve">Tabela </w:t>
        </w:r>
        <w:r w:rsidR="00304F5F" w:rsidRPr="005E2FEC">
          <w:rPr>
            <w:rStyle w:val="Hyperlink"/>
            <w:rFonts w:cstheme="minorHAnsi"/>
            <w:noProof/>
          </w:rPr>
          <w:t>53</w:t>
        </w:r>
        <w:r w:rsidR="00304F5F" w:rsidRPr="005E2FEC">
          <w:rPr>
            <w:rStyle w:val="Hyperlink"/>
            <w:rFonts w:eastAsia="Calibri" w:cstheme="minorHAnsi"/>
            <w:noProof/>
          </w:rPr>
          <w:t xml:space="preserve"> - </w:t>
        </w:r>
        <w:r w:rsidR="00304F5F" w:rsidRPr="005E2FEC">
          <w:rPr>
            <w:rStyle w:val="Hyperlink"/>
            <w:rFonts w:ascii="Calibri" w:eastAsia="Calibri" w:hAnsi="Calibri" w:cs="Calibri"/>
            <w:noProof/>
          </w:rPr>
          <w:t>Fluxos estimados, segundo haver financeiro sob gestão da STN, por exercício</w:t>
        </w:r>
        <w:r w:rsidR="00304F5F">
          <w:rPr>
            <w:noProof/>
            <w:webHidden/>
          </w:rPr>
          <w:tab/>
        </w:r>
        <w:r w:rsidR="00304F5F">
          <w:rPr>
            <w:noProof/>
            <w:webHidden/>
          </w:rPr>
          <w:fldChar w:fldCharType="begin"/>
        </w:r>
        <w:r w:rsidR="00304F5F">
          <w:rPr>
            <w:noProof/>
            <w:webHidden/>
          </w:rPr>
          <w:instrText xml:space="preserve"> PAGEREF _Toc69121399 \h </w:instrText>
        </w:r>
        <w:r w:rsidR="00304F5F">
          <w:rPr>
            <w:noProof/>
            <w:webHidden/>
          </w:rPr>
        </w:r>
        <w:r w:rsidR="00304F5F">
          <w:rPr>
            <w:noProof/>
            <w:webHidden/>
          </w:rPr>
          <w:fldChar w:fldCharType="separate"/>
        </w:r>
        <w:r w:rsidR="00BD76F0">
          <w:rPr>
            <w:noProof/>
            <w:webHidden/>
          </w:rPr>
          <w:t>87</w:t>
        </w:r>
        <w:r w:rsidR="00304F5F">
          <w:rPr>
            <w:noProof/>
            <w:webHidden/>
          </w:rPr>
          <w:fldChar w:fldCharType="end"/>
        </w:r>
      </w:hyperlink>
    </w:p>
    <w:p w14:paraId="04D1D2BF" w14:textId="4FFE27DB" w:rsidR="00304F5F" w:rsidRDefault="009B05DF">
      <w:pPr>
        <w:pStyle w:val="ndicedeilustraes"/>
        <w:tabs>
          <w:tab w:val="right" w:leader="dot" w:pos="9913"/>
        </w:tabs>
        <w:rPr>
          <w:rFonts w:eastAsiaTheme="minorEastAsia"/>
          <w:noProof/>
          <w:lang w:eastAsia="pt-BR"/>
        </w:rPr>
      </w:pPr>
      <w:hyperlink w:anchor="_Toc69121400" w:history="1">
        <w:r w:rsidR="00304F5F" w:rsidRPr="005E2FEC">
          <w:rPr>
            <w:rStyle w:val="Hyperlink"/>
            <w:rFonts w:eastAsia="Calibri" w:cstheme="minorHAnsi"/>
            <w:noProof/>
          </w:rPr>
          <w:t xml:space="preserve">Tabela </w:t>
        </w:r>
        <w:r w:rsidR="00304F5F" w:rsidRPr="005E2FEC">
          <w:rPr>
            <w:rStyle w:val="Hyperlink"/>
            <w:rFonts w:cstheme="minorHAnsi"/>
            <w:noProof/>
          </w:rPr>
          <w:t>54</w:t>
        </w:r>
        <w:r w:rsidR="00304F5F" w:rsidRPr="005E2FEC">
          <w:rPr>
            <w:rStyle w:val="Hyperlink"/>
            <w:rFonts w:eastAsia="Calibri" w:cstheme="minorHAnsi"/>
            <w:noProof/>
          </w:rPr>
          <w:t xml:space="preserve"> - Estimativas dos riscos fiscais por haver financeiro</w:t>
        </w:r>
        <w:r w:rsidR="00304F5F">
          <w:rPr>
            <w:noProof/>
            <w:webHidden/>
          </w:rPr>
          <w:tab/>
        </w:r>
        <w:r w:rsidR="00304F5F">
          <w:rPr>
            <w:noProof/>
            <w:webHidden/>
          </w:rPr>
          <w:fldChar w:fldCharType="begin"/>
        </w:r>
        <w:r w:rsidR="00304F5F">
          <w:rPr>
            <w:noProof/>
            <w:webHidden/>
          </w:rPr>
          <w:instrText xml:space="preserve"> PAGEREF _Toc69121400 \h </w:instrText>
        </w:r>
        <w:r w:rsidR="00304F5F">
          <w:rPr>
            <w:noProof/>
            <w:webHidden/>
          </w:rPr>
        </w:r>
        <w:r w:rsidR="00304F5F">
          <w:rPr>
            <w:noProof/>
            <w:webHidden/>
          </w:rPr>
          <w:fldChar w:fldCharType="separate"/>
        </w:r>
        <w:r w:rsidR="00BD76F0">
          <w:rPr>
            <w:noProof/>
            <w:webHidden/>
          </w:rPr>
          <w:t>88</w:t>
        </w:r>
        <w:r w:rsidR="00304F5F">
          <w:rPr>
            <w:noProof/>
            <w:webHidden/>
          </w:rPr>
          <w:fldChar w:fldCharType="end"/>
        </w:r>
      </w:hyperlink>
    </w:p>
    <w:p w14:paraId="008E8A6F" w14:textId="30F32CA2" w:rsidR="00304F5F" w:rsidRDefault="009B05DF">
      <w:pPr>
        <w:pStyle w:val="ndicedeilustraes"/>
        <w:tabs>
          <w:tab w:val="right" w:leader="dot" w:pos="9913"/>
        </w:tabs>
        <w:rPr>
          <w:rFonts w:eastAsiaTheme="minorEastAsia"/>
          <w:noProof/>
          <w:lang w:eastAsia="pt-BR"/>
        </w:rPr>
      </w:pPr>
      <w:hyperlink w:anchor="_Toc69121401" w:history="1">
        <w:r w:rsidR="00304F5F" w:rsidRPr="005E2FEC">
          <w:rPr>
            <w:rStyle w:val="Hyperlink"/>
            <w:noProof/>
          </w:rPr>
          <w:t>Tabela 55 - Receitas de Concessões, segundo exercício</w:t>
        </w:r>
        <w:r w:rsidR="00304F5F">
          <w:rPr>
            <w:noProof/>
            <w:webHidden/>
          </w:rPr>
          <w:tab/>
        </w:r>
        <w:r w:rsidR="00304F5F">
          <w:rPr>
            <w:noProof/>
            <w:webHidden/>
          </w:rPr>
          <w:fldChar w:fldCharType="begin"/>
        </w:r>
        <w:r w:rsidR="00304F5F">
          <w:rPr>
            <w:noProof/>
            <w:webHidden/>
          </w:rPr>
          <w:instrText xml:space="preserve"> PAGEREF _Toc69121401 \h </w:instrText>
        </w:r>
        <w:r w:rsidR="00304F5F">
          <w:rPr>
            <w:noProof/>
            <w:webHidden/>
          </w:rPr>
        </w:r>
        <w:r w:rsidR="00304F5F">
          <w:rPr>
            <w:noProof/>
            <w:webHidden/>
          </w:rPr>
          <w:fldChar w:fldCharType="separate"/>
        </w:r>
        <w:r w:rsidR="00BD76F0">
          <w:rPr>
            <w:noProof/>
            <w:webHidden/>
          </w:rPr>
          <w:t>90</w:t>
        </w:r>
        <w:r w:rsidR="00304F5F">
          <w:rPr>
            <w:noProof/>
            <w:webHidden/>
          </w:rPr>
          <w:fldChar w:fldCharType="end"/>
        </w:r>
      </w:hyperlink>
    </w:p>
    <w:p w14:paraId="77617BC5" w14:textId="6A67C5FB" w:rsidR="00304F5F" w:rsidRDefault="009B05DF">
      <w:pPr>
        <w:pStyle w:val="ndicedeilustraes"/>
        <w:tabs>
          <w:tab w:val="right" w:leader="dot" w:pos="9913"/>
        </w:tabs>
        <w:rPr>
          <w:rFonts w:eastAsiaTheme="minorEastAsia"/>
          <w:noProof/>
          <w:lang w:eastAsia="pt-BR"/>
        </w:rPr>
      </w:pPr>
      <w:hyperlink w:anchor="_Toc69121402" w:history="1">
        <w:r w:rsidR="00304F5F" w:rsidRPr="005E2FEC">
          <w:rPr>
            <w:rStyle w:val="Hyperlink"/>
            <w:noProof/>
          </w:rPr>
          <w:t>Tabela 56 - Receita de Concessões (novas concessões x contratos vigentes)</w:t>
        </w:r>
        <w:r w:rsidR="00304F5F">
          <w:rPr>
            <w:noProof/>
            <w:webHidden/>
          </w:rPr>
          <w:tab/>
        </w:r>
        <w:r w:rsidR="00304F5F">
          <w:rPr>
            <w:noProof/>
            <w:webHidden/>
          </w:rPr>
          <w:fldChar w:fldCharType="begin"/>
        </w:r>
        <w:r w:rsidR="00304F5F">
          <w:rPr>
            <w:noProof/>
            <w:webHidden/>
          </w:rPr>
          <w:instrText xml:space="preserve"> PAGEREF _Toc69121402 \h </w:instrText>
        </w:r>
        <w:r w:rsidR="00304F5F">
          <w:rPr>
            <w:noProof/>
            <w:webHidden/>
          </w:rPr>
        </w:r>
        <w:r w:rsidR="00304F5F">
          <w:rPr>
            <w:noProof/>
            <w:webHidden/>
          </w:rPr>
          <w:fldChar w:fldCharType="separate"/>
        </w:r>
        <w:r w:rsidR="00BD76F0">
          <w:rPr>
            <w:noProof/>
            <w:webHidden/>
          </w:rPr>
          <w:t>91</w:t>
        </w:r>
        <w:r w:rsidR="00304F5F">
          <w:rPr>
            <w:noProof/>
            <w:webHidden/>
          </w:rPr>
          <w:fldChar w:fldCharType="end"/>
        </w:r>
      </w:hyperlink>
    </w:p>
    <w:p w14:paraId="71D61E4A" w14:textId="6CA3C8F2" w:rsidR="00304F5F" w:rsidRDefault="009B05DF">
      <w:pPr>
        <w:pStyle w:val="ndicedeilustraes"/>
        <w:tabs>
          <w:tab w:val="right" w:leader="dot" w:pos="9913"/>
        </w:tabs>
        <w:rPr>
          <w:rFonts w:eastAsiaTheme="minorEastAsia"/>
          <w:noProof/>
          <w:lang w:eastAsia="pt-BR"/>
        </w:rPr>
      </w:pPr>
      <w:hyperlink w:anchor="_Toc69121403" w:history="1">
        <w:r w:rsidR="00304F5F" w:rsidRPr="005E2FEC">
          <w:rPr>
            <w:rStyle w:val="Hyperlink"/>
            <w:noProof/>
          </w:rPr>
          <w:t>Tabela 57 - Concessões e Permissões</w:t>
        </w:r>
        <w:r w:rsidR="00304F5F">
          <w:rPr>
            <w:noProof/>
            <w:webHidden/>
          </w:rPr>
          <w:tab/>
        </w:r>
        <w:r w:rsidR="00304F5F">
          <w:rPr>
            <w:noProof/>
            <w:webHidden/>
          </w:rPr>
          <w:fldChar w:fldCharType="begin"/>
        </w:r>
        <w:r w:rsidR="00304F5F">
          <w:rPr>
            <w:noProof/>
            <w:webHidden/>
          </w:rPr>
          <w:instrText xml:space="preserve"> PAGEREF _Toc69121403 \h </w:instrText>
        </w:r>
        <w:r w:rsidR="00304F5F">
          <w:rPr>
            <w:noProof/>
            <w:webHidden/>
          </w:rPr>
        </w:r>
        <w:r w:rsidR="00304F5F">
          <w:rPr>
            <w:noProof/>
            <w:webHidden/>
          </w:rPr>
          <w:fldChar w:fldCharType="separate"/>
        </w:r>
        <w:r w:rsidR="00BD76F0">
          <w:rPr>
            <w:noProof/>
            <w:webHidden/>
          </w:rPr>
          <w:t>92</w:t>
        </w:r>
        <w:r w:rsidR="00304F5F">
          <w:rPr>
            <w:noProof/>
            <w:webHidden/>
          </w:rPr>
          <w:fldChar w:fldCharType="end"/>
        </w:r>
      </w:hyperlink>
    </w:p>
    <w:p w14:paraId="3E54EDA6" w14:textId="78634C05" w:rsidR="00304F5F" w:rsidRDefault="009B05DF">
      <w:pPr>
        <w:pStyle w:val="ndicedeilustraes"/>
        <w:tabs>
          <w:tab w:val="right" w:leader="dot" w:pos="9913"/>
        </w:tabs>
        <w:rPr>
          <w:rFonts w:eastAsiaTheme="minorEastAsia"/>
          <w:noProof/>
          <w:lang w:eastAsia="pt-BR"/>
        </w:rPr>
      </w:pPr>
      <w:hyperlink w:anchor="_Toc69121404" w:history="1">
        <w:r w:rsidR="00304F5F" w:rsidRPr="005E2FEC">
          <w:rPr>
            <w:rStyle w:val="Hyperlink"/>
            <w:rFonts w:eastAsia="Calibri" w:cstheme="minorHAnsi"/>
            <w:noProof/>
          </w:rPr>
          <w:t xml:space="preserve">Tabela </w:t>
        </w:r>
        <w:r w:rsidR="00304F5F" w:rsidRPr="005E2FEC">
          <w:rPr>
            <w:rStyle w:val="Hyperlink"/>
            <w:rFonts w:cstheme="minorHAnsi"/>
            <w:noProof/>
          </w:rPr>
          <w:t>58</w:t>
        </w:r>
        <w:r w:rsidR="00304F5F" w:rsidRPr="005E2FEC">
          <w:rPr>
            <w:rStyle w:val="Hyperlink"/>
            <w:rFonts w:eastAsia="Calibri" w:cstheme="minorHAnsi"/>
            <w:noProof/>
          </w:rPr>
          <w:t xml:space="preserve"> - Escopo da Análise de Riscos de Empresas Estatais Não Dependentes</w:t>
        </w:r>
        <w:r w:rsidR="00304F5F">
          <w:rPr>
            <w:noProof/>
            <w:webHidden/>
          </w:rPr>
          <w:tab/>
        </w:r>
        <w:r w:rsidR="00304F5F">
          <w:rPr>
            <w:noProof/>
            <w:webHidden/>
          </w:rPr>
          <w:fldChar w:fldCharType="begin"/>
        </w:r>
        <w:r w:rsidR="00304F5F">
          <w:rPr>
            <w:noProof/>
            <w:webHidden/>
          </w:rPr>
          <w:instrText xml:space="preserve"> PAGEREF _Toc69121404 \h </w:instrText>
        </w:r>
        <w:r w:rsidR="00304F5F">
          <w:rPr>
            <w:noProof/>
            <w:webHidden/>
          </w:rPr>
        </w:r>
        <w:r w:rsidR="00304F5F">
          <w:rPr>
            <w:noProof/>
            <w:webHidden/>
          </w:rPr>
          <w:fldChar w:fldCharType="separate"/>
        </w:r>
        <w:r w:rsidR="00BD76F0">
          <w:rPr>
            <w:noProof/>
            <w:webHidden/>
          </w:rPr>
          <w:t>95</w:t>
        </w:r>
        <w:r w:rsidR="00304F5F">
          <w:rPr>
            <w:noProof/>
            <w:webHidden/>
          </w:rPr>
          <w:fldChar w:fldCharType="end"/>
        </w:r>
      </w:hyperlink>
    </w:p>
    <w:p w14:paraId="5B2DE161" w14:textId="6F94BB2C" w:rsidR="00304F5F" w:rsidRDefault="009B05DF">
      <w:pPr>
        <w:pStyle w:val="ndicedeilustraes"/>
        <w:tabs>
          <w:tab w:val="right" w:leader="dot" w:pos="9913"/>
        </w:tabs>
        <w:rPr>
          <w:rFonts w:eastAsiaTheme="minorEastAsia"/>
          <w:noProof/>
          <w:lang w:eastAsia="pt-BR"/>
        </w:rPr>
      </w:pPr>
      <w:hyperlink w:anchor="_Toc69121405" w:history="1">
        <w:r w:rsidR="00304F5F" w:rsidRPr="005E2FEC">
          <w:rPr>
            <w:rStyle w:val="Hyperlink"/>
            <w:rFonts w:eastAsia="Calibri" w:cstheme="minorHAnsi"/>
            <w:noProof/>
          </w:rPr>
          <w:t xml:space="preserve">Tabela </w:t>
        </w:r>
        <w:r w:rsidR="00304F5F" w:rsidRPr="005E2FEC">
          <w:rPr>
            <w:rStyle w:val="Hyperlink"/>
            <w:rFonts w:cstheme="minorHAnsi"/>
            <w:noProof/>
          </w:rPr>
          <w:t>59</w:t>
        </w:r>
        <w:r w:rsidR="00304F5F" w:rsidRPr="005E2FEC">
          <w:rPr>
            <w:rStyle w:val="Hyperlink"/>
            <w:rFonts w:eastAsia="Calibri" w:cstheme="minorHAnsi"/>
            <w:noProof/>
          </w:rPr>
          <w:t xml:space="preserve"> - Comparação entre os fluxos estimados e realizados - Estatais</w:t>
        </w:r>
        <w:r w:rsidR="00304F5F">
          <w:rPr>
            <w:noProof/>
            <w:webHidden/>
          </w:rPr>
          <w:tab/>
        </w:r>
        <w:r w:rsidR="00304F5F">
          <w:rPr>
            <w:noProof/>
            <w:webHidden/>
          </w:rPr>
          <w:fldChar w:fldCharType="begin"/>
        </w:r>
        <w:r w:rsidR="00304F5F">
          <w:rPr>
            <w:noProof/>
            <w:webHidden/>
          </w:rPr>
          <w:instrText xml:space="preserve"> PAGEREF _Toc69121405 \h </w:instrText>
        </w:r>
        <w:r w:rsidR="00304F5F">
          <w:rPr>
            <w:noProof/>
            <w:webHidden/>
          </w:rPr>
        </w:r>
        <w:r w:rsidR="00304F5F">
          <w:rPr>
            <w:noProof/>
            <w:webHidden/>
          </w:rPr>
          <w:fldChar w:fldCharType="separate"/>
        </w:r>
        <w:r w:rsidR="00BD76F0">
          <w:rPr>
            <w:noProof/>
            <w:webHidden/>
          </w:rPr>
          <w:t>101</w:t>
        </w:r>
        <w:r w:rsidR="00304F5F">
          <w:rPr>
            <w:noProof/>
            <w:webHidden/>
          </w:rPr>
          <w:fldChar w:fldCharType="end"/>
        </w:r>
      </w:hyperlink>
    </w:p>
    <w:p w14:paraId="0A2C2B8C" w14:textId="53FB78B8" w:rsidR="00304F5F" w:rsidRDefault="009B05DF">
      <w:pPr>
        <w:pStyle w:val="ndicedeilustraes"/>
        <w:tabs>
          <w:tab w:val="right" w:leader="dot" w:pos="9913"/>
        </w:tabs>
        <w:rPr>
          <w:rFonts w:eastAsiaTheme="minorEastAsia"/>
          <w:noProof/>
          <w:lang w:eastAsia="pt-BR"/>
        </w:rPr>
      </w:pPr>
      <w:hyperlink w:anchor="_Toc69121406" w:history="1">
        <w:r w:rsidR="00304F5F" w:rsidRPr="005E2FEC">
          <w:rPr>
            <w:rStyle w:val="Hyperlink"/>
            <w:rFonts w:eastAsia="Calibri" w:cstheme="minorHAnsi"/>
            <w:noProof/>
          </w:rPr>
          <w:t xml:space="preserve">Tabela </w:t>
        </w:r>
        <w:r w:rsidR="00304F5F" w:rsidRPr="005E2FEC">
          <w:rPr>
            <w:rStyle w:val="Hyperlink"/>
            <w:rFonts w:cstheme="minorHAnsi"/>
            <w:noProof/>
          </w:rPr>
          <w:t>60</w:t>
        </w:r>
        <w:r w:rsidR="00304F5F" w:rsidRPr="005E2FEC">
          <w:rPr>
            <w:rStyle w:val="Hyperlink"/>
            <w:rFonts w:eastAsia="Calibri" w:cstheme="minorHAnsi"/>
            <w:noProof/>
          </w:rPr>
          <w:t xml:space="preserve"> - Fluxos estimados - Estatais</w:t>
        </w:r>
        <w:r w:rsidR="00304F5F">
          <w:rPr>
            <w:noProof/>
            <w:webHidden/>
          </w:rPr>
          <w:tab/>
        </w:r>
        <w:r w:rsidR="00304F5F">
          <w:rPr>
            <w:noProof/>
            <w:webHidden/>
          </w:rPr>
          <w:fldChar w:fldCharType="begin"/>
        </w:r>
        <w:r w:rsidR="00304F5F">
          <w:rPr>
            <w:noProof/>
            <w:webHidden/>
          </w:rPr>
          <w:instrText xml:space="preserve"> PAGEREF _Toc69121406 \h </w:instrText>
        </w:r>
        <w:r w:rsidR="00304F5F">
          <w:rPr>
            <w:noProof/>
            <w:webHidden/>
          </w:rPr>
        </w:r>
        <w:r w:rsidR="00304F5F">
          <w:rPr>
            <w:noProof/>
            <w:webHidden/>
          </w:rPr>
          <w:fldChar w:fldCharType="separate"/>
        </w:r>
        <w:r w:rsidR="00BD76F0">
          <w:rPr>
            <w:noProof/>
            <w:webHidden/>
          </w:rPr>
          <w:t>103</w:t>
        </w:r>
        <w:r w:rsidR="00304F5F">
          <w:rPr>
            <w:noProof/>
            <w:webHidden/>
          </w:rPr>
          <w:fldChar w:fldCharType="end"/>
        </w:r>
      </w:hyperlink>
    </w:p>
    <w:p w14:paraId="5B8F3D26" w14:textId="3BFE4F62" w:rsidR="00304F5F" w:rsidRDefault="009B05DF">
      <w:pPr>
        <w:pStyle w:val="ndicedeilustraes"/>
        <w:tabs>
          <w:tab w:val="right" w:leader="dot" w:pos="9913"/>
        </w:tabs>
        <w:rPr>
          <w:rFonts w:eastAsiaTheme="minorEastAsia"/>
          <w:noProof/>
          <w:lang w:eastAsia="pt-BR"/>
        </w:rPr>
      </w:pPr>
      <w:hyperlink w:anchor="_Toc69121407" w:history="1">
        <w:r w:rsidR="00304F5F" w:rsidRPr="005E2FEC">
          <w:rPr>
            <w:rStyle w:val="Hyperlink"/>
            <w:rFonts w:eastAsia="Calibri" w:cstheme="minorHAnsi"/>
            <w:noProof/>
          </w:rPr>
          <w:t xml:space="preserve">Tabela </w:t>
        </w:r>
        <w:r w:rsidR="00304F5F" w:rsidRPr="005E2FEC">
          <w:rPr>
            <w:rStyle w:val="Hyperlink"/>
            <w:rFonts w:cstheme="minorHAnsi"/>
            <w:noProof/>
          </w:rPr>
          <w:t>61</w:t>
        </w:r>
        <w:r w:rsidR="00304F5F" w:rsidRPr="005E2FEC">
          <w:rPr>
            <w:rStyle w:val="Hyperlink"/>
            <w:rFonts w:eastAsia="Calibri" w:cstheme="minorHAnsi"/>
            <w:noProof/>
          </w:rPr>
          <w:t xml:space="preserve"> - Impactos estimados (Estatais Não Dependentes)</w:t>
        </w:r>
        <w:r w:rsidR="00304F5F">
          <w:rPr>
            <w:noProof/>
            <w:webHidden/>
          </w:rPr>
          <w:tab/>
        </w:r>
        <w:r w:rsidR="00304F5F">
          <w:rPr>
            <w:noProof/>
            <w:webHidden/>
          </w:rPr>
          <w:fldChar w:fldCharType="begin"/>
        </w:r>
        <w:r w:rsidR="00304F5F">
          <w:rPr>
            <w:noProof/>
            <w:webHidden/>
          </w:rPr>
          <w:instrText xml:space="preserve"> PAGEREF _Toc69121407 \h </w:instrText>
        </w:r>
        <w:r w:rsidR="00304F5F">
          <w:rPr>
            <w:noProof/>
            <w:webHidden/>
          </w:rPr>
        </w:r>
        <w:r w:rsidR="00304F5F">
          <w:rPr>
            <w:noProof/>
            <w:webHidden/>
          </w:rPr>
          <w:fldChar w:fldCharType="separate"/>
        </w:r>
        <w:r w:rsidR="00BD76F0">
          <w:rPr>
            <w:noProof/>
            <w:webHidden/>
          </w:rPr>
          <w:t>105</w:t>
        </w:r>
        <w:r w:rsidR="00304F5F">
          <w:rPr>
            <w:noProof/>
            <w:webHidden/>
          </w:rPr>
          <w:fldChar w:fldCharType="end"/>
        </w:r>
      </w:hyperlink>
    </w:p>
    <w:p w14:paraId="2129C9DA" w14:textId="03F1DBE9" w:rsidR="00304F5F" w:rsidRDefault="009B05DF">
      <w:pPr>
        <w:pStyle w:val="ndicedeilustraes"/>
        <w:tabs>
          <w:tab w:val="right" w:leader="dot" w:pos="9913"/>
        </w:tabs>
        <w:rPr>
          <w:rFonts w:eastAsiaTheme="minorEastAsia"/>
          <w:noProof/>
          <w:lang w:eastAsia="pt-BR"/>
        </w:rPr>
      </w:pPr>
      <w:hyperlink w:anchor="_Toc69121408" w:history="1">
        <w:r w:rsidR="00304F5F" w:rsidRPr="005E2FEC">
          <w:rPr>
            <w:rStyle w:val="Hyperlink"/>
            <w:rFonts w:eastAsia="Calibri" w:cstheme="minorHAnsi"/>
            <w:noProof/>
          </w:rPr>
          <w:t xml:space="preserve">Tabela </w:t>
        </w:r>
        <w:r w:rsidR="00304F5F" w:rsidRPr="005E2FEC">
          <w:rPr>
            <w:rStyle w:val="Hyperlink"/>
            <w:rFonts w:cstheme="minorHAnsi"/>
            <w:noProof/>
          </w:rPr>
          <w:t>62</w:t>
        </w:r>
        <w:r w:rsidR="00304F5F" w:rsidRPr="005E2FEC">
          <w:rPr>
            <w:rStyle w:val="Hyperlink"/>
            <w:rFonts w:eastAsia="Calibri" w:cstheme="minorHAnsi"/>
            <w:noProof/>
          </w:rPr>
          <w:t xml:space="preserve"> - Projeção de dividendos/JCP</w:t>
        </w:r>
        <w:r w:rsidR="00304F5F">
          <w:rPr>
            <w:noProof/>
            <w:webHidden/>
          </w:rPr>
          <w:tab/>
        </w:r>
        <w:r w:rsidR="00304F5F">
          <w:rPr>
            <w:noProof/>
            <w:webHidden/>
          </w:rPr>
          <w:fldChar w:fldCharType="begin"/>
        </w:r>
        <w:r w:rsidR="00304F5F">
          <w:rPr>
            <w:noProof/>
            <w:webHidden/>
          </w:rPr>
          <w:instrText xml:space="preserve"> PAGEREF _Toc69121408 \h </w:instrText>
        </w:r>
        <w:r w:rsidR="00304F5F">
          <w:rPr>
            <w:noProof/>
            <w:webHidden/>
          </w:rPr>
        </w:r>
        <w:r w:rsidR="00304F5F">
          <w:rPr>
            <w:noProof/>
            <w:webHidden/>
          </w:rPr>
          <w:fldChar w:fldCharType="separate"/>
        </w:r>
        <w:r w:rsidR="00BD76F0">
          <w:rPr>
            <w:noProof/>
            <w:webHidden/>
          </w:rPr>
          <w:t>105</w:t>
        </w:r>
        <w:r w:rsidR="00304F5F">
          <w:rPr>
            <w:noProof/>
            <w:webHidden/>
          </w:rPr>
          <w:fldChar w:fldCharType="end"/>
        </w:r>
      </w:hyperlink>
    </w:p>
    <w:p w14:paraId="5B316B03" w14:textId="57CFB299" w:rsidR="00304F5F" w:rsidRDefault="009B05DF">
      <w:pPr>
        <w:pStyle w:val="ndicedeilustraes"/>
        <w:tabs>
          <w:tab w:val="right" w:leader="dot" w:pos="9913"/>
        </w:tabs>
        <w:rPr>
          <w:rFonts w:eastAsiaTheme="minorEastAsia"/>
          <w:noProof/>
          <w:lang w:eastAsia="pt-BR"/>
        </w:rPr>
      </w:pPr>
      <w:hyperlink w:anchor="_Toc69121409" w:history="1">
        <w:r w:rsidR="00304F5F" w:rsidRPr="005E2FEC">
          <w:rPr>
            <w:rStyle w:val="Hyperlink"/>
            <w:rFonts w:cstheme="minorHAnsi"/>
            <w:noProof/>
          </w:rPr>
          <w:t xml:space="preserve">Tabela 63 - </w:t>
        </w:r>
        <w:r w:rsidR="00304F5F" w:rsidRPr="005E2FEC">
          <w:rPr>
            <w:rStyle w:val="Hyperlink"/>
            <w:rFonts w:eastAsia="Calibri" w:cstheme="minorHAnsi"/>
            <w:noProof/>
          </w:rPr>
          <w:t>Projeção de dividendos/JCP</w:t>
        </w:r>
        <w:r w:rsidR="00304F5F">
          <w:rPr>
            <w:noProof/>
            <w:webHidden/>
          </w:rPr>
          <w:tab/>
        </w:r>
        <w:r w:rsidR="00304F5F">
          <w:rPr>
            <w:noProof/>
            <w:webHidden/>
          </w:rPr>
          <w:fldChar w:fldCharType="begin"/>
        </w:r>
        <w:r w:rsidR="00304F5F">
          <w:rPr>
            <w:noProof/>
            <w:webHidden/>
          </w:rPr>
          <w:instrText xml:space="preserve"> PAGEREF _Toc69121409 \h </w:instrText>
        </w:r>
        <w:r w:rsidR="00304F5F">
          <w:rPr>
            <w:noProof/>
            <w:webHidden/>
          </w:rPr>
        </w:r>
        <w:r w:rsidR="00304F5F">
          <w:rPr>
            <w:noProof/>
            <w:webHidden/>
          </w:rPr>
          <w:fldChar w:fldCharType="separate"/>
        </w:r>
        <w:r w:rsidR="00BD76F0">
          <w:rPr>
            <w:noProof/>
            <w:webHidden/>
          </w:rPr>
          <w:t>106</w:t>
        </w:r>
        <w:r w:rsidR="00304F5F">
          <w:rPr>
            <w:noProof/>
            <w:webHidden/>
          </w:rPr>
          <w:fldChar w:fldCharType="end"/>
        </w:r>
      </w:hyperlink>
    </w:p>
    <w:p w14:paraId="11E3427C" w14:textId="0A6395F1" w:rsidR="00304F5F" w:rsidRDefault="009B05DF">
      <w:pPr>
        <w:pStyle w:val="ndicedeilustraes"/>
        <w:tabs>
          <w:tab w:val="right" w:leader="dot" w:pos="9913"/>
        </w:tabs>
        <w:rPr>
          <w:rFonts w:eastAsiaTheme="minorEastAsia"/>
          <w:noProof/>
          <w:lang w:eastAsia="pt-BR"/>
        </w:rPr>
      </w:pPr>
      <w:hyperlink w:anchor="_Toc69121410" w:history="1">
        <w:r w:rsidR="00304F5F" w:rsidRPr="005E2FEC">
          <w:rPr>
            <w:rStyle w:val="Hyperlink"/>
            <w:rFonts w:eastAsia="Calibri" w:cstheme="minorHAnsi"/>
            <w:noProof/>
          </w:rPr>
          <w:t xml:space="preserve">Tabela </w:t>
        </w:r>
        <w:r w:rsidR="00304F5F" w:rsidRPr="005E2FEC">
          <w:rPr>
            <w:rStyle w:val="Hyperlink"/>
            <w:rFonts w:cstheme="minorHAnsi"/>
            <w:noProof/>
          </w:rPr>
          <w:t xml:space="preserve">64 – </w:t>
        </w:r>
        <w:r w:rsidR="00304F5F" w:rsidRPr="005E2FEC">
          <w:rPr>
            <w:rStyle w:val="Hyperlink"/>
            <w:rFonts w:eastAsia="Calibri" w:cstheme="minorHAnsi"/>
            <w:noProof/>
          </w:rPr>
          <w:t>Contexto dos aportes emergenciais em empresas não dependentes não financeiras</w:t>
        </w:r>
        <w:r w:rsidR="00304F5F">
          <w:rPr>
            <w:noProof/>
            <w:webHidden/>
          </w:rPr>
          <w:tab/>
        </w:r>
        <w:r w:rsidR="00304F5F">
          <w:rPr>
            <w:noProof/>
            <w:webHidden/>
          </w:rPr>
          <w:fldChar w:fldCharType="begin"/>
        </w:r>
        <w:r w:rsidR="00304F5F">
          <w:rPr>
            <w:noProof/>
            <w:webHidden/>
          </w:rPr>
          <w:instrText xml:space="preserve"> PAGEREF _Toc69121410 \h </w:instrText>
        </w:r>
        <w:r w:rsidR="00304F5F">
          <w:rPr>
            <w:noProof/>
            <w:webHidden/>
          </w:rPr>
        </w:r>
        <w:r w:rsidR="00304F5F">
          <w:rPr>
            <w:noProof/>
            <w:webHidden/>
          </w:rPr>
          <w:fldChar w:fldCharType="separate"/>
        </w:r>
        <w:r w:rsidR="00BD76F0">
          <w:rPr>
            <w:noProof/>
            <w:webHidden/>
          </w:rPr>
          <w:t>108</w:t>
        </w:r>
        <w:r w:rsidR="00304F5F">
          <w:rPr>
            <w:noProof/>
            <w:webHidden/>
          </w:rPr>
          <w:fldChar w:fldCharType="end"/>
        </w:r>
      </w:hyperlink>
    </w:p>
    <w:p w14:paraId="567A5434" w14:textId="5F384182" w:rsidR="00304F5F" w:rsidRDefault="009B05DF">
      <w:pPr>
        <w:pStyle w:val="ndicedeilustraes"/>
        <w:tabs>
          <w:tab w:val="right" w:leader="dot" w:pos="9913"/>
        </w:tabs>
        <w:rPr>
          <w:rFonts w:eastAsiaTheme="minorEastAsia"/>
          <w:noProof/>
          <w:lang w:eastAsia="pt-BR"/>
        </w:rPr>
      </w:pPr>
      <w:hyperlink w:anchor="_Toc69121411" w:history="1">
        <w:r w:rsidR="00304F5F" w:rsidRPr="005E2FEC">
          <w:rPr>
            <w:rStyle w:val="Hyperlink"/>
            <w:rFonts w:eastAsia="Calibri" w:cstheme="minorHAnsi"/>
            <w:noProof/>
          </w:rPr>
          <w:t xml:space="preserve">Tabela </w:t>
        </w:r>
        <w:r w:rsidR="00304F5F" w:rsidRPr="005E2FEC">
          <w:rPr>
            <w:rStyle w:val="Hyperlink"/>
            <w:rFonts w:cstheme="minorHAnsi"/>
            <w:noProof/>
          </w:rPr>
          <w:t>65</w:t>
        </w:r>
        <w:r w:rsidR="00304F5F" w:rsidRPr="005E2FEC">
          <w:rPr>
            <w:rStyle w:val="Hyperlink"/>
            <w:rFonts w:eastAsia="Calibri" w:cstheme="minorHAnsi"/>
            <w:noProof/>
          </w:rPr>
          <w:t xml:space="preserve"> - Meta e estimativa do resultado primário das estatais federais</w:t>
        </w:r>
        <w:r w:rsidR="00304F5F">
          <w:rPr>
            <w:noProof/>
            <w:webHidden/>
          </w:rPr>
          <w:tab/>
        </w:r>
        <w:r w:rsidR="00304F5F">
          <w:rPr>
            <w:noProof/>
            <w:webHidden/>
          </w:rPr>
          <w:fldChar w:fldCharType="begin"/>
        </w:r>
        <w:r w:rsidR="00304F5F">
          <w:rPr>
            <w:noProof/>
            <w:webHidden/>
          </w:rPr>
          <w:instrText xml:space="preserve"> PAGEREF _Toc69121411 \h </w:instrText>
        </w:r>
        <w:r w:rsidR="00304F5F">
          <w:rPr>
            <w:noProof/>
            <w:webHidden/>
          </w:rPr>
        </w:r>
        <w:r w:rsidR="00304F5F">
          <w:rPr>
            <w:noProof/>
            <w:webHidden/>
          </w:rPr>
          <w:fldChar w:fldCharType="separate"/>
        </w:r>
        <w:r w:rsidR="00BD76F0">
          <w:rPr>
            <w:noProof/>
            <w:webHidden/>
          </w:rPr>
          <w:t>109</w:t>
        </w:r>
        <w:r w:rsidR="00304F5F">
          <w:rPr>
            <w:noProof/>
            <w:webHidden/>
          </w:rPr>
          <w:fldChar w:fldCharType="end"/>
        </w:r>
      </w:hyperlink>
    </w:p>
    <w:p w14:paraId="2DFD41D5" w14:textId="4427E290" w:rsidR="00304F5F" w:rsidRDefault="009B05DF">
      <w:pPr>
        <w:pStyle w:val="ndicedeilustraes"/>
        <w:tabs>
          <w:tab w:val="right" w:leader="dot" w:pos="9913"/>
        </w:tabs>
        <w:rPr>
          <w:rFonts w:eastAsiaTheme="minorEastAsia"/>
          <w:noProof/>
          <w:lang w:eastAsia="pt-BR"/>
        </w:rPr>
      </w:pPr>
      <w:hyperlink w:anchor="_Toc69121412" w:history="1">
        <w:r w:rsidR="00304F5F" w:rsidRPr="005E2FEC">
          <w:rPr>
            <w:rStyle w:val="Hyperlink"/>
            <w:noProof/>
          </w:rPr>
          <w:t>Tabela 66 - Evolução da concessão de contratos do Fies</w:t>
        </w:r>
        <w:r w:rsidR="00304F5F">
          <w:rPr>
            <w:noProof/>
            <w:webHidden/>
          </w:rPr>
          <w:tab/>
        </w:r>
        <w:r w:rsidR="00304F5F">
          <w:rPr>
            <w:noProof/>
            <w:webHidden/>
          </w:rPr>
          <w:fldChar w:fldCharType="begin"/>
        </w:r>
        <w:r w:rsidR="00304F5F">
          <w:rPr>
            <w:noProof/>
            <w:webHidden/>
          </w:rPr>
          <w:instrText xml:space="preserve"> PAGEREF _Toc69121412 \h </w:instrText>
        </w:r>
        <w:r w:rsidR="00304F5F">
          <w:rPr>
            <w:noProof/>
            <w:webHidden/>
          </w:rPr>
        </w:r>
        <w:r w:rsidR="00304F5F">
          <w:rPr>
            <w:noProof/>
            <w:webHidden/>
          </w:rPr>
          <w:fldChar w:fldCharType="separate"/>
        </w:r>
        <w:r w:rsidR="00BD76F0">
          <w:rPr>
            <w:noProof/>
            <w:webHidden/>
          </w:rPr>
          <w:t>110</w:t>
        </w:r>
        <w:r w:rsidR="00304F5F">
          <w:rPr>
            <w:noProof/>
            <w:webHidden/>
          </w:rPr>
          <w:fldChar w:fldCharType="end"/>
        </w:r>
      </w:hyperlink>
    </w:p>
    <w:p w14:paraId="67D35447" w14:textId="5C3CEE75" w:rsidR="00304F5F" w:rsidRDefault="009B05DF">
      <w:pPr>
        <w:pStyle w:val="ndicedeilustraes"/>
        <w:tabs>
          <w:tab w:val="right" w:leader="dot" w:pos="9913"/>
        </w:tabs>
        <w:rPr>
          <w:rFonts w:eastAsiaTheme="minorEastAsia"/>
          <w:noProof/>
          <w:lang w:eastAsia="pt-BR"/>
        </w:rPr>
      </w:pPr>
      <w:hyperlink w:anchor="_Toc69121413" w:history="1">
        <w:r w:rsidR="00304F5F" w:rsidRPr="005E2FEC">
          <w:rPr>
            <w:rStyle w:val="Hyperlink"/>
            <w:noProof/>
          </w:rPr>
          <w:t xml:space="preserve">Tabela 67 </w:t>
        </w:r>
        <w:r w:rsidR="00304F5F" w:rsidRPr="005E2FEC">
          <w:rPr>
            <w:rStyle w:val="Hyperlink"/>
            <w:i/>
            <w:noProof/>
          </w:rPr>
          <w:t>-</w:t>
        </w:r>
        <w:r w:rsidR="00304F5F" w:rsidRPr="005E2FEC">
          <w:rPr>
            <w:rStyle w:val="Hyperlink"/>
            <w:noProof/>
          </w:rPr>
          <w:t xml:space="preserve"> Valores da dívida </w:t>
        </w:r>
        <w:r w:rsidR="00304F5F" w:rsidRPr="005E2FEC">
          <w:rPr>
            <w:rStyle w:val="Hyperlink"/>
            <w:rFonts w:eastAsia="Times New Roman" w:cs="Times New Roman"/>
            <w:noProof/>
            <w:lang w:eastAsia="pt-BR"/>
          </w:rPr>
          <w:t>segundo safra de concessão de crédito</w:t>
        </w:r>
        <w:r w:rsidR="00304F5F">
          <w:rPr>
            <w:noProof/>
            <w:webHidden/>
          </w:rPr>
          <w:tab/>
        </w:r>
        <w:r w:rsidR="00304F5F">
          <w:rPr>
            <w:noProof/>
            <w:webHidden/>
          </w:rPr>
          <w:fldChar w:fldCharType="begin"/>
        </w:r>
        <w:r w:rsidR="00304F5F">
          <w:rPr>
            <w:noProof/>
            <w:webHidden/>
          </w:rPr>
          <w:instrText xml:space="preserve"> PAGEREF _Toc69121413 \h </w:instrText>
        </w:r>
        <w:r w:rsidR="00304F5F">
          <w:rPr>
            <w:noProof/>
            <w:webHidden/>
          </w:rPr>
        </w:r>
        <w:r w:rsidR="00304F5F">
          <w:rPr>
            <w:noProof/>
            <w:webHidden/>
          </w:rPr>
          <w:fldChar w:fldCharType="separate"/>
        </w:r>
        <w:r w:rsidR="00BD76F0">
          <w:rPr>
            <w:noProof/>
            <w:webHidden/>
          </w:rPr>
          <w:t>111</w:t>
        </w:r>
        <w:r w:rsidR="00304F5F">
          <w:rPr>
            <w:noProof/>
            <w:webHidden/>
          </w:rPr>
          <w:fldChar w:fldCharType="end"/>
        </w:r>
      </w:hyperlink>
    </w:p>
    <w:p w14:paraId="31552812" w14:textId="0A14B44C" w:rsidR="00304F5F" w:rsidRDefault="009B05DF">
      <w:pPr>
        <w:pStyle w:val="ndicedeilustraes"/>
        <w:tabs>
          <w:tab w:val="right" w:leader="dot" w:pos="9913"/>
        </w:tabs>
        <w:rPr>
          <w:rFonts w:eastAsiaTheme="minorEastAsia"/>
          <w:noProof/>
          <w:lang w:eastAsia="pt-BR"/>
        </w:rPr>
      </w:pPr>
      <w:hyperlink w:anchor="_Toc69121414" w:history="1">
        <w:r w:rsidR="00304F5F" w:rsidRPr="005E2FEC">
          <w:rPr>
            <w:rStyle w:val="Hyperlink"/>
            <w:noProof/>
          </w:rPr>
          <w:t>Tabela 68 - Exposição ao risco de crédito, por ano</w:t>
        </w:r>
        <w:r w:rsidR="00304F5F">
          <w:rPr>
            <w:noProof/>
            <w:webHidden/>
          </w:rPr>
          <w:tab/>
        </w:r>
        <w:r w:rsidR="00304F5F">
          <w:rPr>
            <w:noProof/>
            <w:webHidden/>
          </w:rPr>
          <w:fldChar w:fldCharType="begin"/>
        </w:r>
        <w:r w:rsidR="00304F5F">
          <w:rPr>
            <w:noProof/>
            <w:webHidden/>
          </w:rPr>
          <w:instrText xml:space="preserve"> PAGEREF _Toc69121414 \h </w:instrText>
        </w:r>
        <w:r w:rsidR="00304F5F">
          <w:rPr>
            <w:noProof/>
            <w:webHidden/>
          </w:rPr>
        </w:r>
        <w:r w:rsidR="00304F5F">
          <w:rPr>
            <w:noProof/>
            <w:webHidden/>
          </w:rPr>
          <w:fldChar w:fldCharType="separate"/>
        </w:r>
        <w:r w:rsidR="00BD76F0">
          <w:rPr>
            <w:noProof/>
            <w:webHidden/>
          </w:rPr>
          <w:t>112</w:t>
        </w:r>
        <w:r w:rsidR="00304F5F">
          <w:rPr>
            <w:noProof/>
            <w:webHidden/>
          </w:rPr>
          <w:fldChar w:fldCharType="end"/>
        </w:r>
      </w:hyperlink>
    </w:p>
    <w:p w14:paraId="2AEF132E" w14:textId="6B39657D" w:rsidR="00304F5F" w:rsidRDefault="009B05DF">
      <w:pPr>
        <w:pStyle w:val="ndicedeilustraes"/>
        <w:tabs>
          <w:tab w:val="right" w:leader="dot" w:pos="9913"/>
        </w:tabs>
        <w:rPr>
          <w:rFonts w:eastAsiaTheme="minorEastAsia"/>
          <w:noProof/>
          <w:lang w:eastAsia="pt-BR"/>
        </w:rPr>
      </w:pPr>
      <w:hyperlink w:anchor="_Toc69121415" w:history="1">
        <w:r w:rsidR="00304F5F" w:rsidRPr="005E2FEC">
          <w:rPr>
            <w:rStyle w:val="Hyperlink"/>
            <w:noProof/>
          </w:rPr>
          <w:t>Tabela 69 - Situação dos contratos concedidos entre 2010 e 2017</w:t>
        </w:r>
        <w:r w:rsidR="00304F5F">
          <w:rPr>
            <w:noProof/>
            <w:webHidden/>
          </w:rPr>
          <w:tab/>
        </w:r>
        <w:r w:rsidR="00304F5F">
          <w:rPr>
            <w:noProof/>
            <w:webHidden/>
          </w:rPr>
          <w:fldChar w:fldCharType="begin"/>
        </w:r>
        <w:r w:rsidR="00304F5F">
          <w:rPr>
            <w:noProof/>
            <w:webHidden/>
          </w:rPr>
          <w:instrText xml:space="preserve"> PAGEREF _Toc69121415 \h </w:instrText>
        </w:r>
        <w:r w:rsidR="00304F5F">
          <w:rPr>
            <w:noProof/>
            <w:webHidden/>
          </w:rPr>
        </w:r>
        <w:r w:rsidR="00304F5F">
          <w:rPr>
            <w:noProof/>
            <w:webHidden/>
          </w:rPr>
          <w:fldChar w:fldCharType="separate"/>
        </w:r>
        <w:r w:rsidR="00BD76F0">
          <w:rPr>
            <w:noProof/>
            <w:webHidden/>
          </w:rPr>
          <w:t>112</w:t>
        </w:r>
        <w:r w:rsidR="00304F5F">
          <w:rPr>
            <w:noProof/>
            <w:webHidden/>
          </w:rPr>
          <w:fldChar w:fldCharType="end"/>
        </w:r>
      </w:hyperlink>
    </w:p>
    <w:p w14:paraId="30BFA0FB" w14:textId="1A9BD143" w:rsidR="00304F5F" w:rsidRDefault="009B05DF">
      <w:pPr>
        <w:pStyle w:val="ndicedeilustraes"/>
        <w:tabs>
          <w:tab w:val="right" w:leader="dot" w:pos="9913"/>
        </w:tabs>
        <w:rPr>
          <w:rFonts w:eastAsiaTheme="minorEastAsia"/>
          <w:noProof/>
          <w:lang w:eastAsia="pt-BR"/>
        </w:rPr>
      </w:pPr>
      <w:hyperlink w:anchor="_Toc69121416" w:history="1">
        <w:r w:rsidR="00304F5F" w:rsidRPr="005E2FEC">
          <w:rPr>
            <w:rStyle w:val="Hyperlink"/>
            <w:noProof/>
          </w:rPr>
          <w:t>Tabela 70 - Situação dos contratos concedidos até 2009</w:t>
        </w:r>
        <w:r w:rsidR="00304F5F">
          <w:rPr>
            <w:noProof/>
            <w:webHidden/>
          </w:rPr>
          <w:tab/>
        </w:r>
        <w:r w:rsidR="00304F5F">
          <w:rPr>
            <w:noProof/>
            <w:webHidden/>
          </w:rPr>
          <w:fldChar w:fldCharType="begin"/>
        </w:r>
        <w:r w:rsidR="00304F5F">
          <w:rPr>
            <w:noProof/>
            <w:webHidden/>
          </w:rPr>
          <w:instrText xml:space="preserve"> PAGEREF _Toc69121416 \h </w:instrText>
        </w:r>
        <w:r w:rsidR="00304F5F">
          <w:rPr>
            <w:noProof/>
            <w:webHidden/>
          </w:rPr>
        </w:r>
        <w:r w:rsidR="00304F5F">
          <w:rPr>
            <w:noProof/>
            <w:webHidden/>
          </w:rPr>
          <w:fldChar w:fldCharType="separate"/>
        </w:r>
        <w:r w:rsidR="00BD76F0">
          <w:rPr>
            <w:noProof/>
            <w:webHidden/>
          </w:rPr>
          <w:t>113</w:t>
        </w:r>
        <w:r w:rsidR="00304F5F">
          <w:rPr>
            <w:noProof/>
            <w:webHidden/>
          </w:rPr>
          <w:fldChar w:fldCharType="end"/>
        </w:r>
      </w:hyperlink>
    </w:p>
    <w:p w14:paraId="428F8BC9" w14:textId="54569207" w:rsidR="00304F5F" w:rsidRDefault="009B05DF">
      <w:pPr>
        <w:pStyle w:val="ndicedeilustraes"/>
        <w:tabs>
          <w:tab w:val="right" w:leader="dot" w:pos="9913"/>
        </w:tabs>
        <w:rPr>
          <w:rFonts w:eastAsiaTheme="minorEastAsia"/>
          <w:noProof/>
          <w:lang w:eastAsia="pt-BR"/>
        </w:rPr>
      </w:pPr>
      <w:hyperlink w:anchor="_Toc69121417" w:history="1">
        <w:r w:rsidR="00304F5F" w:rsidRPr="005E2FEC">
          <w:rPr>
            <w:rStyle w:val="Hyperlink"/>
            <w:noProof/>
          </w:rPr>
          <w:t>Tabela 71 - Ajuste para perdas estimadas, segundo rating</w:t>
        </w:r>
        <w:r w:rsidR="00304F5F">
          <w:rPr>
            <w:noProof/>
            <w:webHidden/>
          </w:rPr>
          <w:tab/>
        </w:r>
        <w:r w:rsidR="00304F5F">
          <w:rPr>
            <w:noProof/>
            <w:webHidden/>
          </w:rPr>
          <w:fldChar w:fldCharType="begin"/>
        </w:r>
        <w:r w:rsidR="00304F5F">
          <w:rPr>
            <w:noProof/>
            <w:webHidden/>
          </w:rPr>
          <w:instrText xml:space="preserve"> PAGEREF _Toc69121417 \h </w:instrText>
        </w:r>
        <w:r w:rsidR="00304F5F">
          <w:rPr>
            <w:noProof/>
            <w:webHidden/>
          </w:rPr>
        </w:r>
        <w:r w:rsidR="00304F5F">
          <w:rPr>
            <w:noProof/>
            <w:webHidden/>
          </w:rPr>
          <w:fldChar w:fldCharType="separate"/>
        </w:r>
        <w:r w:rsidR="00BD76F0">
          <w:rPr>
            <w:noProof/>
            <w:webHidden/>
          </w:rPr>
          <w:t>114</w:t>
        </w:r>
        <w:r w:rsidR="00304F5F">
          <w:rPr>
            <w:noProof/>
            <w:webHidden/>
          </w:rPr>
          <w:fldChar w:fldCharType="end"/>
        </w:r>
      </w:hyperlink>
    </w:p>
    <w:p w14:paraId="17F26641" w14:textId="21685B6B" w:rsidR="00304F5F" w:rsidRDefault="009B05DF">
      <w:pPr>
        <w:pStyle w:val="ndicedeilustraes"/>
        <w:tabs>
          <w:tab w:val="right" w:leader="dot" w:pos="9913"/>
        </w:tabs>
        <w:rPr>
          <w:rFonts w:eastAsiaTheme="minorEastAsia"/>
          <w:noProof/>
          <w:lang w:eastAsia="pt-BR"/>
        </w:rPr>
      </w:pPr>
      <w:hyperlink w:anchor="_Toc69121418" w:history="1">
        <w:r w:rsidR="00304F5F" w:rsidRPr="005E2FEC">
          <w:rPr>
            <w:rStyle w:val="Hyperlink"/>
            <w:noProof/>
          </w:rPr>
          <w:t>Tabela 72 - Contratos e valor da dívida, segundo modalidade de garantia</w:t>
        </w:r>
        <w:r w:rsidR="00304F5F">
          <w:rPr>
            <w:noProof/>
            <w:webHidden/>
          </w:rPr>
          <w:tab/>
        </w:r>
        <w:r w:rsidR="00304F5F">
          <w:rPr>
            <w:noProof/>
            <w:webHidden/>
          </w:rPr>
          <w:fldChar w:fldCharType="begin"/>
        </w:r>
        <w:r w:rsidR="00304F5F">
          <w:rPr>
            <w:noProof/>
            <w:webHidden/>
          </w:rPr>
          <w:instrText xml:space="preserve"> PAGEREF _Toc69121418 \h </w:instrText>
        </w:r>
        <w:r w:rsidR="00304F5F">
          <w:rPr>
            <w:noProof/>
            <w:webHidden/>
          </w:rPr>
        </w:r>
        <w:r w:rsidR="00304F5F">
          <w:rPr>
            <w:noProof/>
            <w:webHidden/>
          </w:rPr>
          <w:fldChar w:fldCharType="separate"/>
        </w:r>
        <w:r w:rsidR="00BD76F0">
          <w:rPr>
            <w:noProof/>
            <w:webHidden/>
          </w:rPr>
          <w:t>115</w:t>
        </w:r>
        <w:r w:rsidR="00304F5F">
          <w:rPr>
            <w:noProof/>
            <w:webHidden/>
          </w:rPr>
          <w:fldChar w:fldCharType="end"/>
        </w:r>
      </w:hyperlink>
    </w:p>
    <w:p w14:paraId="494982FC" w14:textId="4963B02F" w:rsidR="00304F5F" w:rsidRDefault="009B05DF">
      <w:pPr>
        <w:pStyle w:val="ndicedeilustraes"/>
        <w:tabs>
          <w:tab w:val="right" w:leader="dot" w:pos="9913"/>
        </w:tabs>
        <w:rPr>
          <w:rFonts w:eastAsiaTheme="minorEastAsia"/>
          <w:noProof/>
          <w:lang w:eastAsia="pt-BR"/>
        </w:rPr>
      </w:pPr>
      <w:hyperlink w:anchor="_Toc69121419" w:history="1">
        <w:r w:rsidR="00304F5F" w:rsidRPr="005E2FEC">
          <w:rPr>
            <w:rStyle w:val="Hyperlink"/>
            <w:noProof/>
          </w:rPr>
          <w:t>Tabela 73 - Estimativa de desembolso para o período de 2021 a 2023, segundo ano do contrato</w:t>
        </w:r>
        <w:r w:rsidR="00304F5F">
          <w:rPr>
            <w:noProof/>
            <w:webHidden/>
          </w:rPr>
          <w:tab/>
        </w:r>
        <w:r w:rsidR="00304F5F">
          <w:rPr>
            <w:noProof/>
            <w:webHidden/>
          </w:rPr>
          <w:fldChar w:fldCharType="begin"/>
        </w:r>
        <w:r w:rsidR="00304F5F">
          <w:rPr>
            <w:noProof/>
            <w:webHidden/>
          </w:rPr>
          <w:instrText xml:space="preserve"> PAGEREF _Toc69121419 \h </w:instrText>
        </w:r>
        <w:r w:rsidR="00304F5F">
          <w:rPr>
            <w:noProof/>
            <w:webHidden/>
          </w:rPr>
        </w:r>
        <w:r w:rsidR="00304F5F">
          <w:rPr>
            <w:noProof/>
            <w:webHidden/>
          </w:rPr>
          <w:fldChar w:fldCharType="separate"/>
        </w:r>
        <w:r w:rsidR="00BD76F0">
          <w:rPr>
            <w:noProof/>
            <w:webHidden/>
          </w:rPr>
          <w:t>116</w:t>
        </w:r>
        <w:r w:rsidR="00304F5F">
          <w:rPr>
            <w:noProof/>
            <w:webHidden/>
          </w:rPr>
          <w:fldChar w:fldCharType="end"/>
        </w:r>
      </w:hyperlink>
    </w:p>
    <w:p w14:paraId="2432E04E" w14:textId="02FB3817" w:rsidR="00304F5F" w:rsidRDefault="009B05DF">
      <w:pPr>
        <w:pStyle w:val="ndicedeilustraes"/>
        <w:tabs>
          <w:tab w:val="right" w:leader="dot" w:pos="9913"/>
        </w:tabs>
        <w:rPr>
          <w:rFonts w:eastAsiaTheme="minorEastAsia"/>
          <w:noProof/>
          <w:lang w:eastAsia="pt-BR"/>
        </w:rPr>
      </w:pPr>
      <w:hyperlink w:anchor="_Toc69121420" w:history="1">
        <w:r w:rsidR="00304F5F" w:rsidRPr="005E2FEC">
          <w:rPr>
            <w:rStyle w:val="Hyperlink"/>
            <w:noProof/>
          </w:rPr>
          <w:t>Tabela 74 - Comparação entre as receitas estimadas e realizadas segundo natureza, por ano</w:t>
        </w:r>
        <w:r w:rsidR="00304F5F">
          <w:rPr>
            <w:noProof/>
            <w:webHidden/>
          </w:rPr>
          <w:tab/>
        </w:r>
        <w:r w:rsidR="00304F5F">
          <w:rPr>
            <w:noProof/>
            <w:webHidden/>
          </w:rPr>
          <w:fldChar w:fldCharType="begin"/>
        </w:r>
        <w:r w:rsidR="00304F5F">
          <w:rPr>
            <w:noProof/>
            <w:webHidden/>
          </w:rPr>
          <w:instrText xml:space="preserve"> PAGEREF _Toc69121420 \h </w:instrText>
        </w:r>
        <w:r w:rsidR="00304F5F">
          <w:rPr>
            <w:noProof/>
            <w:webHidden/>
          </w:rPr>
        </w:r>
        <w:r w:rsidR="00304F5F">
          <w:rPr>
            <w:noProof/>
            <w:webHidden/>
          </w:rPr>
          <w:fldChar w:fldCharType="separate"/>
        </w:r>
        <w:r w:rsidR="00BD76F0">
          <w:rPr>
            <w:noProof/>
            <w:webHidden/>
          </w:rPr>
          <w:t>117</w:t>
        </w:r>
        <w:r w:rsidR="00304F5F">
          <w:rPr>
            <w:noProof/>
            <w:webHidden/>
          </w:rPr>
          <w:fldChar w:fldCharType="end"/>
        </w:r>
      </w:hyperlink>
    </w:p>
    <w:p w14:paraId="4ED3D33F" w14:textId="3CA8DAE6" w:rsidR="00304F5F" w:rsidRDefault="009B05DF">
      <w:pPr>
        <w:pStyle w:val="ndicedeilustraes"/>
        <w:tabs>
          <w:tab w:val="right" w:leader="dot" w:pos="9913"/>
        </w:tabs>
        <w:rPr>
          <w:rFonts w:eastAsiaTheme="minorEastAsia"/>
          <w:noProof/>
          <w:lang w:eastAsia="pt-BR"/>
        </w:rPr>
      </w:pPr>
      <w:hyperlink w:anchor="_Toc69121421" w:history="1">
        <w:r w:rsidR="00304F5F" w:rsidRPr="005E2FEC">
          <w:rPr>
            <w:rStyle w:val="Hyperlink"/>
            <w:noProof/>
          </w:rPr>
          <w:t>Tabela 75 - Comparação entre o desembolso estimado e realizado, por ano</w:t>
        </w:r>
        <w:r w:rsidR="00304F5F">
          <w:rPr>
            <w:noProof/>
            <w:webHidden/>
          </w:rPr>
          <w:tab/>
        </w:r>
        <w:r w:rsidR="00304F5F">
          <w:rPr>
            <w:noProof/>
            <w:webHidden/>
          </w:rPr>
          <w:fldChar w:fldCharType="begin"/>
        </w:r>
        <w:r w:rsidR="00304F5F">
          <w:rPr>
            <w:noProof/>
            <w:webHidden/>
          </w:rPr>
          <w:instrText xml:space="preserve"> PAGEREF _Toc69121421 \h </w:instrText>
        </w:r>
        <w:r w:rsidR="00304F5F">
          <w:rPr>
            <w:noProof/>
            <w:webHidden/>
          </w:rPr>
        </w:r>
        <w:r w:rsidR="00304F5F">
          <w:rPr>
            <w:noProof/>
            <w:webHidden/>
          </w:rPr>
          <w:fldChar w:fldCharType="separate"/>
        </w:r>
        <w:r w:rsidR="00BD76F0">
          <w:rPr>
            <w:noProof/>
            <w:webHidden/>
          </w:rPr>
          <w:t>117</w:t>
        </w:r>
        <w:r w:rsidR="00304F5F">
          <w:rPr>
            <w:noProof/>
            <w:webHidden/>
          </w:rPr>
          <w:fldChar w:fldCharType="end"/>
        </w:r>
      </w:hyperlink>
    </w:p>
    <w:p w14:paraId="2F5BF998" w14:textId="3EA5AC59" w:rsidR="00304F5F" w:rsidRDefault="009B05DF">
      <w:pPr>
        <w:pStyle w:val="ndicedeilustraes"/>
        <w:tabs>
          <w:tab w:val="right" w:leader="dot" w:pos="9913"/>
        </w:tabs>
        <w:rPr>
          <w:rFonts w:eastAsiaTheme="minorEastAsia"/>
          <w:noProof/>
          <w:lang w:eastAsia="pt-BR"/>
        </w:rPr>
      </w:pPr>
      <w:hyperlink w:anchor="_Toc69121422" w:history="1">
        <w:r w:rsidR="00304F5F" w:rsidRPr="005E2FEC">
          <w:rPr>
            <w:rStyle w:val="Hyperlink"/>
            <w:noProof/>
          </w:rPr>
          <w:t>Tabela 76 - Estimativa de impacto primário, segundo programa, por exercício</w:t>
        </w:r>
        <w:r w:rsidR="00304F5F">
          <w:rPr>
            <w:noProof/>
            <w:webHidden/>
          </w:rPr>
          <w:tab/>
        </w:r>
        <w:r w:rsidR="00304F5F">
          <w:rPr>
            <w:noProof/>
            <w:webHidden/>
          </w:rPr>
          <w:fldChar w:fldCharType="begin"/>
        </w:r>
        <w:r w:rsidR="00304F5F">
          <w:rPr>
            <w:noProof/>
            <w:webHidden/>
          </w:rPr>
          <w:instrText xml:space="preserve"> PAGEREF _Toc69121422 \h </w:instrText>
        </w:r>
        <w:r w:rsidR="00304F5F">
          <w:rPr>
            <w:noProof/>
            <w:webHidden/>
          </w:rPr>
        </w:r>
        <w:r w:rsidR="00304F5F">
          <w:rPr>
            <w:noProof/>
            <w:webHidden/>
          </w:rPr>
          <w:fldChar w:fldCharType="separate"/>
        </w:r>
        <w:r w:rsidR="00BD76F0">
          <w:rPr>
            <w:noProof/>
            <w:webHidden/>
          </w:rPr>
          <w:t>117</w:t>
        </w:r>
        <w:r w:rsidR="00304F5F">
          <w:rPr>
            <w:noProof/>
            <w:webHidden/>
          </w:rPr>
          <w:fldChar w:fldCharType="end"/>
        </w:r>
      </w:hyperlink>
    </w:p>
    <w:p w14:paraId="768310A9" w14:textId="5EC3731B" w:rsidR="00304F5F" w:rsidRDefault="009B05DF">
      <w:pPr>
        <w:pStyle w:val="ndicedeilustraes"/>
        <w:tabs>
          <w:tab w:val="right" w:leader="dot" w:pos="9913"/>
        </w:tabs>
        <w:rPr>
          <w:rFonts w:eastAsiaTheme="minorEastAsia"/>
          <w:noProof/>
          <w:lang w:eastAsia="pt-BR"/>
        </w:rPr>
      </w:pPr>
      <w:hyperlink w:anchor="_Toc69121423" w:history="1">
        <w:r w:rsidR="00304F5F" w:rsidRPr="005E2FEC">
          <w:rPr>
            <w:rStyle w:val="Hyperlink"/>
            <w:noProof/>
          </w:rPr>
          <w:t>Tabela 77 - Estimativa de subsídio implícito, segundo programa, por exercício</w:t>
        </w:r>
        <w:r w:rsidR="00304F5F">
          <w:rPr>
            <w:noProof/>
            <w:webHidden/>
          </w:rPr>
          <w:tab/>
        </w:r>
        <w:r w:rsidR="00304F5F">
          <w:rPr>
            <w:noProof/>
            <w:webHidden/>
          </w:rPr>
          <w:fldChar w:fldCharType="begin"/>
        </w:r>
        <w:r w:rsidR="00304F5F">
          <w:rPr>
            <w:noProof/>
            <w:webHidden/>
          </w:rPr>
          <w:instrText xml:space="preserve"> PAGEREF _Toc69121423 \h </w:instrText>
        </w:r>
        <w:r w:rsidR="00304F5F">
          <w:rPr>
            <w:noProof/>
            <w:webHidden/>
          </w:rPr>
        </w:r>
        <w:r w:rsidR="00304F5F">
          <w:rPr>
            <w:noProof/>
            <w:webHidden/>
          </w:rPr>
          <w:fldChar w:fldCharType="separate"/>
        </w:r>
        <w:r w:rsidR="00BD76F0">
          <w:rPr>
            <w:noProof/>
            <w:webHidden/>
          </w:rPr>
          <w:t>118</w:t>
        </w:r>
        <w:r w:rsidR="00304F5F">
          <w:rPr>
            <w:noProof/>
            <w:webHidden/>
          </w:rPr>
          <w:fldChar w:fldCharType="end"/>
        </w:r>
      </w:hyperlink>
    </w:p>
    <w:p w14:paraId="1D23186F" w14:textId="1D180E81" w:rsidR="00304F5F" w:rsidRDefault="009B05DF">
      <w:pPr>
        <w:pStyle w:val="ndicedeilustraes"/>
        <w:tabs>
          <w:tab w:val="right" w:leader="dot" w:pos="9913"/>
        </w:tabs>
        <w:rPr>
          <w:rFonts w:eastAsiaTheme="minorEastAsia"/>
          <w:noProof/>
          <w:lang w:eastAsia="pt-BR"/>
        </w:rPr>
      </w:pPr>
      <w:hyperlink w:anchor="_Toc69121424" w:history="1">
        <w:r w:rsidR="00304F5F" w:rsidRPr="005E2FEC">
          <w:rPr>
            <w:rStyle w:val="Hyperlink"/>
            <w:noProof/>
          </w:rPr>
          <w:t>Tabela 78 - Execução orçamentária do Programa 2218 (antigo 2040) - Gestão de Riscos e Desastres</w:t>
        </w:r>
        <w:r w:rsidR="00304F5F">
          <w:rPr>
            <w:noProof/>
            <w:webHidden/>
          </w:rPr>
          <w:tab/>
        </w:r>
        <w:r w:rsidR="00304F5F">
          <w:rPr>
            <w:noProof/>
            <w:webHidden/>
          </w:rPr>
          <w:fldChar w:fldCharType="begin"/>
        </w:r>
        <w:r w:rsidR="00304F5F">
          <w:rPr>
            <w:noProof/>
            <w:webHidden/>
          </w:rPr>
          <w:instrText xml:space="preserve"> PAGEREF _Toc69121424 \h </w:instrText>
        </w:r>
        <w:r w:rsidR="00304F5F">
          <w:rPr>
            <w:noProof/>
            <w:webHidden/>
          </w:rPr>
        </w:r>
        <w:r w:rsidR="00304F5F">
          <w:rPr>
            <w:noProof/>
            <w:webHidden/>
          </w:rPr>
          <w:fldChar w:fldCharType="separate"/>
        </w:r>
        <w:r w:rsidR="00BD76F0">
          <w:rPr>
            <w:noProof/>
            <w:webHidden/>
          </w:rPr>
          <w:t>119</w:t>
        </w:r>
        <w:r w:rsidR="00304F5F">
          <w:rPr>
            <w:noProof/>
            <w:webHidden/>
          </w:rPr>
          <w:fldChar w:fldCharType="end"/>
        </w:r>
      </w:hyperlink>
    </w:p>
    <w:p w14:paraId="7667C8C4" w14:textId="666D29AC" w:rsidR="00D06E4B" w:rsidRDefault="000D17A6" w:rsidP="00F80473">
      <w:pPr>
        <w:spacing w:after="120" w:line="240" w:lineRule="auto"/>
        <w:rPr>
          <w:sz w:val="24"/>
          <w:szCs w:val="24"/>
        </w:rPr>
      </w:pPr>
      <w:r w:rsidRPr="0022645B">
        <w:rPr>
          <w:sz w:val="24"/>
          <w:szCs w:val="24"/>
        </w:rPr>
        <w:fldChar w:fldCharType="end"/>
      </w:r>
    </w:p>
    <w:p w14:paraId="3B584B83" w14:textId="2B8965C8" w:rsidR="00AD3BA8" w:rsidRDefault="00AD3BA8" w:rsidP="00F80473">
      <w:pPr>
        <w:spacing w:after="120" w:line="240" w:lineRule="auto"/>
        <w:rPr>
          <w:sz w:val="24"/>
          <w:szCs w:val="24"/>
        </w:rPr>
      </w:pPr>
    </w:p>
    <w:p w14:paraId="51127A94" w14:textId="2F78BCF4" w:rsidR="00AD3BA8" w:rsidRDefault="00AD3BA8" w:rsidP="00F80473">
      <w:pPr>
        <w:spacing w:after="120" w:line="240" w:lineRule="auto"/>
        <w:rPr>
          <w:sz w:val="24"/>
          <w:szCs w:val="24"/>
        </w:rPr>
      </w:pPr>
    </w:p>
    <w:p w14:paraId="45F5A58C" w14:textId="7BDCBB94" w:rsidR="00AD3BA8" w:rsidRDefault="00AD3BA8" w:rsidP="00F80473">
      <w:pPr>
        <w:spacing w:after="120" w:line="240" w:lineRule="auto"/>
        <w:rPr>
          <w:sz w:val="24"/>
          <w:szCs w:val="24"/>
        </w:rPr>
      </w:pPr>
    </w:p>
    <w:p w14:paraId="5E152728" w14:textId="6C8C1640" w:rsidR="00AD3BA8" w:rsidRDefault="00AD3BA8" w:rsidP="00F80473">
      <w:pPr>
        <w:spacing w:after="120" w:line="240" w:lineRule="auto"/>
        <w:rPr>
          <w:sz w:val="24"/>
          <w:szCs w:val="24"/>
        </w:rPr>
      </w:pPr>
    </w:p>
    <w:p w14:paraId="553E8498" w14:textId="7A3F1D05" w:rsidR="00AD3BA8" w:rsidRDefault="00AD3BA8">
      <w:pPr>
        <w:rPr>
          <w:sz w:val="24"/>
          <w:szCs w:val="24"/>
        </w:rPr>
      </w:pPr>
      <w:r>
        <w:rPr>
          <w:sz w:val="24"/>
          <w:szCs w:val="24"/>
        </w:rPr>
        <w:br w:type="page"/>
      </w:r>
    </w:p>
    <w:p w14:paraId="068E013A" w14:textId="77777777" w:rsidR="00F3094E" w:rsidRPr="0022645B" w:rsidRDefault="00F3094E" w:rsidP="00F3094E">
      <w:pPr>
        <w:jc w:val="center"/>
        <w:rPr>
          <w:b/>
          <w:sz w:val="24"/>
          <w:szCs w:val="24"/>
        </w:rPr>
      </w:pPr>
      <w:r w:rsidRPr="0022645B">
        <w:rPr>
          <w:b/>
          <w:sz w:val="24"/>
          <w:szCs w:val="24"/>
        </w:rPr>
        <w:lastRenderedPageBreak/>
        <w:t>ÍNDICE DE FIGURAS</w:t>
      </w:r>
    </w:p>
    <w:p w14:paraId="73FB2591" w14:textId="63F8CFAC" w:rsidR="00304F5F" w:rsidRDefault="000D17A6">
      <w:pPr>
        <w:pStyle w:val="ndicedeilustraes"/>
        <w:tabs>
          <w:tab w:val="right" w:leader="dot" w:pos="9913"/>
        </w:tabs>
        <w:rPr>
          <w:rFonts w:eastAsiaTheme="minorEastAsia"/>
          <w:noProof/>
          <w:lang w:eastAsia="pt-BR"/>
        </w:rPr>
      </w:pPr>
      <w:r w:rsidRPr="0022645B">
        <w:rPr>
          <w:sz w:val="24"/>
          <w:szCs w:val="24"/>
        </w:rPr>
        <w:fldChar w:fldCharType="begin"/>
      </w:r>
      <w:r w:rsidRPr="0022645B">
        <w:rPr>
          <w:sz w:val="24"/>
          <w:szCs w:val="24"/>
        </w:rPr>
        <w:instrText xml:space="preserve"> TOC \h \z \c "Figura" </w:instrText>
      </w:r>
      <w:r w:rsidRPr="0022645B">
        <w:rPr>
          <w:sz w:val="24"/>
          <w:szCs w:val="24"/>
        </w:rPr>
        <w:fldChar w:fldCharType="separate"/>
      </w:r>
      <w:hyperlink w:anchor="_Toc69121326" w:history="1">
        <w:r w:rsidR="00304F5F" w:rsidRPr="004803B2">
          <w:rPr>
            <w:rStyle w:val="Hyperlink"/>
            <w:noProof/>
          </w:rPr>
          <w:t>Figura 1 - Riscos Fiscais - classificação e fonte</w:t>
        </w:r>
        <w:r w:rsidR="00304F5F">
          <w:rPr>
            <w:noProof/>
            <w:webHidden/>
          </w:rPr>
          <w:tab/>
        </w:r>
        <w:r w:rsidR="00304F5F">
          <w:rPr>
            <w:noProof/>
            <w:webHidden/>
          </w:rPr>
          <w:fldChar w:fldCharType="begin"/>
        </w:r>
        <w:r w:rsidR="00304F5F">
          <w:rPr>
            <w:noProof/>
            <w:webHidden/>
          </w:rPr>
          <w:instrText xml:space="preserve"> PAGEREF _Toc69121326 \h </w:instrText>
        </w:r>
        <w:r w:rsidR="00304F5F">
          <w:rPr>
            <w:noProof/>
            <w:webHidden/>
          </w:rPr>
        </w:r>
        <w:r w:rsidR="00304F5F">
          <w:rPr>
            <w:noProof/>
            <w:webHidden/>
          </w:rPr>
          <w:fldChar w:fldCharType="separate"/>
        </w:r>
        <w:r w:rsidR="00BD76F0">
          <w:rPr>
            <w:noProof/>
            <w:webHidden/>
          </w:rPr>
          <w:t>6</w:t>
        </w:r>
        <w:r w:rsidR="00304F5F">
          <w:rPr>
            <w:noProof/>
            <w:webHidden/>
          </w:rPr>
          <w:fldChar w:fldCharType="end"/>
        </w:r>
      </w:hyperlink>
    </w:p>
    <w:p w14:paraId="04DD1E9F" w14:textId="5A1FE645" w:rsidR="00304F5F" w:rsidRDefault="009B05DF">
      <w:pPr>
        <w:pStyle w:val="ndicedeilustraes"/>
        <w:tabs>
          <w:tab w:val="right" w:leader="dot" w:pos="9913"/>
        </w:tabs>
        <w:rPr>
          <w:rFonts w:eastAsiaTheme="minorEastAsia"/>
          <w:noProof/>
          <w:lang w:eastAsia="pt-BR"/>
        </w:rPr>
      </w:pPr>
      <w:hyperlink w:anchor="_Toc69121327" w:history="1">
        <w:r w:rsidR="00304F5F" w:rsidRPr="004803B2">
          <w:rPr>
            <w:rStyle w:val="Hyperlink"/>
            <w:noProof/>
          </w:rPr>
          <w:t>Figura 2 - Composição do estoque da DPF</w:t>
        </w:r>
        <w:r w:rsidR="00304F5F">
          <w:rPr>
            <w:noProof/>
            <w:webHidden/>
          </w:rPr>
          <w:tab/>
        </w:r>
        <w:r w:rsidR="00304F5F">
          <w:rPr>
            <w:noProof/>
            <w:webHidden/>
          </w:rPr>
          <w:fldChar w:fldCharType="begin"/>
        </w:r>
        <w:r w:rsidR="00304F5F">
          <w:rPr>
            <w:noProof/>
            <w:webHidden/>
          </w:rPr>
          <w:instrText xml:space="preserve"> PAGEREF _Toc69121327 \h </w:instrText>
        </w:r>
        <w:r w:rsidR="00304F5F">
          <w:rPr>
            <w:noProof/>
            <w:webHidden/>
          </w:rPr>
        </w:r>
        <w:r w:rsidR="00304F5F">
          <w:rPr>
            <w:noProof/>
            <w:webHidden/>
          </w:rPr>
          <w:fldChar w:fldCharType="separate"/>
        </w:r>
        <w:r w:rsidR="00BD76F0">
          <w:rPr>
            <w:noProof/>
            <w:webHidden/>
          </w:rPr>
          <w:t>20</w:t>
        </w:r>
        <w:r w:rsidR="00304F5F">
          <w:rPr>
            <w:noProof/>
            <w:webHidden/>
          </w:rPr>
          <w:fldChar w:fldCharType="end"/>
        </w:r>
      </w:hyperlink>
    </w:p>
    <w:p w14:paraId="31EC5F74" w14:textId="17521CE6" w:rsidR="00304F5F" w:rsidRDefault="009B05DF">
      <w:pPr>
        <w:pStyle w:val="ndicedeilustraes"/>
        <w:tabs>
          <w:tab w:val="right" w:leader="dot" w:pos="9913"/>
        </w:tabs>
        <w:rPr>
          <w:rFonts w:eastAsiaTheme="minorEastAsia"/>
          <w:noProof/>
          <w:lang w:eastAsia="pt-BR"/>
        </w:rPr>
      </w:pPr>
      <w:hyperlink w:anchor="_Toc69121328" w:history="1">
        <w:r w:rsidR="00304F5F" w:rsidRPr="004803B2">
          <w:rPr>
            <w:rStyle w:val="Hyperlink"/>
            <w:noProof/>
          </w:rPr>
          <w:t>Figura 3 - Previsões de sensibilidade do estoque da DPF a choques de 1% nas variáveis macroeconômicas</w:t>
        </w:r>
        <w:r w:rsidR="00304F5F">
          <w:rPr>
            <w:noProof/>
            <w:webHidden/>
          </w:rPr>
          <w:tab/>
        </w:r>
        <w:r w:rsidR="00304F5F">
          <w:rPr>
            <w:noProof/>
            <w:webHidden/>
          </w:rPr>
          <w:fldChar w:fldCharType="begin"/>
        </w:r>
        <w:r w:rsidR="00304F5F">
          <w:rPr>
            <w:noProof/>
            <w:webHidden/>
          </w:rPr>
          <w:instrText xml:space="preserve"> PAGEREF _Toc69121328 \h </w:instrText>
        </w:r>
        <w:r w:rsidR="00304F5F">
          <w:rPr>
            <w:noProof/>
            <w:webHidden/>
          </w:rPr>
        </w:r>
        <w:r w:rsidR="00304F5F">
          <w:rPr>
            <w:noProof/>
            <w:webHidden/>
          </w:rPr>
          <w:fldChar w:fldCharType="separate"/>
        </w:r>
        <w:r w:rsidR="00BD76F0">
          <w:rPr>
            <w:noProof/>
            <w:webHidden/>
          </w:rPr>
          <w:t>21</w:t>
        </w:r>
        <w:r w:rsidR="00304F5F">
          <w:rPr>
            <w:noProof/>
            <w:webHidden/>
          </w:rPr>
          <w:fldChar w:fldCharType="end"/>
        </w:r>
      </w:hyperlink>
    </w:p>
    <w:p w14:paraId="5416A6A1" w14:textId="0222C613" w:rsidR="00304F5F" w:rsidRDefault="009B05DF">
      <w:pPr>
        <w:pStyle w:val="ndicedeilustraes"/>
        <w:tabs>
          <w:tab w:val="right" w:leader="dot" w:pos="9913"/>
        </w:tabs>
        <w:rPr>
          <w:rFonts w:eastAsiaTheme="minorEastAsia"/>
          <w:noProof/>
          <w:lang w:eastAsia="pt-BR"/>
        </w:rPr>
      </w:pPr>
      <w:hyperlink w:anchor="_Toc69121329" w:history="1">
        <w:r w:rsidR="00304F5F" w:rsidRPr="004803B2">
          <w:rPr>
            <w:rStyle w:val="Hyperlink"/>
            <w:noProof/>
          </w:rPr>
          <w:t>Figura 4 - Teste de estresse de juros e câmbio sobre a DPF</w:t>
        </w:r>
        <w:r w:rsidR="00304F5F">
          <w:rPr>
            <w:noProof/>
            <w:webHidden/>
          </w:rPr>
          <w:tab/>
        </w:r>
        <w:r w:rsidR="00304F5F">
          <w:rPr>
            <w:noProof/>
            <w:webHidden/>
          </w:rPr>
          <w:fldChar w:fldCharType="begin"/>
        </w:r>
        <w:r w:rsidR="00304F5F">
          <w:rPr>
            <w:noProof/>
            <w:webHidden/>
          </w:rPr>
          <w:instrText xml:space="preserve"> PAGEREF _Toc69121329 \h </w:instrText>
        </w:r>
        <w:r w:rsidR="00304F5F">
          <w:rPr>
            <w:noProof/>
            <w:webHidden/>
          </w:rPr>
        </w:r>
        <w:r w:rsidR="00304F5F">
          <w:rPr>
            <w:noProof/>
            <w:webHidden/>
          </w:rPr>
          <w:fldChar w:fldCharType="separate"/>
        </w:r>
        <w:r w:rsidR="00BD76F0">
          <w:rPr>
            <w:noProof/>
            <w:webHidden/>
          </w:rPr>
          <w:t>23</w:t>
        </w:r>
        <w:r w:rsidR="00304F5F">
          <w:rPr>
            <w:noProof/>
            <w:webHidden/>
          </w:rPr>
          <w:fldChar w:fldCharType="end"/>
        </w:r>
      </w:hyperlink>
    </w:p>
    <w:p w14:paraId="04033EE4" w14:textId="57EC220A" w:rsidR="00304F5F" w:rsidRDefault="009B05DF">
      <w:pPr>
        <w:pStyle w:val="ndicedeilustraes"/>
        <w:tabs>
          <w:tab w:val="right" w:leader="dot" w:pos="9913"/>
        </w:tabs>
        <w:rPr>
          <w:rFonts w:eastAsiaTheme="minorEastAsia"/>
          <w:noProof/>
          <w:lang w:eastAsia="pt-BR"/>
        </w:rPr>
      </w:pPr>
      <w:hyperlink w:anchor="_Toc69121330" w:history="1">
        <w:r w:rsidR="00304F5F" w:rsidRPr="004803B2">
          <w:rPr>
            <w:rStyle w:val="Hyperlink"/>
            <w:noProof/>
          </w:rPr>
          <w:t>Figura 5 - Perfil de Vencimentos do Estoque da DPF</w:t>
        </w:r>
        <w:r w:rsidR="00304F5F">
          <w:rPr>
            <w:noProof/>
            <w:webHidden/>
          </w:rPr>
          <w:tab/>
        </w:r>
        <w:r w:rsidR="00304F5F">
          <w:rPr>
            <w:noProof/>
            <w:webHidden/>
          </w:rPr>
          <w:fldChar w:fldCharType="begin"/>
        </w:r>
        <w:r w:rsidR="00304F5F">
          <w:rPr>
            <w:noProof/>
            <w:webHidden/>
          </w:rPr>
          <w:instrText xml:space="preserve"> PAGEREF _Toc69121330 \h </w:instrText>
        </w:r>
        <w:r w:rsidR="00304F5F">
          <w:rPr>
            <w:noProof/>
            <w:webHidden/>
          </w:rPr>
        </w:r>
        <w:r w:rsidR="00304F5F">
          <w:rPr>
            <w:noProof/>
            <w:webHidden/>
          </w:rPr>
          <w:fldChar w:fldCharType="separate"/>
        </w:r>
        <w:r w:rsidR="00BD76F0">
          <w:rPr>
            <w:noProof/>
            <w:webHidden/>
          </w:rPr>
          <w:t>26</w:t>
        </w:r>
        <w:r w:rsidR="00304F5F">
          <w:rPr>
            <w:noProof/>
            <w:webHidden/>
          </w:rPr>
          <w:fldChar w:fldCharType="end"/>
        </w:r>
      </w:hyperlink>
    </w:p>
    <w:p w14:paraId="0B90607C" w14:textId="07BD7445" w:rsidR="00304F5F" w:rsidRDefault="009B05DF">
      <w:pPr>
        <w:pStyle w:val="ndicedeilustraes"/>
        <w:tabs>
          <w:tab w:val="right" w:leader="dot" w:pos="9913"/>
        </w:tabs>
        <w:rPr>
          <w:rFonts w:eastAsiaTheme="minorEastAsia"/>
          <w:noProof/>
          <w:lang w:eastAsia="pt-BR"/>
        </w:rPr>
      </w:pPr>
      <w:hyperlink w:anchor="_Toc69121331" w:history="1">
        <w:r w:rsidR="00304F5F" w:rsidRPr="004803B2">
          <w:rPr>
            <w:rStyle w:val="Hyperlink"/>
            <w:rFonts w:cstheme="minorHAnsi"/>
            <w:noProof/>
          </w:rPr>
          <w:t>Figura 6 - Dívida Pública Federal Vincenda em 12 Meses</w:t>
        </w:r>
        <w:r w:rsidR="00304F5F">
          <w:rPr>
            <w:noProof/>
            <w:webHidden/>
          </w:rPr>
          <w:tab/>
        </w:r>
        <w:r w:rsidR="00304F5F">
          <w:rPr>
            <w:noProof/>
            <w:webHidden/>
          </w:rPr>
          <w:fldChar w:fldCharType="begin"/>
        </w:r>
        <w:r w:rsidR="00304F5F">
          <w:rPr>
            <w:noProof/>
            <w:webHidden/>
          </w:rPr>
          <w:instrText xml:space="preserve"> PAGEREF _Toc69121331 \h </w:instrText>
        </w:r>
        <w:r w:rsidR="00304F5F">
          <w:rPr>
            <w:noProof/>
            <w:webHidden/>
          </w:rPr>
        </w:r>
        <w:r w:rsidR="00304F5F">
          <w:rPr>
            <w:noProof/>
            <w:webHidden/>
          </w:rPr>
          <w:fldChar w:fldCharType="separate"/>
        </w:r>
        <w:r w:rsidR="00BD76F0">
          <w:rPr>
            <w:noProof/>
            <w:webHidden/>
          </w:rPr>
          <w:t>26</w:t>
        </w:r>
        <w:r w:rsidR="00304F5F">
          <w:rPr>
            <w:noProof/>
            <w:webHidden/>
          </w:rPr>
          <w:fldChar w:fldCharType="end"/>
        </w:r>
      </w:hyperlink>
    </w:p>
    <w:p w14:paraId="3CD23C9B" w14:textId="4FD978BE" w:rsidR="00304F5F" w:rsidRDefault="009B05DF">
      <w:pPr>
        <w:pStyle w:val="ndicedeilustraes"/>
        <w:tabs>
          <w:tab w:val="right" w:leader="dot" w:pos="9913"/>
        </w:tabs>
        <w:rPr>
          <w:rFonts w:eastAsiaTheme="minorEastAsia"/>
          <w:noProof/>
          <w:lang w:eastAsia="pt-BR"/>
        </w:rPr>
      </w:pPr>
      <w:hyperlink w:anchor="_Toc69121332" w:history="1">
        <w:r w:rsidR="00304F5F" w:rsidRPr="004803B2">
          <w:rPr>
            <w:rStyle w:val="Hyperlink"/>
            <w:noProof/>
          </w:rPr>
          <w:t>Figura 7 - Espectro de cenários alternativos para Receitas Líquidas (R$ bilhões)</w:t>
        </w:r>
        <w:r w:rsidR="00304F5F">
          <w:rPr>
            <w:noProof/>
            <w:webHidden/>
          </w:rPr>
          <w:tab/>
        </w:r>
        <w:r w:rsidR="00304F5F">
          <w:rPr>
            <w:noProof/>
            <w:webHidden/>
          </w:rPr>
          <w:fldChar w:fldCharType="begin"/>
        </w:r>
        <w:r w:rsidR="00304F5F">
          <w:rPr>
            <w:noProof/>
            <w:webHidden/>
          </w:rPr>
          <w:instrText xml:space="preserve"> PAGEREF _Toc69121332 \h </w:instrText>
        </w:r>
        <w:r w:rsidR="00304F5F">
          <w:rPr>
            <w:noProof/>
            <w:webHidden/>
          </w:rPr>
        </w:r>
        <w:r w:rsidR="00304F5F">
          <w:rPr>
            <w:noProof/>
            <w:webHidden/>
          </w:rPr>
          <w:fldChar w:fldCharType="separate"/>
        </w:r>
        <w:r w:rsidR="00BD76F0">
          <w:rPr>
            <w:noProof/>
            <w:webHidden/>
          </w:rPr>
          <w:t>28</w:t>
        </w:r>
        <w:r w:rsidR="00304F5F">
          <w:rPr>
            <w:noProof/>
            <w:webHidden/>
          </w:rPr>
          <w:fldChar w:fldCharType="end"/>
        </w:r>
      </w:hyperlink>
    </w:p>
    <w:p w14:paraId="686BCBB1" w14:textId="219B30B7" w:rsidR="00304F5F" w:rsidRDefault="009B05DF">
      <w:pPr>
        <w:pStyle w:val="ndicedeilustraes"/>
        <w:tabs>
          <w:tab w:val="right" w:leader="dot" w:pos="9913"/>
        </w:tabs>
        <w:rPr>
          <w:rFonts w:eastAsiaTheme="minorEastAsia"/>
          <w:noProof/>
          <w:lang w:eastAsia="pt-BR"/>
        </w:rPr>
      </w:pPr>
      <w:hyperlink w:anchor="_Toc69121333" w:history="1">
        <w:r w:rsidR="00304F5F" w:rsidRPr="004803B2">
          <w:rPr>
            <w:rStyle w:val="Hyperlink"/>
            <w:noProof/>
          </w:rPr>
          <w:t>Figura 8 - Espectro de cenários alternativos para Despesas Totais (R$ bilhões)</w:t>
        </w:r>
        <w:r w:rsidR="00304F5F">
          <w:rPr>
            <w:noProof/>
            <w:webHidden/>
          </w:rPr>
          <w:tab/>
        </w:r>
        <w:r w:rsidR="00304F5F">
          <w:rPr>
            <w:noProof/>
            <w:webHidden/>
          </w:rPr>
          <w:fldChar w:fldCharType="begin"/>
        </w:r>
        <w:r w:rsidR="00304F5F">
          <w:rPr>
            <w:noProof/>
            <w:webHidden/>
          </w:rPr>
          <w:instrText xml:space="preserve"> PAGEREF _Toc69121333 \h </w:instrText>
        </w:r>
        <w:r w:rsidR="00304F5F">
          <w:rPr>
            <w:noProof/>
            <w:webHidden/>
          </w:rPr>
        </w:r>
        <w:r w:rsidR="00304F5F">
          <w:rPr>
            <w:noProof/>
            <w:webHidden/>
          </w:rPr>
          <w:fldChar w:fldCharType="separate"/>
        </w:r>
        <w:r w:rsidR="00BD76F0">
          <w:rPr>
            <w:noProof/>
            <w:webHidden/>
          </w:rPr>
          <w:t>30</w:t>
        </w:r>
        <w:r w:rsidR="00304F5F">
          <w:rPr>
            <w:noProof/>
            <w:webHidden/>
          </w:rPr>
          <w:fldChar w:fldCharType="end"/>
        </w:r>
      </w:hyperlink>
    </w:p>
    <w:p w14:paraId="0A7226C9" w14:textId="44CBE3D1" w:rsidR="00304F5F" w:rsidRDefault="009B05DF">
      <w:pPr>
        <w:pStyle w:val="ndicedeilustraes"/>
        <w:tabs>
          <w:tab w:val="right" w:leader="dot" w:pos="9913"/>
        </w:tabs>
        <w:rPr>
          <w:rFonts w:eastAsiaTheme="minorEastAsia"/>
          <w:noProof/>
          <w:lang w:eastAsia="pt-BR"/>
        </w:rPr>
      </w:pPr>
      <w:hyperlink w:anchor="_Toc69121334" w:history="1">
        <w:r w:rsidR="00304F5F" w:rsidRPr="004803B2">
          <w:rPr>
            <w:rStyle w:val="Hyperlink"/>
            <w:noProof/>
          </w:rPr>
          <w:t>Figura 9 - Espectro de cenários alternativos para Resultado Primário (R$ bilhões)</w:t>
        </w:r>
        <w:r w:rsidR="00304F5F">
          <w:rPr>
            <w:noProof/>
            <w:webHidden/>
          </w:rPr>
          <w:tab/>
        </w:r>
        <w:r w:rsidR="00304F5F">
          <w:rPr>
            <w:noProof/>
            <w:webHidden/>
          </w:rPr>
          <w:fldChar w:fldCharType="begin"/>
        </w:r>
        <w:r w:rsidR="00304F5F">
          <w:rPr>
            <w:noProof/>
            <w:webHidden/>
          </w:rPr>
          <w:instrText xml:space="preserve"> PAGEREF _Toc69121334 \h </w:instrText>
        </w:r>
        <w:r w:rsidR="00304F5F">
          <w:rPr>
            <w:noProof/>
            <w:webHidden/>
          </w:rPr>
        </w:r>
        <w:r w:rsidR="00304F5F">
          <w:rPr>
            <w:noProof/>
            <w:webHidden/>
          </w:rPr>
          <w:fldChar w:fldCharType="separate"/>
        </w:r>
        <w:r w:rsidR="00BD76F0">
          <w:rPr>
            <w:noProof/>
            <w:webHidden/>
          </w:rPr>
          <w:t>31</w:t>
        </w:r>
        <w:r w:rsidR="00304F5F">
          <w:rPr>
            <w:noProof/>
            <w:webHidden/>
          </w:rPr>
          <w:fldChar w:fldCharType="end"/>
        </w:r>
      </w:hyperlink>
    </w:p>
    <w:p w14:paraId="5846AC8F" w14:textId="65E3BBBA" w:rsidR="00304F5F" w:rsidRDefault="009B05DF">
      <w:pPr>
        <w:pStyle w:val="ndicedeilustraes"/>
        <w:tabs>
          <w:tab w:val="right" w:leader="dot" w:pos="9913"/>
        </w:tabs>
        <w:rPr>
          <w:rFonts w:eastAsiaTheme="minorEastAsia"/>
          <w:noProof/>
          <w:lang w:eastAsia="pt-BR"/>
        </w:rPr>
      </w:pPr>
      <w:hyperlink w:anchor="_Toc69121335" w:history="1">
        <w:r w:rsidR="00304F5F" w:rsidRPr="004803B2">
          <w:rPr>
            <w:rStyle w:val="Hyperlink"/>
            <w:noProof/>
          </w:rPr>
          <w:t>Figura 10 - Teste de estresse Selic – DBGG (% PIB)</w:t>
        </w:r>
        <w:r w:rsidR="00304F5F">
          <w:rPr>
            <w:noProof/>
            <w:webHidden/>
          </w:rPr>
          <w:tab/>
        </w:r>
        <w:r w:rsidR="00304F5F">
          <w:rPr>
            <w:noProof/>
            <w:webHidden/>
          </w:rPr>
          <w:fldChar w:fldCharType="begin"/>
        </w:r>
        <w:r w:rsidR="00304F5F">
          <w:rPr>
            <w:noProof/>
            <w:webHidden/>
          </w:rPr>
          <w:instrText xml:space="preserve"> PAGEREF _Toc69121335 \h </w:instrText>
        </w:r>
        <w:r w:rsidR="00304F5F">
          <w:rPr>
            <w:noProof/>
            <w:webHidden/>
          </w:rPr>
        </w:r>
        <w:r w:rsidR="00304F5F">
          <w:rPr>
            <w:noProof/>
            <w:webHidden/>
          </w:rPr>
          <w:fldChar w:fldCharType="separate"/>
        </w:r>
        <w:r w:rsidR="00BD76F0">
          <w:rPr>
            <w:noProof/>
            <w:webHidden/>
          </w:rPr>
          <w:t>32</w:t>
        </w:r>
        <w:r w:rsidR="00304F5F">
          <w:rPr>
            <w:noProof/>
            <w:webHidden/>
          </w:rPr>
          <w:fldChar w:fldCharType="end"/>
        </w:r>
      </w:hyperlink>
    </w:p>
    <w:p w14:paraId="2A56C4FD" w14:textId="083796E9" w:rsidR="00304F5F" w:rsidRDefault="009B05DF">
      <w:pPr>
        <w:pStyle w:val="ndicedeilustraes"/>
        <w:tabs>
          <w:tab w:val="right" w:leader="dot" w:pos="9913"/>
        </w:tabs>
        <w:rPr>
          <w:rFonts w:eastAsiaTheme="minorEastAsia"/>
          <w:noProof/>
          <w:lang w:eastAsia="pt-BR"/>
        </w:rPr>
      </w:pPr>
      <w:hyperlink w:anchor="_Toc69121336" w:history="1">
        <w:r w:rsidR="00304F5F" w:rsidRPr="004803B2">
          <w:rPr>
            <w:rStyle w:val="Hyperlink"/>
            <w:rFonts w:cstheme="minorHAnsi"/>
            <w:noProof/>
          </w:rPr>
          <w:t xml:space="preserve">Figura 11 </w:t>
        </w:r>
        <w:r w:rsidR="00304F5F" w:rsidRPr="004803B2">
          <w:rPr>
            <w:rStyle w:val="Hyperlink"/>
            <w:noProof/>
          </w:rPr>
          <w:t>- Teste de estresse Selic – DLSP (% PIB)</w:t>
        </w:r>
        <w:r w:rsidR="00304F5F">
          <w:rPr>
            <w:noProof/>
            <w:webHidden/>
          </w:rPr>
          <w:tab/>
        </w:r>
        <w:r w:rsidR="00304F5F">
          <w:rPr>
            <w:noProof/>
            <w:webHidden/>
          </w:rPr>
          <w:fldChar w:fldCharType="begin"/>
        </w:r>
        <w:r w:rsidR="00304F5F">
          <w:rPr>
            <w:noProof/>
            <w:webHidden/>
          </w:rPr>
          <w:instrText xml:space="preserve"> PAGEREF _Toc69121336 \h </w:instrText>
        </w:r>
        <w:r w:rsidR="00304F5F">
          <w:rPr>
            <w:noProof/>
            <w:webHidden/>
          </w:rPr>
        </w:r>
        <w:r w:rsidR="00304F5F">
          <w:rPr>
            <w:noProof/>
            <w:webHidden/>
          </w:rPr>
          <w:fldChar w:fldCharType="separate"/>
        </w:r>
        <w:r w:rsidR="00BD76F0">
          <w:rPr>
            <w:noProof/>
            <w:webHidden/>
          </w:rPr>
          <w:t>32</w:t>
        </w:r>
        <w:r w:rsidR="00304F5F">
          <w:rPr>
            <w:noProof/>
            <w:webHidden/>
          </w:rPr>
          <w:fldChar w:fldCharType="end"/>
        </w:r>
      </w:hyperlink>
    </w:p>
    <w:p w14:paraId="5DCFEBFC" w14:textId="5ADC8838" w:rsidR="00304F5F" w:rsidRDefault="009B05DF">
      <w:pPr>
        <w:pStyle w:val="ndicedeilustraes"/>
        <w:tabs>
          <w:tab w:val="right" w:leader="dot" w:pos="9913"/>
        </w:tabs>
        <w:rPr>
          <w:rFonts w:eastAsiaTheme="minorEastAsia"/>
          <w:noProof/>
          <w:lang w:eastAsia="pt-BR"/>
        </w:rPr>
      </w:pPr>
      <w:hyperlink w:anchor="_Toc69121337" w:history="1">
        <w:r w:rsidR="00304F5F" w:rsidRPr="004803B2">
          <w:rPr>
            <w:rStyle w:val="Hyperlink"/>
            <w:noProof/>
          </w:rPr>
          <w:t>Figura 12 - Teste de estresse combinado – DBGG (% PIB)</w:t>
        </w:r>
        <w:r w:rsidR="00304F5F">
          <w:rPr>
            <w:noProof/>
            <w:webHidden/>
          </w:rPr>
          <w:tab/>
        </w:r>
        <w:r w:rsidR="00304F5F">
          <w:rPr>
            <w:noProof/>
            <w:webHidden/>
          </w:rPr>
          <w:fldChar w:fldCharType="begin"/>
        </w:r>
        <w:r w:rsidR="00304F5F">
          <w:rPr>
            <w:noProof/>
            <w:webHidden/>
          </w:rPr>
          <w:instrText xml:space="preserve"> PAGEREF _Toc69121337 \h </w:instrText>
        </w:r>
        <w:r w:rsidR="00304F5F">
          <w:rPr>
            <w:noProof/>
            <w:webHidden/>
          </w:rPr>
        </w:r>
        <w:r w:rsidR="00304F5F">
          <w:rPr>
            <w:noProof/>
            <w:webHidden/>
          </w:rPr>
          <w:fldChar w:fldCharType="separate"/>
        </w:r>
        <w:r w:rsidR="00BD76F0">
          <w:rPr>
            <w:noProof/>
            <w:webHidden/>
          </w:rPr>
          <w:t>33</w:t>
        </w:r>
        <w:r w:rsidR="00304F5F">
          <w:rPr>
            <w:noProof/>
            <w:webHidden/>
          </w:rPr>
          <w:fldChar w:fldCharType="end"/>
        </w:r>
      </w:hyperlink>
    </w:p>
    <w:p w14:paraId="0C9D06BB" w14:textId="0A0ECD20" w:rsidR="00304F5F" w:rsidRDefault="009B05DF">
      <w:pPr>
        <w:pStyle w:val="ndicedeilustraes"/>
        <w:tabs>
          <w:tab w:val="right" w:leader="dot" w:pos="9913"/>
        </w:tabs>
        <w:rPr>
          <w:rFonts w:eastAsiaTheme="minorEastAsia"/>
          <w:noProof/>
          <w:lang w:eastAsia="pt-BR"/>
        </w:rPr>
      </w:pPr>
      <w:hyperlink w:anchor="_Toc69121338" w:history="1">
        <w:r w:rsidR="00304F5F" w:rsidRPr="004803B2">
          <w:rPr>
            <w:rStyle w:val="Hyperlink"/>
            <w:noProof/>
          </w:rPr>
          <w:t>Figura 13 - Teste de estresse combinado – DLSP (% PIB)</w:t>
        </w:r>
        <w:r w:rsidR="00304F5F">
          <w:rPr>
            <w:noProof/>
            <w:webHidden/>
          </w:rPr>
          <w:tab/>
        </w:r>
        <w:r w:rsidR="00304F5F">
          <w:rPr>
            <w:noProof/>
            <w:webHidden/>
          </w:rPr>
          <w:fldChar w:fldCharType="begin"/>
        </w:r>
        <w:r w:rsidR="00304F5F">
          <w:rPr>
            <w:noProof/>
            <w:webHidden/>
          </w:rPr>
          <w:instrText xml:space="preserve"> PAGEREF _Toc69121338 \h </w:instrText>
        </w:r>
        <w:r w:rsidR="00304F5F">
          <w:rPr>
            <w:noProof/>
            <w:webHidden/>
          </w:rPr>
        </w:r>
        <w:r w:rsidR="00304F5F">
          <w:rPr>
            <w:noProof/>
            <w:webHidden/>
          </w:rPr>
          <w:fldChar w:fldCharType="separate"/>
        </w:r>
        <w:r w:rsidR="00BD76F0">
          <w:rPr>
            <w:noProof/>
            <w:webHidden/>
          </w:rPr>
          <w:t>33</w:t>
        </w:r>
        <w:r w:rsidR="00304F5F">
          <w:rPr>
            <w:noProof/>
            <w:webHidden/>
          </w:rPr>
          <w:fldChar w:fldCharType="end"/>
        </w:r>
      </w:hyperlink>
    </w:p>
    <w:p w14:paraId="7F17E1C9" w14:textId="56BF2184" w:rsidR="00304F5F" w:rsidRDefault="009B05DF">
      <w:pPr>
        <w:pStyle w:val="ndicedeilustraes"/>
        <w:tabs>
          <w:tab w:val="right" w:leader="dot" w:pos="9913"/>
        </w:tabs>
        <w:rPr>
          <w:rFonts w:eastAsiaTheme="minorEastAsia"/>
          <w:noProof/>
          <w:lang w:eastAsia="pt-BR"/>
        </w:rPr>
      </w:pPr>
      <w:hyperlink w:anchor="_Toc69121339" w:history="1">
        <w:r w:rsidR="00304F5F" w:rsidRPr="004803B2">
          <w:rPr>
            <w:rStyle w:val="Hyperlink"/>
            <w:noProof/>
          </w:rPr>
          <w:t>Figura 14 - Cenários estocásticos para DBGG/PIB</w:t>
        </w:r>
        <w:r w:rsidR="00304F5F">
          <w:rPr>
            <w:noProof/>
            <w:webHidden/>
          </w:rPr>
          <w:tab/>
        </w:r>
        <w:r w:rsidR="00304F5F">
          <w:rPr>
            <w:noProof/>
            <w:webHidden/>
          </w:rPr>
          <w:fldChar w:fldCharType="begin"/>
        </w:r>
        <w:r w:rsidR="00304F5F">
          <w:rPr>
            <w:noProof/>
            <w:webHidden/>
          </w:rPr>
          <w:instrText xml:space="preserve"> PAGEREF _Toc69121339 \h </w:instrText>
        </w:r>
        <w:r w:rsidR="00304F5F">
          <w:rPr>
            <w:noProof/>
            <w:webHidden/>
          </w:rPr>
        </w:r>
        <w:r w:rsidR="00304F5F">
          <w:rPr>
            <w:noProof/>
            <w:webHidden/>
          </w:rPr>
          <w:fldChar w:fldCharType="separate"/>
        </w:r>
        <w:r w:rsidR="00BD76F0">
          <w:rPr>
            <w:noProof/>
            <w:webHidden/>
          </w:rPr>
          <w:t>34</w:t>
        </w:r>
        <w:r w:rsidR="00304F5F">
          <w:rPr>
            <w:noProof/>
            <w:webHidden/>
          </w:rPr>
          <w:fldChar w:fldCharType="end"/>
        </w:r>
      </w:hyperlink>
    </w:p>
    <w:p w14:paraId="523DE284" w14:textId="0AA429FA" w:rsidR="00304F5F" w:rsidRDefault="009B05DF">
      <w:pPr>
        <w:pStyle w:val="ndicedeilustraes"/>
        <w:tabs>
          <w:tab w:val="right" w:leader="dot" w:pos="9913"/>
        </w:tabs>
        <w:rPr>
          <w:rFonts w:eastAsiaTheme="minorEastAsia"/>
          <w:noProof/>
          <w:lang w:eastAsia="pt-BR"/>
        </w:rPr>
      </w:pPr>
      <w:hyperlink w:anchor="_Toc69121340" w:history="1">
        <w:r w:rsidR="00304F5F" w:rsidRPr="004803B2">
          <w:rPr>
            <w:rStyle w:val="Hyperlink"/>
            <w:noProof/>
          </w:rPr>
          <w:t>Figura 15 - Cenários estocásticos para DLSP/PIB</w:t>
        </w:r>
        <w:r w:rsidR="00304F5F">
          <w:rPr>
            <w:noProof/>
            <w:webHidden/>
          </w:rPr>
          <w:tab/>
        </w:r>
        <w:r w:rsidR="00304F5F">
          <w:rPr>
            <w:noProof/>
            <w:webHidden/>
          </w:rPr>
          <w:fldChar w:fldCharType="begin"/>
        </w:r>
        <w:r w:rsidR="00304F5F">
          <w:rPr>
            <w:noProof/>
            <w:webHidden/>
          </w:rPr>
          <w:instrText xml:space="preserve"> PAGEREF _Toc69121340 \h </w:instrText>
        </w:r>
        <w:r w:rsidR="00304F5F">
          <w:rPr>
            <w:noProof/>
            <w:webHidden/>
          </w:rPr>
        </w:r>
        <w:r w:rsidR="00304F5F">
          <w:rPr>
            <w:noProof/>
            <w:webHidden/>
          </w:rPr>
          <w:fldChar w:fldCharType="separate"/>
        </w:r>
        <w:r w:rsidR="00BD76F0">
          <w:rPr>
            <w:noProof/>
            <w:webHidden/>
          </w:rPr>
          <w:t>34</w:t>
        </w:r>
        <w:r w:rsidR="00304F5F">
          <w:rPr>
            <w:noProof/>
            <w:webHidden/>
          </w:rPr>
          <w:fldChar w:fldCharType="end"/>
        </w:r>
      </w:hyperlink>
    </w:p>
    <w:p w14:paraId="2B27BD98" w14:textId="5EA2A062" w:rsidR="00304F5F" w:rsidRDefault="009B05DF">
      <w:pPr>
        <w:pStyle w:val="ndicedeilustraes"/>
        <w:tabs>
          <w:tab w:val="right" w:leader="dot" w:pos="9913"/>
        </w:tabs>
        <w:rPr>
          <w:rFonts w:eastAsiaTheme="minorEastAsia"/>
          <w:noProof/>
          <w:lang w:eastAsia="pt-BR"/>
        </w:rPr>
      </w:pPr>
      <w:hyperlink w:anchor="_Toc69121341" w:history="1">
        <w:r w:rsidR="00304F5F" w:rsidRPr="004803B2">
          <w:rPr>
            <w:rStyle w:val="Hyperlink"/>
            <w:noProof/>
          </w:rPr>
          <w:t>Figura 16 - Cenários estocásticos assimétricos – DBGG (% PIB)</w:t>
        </w:r>
        <w:r w:rsidR="00304F5F">
          <w:rPr>
            <w:noProof/>
            <w:webHidden/>
          </w:rPr>
          <w:tab/>
        </w:r>
        <w:r w:rsidR="00304F5F">
          <w:rPr>
            <w:noProof/>
            <w:webHidden/>
          </w:rPr>
          <w:fldChar w:fldCharType="begin"/>
        </w:r>
        <w:r w:rsidR="00304F5F">
          <w:rPr>
            <w:noProof/>
            <w:webHidden/>
          </w:rPr>
          <w:instrText xml:space="preserve"> PAGEREF _Toc69121341 \h </w:instrText>
        </w:r>
        <w:r w:rsidR="00304F5F">
          <w:rPr>
            <w:noProof/>
            <w:webHidden/>
          </w:rPr>
        </w:r>
        <w:r w:rsidR="00304F5F">
          <w:rPr>
            <w:noProof/>
            <w:webHidden/>
          </w:rPr>
          <w:fldChar w:fldCharType="separate"/>
        </w:r>
        <w:r w:rsidR="00BD76F0">
          <w:rPr>
            <w:noProof/>
            <w:webHidden/>
          </w:rPr>
          <w:t>35</w:t>
        </w:r>
        <w:r w:rsidR="00304F5F">
          <w:rPr>
            <w:noProof/>
            <w:webHidden/>
          </w:rPr>
          <w:fldChar w:fldCharType="end"/>
        </w:r>
      </w:hyperlink>
    </w:p>
    <w:p w14:paraId="2EA12951" w14:textId="69E75504" w:rsidR="00304F5F" w:rsidRDefault="009B05DF">
      <w:pPr>
        <w:pStyle w:val="ndicedeilustraes"/>
        <w:tabs>
          <w:tab w:val="right" w:leader="dot" w:pos="9913"/>
        </w:tabs>
        <w:rPr>
          <w:rFonts w:eastAsiaTheme="minorEastAsia"/>
          <w:noProof/>
          <w:lang w:eastAsia="pt-BR"/>
        </w:rPr>
      </w:pPr>
      <w:hyperlink w:anchor="_Toc69121342" w:history="1">
        <w:r w:rsidR="00304F5F" w:rsidRPr="004803B2">
          <w:rPr>
            <w:rStyle w:val="Hyperlink"/>
            <w:noProof/>
          </w:rPr>
          <w:t>Figura 17 - Cenários estocásticos assimétricos – DLSP (% PIB)</w:t>
        </w:r>
        <w:r w:rsidR="00304F5F">
          <w:rPr>
            <w:noProof/>
            <w:webHidden/>
          </w:rPr>
          <w:tab/>
        </w:r>
        <w:r w:rsidR="00304F5F">
          <w:rPr>
            <w:noProof/>
            <w:webHidden/>
          </w:rPr>
          <w:fldChar w:fldCharType="begin"/>
        </w:r>
        <w:r w:rsidR="00304F5F">
          <w:rPr>
            <w:noProof/>
            <w:webHidden/>
          </w:rPr>
          <w:instrText xml:space="preserve"> PAGEREF _Toc69121342 \h </w:instrText>
        </w:r>
        <w:r w:rsidR="00304F5F">
          <w:rPr>
            <w:noProof/>
            <w:webHidden/>
          </w:rPr>
        </w:r>
        <w:r w:rsidR="00304F5F">
          <w:rPr>
            <w:noProof/>
            <w:webHidden/>
          </w:rPr>
          <w:fldChar w:fldCharType="separate"/>
        </w:r>
        <w:r w:rsidR="00BD76F0">
          <w:rPr>
            <w:noProof/>
            <w:webHidden/>
          </w:rPr>
          <w:t>35</w:t>
        </w:r>
        <w:r w:rsidR="00304F5F">
          <w:rPr>
            <w:noProof/>
            <w:webHidden/>
          </w:rPr>
          <w:fldChar w:fldCharType="end"/>
        </w:r>
      </w:hyperlink>
    </w:p>
    <w:p w14:paraId="77BACBA2" w14:textId="41C993F4" w:rsidR="00304F5F" w:rsidRDefault="009B05DF">
      <w:pPr>
        <w:pStyle w:val="ndicedeilustraes"/>
        <w:tabs>
          <w:tab w:val="right" w:leader="dot" w:pos="9913"/>
        </w:tabs>
        <w:rPr>
          <w:rFonts w:eastAsiaTheme="minorEastAsia"/>
          <w:noProof/>
          <w:lang w:eastAsia="pt-BR"/>
        </w:rPr>
      </w:pPr>
      <w:hyperlink w:anchor="_Toc69121343" w:history="1">
        <w:r w:rsidR="00304F5F" w:rsidRPr="004803B2">
          <w:rPr>
            <w:rStyle w:val="Hyperlink"/>
            <w:rFonts w:eastAsia="Calibri" w:cstheme="minorHAnsi"/>
            <w:noProof/>
          </w:rPr>
          <w:t xml:space="preserve">Figura </w:t>
        </w:r>
        <w:r w:rsidR="00304F5F" w:rsidRPr="004803B2">
          <w:rPr>
            <w:rStyle w:val="Hyperlink"/>
            <w:rFonts w:cstheme="minorHAnsi"/>
            <w:noProof/>
          </w:rPr>
          <w:t>18</w:t>
        </w:r>
        <w:r w:rsidR="00304F5F" w:rsidRPr="004803B2">
          <w:rPr>
            <w:rStyle w:val="Hyperlink"/>
            <w:rFonts w:eastAsia="Calibri" w:cstheme="minorHAnsi"/>
            <w:noProof/>
          </w:rPr>
          <w:t xml:space="preserve"> - Matriz de Risco </w:t>
        </w:r>
        <w:r w:rsidR="00304F5F" w:rsidRPr="004803B2">
          <w:rPr>
            <w:rStyle w:val="Hyperlink"/>
            <w:rFonts w:eastAsia="Calibri" w:cstheme="minorHAnsi"/>
            <w:caps/>
            <w:noProof/>
          </w:rPr>
          <w:t>A</w:t>
        </w:r>
        <w:r w:rsidR="00304F5F" w:rsidRPr="004803B2">
          <w:rPr>
            <w:rStyle w:val="Hyperlink"/>
            <w:rFonts w:eastAsia="Calibri" w:cstheme="minorHAnsi"/>
            <w:noProof/>
          </w:rPr>
          <w:t xml:space="preserve"> - Dividendos</w:t>
        </w:r>
        <w:r w:rsidR="00304F5F">
          <w:rPr>
            <w:noProof/>
            <w:webHidden/>
          </w:rPr>
          <w:tab/>
        </w:r>
        <w:r w:rsidR="00304F5F">
          <w:rPr>
            <w:noProof/>
            <w:webHidden/>
          </w:rPr>
          <w:fldChar w:fldCharType="begin"/>
        </w:r>
        <w:r w:rsidR="00304F5F">
          <w:rPr>
            <w:noProof/>
            <w:webHidden/>
          </w:rPr>
          <w:instrText xml:space="preserve"> PAGEREF _Toc69121343 \h </w:instrText>
        </w:r>
        <w:r w:rsidR="00304F5F">
          <w:rPr>
            <w:noProof/>
            <w:webHidden/>
          </w:rPr>
        </w:r>
        <w:r w:rsidR="00304F5F">
          <w:rPr>
            <w:noProof/>
            <w:webHidden/>
          </w:rPr>
          <w:fldChar w:fldCharType="separate"/>
        </w:r>
        <w:r w:rsidR="00BD76F0">
          <w:rPr>
            <w:noProof/>
            <w:webHidden/>
          </w:rPr>
          <w:t>97</w:t>
        </w:r>
        <w:r w:rsidR="00304F5F">
          <w:rPr>
            <w:noProof/>
            <w:webHidden/>
          </w:rPr>
          <w:fldChar w:fldCharType="end"/>
        </w:r>
      </w:hyperlink>
    </w:p>
    <w:p w14:paraId="5423036E" w14:textId="7A6F773D" w:rsidR="00304F5F" w:rsidRDefault="009B05DF">
      <w:pPr>
        <w:pStyle w:val="ndicedeilustraes"/>
        <w:tabs>
          <w:tab w:val="right" w:leader="dot" w:pos="9913"/>
        </w:tabs>
        <w:rPr>
          <w:rFonts w:eastAsiaTheme="minorEastAsia"/>
          <w:noProof/>
          <w:lang w:eastAsia="pt-BR"/>
        </w:rPr>
      </w:pPr>
      <w:hyperlink w:anchor="_Toc69121344" w:history="1">
        <w:r w:rsidR="00304F5F" w:rsidRPr="004803B2">
          <w:rPr>
            <w:rStyle w:val="Hyperlink"/>
            <w:rFonts w:eastAsia="Calibri" w:cstheme="minorHAnsi"/>
            <w:noProof/>
          </w:rPr>
          <w:t xml:space="preserve">Figura </w:t>
        </w:r>
        <w:r w:rsidR="00304F5F" w:rsidRPr="004803B2">
          <w:rPr>
            <w:rStyle w:val="Hyperlink"/>
            <w:rFonts w:cstheme="minorHAnsi"/>
            <w:noProof/>
          </w:rPr>
          <w:t>19</w:t>
        </w:r>
        <w:r w:rsidR="00304F5F" w:rsidRPr="004803B2">
          <w:rPr>
            <w:rStyle w:val="Hyperlink"/>
            <w:rFonts w:eastAsia="Calibri" w:cstheme="minorHAnsi"/>
            <w:noProof/>
          </w:rPr>
          <w:t xml:space="preserve"> - Matriz de Risco B - Dividendos</w:t>
        </w:r>
        <w:r w:rsidR="00304F5F">
          <w:rPr>
            <w:noProof/>
            <w:webHidden/>
          </w:rPr>
          <w:tab/>
        </w:r>
        <w:r w:rsidR="00304F5F">
          <w:rPr>
            <w:noProof/>
            <w:webHidden/>
          </w:rPr>
          <w:fldChar w:fldCharType="begin"/>
        </w:r>
        <w:r w:rsidR="00304F5F">
          <w:rPr>
            <w:noProof/>
            <w:webHidden/>
          </w:rPr>
          <w:instrText xml:space="preserve"> PAGEREF _Toc69121344 \h </w:instrText>
        </w:r>
        <w:r w:rsidR="00304F5F">
          <w:rPr>
            <w:noProof/>
            <w:webHidden/>
          </w:rPr>
        </w:r>
        <w:r w:rsidR="00304F5F">
          <w:rPr>
            <w:noProof/>
            <w:webHidden/>
          </w:rPr>
          <w:fldChar w:fldCharType="separate"/>
        </w:r>
        <w:r w:rsidR="00BD76F0">
          <w:rPr>
            <w:noProof/>
            <w:webHidden/>
          </w:rPr>
          <w:t>98</w:t>
        </w:r>
        <w:r w:rsidR="00304F5F">
          <w:rPr>
            <w:noProof/>
            <w:webHidden/>
          </w:rPr>
          <w:fldChar w:fldCharType="end"/>
        </w:r>
      </w:hyperlink>
    </w:p>
    <w:p w14:paraId="5E477D48" w14:textId="2CF8EFCC" w:rsidR="00304F5F" w:rsidRDefault="009B05DF">
      <w:pPr>
        <w:pStyle w:val="ndicedeilustraes"/>
        <w:tabs>
          <w:tab w:val="right" w:leader="dot" w:pos="9913"/>
        </w:tabs>
        <w:rPr>
          <w:rFonts w:eastAsiaTheme="minorEastAsia"/>
          <w:noProof/>
          <w:lang w:eastAsia="pt-BR"/>
        </w:rPr>
      </w:pPr>
      <w:hyperlink w:anchor="_Toc69121345" w:history="1">
        <w:r w:rsidR="00304F5F" w:rsidRPr="004803B2">
          <w:rPr>
            <w:rStyle w:val="Hyperlink"/>
            <w:noProof/>
          </w:rPr>
          <w:t>Figura 20 - Evolução de contratos inadimplentes, em fase de amortização</w:t>
        </w:r>
        <w:r w:rsidR="00304F5F">
          <w:rPr>
            <w:noProof/>
            <w:webHidden/>
          </w:rPr>
          <w:tab/>
        </w:r>
        <w:r w:rsidR="00304F5F">
          <w:rPr>
            <w:noProof/>
            <w:webHidden/>
          </w:rPr>
          <w:fldChar w:fldCharType="begin"/>
        </w:r>
        <w:r w:rsidR="00304F5F">
          <w:rPr>
            <w:noProof/>
            <w:webHidden/>
          </w:rPr>
          <w:instrText xml:space="preserve"> PAGEREF _Toc69121345 \h </w:instrText>
        </w:r>
        <w:r w:rsidR="00304F5F">
          <w:rPr>
            <w:noProof/>
            <w:webHidden/>
          </w:rPr>
        </w:r>
        <w:r w:rsidR="00304F5F">
          <w:rPr>
            <w:noProof/>
            <w:webHidden/>
          </w:rPr>
          <w:fldChar w:fldCharType="separate"/>
        </w:r>
        <w:r w:rsidR="00BD76F0">
          <w:rPr>
            <w:noProof/>
            <w:webHidden/>
          </w:rPr>
          <w:t>113</w:t>
        </w:r>
        <w:r w:rsidR="00304F5F">
          <w:rPr>
            <w:noProof/>
            <w:webHidden/>
          </w:rPr>
          <w:fldChar w:fldCharType="end"/>
        </w:r>
      </w:hyperlink>
    </w:p>
    <w:p w14:paraId="779E29B1" w14:textId="49C74E38" w:rsidR="00304F5F" w:rsidRDefault="009B05DF">
      <w:pPr>
        <w:pStyle w:val="ndicedeilustraes"/>
        <w:tabs>
          <w:tab w:val="right" w:leader="dot" w:pos="9913"/>
        </w:tabs>
        <w:rPr>
          <w:rFonts w:eastAsiaTheme="minorEastAsia"/>
          <w:noProof/>
          <w:lang w:eastAsia="pt-BR"/>
        </w:rPr>
      </w:pPr>
      <w:hyperlink w:anchor="_Toc69121346" w:history="1">
        <w:r w:rsidR="00304F5F" w:rsidRPr="004803B2">
          <w:rPr>
            <w:rStyle w:val="Hyperlink"/>
            <w:iCs/>
            <w:noProof/>
          </w:rPr>
          <w:t>Figura 21 - Impacto demográfico sobre despesas selecionadas de saúde e educação</w:t>
        </w:r>
        <w:r w:rsidR="00304F5F">
          <w:rPr>
            <w:noProof/>
            <w:webHidden/>
          </w:rPr>
          <w:tab/>
        </w:r>
        <w:r w:rsidR="00304F5F">
          <w:rPr>
            <w:noProof/>
            <w:webHidden/>
          </w:rPr>
          <w:fldChar w:fldCharType="begin"/>
        </w:r>
        <w:r w:rsidR="00304F5F">
          <w:rPr>
            <w:noProof/>
            <w:webHidden/>
          </w:rPr>
          <w:instrText xml:space="preserve"> PAGEREF _Toc69121346 \h </w:instrText>
        </w:r>
        <w:r w:rsidR="00304F5F">
          <w:rPr>
            <w:noProof/>
            <w:webHidden/>
          </w:rPr>
        </w:r>
        <w:r w:rsidR="00304F5F">
          <w:rPr>
            <w:noProof/>
            <w:webHidden/>
          </w:rPr>
          <w:fldChar w:fldCharType="separate"/>
        </w:r>
        <w:r w:rsidR="00BD76F0">
          <w:rPr>
            <w:noProof/>
            <w:webHidden/>
          </w:rPr>
          <w:t>120</w:t>
        </w:r>
        <w:r w:rsidR="00304F5F">
          <w:rPr>
            <w:noProof/>
            <w:webHidden/>
          </w:rPr>
          <w:fldChar w:fldCharType="end"/>
        </w:r>
      </w:hyperlink>
    </w:p>
    <w:p w14:paraId="45937CEC" w14:textId="09B252C8" w:rsidR="00D06E4B" w:rsidRPr="0022645B" w:rsidRDefault="000D17A6" w:rsidP="00F80473">
      <w:pPr>
        <w:spacing w:after="120" w:line="240" w:lineRule="auto"/>
        <w:rPr>
          <w:sz w:val="24"/>
          <w:szCs w:val="24"/>
        </w:rPr>
      </w:pPr>
      <w:r w:rsidRPr="0022645B">
        <w:rPr>
          <w:sz w:val="24"/>
          <w:szCs w:val="24"/>
        </w:rPr>
        <w:fldChar w:fldCharType="end"/>
      </w:r>
    </w:p>
    <w:p w14:paraId="462C3CE8" w14:textId="77777777" w:rsidR="000D17A6" w:rsidRPr="0022645B" w:rsidRDefault="000D17A6">
      <w:r w:rsidRPr="0022645B">
        <w:br w:type="page"/>
      </w:r>
    </w:p>
    <w:p w14:paraId="2A295B96" w14:textId="77777777" w:rsidR="001A36C9" w:rsidRPr="0022645B" w:rsidRDefault="001A36C9" w:rsidP="00CF024B">
      <w:pPr>
        <w:pStyle w:val="Ttulo1"/>
        <w:numPr>
          <w:ilvl w:val="0"/>
          <w:numId w:val="36"/>
        </w:numPr>
        <w:spacing w:before="0" w:after="120" w:line="240" w:lineRule="auto"/>
        <w:ind w:left="431" w:hanging="431"/>
        <w:rPr>
          <w:rFonts w:asciiTheme="minorHAnsi" w:hAnsiTheme="minorHAnsi"/>
          <w:b/>
          <w:color w:val="auto"/>
          <w:sz w:val="28"/>
          <w:szCs w:val="28"/>
          <w:lang w:eastAsia="pt-BR"/>
        </w:rPr>
      </w:pPr>
      <w:bookmarkStart w:id="0" w:name="_Toc2926241"/>
      <w:bookmarkStart w:id="1" w:name="_Toc5180269"/>
      <w:bookmarkStart w:id="2" w:name="_Toc67317967"/>
      <w:bookmarkStart w:id="3" w:name="_Toc67929621"/>
      <w:bookmarkStart w:id="4" w:name="_Ref68689669"/>
      <w:bookmarkStart w:id="5" w:name="_Toc69121208"/>
      <w:r w:rsidRPr="0022645B">
        <w:rPr>
          <w:rFonts w:asciiTheme="minorHAnsi" w:hAnsiTheme="minorHAnsi"/>
          <w:b/>
          <w:color w:val="auto"/>
          <w:sz w:val="28"/>
          <w:szCs w:val="28"/>
          <w:lang w:eastAsia="pt-BR"/>
        </w:rPr>
        <w:lastRenderedPageBreak/>
        <w:t>INTRODUÇÃO</w:t>
      </w:r>
      <w:bookmarkEnd w:id="0"/>
      <w:bookmarkEnd w:id="1"/>
      <w:bookmarkEnd w:id="2"/>
      <w:bookmarkEnd w:id="3"/>
      <w:bookmarkEnd w:id="4"/>
      <w:bookmarkEnd w:id="5"/>
    </w:p>
    <w:p w14:paraId="250DA5B9" w14:textId="247468FF" w:rsidR="00AD3897" w:rsidRPr="0005635F" w:rsidRDefault="00AD3897" w:rsidP="00AD3897">
      <w:pPr>
        <w:spacing w:after="120" w:line="240" w:lineRule="auto"/>
        <w:ind w:firstLine="1418"/>
        <w:jc w:val="both"/>
        <w:rPr>
          <w:sz w:val="24"/>
          <w:szCs w:val="24"/>
          <w:lang w:eastAsia="pt-BR"/>
        </w:rPr>
      </w:pPr>
      <w:r w:rsidRPr="0005635F">
        <w:rPr>
          <w:sz w:val="24"/>
          <w:szCs w:val="24"/>
          <w:lang w:eastAsia="pt-BR"/>
        </w:rPr>
        <w:t>O Anexo de Riscos Fiscais tem por objetivo, conforme estabelecido pelo § 3º do art. 4º da Lei Complementar nº 101</w:t>
      </w:r>
      <w:r w:rsidR="00F829AF">
        <w:rPr>
          <w:sz w:val="24"/>
          <w:szCs w:val="24"/>
          <w:lang w:eastAsia="pt-BR"/>
        </w:rPr>
        <w:t xml:space="preserve">, de </w:t>
      </w:r>
      <w:r w:rsidRPr="0005635F">
        <w:rPr>
          <w:sz w:val="24"/>
          <w:szCs w:val="24"/>
          <w:lang w:eastAsia="pt-BR"/>
        </w:rPr>
        <w:t xml:space="preserve">2000 (Lei de Responsabilidade Fiscal - LRF), avaliar os passivos contingentes e outros riscos capazes de afetar as contas públicas, informando as providências a serem tomadas caso </w:t>
      </w:r>
      <w:r w:rsidR="00A265D1" w:rsidRPr="0005635F">
        <w:rPr>
          <w:sz w:val="24"/>
          <w:szCs w:val="24"/>
          <w:lang w:eastAsia="pt-BR"/>
        </w:rPr>
        <w:t xml:space="preserve">os riscos </w:t>
      </w:r>
      <w:r w:rsidRPr="0005635F">
        <w:rPr>
          <w:sz w:val="24"/>
          <w:szCs w:val="24"/>
          <w:lang w:eastAsia="pt-BR"/>
        </w:rPr>
        <w:t xml:space="preserve">se concretizem. </w:t>
      </w:r>
      <w:r w:rsidR="00584533" w:rsidRPr="0005635F">
        <w:rPr>
          <w:sz w:val="24"/>
          <w:szCs w:val="24"/>
          <w:lang w:eastAsia="pt-BR"/>
        </w:rPr>
        <w:t>Dessa forma, é apresentada</w:t>
      </w:r>
      <w:r w:rsidRPr="0005635F">
        <w:rPr>
          <w:sz w:val="24"/>
          <w:szCs w:val="24"/>
          <w:lang w:eastAsia="pt-BR"/>
        </w:rPr>
        <w:t xml:space="preserve"> uma visão geral sobre os principais eventos mapeados que podem afetar as metas e objetivos fiscais do Governo. </w:t>
      </w:r>
    </w:p>
    <w:p w14:paraId="603C033E" w14:textId="77830089" w:rsidR="00AD3897" w:rsidRDefault="00421714" w:rsidP="00AD3897">
      <w:pPr>
        <w:spacing w:after="120" w:line="240" w:lineRule="auto"/>
        <w:ind w:firstLine="1418"/>
        <w:jc w:val="both"/>
        <w:rPr>
          <w:sz w:val="24"/>
          <w:szCs w:val="24"/>
          <w:lang w:eastAsia="pt-BR"/>
        </w:rPr>
      </w:pPr>
      <w:r w:rsidRPr="0005635F">
        <w:rPr>
          <w:sz w:val="24"/>
          <w:szCs w:val="24"/>
          <w:lang w:eastAsia="pt-BR"/>
        </w:rPr>
        <w:t>A</w:t>
      </w:r>
      <w:r w:rsidR="00AD3897" w:rsidRPr="0005635F">
        <w:rPr>
          <w:sz w:val="24"/>
          <w:szCs w:val="24"/>
          <w:lang w:eastAsia="pt-BR"/>
        </w:rPr>
        <w:t>o longo deste documento, os riscos fiscais serão agrupados em duas categorias: riscos gerais (macroeconômicos) e riscos específicos. Os riscos gerais estão relacionados à vulnerabilidade fiscal decorrente de desvios de previsão das variáveis econômicas. Nesse sentido, a análise dos riscos gerais busca avaliar os efeitos nas contas públicas resultantes de variações nos parâmetros econômicos utilizados para a produção das previsões fiscais.</w:t>
      </w:r>
      <w:r w:rsidR="00A8266B">
        <w:rPr>
          <w:sz w:val="24"/>
          <w:szCs w:val="24"/>
          <w:lang w:eastAsia="pt-BR"/>
        </w:rPr>
        <w:t xml:space="preserve"> </w:t>
      </w:r>
      <w:r w:rsidR="00255222" w:rsidRPr="0005635F">
        <w:rPr>
          <w:sz w:val="24"/>
          <w:szCs w:val="24"/>
          <w:lang w:eastAsia="pt-BR"/>
        </w:rPr>
        <w:t>N</w:t>
      </w:r>
      <w:r w:rsidR="00AD3897" w:rsidRPr="0005635F">
        <w:rPr>
          <w:sz w:val="24"/>
          <w:szCs w:val="24"/>
          <w:lang w:eastAsia="pt-BR"/>
        </w:rPr>
        <w:t>esta categoria de risco, serão examinados os impactos nos agregados fiscais de oscilações em parâmetros como crescimento do PIB, taxa de juros, taxa de câmbio, índices de inflação, preços de commodities, indicadores do mercado de trabalho etc. As análises desenvolvidas procuram identificar choques ou pressões específicas que possam distanciar as finanças públicas das projeções fiscais divulgadas no Anexo de Metas Fiscais des</w:t>
      </w:r>
      <w:r w:rsidR="00AA7EB9" w:rsidRPr="0005635F">
        <w:rPr>
          <w:sz w:val="24"/>
          <w:szCs w:val="24"/>
          <w:lang w:eastAsia="pt-BR"/>
        </w:rPr>
        <w:t>t</w:t>
      </w:r>
      <w:r w:rsidR="00AD3897" w:rsidRPr="0005635F">
        <w:rPr>
          <w:sz w:val="24"/>
          <w:szCs w:val="24"/>
          <w:lang w:eastAsia="pt-BR"/>
        </w:rPr>
        <w:t xml:space="preserve">a Lei. </w:t>
      </w:r>
    </w:p>
    <w:p w14:paraId="59232A4E" w14:textId="4082FEF1" w:rsidR="00AD3897" w:rsidRDefault="00AD3897" w:rsidP="00AD3897">
      <w:pPr>
        <w:spacing w:after="120" w:line="240" w:lineRule="auto"/>
        <w:ind w:firstLine="1418"/>
        <w:jc w:val="both"/>
        <w:rPr>
          <w:sz w:val="24"/>
          <w:szCs w:val="24"/>
          <w:lang w:eastAsia="pt-BR"/>
        </w:rPr>
      </w:pPr>
      <w:r w:rsidRPr="0005635F">
        <w:rPr>
          <w:sz w:val="24"/>
          <w:szCs w:val="24"/>
          <w:lang w:eastAsia="pt-BR"/>
        </w:rPr>
        <w:t>Os riscos específicos</w:t>
      </w:r>
      <w:r w:rsidR="00ED478E" w:rsidRPr="0005635F">
        <w:rPr>
          <w:sz w:val="24"/>
          <w:szCs w:val="24"/>
          <w:lang w:eastAsia="pt-BR"/>
        </w:rPr>
        <w:t>, por sua vez,</w:t>
      </w:r>
      <w:r w:rsidRPr="0005635F">
        <w:rPr>
          <w:sz w:val="24"/>
          <w:szCs w:val="24"/>
          <w:lang w:eastAsia="pt-BR"/>
        </w:rPr>
        <w:t xml:space="preserve"> dizem respeito aos</w:t>
      </w:r>
      <w:r w:rsidR="00F5312C">
        <w:rPr>
          <w:sz w:val="24"/>
          <w:szCs w:val="24"/>
          <w:lang w:eastAsia="pt-BR"/>
        </w:rPr>
        <w:t xml:space="preserve"> ativo</w:t>
      </w:r>
      <w:r w:rsidR="00A10206">
        <w:rPr>
          <w:sz w:val="24"/>
          <w:szCs w:val="24"/>
          <w:lang w:eastAsia="pt-BR"/>
        </w:rPr>
        <w:t>s e aos</w:t>
      </w:r>
      <w:r w:rsidRPr="0005635F">
        <w:rPr>
          <w:sz w:val="24"/>
          <w:szCs w:val="24"/>
          <w:lang w:eastAsia="pt-BR"/>
        </w:rPr>
        <w:t xml:space="preserve"> passivos contingentes do governo e se relacionam a eventos que ocorrem de maneira irregular. Os riscos específicos incluem aqueles gerados por demandas judiciais, garantias dadas a governos subnacionais, suporte financeiro a bancos e empresas estatais, riscos assumidos pela União enquanto Poder Concedente nos </w:t>
      </w:r>
      <w:r w:rsidR="00AD02C9">
        <w:rPr>
          <w:sz w:val="24"/>
          <w:szCs w:val="24"/>
          <w:lang w:eastAsia="pt-BR"/>
        </w:rPr>
        <w:t>processos</w:t>
      </w:r>
      <w:r w:rsidRPr="0005635F">
        <w:rPr>
          <w:sz w:val="24"/>
          <w:szCs w:val="24"/>
          <w:lang w:eastAsia="pt-BR"/>
        </w:rPr>
        <w:t xml:space="preserve"> de concessões, permissões e Parcerias Público-Privadas – </w:t>
      </w:r>
      <w:proofErr w:type="spellStart"/>
      <w:r w:rsidRPr="0005635F">
        <w:rPr>
          <w:sz w:val="24"/>
          <w:szCs w:val="24"/>
          <w:lang w:eastAsia="pt-BR"/>
        </w:rPr>
        <w:t>PPPs</w:t>
      </w:r>
      <w:proofErr w:type="spellEnd"/>
      <w:r w:rsidRPr="0005635F">
        <w:rPr>
          <w:sz w:val="24"/>
          <w:szCs w:val="24"/>
          <w:lang w:eastAsia="pt-BR"/>
        </w:rPr>
        <w:t>, fatores demográficos, entre outros. A análise dos riscos específicos envolve avaliação qualitativa das particularidades de cada tema, buscando identificar a materialização do risco no curto prazo, bem como mensurar seu custo.</w:t>
      </w:r>
    </w:p>
    <w:p w14:paraId="04971F1C" w14:textId="026F669B" w:rsidR="000D17A6" w:rsidRDefault="000D17A6" w:rsidP="003916E0">
      <w:pPr>
        <w:pStyle w:val="Legenda"/>
        <w:spacing w:after="120"/>
        <w:jc w:val="center"/>
        <w:rPr>
          <w:rFonts w:asciiTheme="minorHAnsi" w:hAnsiTheme="minorHAnsi"/>
          <w:i w:val="0"/>
          <w:color w:val="auto"/>
          <w:sz w:val="22"/>
          <w:szCs w:val="22"/>
        </w:rPr>
      </w:pPr>
      <w:bookmarkStart w:id="6" w:name="_Ref5617777"/>
      <w:bookmarkStart w:id="7" w:name="_Toc5012804"/>
      <w:bookmarkStart w:id="8" w:name="_Toc69121326"/>
      <w:r w:rsidRPr="0022645B">
        <w:rPr>
          <w:rFonts w:asciiTheme="minorHAnsi" w:hAnsiTheme="minorHAnsi"/>
          <w:i w:val="0"/>
          <w:color w:val="auto"/>
          <w:sz w:val="22"/>
          <w:szCs w:val="22"/>
        </w:rPr>
        <w:t xml:space="preserve">Figura </w:t>
      </w:r>
      <w:r w:rsidR="00A561BC">
        <w:rPr>
          <w:rFonts w:asciiTheme="minorHAnsi" w:hAnsiTheme="minorHAnsi"/>
          <w:i w:val="0"/>
          <w:color w:val="auto"/>
          <w:sz w:val="22"/>
          <w:szCs w:val="22"/>
        </w:rPr>
        <w:fldChar w:fldCharType="begin"/>
      </w:r>
      <w:r w:rsidR="00A561BC">
        <w:rPr>
          <w:rFonts w:asciiTheme="minorHAnsi" w:hAnsiTheme="minorHAnsi"/>
          <w:i w:val="0"/>
          <w:color w:val="auto"/>
          <w:sz w:val="22"/>
          <w:szCs w:val="22"/>
        </w:rPr>
        <w:instrText xml:space="preserve"> SEQ Figura \* ARABIC </w:instrText>
      </w:r>
      <w:r w:rsidR="00A561BC">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w:t>
      </w:r>
      <w:r w:rsidR="00A561BC">
        <w:rPr>
          <w:rFonts w:asciiTheme="minorHAnsi" w:hAnsiTheme="minorHAnsi"/>
          <w:i w:val="0"/>
          <w:color w:val="auto"/>
          <w:sz w:val="22"/>
          <w:szCs w:val="22"/>
        </w:rPr>
        <w:fldChar w:fldCharType="end"/>
      </w:r>
      <w:bookmarkEnd w:id="6"/>
      <w:r w:rsidR="002D1E58">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 Riscos Fiscais - </w:t>
      </w:r>
      <w:r w:rsidR="00277569" w:rsidRPr="0022645B">
        <w:rPr>
          <w:rFonts w:asciiTheme="minorHAnsi" w:hAnsiTheme="minorHAnsi"/>
          <w:i w:val="0"/>
          <w:color w:val="auto"/>
          <w:sz w:val="22"/>
          <w:szCs w:val="22"/>
        </w:rPr>
        <w:t>c</w:t>
      </w:r>
      <w:r w:rsidRPr="0022645B">
        <w:rPr>
          <w:rFonts w:asciiTheme="minorHAnsi" w:hAnsiTheme="minorHAnsi"/>
          <w:i w:val="0"/>
          <w:color w:val="auto"/>
          <w:sz w:val="22"/>
          <w:szCs w:val="22"/>
        </w:rPr>
        <w:t xml:space="preserve">lassificação e </w:t>
      </w:r>
      <w:r w:rsidR="00277569" w:rsidRPr="0022645B">
        <w:rPr>
          <w:rFonts w:asciiTheme="minorHAnsi" w:hAnsiTheme="minorHAnsi"/>
          <w:i w:val="0"/>
          <w:color w:val="auto"/>
          <w:sz w:val="22"/>
          <w:szCs w:val="22"/>
        </w:rPr>
        <w:t>f</w:t>
      </w:r>
      <w:r w:rsidRPr="0022645B">
        <w:rPr>
          <w:rFonts w:asciiTheme="minorHAnsi" w:hAnsiTheme="minorHAnsi"/>
          <w:i w:val="0"/>
          <w:color w:val="auto"/>
          <w:sz w:val="22"/>
          <w:szCs w:val="22"/>
        </w:rPr>
        <w:t>onte</w:t>
      </w:r>
      <w:bookmarkEnd w:id="7"/>
      <w:bookmarkEnd w:id="8"/>
    </w:p>
    <w:p w14:paraId="243ACDF3" w14:textId="3063AD61" w:rsidR="00642D14" w:rsidRDefault="442794DF" w:rsidP="00C46F5E">
      <w:pPr>
        <w:spacing w:after="120" w:line="240" w:lineRule="auto"/>
        <w:jc w:val="center"/>
        <w:rPr>
          <w:sz w:val="24"/>
          <w:szCs w:val="24"/>
        </w:rPr>
      </w:pPr>
      <w:r>
        <w:rPr>
          <w:noProof/>
          <w:lang w:eastAsia="pt-BR"/>
        </w:rPr>
        <w:drawing>
          <wp:inline distT="0" distB="0" distL="0" distR="0" wp14:anchorId="0D5F720F" wp14:editId="6442A19C">
            <wp:extent cx="4572000" cy="3826800"/>
            <wp:effectExtent l="0" t="0" r="0" b="2540"/>
            <wp:docPr id="270623366" name="Imagem 27062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0623366"/>
                    <pic:cNvPicPr/>
                  </pic:nvPicPr>
                  <pic:blipFill>
                    <a:blip r:embed="rId12">
                      <a:extLst>
                        <a:ext uri="{28A0092B-C50C-407E-A947-70E740481C1C}">
                          <a14:useLocalDpi xmlns:a14="http://schemas.microsoft.com/office/drawing/2010/main" val="0"/>
                        </a:ext>
                      </a:extLst>
                    </a:blip>
                    <a:stretch>
                      <a:fillRect/>
                    </a:stretch>
                  </pic:blipFill>
                  <pic:spPr>
                    <a:xfrm>
                      <a:off x="0" y="0"/>
                      <a:ext cx="4572000" cy="3826800"/>
                    </a:xfrm>
                    <a:prstGeom prst="rect">
                      <a:avLst/>
                    </a:prstGeom>
                  </pic:spPr>
                </pic:pic>
              </a:graphicData>
            </a:graphic>
          </wp:inline>
        </w:drawing>
      </w:r>
    </w:p>
    <w:p w14:paraId="2CA62FBC" w14:textId="77777777" w:rsidR="00642D14" w:rsidRPr="0022645B" w:rsidRDefault="00642D14" w:rsidP="00C46F5E">
      <w:pPr>
        <w:spacing w:after="120" w:line="240" w:lineRule="auto"/>
        <w:jc w:val="center"/>
        <w:rPr>
          <w:sz w:val="24"/>
          <w:szCs w:val="24"/>
        </w:rPr>
      </w:pPr>
    </w:p>
    <w:p w14:paraId="4C3B9EAA" w14:textId="42A54D38" w:rsidR="00452718" w:rsidRPr="0005635F" w:rsidRDefault="00452718" w:rsidP="00452718">
      <w:pPr>
        <w:spacing w:after="120" w:line="240" w:lineRule="auto"/>
        <w:ind w:firstLine="1418"/>
        <w:jc w:val="both"/>
        <w:rPr>
          <w:sz w:val="24"/>
          <w:szCs w:val="24"/>
        </w:rPr>
      </w:pPr>
      <w:r w:rsidRPr="0005635F">
        <w:rPr>
          <w:sz w:val="24"/>
          <w:szCs w:val="24"/>
        </w:rPr>
        <w:t xml:space="preserve">A </w:t>
      </w:r>
      <w:r w:rsidRPr="0005635F">
        <w:rPr>
          <w:sz w:val="24"/>
          <w:szCs w:val="24"/>
        </w:rPr>
        <w:fldChar w:fldCharType="begin"/>
      </w:r>
      <w:r w:rsidRPr="0005635F">
        <w:rPr>
          <w:sz w:val="24"/>
          <w:szCs w:val="24"/>
        </w:rPr>
        <w:instrText xml:space="preserve"> REF _Ref5617777 \h  \* MERGEFORMAT </w:instrText>
      </w:r>
      <w:r w:rsidRPr="0005635F">
        <w:rPr>
          <w:sz w:val="24"/>
          <w:szCs w:val="24"/>
        </w:rPr>
      </w:r>
      <w:r w:rsidRPr="0005635F">
        <w:rPr>
          <w:sz w:val="24"/>
          <w:szCs w:val="24"/>
        </w:rPr>
        <w:fldChar w:fldCharType="separate"/>
      </w:r>
      <w:r w:rsidR="00304F5F" w:rsidRPr="00304F5F">
        <w:rPr>
          <w:sz w:val="24"/>
          <w:szCs w:val="24"/>
        </w:rPr>
        <w:t>Figura 1</w:t>
      </w:r>
      <w:r w:rsidRPr="0005635F">
        <w:rPr>
          <w:sz w:val="24"/>
          <w:szCs w:val="24"/>
        </w:rPr>
        <w:fldChar w:fldCharType="end"/>
      </w:r>
      <w:r w:rsidRPr="0005635F">
        <w:rPr>
          <w:sz w:val="24"/>
          <w:szCs w:val="24"/>
        </w:rPr>
        <w:t xml:space="preserve"> demonstra, sinteticamente, a organização dos riscos fiscais apresentados nesse documento, segundo a sua classificação e fonte.</w:t>
      </w:r>
    </w:p>
    <w:p w14:paraId="1E5BCDCC" w14:textId="065E8B39" w:rsidR="00A21C59" w:rsidRPr="0005635F" w:rsidRDefault="00A21C59" w:rsidP="00A21C59">
      <w:pPr>
        <w:spacing w:after="120" w:line="240" w:lineRule="auto"/>
        <w:ind w:firstLine="1418"/>
        <w:jc w:val="both"/>
        <w:rPr>
          <w:sz w:val="24"/>
          <w:szCs w:val="24"/>
        </w:rPr>
      </w:pPr>
      <w:r w:rsidRPr="0005635F">
        <w:rPr>
          <w:sz w:val="24"/>
          <w:szCs w:val="24"/>
          <w:lang w:eastAsia="pt-BR"/>
        </w:rPr>
        <w:t xml:space="preserve">Os riscos fiscais tratados neste documento possuem naturezas diversas e estão associados a diferentes processos relacionados à sua identificação, mensuração e gestão. No contexto brasileiro, </w:t>
      </w:r>
      <w:r w:rsidR="00F829AF">
        <w:rPr>
          <w:sz w:val="24"/>
          <w:szCs w:val="24"/>
          <w:lang w:eastAsia="pt-BR"/>
        </w:rPr>
        <w:t xml:space="preserve">os riscos, </w:t>
      </w:r>
      <w:r w:rsidRPr="0005635F">
        <w:rPr>
          <w:sz w:val="24"/>
          <w:szCs w:val="24"/>
          <w:lang w:eastAsia="pt-BR"/>
        </w:rPr>
        <w:t>em grande parte</w:t>
      </w:r>
      <w:r w:rsidR="00F829AF">
        <w:rPr>
          <w:sz w:val="24"/>
          <w:szCs w:val="24"/>
          <w:lang w:eastAsia="pt-BR"/>
        </w:rPr>
        <w:t>,</w:t>
      </w:r>
      <w:r w:rsidRPr="0005635F">
        <w:rPr>
          <w:sz w:val="24"/>
          <w:szCs w:val="24"/>
          <w:lang w:eastAsia="pt-BR"/>
        </w:rPr>
        <w:t xml:space="preserve"> estão submetidos a um arcabouço institucional e normativo que já estabelece que sua administração se dê no âmbito do desempenho das atribuições de órgãos específicos. Nesse ambiente, que reúne um elevado número de interlocutores que tratam de temas distintos a partir de metodologias diversas, a consolidação das informações deve se pautar pela harmonização de conceitos e padronização dos impactos fiscais. Nesse sentido, nas diferentes análises apresentadas</w:t>
      </w:r>
      <w:r w:rsidR="00F829AF">
        <w:rPr>
          <w:sz w:val="24"/>
          <w:szCs w:val="24"/>
          <w:lang w:eastAsia="pt-BR"/>
        </w:rPr>
        <w:t>,</w:t>
      </w:r>
      <w:r w:rsidRPr="0005635F">
        <w:rPr>
          <w:sz w:val="24"/>
          <w:szCs w:val="24"/>
          <w:lang w:eastAsia="pt-BR"/>
        </w:rPr>
        <w:t xml:space="preserve"> busca-se distinguir, em cada caso, os impactos primários dos impactos financeiros, os valores de fluxos dos valores de estoques, os exercícios financeiros, bem como apresentar a explicitação dos critérios utilizados para a mensuração dos riscos e para a construção de projeções.</w:t>
      </w:r>
    </w:p>
    <w:p w14:paraId="41E671FD" w14:textId="7195C9CA" w:rsidR="000D17A6" w:rsidRPr="0005635F" w:rsidRDefault="00196E95" w:rsidP="00A5521C">
      <w:pPr>
        <w:spacing w:after="120" w:line="240" w:lineRule="auto"/>
        <w:ind w:firstLine="1418"/>
        <w:jc w:val="both"/>
        <w:rPr>
          <w:sz w:val="24"/>
          <w:szCs w:val="24"/>
        </w:rPr>
      </w:pPr>
      <w:r w:rsidRPr="0005635F">
        <w:rPr>
          <w:sz w:val="24"/>
          <w:szCs w:val="24"/>
        </w:rPr>
        <w:t>O</w:t>
      </w:r>
      <w:r w:rsidR="00A5521C" w:rsidRPr="0005635F">
        <w:rPr>
          <w:sz w:val="24"/>
          <w:szCs w:val="24"/>
        </w:rPr>
        <w:t xml:space="preserve"> presente Anexo de Riscos Fiscais segue estruturado em</w:t>
      </w:r>
      <w:r w:rsidR="00D44DCC" w:rsidRPr="0005635F">
        <w:rPr>
          <w:sz w:val="24"/>
          <w:szCs w:val="24"/>
        </w:rPr>
        <w:t xml:space="preserve"> quatro</w:t>
      </w:r>
      <w:r w:rsidR="00A5521C" w:rsidRPr="0005635F">
        <w:rPr>
          <w:sz w:val="24"/>
          <w:szCs w:val="24"/>
        </w:rPr>
        <w:t xml:space="preserve"> seções</w:t>
      </w:r>
      <w:r w:rsidR="002C014F" w:rsidRPr="0005635F">
        <w:rPr>
          <w:sz w:val="24"/>
          <w:szCs w:val="24"/>
        </w:rPr>
        <w:t>, além desta Introdução</w:t>
      </w:r>
      <w:r w:rsidR="00A5521C" w:rsidRPr="0005635F">
        <w:rPr>
          <w:sz w:val="24"/>
          <w:szCs w:val="24"/>
        </w:rPr>
        <w:t>: i)</w:t>
      </w:r>
      <w:r w:rsidR="00D44DCC" w:rsidRPr="0005635F">
        <w:rPr>
          <w:sz w:val="24"/>
          <w:szCs w:val="24"/>
        </w:rPr>
        <w:t xml:space="preserve"> Sumário Executivo; </w:t>
      </w:r>
      <w:proofErr w:type="spellStart"/>
      <w:proofErr w:type="gramStart"/>
      <w:r w:rsidR="00D44DCC" w:rsidRPr="0005635F">
        <w:rPr>
          <w:sz w:val="24"/>
          <w:szCs w:val="24"/>
        </w:rPr>
        <w:t>ii</w:t>
      </w:r>
      <w:proofErr w:type="spellEnd"/>
      <w:proofErr w:type="gramEnd"/>
      <w:r w:rsidR="00D44DCC" w:rsidRPr="0005635F">
        <w:rPr>
          <w:sz w:val="24"/>
          <w:szCs w:val="24"/>
        </w:rPr>
        <w:t>)</w:t>
      </w:r>
      <w:r w:rsidR="00A5521C" w:rsidRPr="0005635F">
        <w:rPr>
          <w:sz w:val="24"/>
          <w:szCs w:val="24"/>
        </w:rPr>
        <w:t xml:space="preserve"> Análise dos Riscos Macroeconômicos</w:t>
      </w:r>
      <w:r w:rsidR="00AF0724" w:rsidRPr="0005635F">
        <w:rPr>
          <w:sz w:val="24"/>
          <w:szCs w:val="24"/>
        </w:rPr>
        <w:t xml:space="preserve"> (Gerais)</w:t>
      </w:r>
      <w:r w:rsidR="00A5521C" w:rsidRPr="0005635F">
        <w:rPr>
          <w:sz w:val="24"/>
          <w:szCs w:val="24"/>
        </w:rPr>
        <w:t xml:space="preserve">; </w:t>
      </w:r>
      <w:proofErr w:type="spellStart"/>
      <w:r w:rsidR="00D44DCC" w:rsidRPr="0005635F">
        <w:rPr>
          <w:sz w:val="24"/>
          <w:szCs w:val="24"/>
        </w:rPr>
        <w:t>i</w:t>
      </w:r>
      <w:r w:rsidR="00A5521C" w:rsidRPr="0005635F">
        <w:rPr>
          <w:sz w:val="24"/>
          <w:szCs w:val="24"/>
        </w:rPr>
        <w:t>ii</w:t>
      </w:r>
      <w:proofErr w:type="spellEnd"/>
      <w:r w:rsidR="00A5521C" w:rsidRPr="0005635F">
        <w:rPr>
          <w:sz w:val="24"/>
          <w:szCs w:val="24"/>
        </w:rPr>
        <w:t xml:space="preserve">) Análise dos Riscos Específicos; e </w:t>
      </w:r>
      <w:proofErr w:type="spellStart"/>
      <w:r w:rsidR="00A5521C" w:rsidRPr="0005635F">
        <w:rPr>
          <w:sz w:val="24"/>
          <w:szCs w:val="24"/>
        </w:rPr>
        <w:t>i</w:t>
      </w:r>
      <w:r w:rsidR="00D44DCC" w:rsidRPr="0005635F">
        <w:rPr>
          <w:sz w:val="24"/>
          <w:szCs w:val="24"/>
        </w:rPr>
        <w:t>v</w:t>
      </w:r>
      <w:proofErr w:type="spellEnd"/>
      <w:r w:rsidR="00A5521C" w:rsidRPr="0005635F">
        <w:rPr>
          <w:sz w:val="24"/>
          <w:szCs w:val="24"/>
        </w:rPr>
        <w:t>) Considerações Finais.</w:t>
      </w:r>
    </w:p>
    <w:p w14:paraId="40AFBFEE" w14:textId="5CA73817" w:rsidR="00A5521C" w:rsidRDefault="00A5521C" w:rsidP="00CC39B2">
      <w:pPr>
        <w:spacing w:after="120" w:line="240" w:lineRule="auto"/>
        <w:jc w:val="both"/>
        <w:rPr>
          <w:sz w:val="24"/>
          <w:szCs w:val="24"/>
        </w:rPr>
      </w:pPr>
    </w:p>
    <w:p w14:paraId="161FC278" w14:textId="5B742F96" w:rsidR="00F02AE0" w:rsidRDefault="00F02AE0" w:rsidP="00CC39B2">
      <w:pPr>
        <w:spacing w:after="120" w:line="240" w:lineRule="auto"/>
        <w:jc w:val="both"/>
        <w:rPr>
          <w:sz w:val="24"/>
          <w:szCs w:val="24"/>
        </w:rPr>
      </w:pPr>
    </w:p>
    <w:p w14:paraId="13527DF6" w14:textId="74F9EF03" w:rsidR="00E534CB" w:rsidRDefault="00E534CB">
      <w:pPr>
        <w:rPr>
          <w:sz w:val="24"/>
          <w:szCs w:val="24"/>
        </w:rPr>
      </w:pPr>
      <w:r>
        <w:rPr>
          <w:sz w:val="24"/>
          <w:szCs w:val="24"/>
        </w:rPr>
        <w:br w:type="page"/>
      </w:r>
    </w:p>
    <w:p w14:paraId="3162D47F" w14:textId="77777777" w:rsidR="00DB5E3D" w:rsidRPr="0005635F" w:rsidRDefault="00DB5E3D" w:rsidP="00DB5E3D">
      <w:pPr>
        <w:pStyle w:val="Ttulo1"/>
        <w:numPr>
          <w:ilvl w:val="0"/>
          <w:numId w:val="36"/>
        </w:numPr>
        <w:spacing w:before="0" w:after="120" w:line="240" w:lineRule="auto"/>
        <w:ind w:left="431" w:hanging="431"/>
        <w:rPr>
          <w:rFonts w:asciiTheme="minorHAnsi" w:hAnsiTheme="minorHAnsi"/>
          <w:b/>
          <w:color w:val="auto"/>
          <w:sz w:val="28"/>
          <w:szCs w:val="28"/>
          <w:lang w:eastAsia="pt-BR"/>
        </w:rPr>
      </w:pPr>
      <w:bookmarkStart w:id="9" w:name="_Toc67317968"/>
      <w:bookmarkStart w:id="10" w:name="_Toc67929622"/>
      <w:bookmarkStart w:id="11" w:name="_Toc69121209"/>
      <w:r w:rsidRPr="0005635F">
        <w:rPr>
          <w:rFonts w:asciiTheme="minorHAnsi" w:hAnsiTheme="minorHAnsi"/>
          <w:b/>
          <w:color w:val="auto"/>
          <w:sz w:val="28"/>
          <w:szCs w:val="28"/>
          <w:lang w:eastAsia="pt-BR"/>
        </w:rPr>
        <w:lastRenderedPageBreak/>
        <w:t>SUMÁRIO EXECUTIVO</w:t>
      </w:r>
      <w:bookmarkEnd w:id="9"/>
      <w:bookmarkEnd w:id="10"/>
      <w:bookmarkEnd w:id="11"/>
    </w:p>
    <w:p w14:paraId="377EC71B" w14:textId="77777777" w:rsidR="00CC39B2" w:rsidRPr="0005635F" w:rsidRDefault="00CC39B2" w:rsidP="00CC39B2">
      <w:pPr>
        <w:spacing w:after="120" w:line="240" w:lineRule="auto"/>
        <w:ind w:firstLine="1418"/>
        <w:jc w:val="both"/>
        <w:rPr>
          <w:sz w:val="24"/>
          <w:szCs w:val="24"/>
        </w:rPr>
      </w:pPr>
      <w:r w:rsidRPr="0005635F">
        <w:rPr>
          <w:sz w:val="24"/>
          <w:szCs w:val="24"/>
        </w:rPr>
        <w:t>As principais mensagens das supramencionadas seções de riscos gerais e de riscos específicos estão resumidas nos pontos abaixo. Adicionalmente, para os riscos específicos é apresentada uma tabela resumo com a indicação da base de atuação dos principais riscos quantificados.</w:t>
      </w:r>
    </w:p>
    <w:p w14:paraId="15A92EC7" w14:textId="77777777" w:rsidR="009658BD" w:rsidRPr="00820B47" w:rsidRDefault="009658BD" w:rsidP="00820B47">
      <w:pPr>
        <w:spacing w:after="120" w:line="240" w:lineRule="auto"/>
        <w:ind w:firstLine="1418"/>
        <w:jc w:val="both"/>
        <w:rPr>
          <w:sz w:val="24"/>
          <w:szCs w:val="24"/>
        </w:rPr>
      </w:pPr>
    </w:p>
    <w:p w14:paraId="58160918" w14:textId="77777777" w:rsidR="0051611C" w:rsidRPr="00C45048" w:rsidRDefault="0051611C" w:rsidP="0051611C">
      <w:pPr>
        <w:spacing w:after="120" w:line="240" w:lineRule="auto"/>
        <w:jc w:val="both"/>
        <w:rPr>
          <w:b/>
          <w:sz w:val="24"/>
          <w:szCs w:val="24"/>
          <w:u w:val="single"/>
        </w:rPr>
      </w:pPr>
      <w:bookmarkStart w:id="12" w:name="_Ref5285159"/>
      <w:r w:rsidRPr="00C45048">
        <w:rPr>
          <w:b/>
          <w:sz w:val="24"/>
          <w:szCs w:val="24"/>
          <w:u w:val="single"/>
        </w:rPr>
        <w:t>Riscos Fiscais Gerais</w:t>
      </w:r>
    </w:p>
    <w:p w14:paraId="51EDF079" w14:textId="77777777" w:rsidR="00DC159B" w:rsidRPr="00E20485" w:rsidRDefault="00DC159B" w:rsidP="00DC159B">
      <w:pPr>
        <w:pStyle w:val="PargrafodaLista"/>
        <w:numPr>
          <w:ilvl w:val="0"/>
          <w:numId w:val="25"/>
        </w:numPr>
        <w:spacing w:after="120" w:line="240" w:lineRule="auto"/>
        <w:ind w:left="425" w:hanging="425"/>
        <w:contextualSpacing w:val="0"/>
        <w:jc w:val="both"/>
        <w:rPr>
          <w:sz w:val="24"/>
          <w:szCs w:val="24"/>
        </w:rPr>
      </w:pPr>
      <w:r w:rsidRPr="00E20485">
        <w:rPr>
          <w:sz w:val="24"/>
          <w:szCs w:val="24"/>
        </w:rPr>
        <w:t xml:space="preserve">A sensibilidade da receita administrada pela Receita Federal do Brasil (RFB) revela que a variação de </w:t>
      </w:r>
      <w:proofErr w:type="gramStart"/>
      <w:r w:rsidRPr="00E20485">
        <w:rPr>
          <w:sz w:val="24"/>
          <w:szCs w:val="24"/>
        </w:rPr>
        <w:t>1</w:t>
      </w:r>
      <w:proofErr w:type="gramEnd"/>
      <w:r w:rsidRPr="00E20485">
        <w:rPr>
          <w:sz w:val="24"/>
          <w:szCs w:val="24"/>
        </w:rPr>
        <w:t xml:space="preserve"> </w:t>
      </w:r>
      <w:proofErr w:type="spellStart"/>
      <w:r w:rsidRPr="00E20485">
        <w:rPr>
          <w:sz w:val="24"/>
          <w:szCs w:val="24"/>
        </w:rPr>
        <w:t>p.p</w:t>
      </w:r>
      <w:proofErr w:type="spellEnd"/>
      <w:r w:rsidRPr="00E20485">
        <w:rPr>
          <w:sz w:val="24"/>
          <w:szCs w:val="24"/>
        </w:rPr>
        <w:t>. do PIB tem um impacto de 0,14% na receita previdenciária e 0,</w:t>
      </w:r>
      <w:r>
        <w:rPr>
          <w:sz w:val="24"/>
          <w:szCs w:val="24"/>
        </w:rPr>
        <w:t>57</w:t>
      </w:r>
      <w:r w:rsidRPr="00E20485">
        <w:rPr>
          <w:sz w:val="24"/>
          <w:szCs w:val="24"/>
        </w:rPr>
        <w:t>% nas demais receitas administradas, o que se traduz em um risco fiscal de R$ 6,</w:t>
      </w:r>
      <w:r>
        <w:rPr>
          <w:sz w:val="24"/>
          <w:szCs w:val="24"/>
        </w:rPr>
        <w:t>95</w:t>
      </w:r>
      <w:r w:rsidRPr="00E20485">
        <w:rPr>
          <w:sz w:val="24"/>
          <w:szCs w:val="24"/>
        </w:rPr>
        <w:t xml:space="preserve"> </w:t>
      </w:r>
      <w:r>
        <w:rPr>
          <w:sz w:val="24"/>
          <w:szCs w:val="24"/>
        </w:rPr>
        <w:t>bilhões em 2022.</w:t>
      </w:r>
    </w:p>
    <w:p w14:paraId="302F30D1" w14:textId="77777777" w:rsidR="00DC159B" w:rsidRPr="00DC159B" w:rsidRDefault="00DC159B" w:rsidP="00DC159B">
      <w:pPr>
        <w:pStyle w:val="PargrafodaLista"/>
        <w:numPr>
          <w:ilvl w:val="0"/>
          <w:numId w:val="25"/>
        </w:numPr>
        <w:spacing w:after="120" w:line="240" w:lineRule="auto"/>
        <w:ind w:left="425" w:hanging="425"/>
        <w:contextualSpacing w:val="0"/>
        <w:jc w:val="both"/>
        <w:rPr>
          <w:sz w:val="24"/>
          <w:szCs w:val="24"/>
        </w:rPr>
      </w:pPr>
      <w:r w:rsidRPr="00E20485">
        <w:rPr>
          <w:sz w:val="24"/>
          <w:szCs w:val="24"/>
        </w:rPr>
        <w:t xml:space="preserve">O efeito do choque de </w:t>
      </w:r>
      <w:proofErr w:type="gramStart"/>
      <w:r w:rsidRPr="00E20485">
        <w:rPr>
          <w:sz w:val="24"/>
          <w:szCs w:val="24"/>
        </w:rPr>
        <w:t>1</w:t>
      </w:r>
      <w:proofErr w:type="gramEnd"/>
      <w:r w:rsidRPr="00E20485">
        <w:rPr>
          <w:sz w:val="24"/>
          <w:szCs w:val="24"/>
        </w:rPr>
        <w:t xml:space="preserve"> </w:t>
      </w:r>
      <w:proofErr w:type="spellStart"/>
      <w:r w:rsidRPr="00E20485">
        <w:rPr>
          <w:sz w:val="24"/>
          <w:szCs w:val="24"/>
        </w:rPr>
        <w:t>p.p</w:t>
      </w:r>
      <w:proofErr w:type="spellEnd"/>
      <w:r w:rsidRPr="00E20485">
        <w:rPr>
          <w:sz w:val="24"/>
          <w:szCs w:val="24"/>
        </w:rPr>
        <w:t>. na Inflação (IER)</w:t>
      </w:r>
      <w:r w:rsidRPr="00DC159B">
        <w:rPr>
          <w:vertAlign w:val="superscript"/>
        </w:rPr>
        <w:footnoteReference w:id="2"/>
      </w:r>
      <w:r w:rsidRPr="00E20485">
        <w:rPr>
          <w:sz w:val="24"/>
          <w:szCs w:val="24"/>
        </w:rPr>
        <w:t xml:space="preserve"> tem um impacto de 0,14% na receita previdenciária e 0,5</w:t>
      </w:r>
      <w:r>
        <w:rPr>
          <w:sz w:val="24"/>
          <w:szCs w:val="24"/>
        </w:rPr>
        <w:t>3</w:t>
      </w:r>
      <w:r w:rsidRPr="00E20485">
        <w:rPr>
          <w:sz w:val="24"/>
          <w:szCs w:val="24"/>
        </w:rPr>
        <w:t>% nas demais receitas administradas, o que se traduz em um risco fiscal de R$ 6,5</w:t>
      </w:r>
      <w:r>
        <w:rPr>
          <w:sz w:val="24"/>
          <w:szCs w:val="24"/>
        </w:rPr>
        <w:t>1 bilhões em 2022.</w:t>
      </w:r>
    </w:p>
    <w:p w14:paraId="2884B497" w14:textId="53F1046F" w:rsidR="0051611C" w:rsidRPr="002D3FE0" w:rsidRDefault="002D3FE0" w:rsidP="0051611C">
      <w:pPr>
        <w:pStyle w:val="PargrafodaLista"/>
        <w:numPr>
          <w:ilvl w:val="0"/>
          <w:numId w:val="25"/>
        </w:numPr>
        <w:spacing w:after="120" w:line="240" w:lineRule="auto"/>
        <w:ind w:left="425" w:hanging="425"/>
        <w:contextualSpacing w:val="0"/>
        <w:jc w:val="both"/>
        <w:rPr>
          <w:lang w:eastAsia="pt-BR"/>
        </w:rPr>
      </w:pPr>
      <w:r w:rsidRPr="002D3FE0">
        <w:rPr>
          <w:sz w:val="24"/>
          <w:szCs w:val="24"/>
        </w:rPr>
        <w:t xml:space="preserve">O efeito do choque de </w:t>
      </w:r>
      <w:proofErr w:type="gramStart"/>
      <w:r w:rsidRPr="002D3FE0">
        <w:rPr>
          <w:sz w:val="24"/>
          <w:szCs w:val="24"/>
        </w:rPr>
        <w:t>1</w:t>
      </w:r>
      <w:proofErr w:type="gramEnd"/>
      <w:r w:rsidRPr="002D3FE0">
        <w:rPr>
          <w:sz w:val="24"/>
          <w:szCs w:val="24"/>
        </w:rPr>
        <w:t xml:space="preserve"> </w:t>
      </w:r>
      <w:proofErr w:type="spellStart"/>
      <w:r w:rsidRPr="002D3FE0">
        <w:rPr>
          <w:sz w:val="24"/>
          <w:szCs w:val="24"/>
        </w:rPr>
        <w:t>p.p</w:t>
      </w:r>
      <w:proofErr w:type="spellEnd"/>
      <w:r w:rsidRPr="002D3FE0">
        <w:rPr>
          <w:sz w:val="24"/>
          <w:szCs w:val="24"/>
        </w:rPr>
        <w:t>. na Massa Salarial tem um impacto de 0,81% na receita previdenciária e 0,07% nas demais receitas administradas, o que se traduz em um risco fiscal de R$ 4,</w:t>
      </w:r>
      <w:r w:rsidR="00462273">
        <w:rPr>
          <w:sz w:val="24"/>
          <w:szCs w:val="24"/>
        </w:rPr>
        <w:t>62</w:t>
      </w:r>
      <w:r w:rsidRPr="002D3FE0">
        <w:rPr>
          <w:sz w:val="24"/>
          <w:szCs w:val="24"/>
        </w:rPr>
        <w:t xml:space="preserve"> bilhões.</w:t>
      </w:r>
    </w:p>
    <w:p w14:paraId="0610C4A0" w14:textId="0ADC80BC" w:rsidR="0051611C" w:rsidRPr="00EF16A8" w:rsidRDefault="00EF16A8" w:rsidP="0051611C">
      <w:pPr>
        <w:pStyle w:val="PargrafodaLista"/>
        <w:numPr>
          <w:ilvl w:val="0"/>
          <w:numId w:val="25"/>
        </w:numPr>
        <w:spacing w:after="120" w:line="240" w:lineRule="auto"/>
        <w:ind w:left="425" w:hanging="425"/>
        <w:contextualSpacing w:val="0"/>
        <w:jc w:val="both"/>
        <w:rPr>
          <w:lang w:eastAsia="pt-BR"/>
        </w:rPr>
      </w:pPr>
      <w:r w:rsidRPr="00EF16A8">
        <w:rPr>
          <w:sz w:val="24"/>
          <w:szCs w:val="24"/>
        </w:rPr>
        <w:t xml:space="preserve">O efeito do choque de </w:t>
      </w:r>
      <w:proofErr w:type="gramStart"/>
      <w:r w:rsidRPr="00EF16A8">
        <w:rPr>
          <w:sz w:val="24"/>
          <w:szCs w:val="24"/>
        </w:rPr>
        <w:t>1</w:t>
      </w:r>
      <w:proofErr w:type="gramEnd"/>
      <w:r w:rsidRPr="00EF16A8">
        <w:rPr>
          <w:sz w:val="24"/>
          <w:szCs w:val="24"/>
        </w:rPr>
        <w:t xml:space="preserve"> </w:t>
      </w:r>
      <w:proofErr w:type="spellStart"/>
      <w:r w:rsidRPr="00EF16A8">
        <w:rPr>
          <w:sz w:val="24"/>
          <w:szCs w:val="24"/>
        </w:rPr>
        <w:t>p.p</w:t>
      </w:r>
      <w:proofErr w:type="spellEnd"/>
      <w:r w:rsidRPr="00EF16A8">
        <w:rPr>
          <w:sz w:val="24"/>
          <w:szCs w:val="24"/>
        </w:rPr>
        <w:t>. do Câmbio e dos Juros tem um impacto de 0,1</w:t>
      </w:r>
      <w:r w:rsidR="00CE100A">
        <w:rPr>
          <w:sz w:val="24"/>
          <w:szCs w:val="24"/>
        </w:rPr>
        <w:t>3</w:t>
      </w:r>
      <w:r w:rsidRPr="00EF16A8">
        <w:rPr>
          <w:sz w:val="24"/>
          <w:szCs w:val="24"/>
        </w:rPr>
        <w:t>% e 0,03%, respectivamente, nas demais receitas administradas, o que se traduz em um risco fiscal de R$ 1,</w:t>
      </w:r>
      <w:r w:rsidR="00CE100A">
        <w:rPr>
          <w:sz w:val="24"/>
          <w:szCs w:val="24"/>
        </w:rPr>
        <w:t>76</w:t>
      </w:r>
      <w:r w:rsidRPr="00EF16A8">
        <w:rPr>
          <w:sz w:val="24"/>
          <w:szCs w:val="24"/>
        </w:rPr>
        <w:t xml:space="preserve"> bilhão.</w:t>
      </w:r>
    </w:p>
    <w:p w14:paraId="4C53D157" w14:textId="2FB87A53" w:rsidR="0051611C" w:rsidRPr="002D1050" w:rsidRDefault="0051611C" w:rsidP="0051611C">
      <w:pPr>
        <w:pStyle w:val="PargrafodaLista"/>
        <w:numPr>
          <w:ilvl w:val="0"/>
          <w:numId w:val="25"/>
        </w:numPr>
        <w:spacing w:after="120" w:line="240" w:lineRule="auto"/>
        <w:ind w:left="425" w:hanging="425"/>
        <w:contextualSpacing w:val="0"/>
        <w:jc w:val="both"/>
        <w:rPr>
          <w:lang w:eastAsia="pt-BR"/>
        </w:rPr>
      </w:pPr>
      <w:r w:rsidRPr="002D1050">
        <w:rPr>
          <w:sz w:val="24"/>
          <w:szCs w:val="24"/>
        </w:rPr>
        <w:t xml:space="preserve">A </w:t>
      </w:r>
      <w:r w:rsidR="00296802">
        <w:rPr>
          <w:sz w:val="24"/>
          <w:szCs w:val="24"/>
        </w:rPr>
        <w:t>análise de risco aplicada à</w:t>
      </w:r>
      <w:r w:rsidRPr="002D1050">
        <w:rPr>
          <w:sz w:val="24"/>
          <w:szCs w:val="24"/>
        </w:rPr>
        <w:t xml:space="preserve"> despesa primária mostra que cada um real de aumento no salário</w:t>
      </w:r>
      <w:r w:rsidR="00550640">
        <w:rPr>
          <w:sz w:val="24"/>
          <w:szCs w:val="24"/>
        </w:rPr>
        <w:t>-</w:t>
      </w:r>
      <w:r w:rsidRPr="002D1050">
        <w:rPr>
          <w:sz w:val="24"/>
          <w:szCs w:val="24"/>
        </w:rPr>
        <w:t xml:space="preserve">mínimo gera um incremento de R$ </w:t>
      </w:r>
      <w:r w:rsidR="00921D7A" w:rsidRPr="002D1050">
        <w:rPr>
          <w:sz w:val="24"/>
          <w:szCs w:val="24"/>
        </w:rPr>
        <w:t>3</w:t>
      </w:r>
      <w:r w:rsidR="008764D9">
        <w:rPr>
          <w:sz w:val="24"/>
          <w:szCs w:val="24"/>
        </w:rPr>
        <w:t>56</w:t>
      </w:r>
      <w:r w:rsidRPr="002D1050">
        <w:rPr>
          <w:sz w:val="24"/>
          <w:szCs w:val="24"/>
        </w:rPr>
        <w:t>,</w:t>
      </w:r>
      <w:r w:rsidR="008764D9">
        <w:rPr>
          <w:sz w:val="24"/>
          <w:szCs w:val="24"/>
        </w:rPr>
        <w:t>9</w:t>
      </w:r>
      <w:r w:rsidRPr="002D1050">
        <w:rPr>
          <w:sz w:val="24"/>
          <w:szCs w:val="24"/>
        </w:rPr>
        <w:t xml:space="preserve"> milhões ao ano nas despesas do governo;</w:t>
      </w:r>
    </w:p>
    <w:p w14:paraId="4692DEAE" w14:textId="62DA96B1" w:rsidR="0051611C" w:rsidRPr="00EC0070" w:rsidRDefault="00EC0070" w:rsidP="0051611C">
      <w:pPr>
        <w:pStyle w:val="PargrafodaLista"/>
        <w:numPr>
          <w:ilvl w:val="0"/>
          <w:numId w:val="25"/>
        </w:numPr>
        <w:spacing w:after="120" w:line="240" w:lineRule="auto"/>
        <w:ind w:left="425" w:hanging="425"/>
        <w:contextualSpacing w:val="0"/>
        <w:jc w:val="both"/>
        <w:rPr>
          <w:sz w:val="24"/>
          <w:szCs w:val="24"/>
        </w:rPr>
      </w:pPr>
      <w:r w:rsidRPr="00EC0070">
        <w:rPr>
          <w:sz w:val="24"/>
          <w:szCs w:val="24"/>
        </w:rPr>
        <w:t xml:space="preserve">O choque de </w:t>
      </w:r>
      <w:proofErr w:type="gramStart"/>
      <w:r w:rsidRPr="00EC0070">
        <w:rPr>
          <w:sz w:val="24"/>
          <w:szCs w:val="24"/>
        </w:rPr>
        <w:t>1</w:t>
      </w:r>
      <w:proofErr w:type="gramEnd"/>
      <w:r w:rsidRPr="00EC0070">
        <w:rPr>
          <w:sz w:val="24"/>
          <w:szCs w:val="24"/>
        </w:rPr>
        <w:t xml:space="preserve"> </w:t>
      </w:r>
      <w:proofErr w:type="spellStart"/>
      <w:r w:rsidRPr="00EC0070">
        <w:rPr>
          <w:sz w:val="24"/>
          <w:szCs w:val="24"/>
        </w:rPr>
        <w:t>p.p</w:t>
      </w:r>
      <w:proofErr w:type="spellEnd"/>
      <w:r w:rsidRPr="00EC0070">
        <w:rPr>
          <w:sz w:val="24"/>
          <w:szCs w:val="24"/>
        </w:rPr>
        <w:t>. da inflação (INPC) gera um acréscimo de R$ 7,</w:t>
      </w:r>
      <w:r w:rsidR="00550640">
        <w:rPr>
          <w:sz w:val="24"/>
          <w:szCs w:val="24"/>
        </w:rPr>
        <w:t>9</w:t>
      </w:r>
      <w:r w:rsidRPr="00EC0070">
        <w:rPr>
          <w:sz w:val="24"/>
          <w:szCs w:val="24"/>
        </w:rPr>
        <w:t xml:space="preserve"> bilhões nas despesas, especialmente pelas despesas com benefícios previdenciários.</w:t>
      </w:r>
    </w:p>
    <w:p w14:paraId="0B759E84" w14:textId="14232796" w:rsidR="0051611C" w:rsidRPr="00303CF5" w:rsidRDefault="00185775" w:rsidP="0051611C">
      <w:pPr>
        <w:pStyle w:val="PargrafodaLista"/>
        <w:numPr>
          <w:ilvl w:val="0"/>
          <w:numId w:val="25"/>
        </w:numPr>
        <w:spacing w:after="120" w:line="240" w:lineRule="auto"/>
        <w:ind w:left="425" w:hanging="425"/>
        <w:contextualSpacing w:val="0"/>
        <w:jc w:val="both"/>
        <w:rPr>
          <w:sz w:val="24"/>
          <w:szCs w:val="24"/>
        </w:rPr>
      </w:pPr>
      <w:r w:rsidRPr="00185775">
        <w:rPr>
          <w:sz w:val="24"/>
          <w:szCs w:val="24"/>
        </w:rPr>
        <w:t xml:space="preserve">O efeito do choque de </w:t>
      </w:r>
      <w:proofErr w:type="gramStart"/>
      <w:r w:rsidRPr="00185775">
        <w:rPr>
          <w:sz w:val="24"/>
          <w:szCs w:val="24"/>
        </w:rPr>
        <w:t>1</w:t>
      </w:r>
      <w:proofErr w:type="gramEnd"/>
      <w:r w:rsidRPr="00185775">
        <w:rPr>
          <w:sz w:val="24"/>
          <w:szCs w:val="24"/>
        </w:rPr>
        <w:t xml:space="preserve"> </w:t>
      </w:r>
      <w:proofErr w:type="spellStart"/>
      <w:r w:rsidRPr="00185775">
        <w:rPr>
          <w:sz w:val="24"/>
          <w:szCs w:val="24"/>
        </w:rPr>
        <w:t>p.p</w:t>
      </w:r>
      <w:proofErr w:type="spellEnd"/>
      <w:r w:rsidRPr="00185775">
        <w:rPr>
          <w:sz w:val="24"/>
          <w:szCs w:val="24"/>
        </w:rPr>
        <w:t xml:space="preserve">. da inflação (IPCA) </w:t>
      </w:r>
      <w:r w:rsidR="001A107F" w:rsidRPr="001A107F">
        <w:rPr>
          <w:sz w:val="24"/>
          <w:szCs w:val="24"/>
        </w:rPr>
        <w:t xml:space="preserve">causa uma variação de R$ 14,9 bilhões </w:t>
      </w:r>
      <w:r w:rsidRPr="00185775">
        <w:rPr>
          <w:sz w:val="24"/>
          <w:szCs w:val="24"/>
        </w:rPr>
        <w:t xml:space="preserve">no limite das despesas a que se refere o art. 107 </w:t>
      </w:r>
      <w:r w:rsidRPr="00303CF5">
        <w:rPr>
          <w:sz w:val="24"/>
          <w:szCs w:val="24"/>
        </w:rPr>
        <w:t>do Ato das Disposições Constitucionais Transitórias.</w:t>
      </w:r>
    </w:p>
    <w:p w14:paraId="6687D37A" w14:textId="2F003363" w:rsidR="002457C8" w:rsidRPr="002820E6" w:rsidRDefault="002457C8" w:rsidP="002457C8">
      <w:pPr>
        <w:pStyle w:val="PargrafodaLista"/>
        <w:numPr>
          <w:ilvl w:val="0"/>
          <w:numId w:val="25"/>
        </w:numPr>
        <w:spacing w:after="120" w:line="240" w:lineRule="auto"/>
        <w:ind w:left="425" w:hanging="425"/>
        <w:contextualSpacing w:val="0"/>
        <w:jc w:val="both"/>
        <w:rPr>
          <w:sz w:val="24"/>
          <w:szCs w:val="24"/>
        </w:rPr>
      </w:pPr>
      <w:r w:rsidRPr="002820E6">
        <w:rPr>
          <w:sz w:val="24"/>
          <w:szCs w:val="24"/>
        </w:rPr>
        <w:t xml:space="preserve">Devido </w:t>
      </w:r>
      <w:r w:rsidR="00A73BAD" w:rsidRPr="002820E6">
        <w:rPr>
          <w:sz w:val="24"/>
          <w:szCs w:val="24"/>
        </w:rPr>
        <w:t>à elevada torre de vencimentos de LFT prevista para 2022, a sensibilidade quanto à elevação/redução de 1% da taxa de juros elevaria/reduziria a despesa esperada com estes títulos em R$ 4,</w:t>
      </w:r>
      <w:r w:rsidR="001E0F5C">
        <w:rPr>
          <w:sz w:val="24"/>
          <w:szCs w:val="24"/>
        </w:rPr>
        <w:t>5</w:t>
      </w:r>
      <w:r w:rsidR="00A73BAD" w:rsidRPr="002820E6">
        <w:rPr>
          <w:sz w:val="24"/>
          <w:szCs w:val="24"/>
        </w:rPr>
        <w:t xml:space="preserve"> bilhões.</w:t>
      </w:r>
    </w:p>
    <w:p w14:paraId="03C8D0A8" w14:textId="6A79B818" w:rsidR="002457C8" w:rsidRPr="00A56CD5" w:rsidRDefault="002457C8" w:rsidP="002457C8">
      <w:pPr>
        <w:pStyle w:val="PargrafodaLista"/>
        <w:numPr>
          <w:ilvl w:val="0"/>
          <w:numId w:val="25"/>
        </w:numPr>
        <w:spacing w:after="120" w:line="240" w:lineRule="auto"/>
        <w:ind w:left="425" w:hanging="425"/>
        <w:contextualSpacing w:val="0"/>
        <w:jc w:val="both"/>
        <w:rPr>
          <w:sz w:val="24"/>
          <w:szCs w:val="24"/>
        </w:rPr>
      </w:pPr>
      <w:r w:rsidRPr="00A56CD5">
        <w:rPr>
          <w:sz w:val="24"/>
          <w:szCs w:val="24"/>
        </w:rPr>
        <w:t xml:space="preserve">No </w:t>
      </w:r>
      <w:r w:rsidR="00A56CD5" w:rsidRPr="00A56CD5">
        <w:rPr>
          <w:sz w:val="24"/>
          <w:szCs w:val="24"/>
        </w:rPr>
        <w:t>ano 2021 espera-se que o percentual vincendo em 12 meses situe</w:t>
      </w:r>
      <w:r w:rsidR="00A01B21">
        <w:rPr>
          <w:sz w:val="24"/>
          <w:szCs w:val="24"/>
        </w:rPr>
        <w:t>-se</w:t>
      </w:r>
      <w:r w:rsidR="00A56CD5" w:rsidRPr="00A56CD5">
        <w:rPr>
          <w:sz w:val="24"/>
          <w:szCs w:val="24"/>
        </w:rPr>
        <w:t xml:space="preserve"> entre 24% e 29% da DPF, mantendo-se em patamares superiores a 20% da dívida ao longo de todo o período coberto neste Anexo de Riscos</w:t>
      </w:r>
      <w:r w:rsidRPr="00A56CD5">
        <w:rPr>
          <w:sz w:val="24"/>
          <w:szCs w:val="24"/>
        </w:rPr>
        <w:t>.</w:t>
      </w:r>
    </w:p>
    <w:p w14:paraId="2E3F9DC8" w14:textId="77777777" w:rsidR="00F47DB2" w:rsidRPr="00983704" w:rsidRDefault="00F47DB2" w:rsidP="00F47DB2">
      <w:pPr>
        <w:pStyle w:val="PargrafodaLista"/>
        <w:numPr>
          <w:ilvl w:val="0"/>
          <w:numId w:val="25"/>
        </w:numPr>
        <w:spacing w:after="120" w:line="240" w:lineRule="auto"/>
        <w:ind w:left="425" w:hanging="425"/>
        <w:contextualSpacing w:val="0"/>
        <w:jc w:val="both"/>
        <w:rPr>
          <w:sz w:val="24"/>
          <w:szCs w:val="24"/>
        </w:rPr>
      </w:pPr>
      <w:r w:rsidRPr="00983704">
        <w:rPr>
          <w:sz w:val="24"/>
          <w:szCs w:val="24"/>
        </w:rPr>
        <w:t>Os cenários de estresse apresentados para as trajetórias de resultado primário mostram que, no ano de 202</w:t>
      </w:r>
      <w:r>
        <w:rPr>
          <w:sz w:val="24"/>
          <w:szCs w:val="24"/>
        </w:rPr>
        <w:t>2</w:t>
      </w:r>
      <w:r w:rsidRPr="00983704">
        <w:rPr>
          <w:sz w:val="24"/>
          <w:szCs w:val="24"/>
        </w:rPr>
        <w:t xml:space="preserve">, os cenários identificados com baixa probabilidade podem ser em torno de R$ </w:t>
      </w:r>
      <w:r>
        <w:rPr>
          <w:sz w:val="24"/>
          <w:szCs w:val="24"/>
        </w:rPr>
        <w:t>8</w:t>
      </w:r>
      <w:r w:rsidRPr="00983704">
        <w:rPr>
          <w:sz w:val="24"/>
          <w:szCs w:val="24"/>
        </w:rPr>
        <w:t xml:space="preserve">2 bilhões acima ou abaixo da meta estabelecida para o Governo Central (R$ </w:t>
      </w:r>
      <w:r>
        <w:rPr>
          <w:sz w:val="24"/>
          <w:szCs w:val="24"/>
        </w:rPr>
        <w:t>-170</w:t>
      </w:r>
      <w:r w:rsidRPr="00983704">
        <w:rPr>
          <w:sz w:val="24"/>
          <w:szCs w:val="24"/>
        </w:rPr>
        <w:t>,</w:t>
      </w:r>
      <w:r>
        <w:rPr>
          <w:sz w:val="24"/>
          <w:szCs w:val="24"/>
        </w:rPr>
        <w:t>5</w:t>
      </w:r>
      <w:r w:rsidRPr="00983704">
        <w:rPr>
          <w:sz w:val="24"/>
          <w:szCs w:val="24"/>
        </w:rPr>
        <w:t xml:space="preserve"> bilhões). </w:t>
      </w:r>
    </w:p>
    <w:p w14:paraId="21D5E924" w14:textId="77777777" w:rsidR="00B20197" w:rsidRDefault="00B20197" w:rsidP="00B20197">
      <w:pPr>
        <w:pStyle w:val="PargrafodaLista"/>
        <w:numPr>
          <w:ilvl w:val="0"/>
          <w:numId w:val="25"/>
        </w:numPr>
        <w:spacing w:after="120" w:line="240" w:lineRule="auto"/>
        <w:ind w:left="425" w:hanging="425"/>
        <w:contextualSpacing w:val="0"/>
        <w:jc w:val="both"/>
        <w:rPr>
          <w:sz w:val="24"/>
          <w:szCs w:val="24"/>
        </w:rPr>
      </w:pPr>
      <w:r w:rsidRPr="00983704">
        <w:rPr>
          <w:sz w:val="24"/>
          <w:szCs w:val="24"/>
        </w:rPr>
        <w:t>Já para os anos de 202</w:t>
      </w:r>
      <w:r>
        <w:rPr>
          <w:sz w:val="24"/>
          <w:szCs w:val="24"/>
        </w:rPr>
        <w:t>3</w:t>
      </w:r>
      <w:r w:rsidRPr="00983704">
        <w:rPr>
          <w:sz w:val="24"/>
          <w:szCs w:val="24"/>
        </w:rPr>
        <w:t xml:space="preserve"> e 202</w:t>
      </w:r>
      <w:r>
        <w:rPr>
          <w:sz w:val="24"/>
          <w:szCs w:val="24"/>
        </w:rPr>
        <w:t>4</w:t>
      </w:r>
      <w:r w:rsidRPr="00983704">
        <w:rPr>
          <w:sz w:val="24"/>
          <w:szCs w:val="24"/>
        </w:rPr>
        <w:t xml:space="preserve">, os resultados das simulações relacionados mostram uma possível melhora de R$ </w:t>
      </w:r>
      <w:r>
        <w:rPr>
          <w:sz w:val="24"/>
          <w:szCs w:val="24"/>
        </w:rPr>
        <w:t>118</w:t>
      </w:r>
      <w:r w:rsidRPr="00983704">
        <w:rPr>
          <w:sz w:val="24"/>
          <w:szCs w:val="24"/>
        </w:rPr>
        <w:t xml:space="preserve"> e 1</w:t>
      </w:r>
      <w:r>
        <w:rPr>
          <w:sz w:val="24"/>
          <w:szCs w:val="24"/>
        </w:rPr>
        <w:t>52</w:t>
      </w:r>
      <w:r w:rsidRPr="00983704">
        <w:rPr>
          <w:sz w:val="24"/>
          <w:szCs w:val="24"/>
        </w:rPr>
        <w:t xml:space="preserve"> bilhões, com </w:t>
      </w:r>
      <w:r>
        <w:rPr>
          <w:sz w:val="24"/>
          <w:szCs w:val="24"/>
        </w:rPr>
        <w:t xml:space="preserve">pequena </w:t>
      </w:r>
      <w:r w:rsidRPr="00983704">
        <w:rPr>
          <w:sz w:val="24"/>
          <w:szCs w:val="24"/>
        </w:rPr>
        <w:t>probabilidade de atingimento de um superávit fiscal no ano 202</w:t>
      </w:r>
      <w:r>
        <w:rPr>
          <w:sz w:val="24"/>
          <w:szCs w:val="24"/>
        </w:rPr>
        <w:t>4</w:t>
      </w:r>
      <w:r w:rsidRPr="00983704">
        <w:rPr>
          <w:sz w:val="24"/>
          <w:szCs w:val="24"/>
        </w:rPr>
        <w:t>.</w:t>
      </w:r>
    </w:p>
    <w:p w14:paraId="24F63E25" w14:textId="77777777" w:rsidR="006976BE" w:rsidRDefault="006976BE" w:rsidP="006976BE">
      <w:pPr>
        <w:spacing w:after="120" w:line="240" w:lineRule="auto"/>
        <w:jc w:val="both"/>
        <w:rPr>
          <w:b/>
          <w:sz w:val="24"/>
          <w:szCs w:val="24"/>
          <w:u w:val="single"/>
          <w:lang w:eastAsia="pt-BR"/>
        </w:rPr>
      </w:pPr>
    </w:p>
    <w:p w14:paraId="26634472" w14:textId="77777777" w:rsidR="00E015FB" w:rsidRPr="00E015FB" w:rsidRDefault="0051611C" w:rsidP="00E015FB">
      <w:pPr>
        <w:spacing w:after="120" w:line="240" w:lineRule="auto"/>
        <w:jc w:val="both"/>
        <w:rPr>
          <w:b/>
          <w:sz w:val="24"/>
          <w:szCs w:val="24"/>
          <w:u w:val="single"/>
          <w:lang w:eastAsia="pt-BR"/>
        </w:rPr>
      </w:pPr>
      <w:r w:rsidRPr="004873B8">
        <w:rPr>
          <w:b/>
          <w:sz w:val="24"/>
          <w:szCs w:val="24"/>
          <w:u w:val="single"/>
          <w:lang w:eastAsia="pt-BR"/>
        </w:rPr>
        <w:t>Riscos Fiscais Específicos</w:t>
      </w:r>
    </w:p>
    <w:p w14:paraId="696923FA" w14:textId="4E03BDF7" w:rsidR="00BE0EF7" w:rsidRPr="00277932" w:rsidRDefault="001B4464" w:rsidP="00277932">
      <w:pPr>
        <w:pStyle w:val="PargrafodaLista"/>
        <w:numPr>
          <w:ilvl w:val="0"/>
          <w:numId w:val="25"/>
        </w:numPr>
        <w:spacing w:after="120" w:line="240" w:lineRule="auto"/>
        <w:ind w:left="425" w:hanging="425"/>
        <w:contextualSpacing w:val="0"/>
        <w:jc w:val="both"/>
        <w:rPr>
          <w:sz w:val="24"/>
          <w:szCs w:val="24"/>
        </w:rPr>
      </w:pPr>
      <w:r w:rsidRPr="00277932">
        <w:rPr>
          <w:sz w:val="24"/>
          <w:szCs w:val="24"/>
        </w:rPr>
        <w:t>O risco fiscal das demandas judiciais, considerando as de risco possível reduziu de R$ 1.540,1 bilhões, em 2019, para R$</w:t>
      </w:r>
      <w:r>
        <w:rPr>
          <w:sz w:val="24"/>
          <w:szCs w:val="24"/>
        </w:rPr>
        <w:t xml:space="preserve"> </w:t>
      </w:r>
      <w:r w:rsidRPr="00277932">
        <w:rPr>
          <w:sz w:val="24"/>
          <w:szCs w:val="24"/>
        </w:rPr>
        <w:t>1.316,1 bilhões em 2020, que corresponde um decréscimo de 14,5%. O montante dos riscos possíveis correspondeu a 68% da despesa primária total realizada em 2020 contra 106,8% da despesa primária total em 2019.</w:t>
      </w:r>
      <w:r>
        <w:rPr>
          <w:sz w:val="24"/>
          <w:szCs w:val="24"/>
        </w:rPr>
        <w:t xml:space="preserve"> Por sua vez, as demandas judiciais de risco provável aumentaram de R$ 664,1 bilhões em 2019, para R$ 701,7 bilhões em 2020, representando uma variação de 5,7% no período. </w:t>
      </w:r>
      <w:r>
        <w:rPr>
          <w:w w:val="105"/>
          <w:sz w:val="24"/>
          <w:szCs w:val="24"/>
        </w:rPr>
        <w:t>Apesar</w:t>
      </w:r>
      <w:r w:rsidRPr="00263A3C">
        <w:rPr>
          <w:w w:val="105"/>
          <w:sz w:val="24"/>
          <w:szCs w:val="24"/>
        </w:rPr>
        <w:t xml:space="preserve"> </w:t>
      </w:r>
      <w:r>
        <w:rPr>
          <w:w w:val="105"/>
          <w:sz w:val="24"/>
          <w:szCs w:val="24"/>
        </w:rPr>
        <w:t>do incremento no volume das ações de risco provável</w:t>
      </w:r>
      <w:r w:rsidRPr="00263A3C">
        <w:rPr>
          <w:w w:val="105"/>
          <w:sz w:val="24"/>
          <w:szCs w:val="24"/>
        </w:rPr>
        <w:t>, o total de lides contra a União</w:t>
      </w:r>
      <w:r>
        <w:rPr>
          <w:w w:val="105"/>
          <w:sz w:val="24"/>
          <w:szCs w:val="24"/>
        </w:rPr>
        <w:t xml:space="preserve"> consideradas </w:t>
      </w:r>
      <w:r w:rsidRPr="00263A3C">
        <w:rPr>
          <w:w w:val="105"/>
          <w:sz w:val="24"/>
          <w:szCs w:val="24"/>
        </w:rPr>
        <w:t xml:space="preserve">de risco possível e provável em conjunto se </w:t>
      </w:r>
      <w:r>
        <w:rPr>
          <w:w w:val="105"/>
          <w:sz w:val="24"/>
          <w:szCs w:val="24"/>
        </w:rPr>
        <w:t>reduziu</w:t>
      </w:r>
      <w:r w:rsidRPr="00263A3C">
        <w:rPr>
          <w:w w:val="105"/>
          <w:sz w:val="24"/>
          <w:szCs w:val="24"/>
        </w:rPr>
        <w:t xml:space="preserve"> de R$ </w:t>
      </w:r>
      <w:r>
        <w:rPr>
          <w:w w:val="105"/>
          <w:sz w:val="24"/>
          <w:szCs w:val="24"/>
        </w:rPr>
        <w:t>2.204,2</w:t>
      </w:r>
      <w:r w:rsidRPr="00263A3C">
        <w:rPr>
          <w:w w:val="105"/>
          <w:sz w:val="24"/>
          <w:szCs w:val="24"/>
        </w:rPr>
        <w:t xml:space="preserve"> bilhões em 201</w:t>
      </w:r>
      <w:r>
        <w:rPr>
          <w:w w:val="105"/>
          <w:sz w:val="24"/>
          <w:szCs w:val="24"/>
        </w:rPr>
        <w:t>9</w:t>
      </w:r>
      <w:r w:rsidRPr="00263A3C">
        <w:rPr>
          <w:w w:val="105"/>
          <w:sz w:val="24"/>
          <w:szCs w:val="24"/>
        </w:rPr>
        <w:t xml:space="preserve"> para R$ 2.</w:t>
      </w:r>
      <w:r>
        <w:rPr>
          <w:w w:val="105"/>
          <w:sz w:val="24"/>
          <w:szCs w:val="24"/>
        </w:rPr>
        <w:t>017</w:t>
      </w:r>
      <w:r w:rsidRPr="00263A3C">
        <w:rPr>
          <w:w w:val="105"/>
          <w:sz w:val="24"/>
          <w:szCs w:val="24"/>
        </w:rPr>
        <w:t>,</w:t>
      </w:r>
      <w:r>
        <w:rPr>
          <w:w w:val="105"/>
          <w:sz w:val="24"/>
          <w:szCs w:val="24"/>
        </w:rPr>
        <w:t>8</w:t>
      </w:r>
      <w:r w:rsidRPr="00263A3C">
        <w:rPr>
          <w:w w:val="105"/>
          <w:sz w:val="24"/>
          <w:szCs w:val="24"/>
        </w:rPr>
        <w:t xml:space="preserve"> bilhões em 20</w:t>
      </w:r>
      <w:r>
        <w:rPr>
          <w:w w:val="105"/>
          <w:sz w:val="24"/>
          <w:szCs w:val="24"/>
        </w:rPr>
        <w:t>20</w:t>
      </w:r>
      <w:r w:rsidRPr="00263A3C">
        <w:rPr>
          <w:w w:val="105"/>
          <w:sz w:val="24"/>
          <w:szCs w:val="24"/>
        </w:rPr>
        <w:t xml:space="preserve">, uma </w:t>
      </w:r>
      <w:r>
        <w:rPr>
          <w:w w:val="105"/>
          <w:sz w:val="24"/>
          <w:szCs w:val="24"/>
        </w:rPr>
        <w:t>diminuição de 8,5</w:t>
      </w:r>
      <w:r w:rsidRPr="00263A3C">
        <w:rPr>
          <w:w w:val="105"/>
          <w:sz w:val="24"/>
          <w:szCs w:val="24"/>
        </w:rPr>
        <w:t>%</w:t>
      </w:r>
      <w:bookmarkStart w:id="13" w:name="_GoBack"/>
      <w:bookmarkEnd w:id="13"/>
      <w:r w:rsidR="00313314" w:rsidRPr="00277932">
        <w:rPr>
          <w:sz w:val="24"/>
          <w:szCs w:val="24"/>
        </w:rPr>
        <w:t>.</w:t>
      </w:r>
    </w:p>
    <w:p w14:paraId="00C17B49" w14:textId="13F0DFE4" w:rsidR="00313314" w:rsidRPr="00277932" w:rsidRDefault="00D3744E" w:rsidP="00277932">
      <w:pPr>
        <w:pStyle w:val="PargrafodaLista"/>
        <w:numPr>
          <w:ilvl w:val="0"/>
          <w:numId w:val="25"/>
        </w:numPr>
        <w:spacing w:after="120" w:line="240" w:lineRule="auto"/>
        <w:ind w:left="425" w:hanging="425"/>
        <w:contextualSpacing w:val="0"/>
        <w:jc w:val="both"/>
        <w:rPr>
          <w:sz w:val="24"/>
          <w:szCs w:val="24"/>
        </w:rPr>
      </w:pPr>
      <w:r w:rsidRPr="00277932">
        <w:rPr>
          <w:sz w:val="24"/>
          <w:szCs w:val="24"/>
        </w:rPr>
        <w:t xml:space="preserve">Os valores efetivamente pagos associados à execução de demandas judiciais contra a União segue em elevação, conforme </w:t>
      </w:r>
      <w:r w:rsidR="00E62E90" w:rsidRPr="00277932">
        <w:rPr>
          <w:sz w:val="24"/>
          <w:szCs w:val="24"/>
        </w:rPr>
        <w:t>observado</w:t>
      </w:r>
      <w:r w:rsidRPr="00277932">
        <w:rPr>
          <w:sz w:val="24"/>
          <w:szCs w:val="24"/>
        </w:rPr>
        <w:t xml:space="preserve"> </w:t>
      </w:r>
      <w:r w:rsidR="00E62E90" w:rsidRPr="00277932">
        <w:rPr>
          <w:sz w:val="24"/>
          <w:szCs w:val="24"/>
        </w:rPr>
        <w:t>n</w:t>
      </w:r>
      <w:r w:rsidRPr="00277932">
        <w:rPr>
          <w:sz w:val="24"/>
          <w:szCs w:val="24"/>
        </w:rPr>
        <w:t xml:space="preserve">a série histórica </w:t>
      </w:r>
      <w:r w:rsidR="00E62E90" w:rsidRPr="00277932">
        <w:rPr>
          <w:sz w:val="24"/>
          <w:szCs w:val="24"/>
        </w:rPr>
        <w:t>iniciada em</w:t>
      </w:r>
      <w:r w:rsidRPr="00277932">
        <w:rPr>
          <w:sz w:val="24"/>
          <w:szCs w:val="24"/>
        </w:rPr>
        <w:t xml:space="preserve"> 2013. Em 2020, o montante alcançou R$ 51,5 bilhões, correspondente a 2,6% da despesa primária total.</w:t>
      </w:r>
    </w:p>
    <w:p w14:paraId="7B0B78D7" w14:textId="46EF0E61" w:rsidR="00CB56A0" w:rsidRPr="00277932" w:rsidRDefault="00A81D06" w:rsidP="00277932">
      <w:pPr>
        <w:pStyle w:val="PargrafodaLista"/>
        <w:numPr>
          <w:ilvl w:val="0"/>
          <w:numId w:val="25"/>
        </w:numPr>
        <w:spacing w:after="120" w:line="240" w:lineRule="auto"/>
        <w:ind w:left="425" w:hanging="425"/>
        <w:contextualSpacing w:val="0"/>
        <w:jc w:val="both"/>
        <w:rPr>
          <w:sz w:val="24"/>
          <w:szCs w:val="24"/>
        </w:rPr>
      </w:pPr>
      <w:r w:rsidRPr="00277932">
        <w:rPr>
          <w:sz w:val="24"/>
          <w:szCs w:val="24"/>
        </w:rPr>
        <w:t>Os passivos contingentes em fase de reconhecimento pelo Tesouro Nacional</w:t>
      </w:r>
      <w:r w:rsidR="005B2B11">
        <w:rPr>
          <w:sz w:val="24"/>
          <w:szCs w:val="24"/>
        </w:rPr>
        <w:t xml:space="preserve"> – </w:t>
      </w:r>
      <w:r w:rsidRPr="00277932">
        <w:rPr>
          <w:sz w:val="24"/>
          <w:szCs w:val="24"/>
        </w:rPr>
        <w:t>dívidas decorrentes da extinção de entidades, dívidas diretas e dívidas decorrentes do FCVS - apresentam uma previsão de regularização da ordem de R$ 23,6 bilhões para 2021 e R$ 18,0 bilhões para 2022, com um estoque de R$ 113,6 bilhões registrado ao final de 2020.</w:t>
      </w:r>
    </w:p>
    <w:p w14:paraId="057C6064" w14:textId="0AD19833" w:rsidR="0051611C" w:rsidRDefault="0051611C" w:rsidP="0051611C">
      <w:pPr>
        <w:pStyle w:val="PargrafodaLista"/>
        <w:numPr>
          <w:ilvl w:val="0"/>
          <w:numId w:val="25"/>
        </w:numPr>
        <w:spacing w:after="120" w:line="240" w:lineRule="auto"/>
        <w:ind w:left="425" w:hanging="425"/>
        <w:contextualSpacing w:val="0"/>
        <w:jc w:val="both"/>
        <w:rPr>
          <w:rFonts w:eastAsiaTheme="minorEastAsia"/>
          <w:sz w:val="24"/>
          <w:szCs w:val="24"/>
        </w:rPr>
      </w:pPr>
      <w:r w:rsidRPr="0005635F">
        <w:rPr>
          <w:sz w:val="24"/>
          <w:szCs w:val="24"/>
        </w:rPr>
        <w:t xml:space="preserve">As operações de crédito garantidas pela União possuem um saldo devedor de R$ </w:t>
      </w:r>
      <w:r w:rsidRPr="3886389C">
        <w:rPr>
          <w:sz w:val="24"/>
          <w:szCs w:val="24"/>
        </w:rPr>
        <w:t>2</w:t>
      </w:r>
      <w:r w:rsidR="19513B8A" w:rsidRPr="3886389C">
        <w:rPr>
          <w:sz w:val="24"/>
          <w:szCs w:val="24"/>
        </w:rPr>
        <w:t>9</w:t>
      </w:r>
      <w:r w:rsidR="005B2B11">
        <w:rPr>
          <w:sz w:val="24"/>
          <w:szCs w:val="24"/>
        </w:rPr>
        <w:t>6</w:t>
      </w:r>
      <w:r w:rsidRPr="0005635F">
        <w:rPr>
          <w:sz w:val="24"/>
          <w:szCs w:val="24"/>
        </w:rPr>
        <w:t>,</w:t>
      </w:r>
      <w:r w:rsidR="005B2B11">
        <w:rPr>
          <w:sz w:val="24"/>
          <w:szCs w:val="24"/>
        </w:rPr>
        <w:t>0</w:t>
      </w:r>
      <w:r w:rsidRPr="0005635F">
        <w:rPr>
          <w:sz w:val="24"/>
          <w:szCs w:val="24"/>
        </w:rPr>
        <w:t xml:space="preserve"> bilhões</w:t>
      </w:r>
      <w:r w:rsidR="0062071F" w:rsidRPr="0005635F">
        <w:rPr>
          <w:sz w:val="24"/>
          <w:szCs w:val="24"/>
        </w:rPr>
        <w:t xml:space="preserve"> (dez/</w:t>
      </w:r>
      <w:r w:rsidR="0062071F" w:rsidRPr="3886389C">
        <w:rPr>
          <w:sz w:val="24"/>
          <w:szCs w:val="24"/>
        </w:rPr>
        <w:t>20</w:t>
      </w:r>
      <w:r w:rsidR="32D7938F" w:rsidRPr="3886389C">
        <w:rPr>
          <w:sz w:val="24"/>
          <w:szCs w:val="24"/>
        </w:rPr>
        <w:t>20</w:t>
      </w:r>
      <w:r w:rsidR="0062071F" w:rsidRPr="0005635F">
        <w:rPr>
          <w:sz w:val="24"/>
          <w:szCs w:val="24"/>
        </w:rPr>
        <w:t>)</w:t>
      </w:r>
      <w:r w:rsidRPr="0005635F">
        <w:rPr>
          <w:sz w:val="24"/>
          <w:szCs w:val="24"/>
        </w:rPr>
        <w:t xml:space="preserve">, representando </w:t>
      </w:r>
      <w:r w:rsidRPr="62093049">
        <w:rPr>
          <w:sz w:val="24"/>
          <w:szCs w:val="24"/>
        </w:rPr>
        <w:t>um</w:t>
      </w:r>
      <w:r w:rsidR="59224992" w:rsidRPr="62093049">
        <w:rPr>
          <w:sz w:val="24"/>
          <w:szCs w:val="24"/>
        </w:rPr>
        <w:t xml:space="preserve"> aumento</w:t>
      </w:r>
      <w:r w:rsidR="001061E1" w:rsidRPr="0005635F">
        <w:rPr>
          <w:sz w:val="24"/>
          <w:szCs w:val="24"/>
        </w:rPr>
        <w:t xml:space="preserve"> </w:t>
      </w:r>
      <w:r w:rsidR="00F62E29" w:rsidRPr="0005635F">
        <w:rPr>
          <w:sz w:val="24"/>
          <w:szCs w:val="24"/>
        </w:rPr>
        <w:t>em relação ao exercício anterior</w:t>
      </w:r>
      <w:r w:rsidR="0062071F" w:rsidRPr="0005635F">
        <w:rPr>
          <w:sz w:val="24"/>
          <w:szCs w:val="24"/>
        </w:rPr>
        <w:t xml:space="preserve"> (dez/</w:t>
      </w:r>
      <w:r w:rsidR="0062071F" w:rsidRPr="62093049">
        <w:rPr>
          <w:sz w:val="24"/>
          <w:szCs w:val="24"/>
        </w:rPr>
        <w:t>201</w:t>
      </w:r>
      <w:r w:rsidR="12B39D7C" w:rsidRPr="62093049">
        <w:rPr>
          <w:sz w:val="24"/>
          <w:szCs w:val="24"/>
        </w:rPr>
        <w:t>9</w:t>
      </w:r>
      <w:r w:rsidR="0062071F" w:rsidRPr="0005635F">
        <w:rPr>
          <w:sz w:val="24"/>
          <w:szCs w:val="24"/>
        </w:rPr>
        <w:t>)</w:t>
      </w:r>
      <w:r w:rsidR="00010F2D" w:rsidRPr="0005635F">
        <w:rPr>
          <w:sz w:val="24"/>
          <w:szCs w:val="24"/>
        </w:rPr>
        <w:t xml:space="preserve">, que era de </w:t>
      </w:r>
      <w:r w:rsidR="00BF7373" w:rsidRPr="0005635F">
        <w:rPr>
          <w:sz w:val="24"/>
          <w:szCs w:val="24"/>
        </w:rPr>
        <w:t xml:space="preserve">R$ </w:t>
      </w:r>
      <w:r w:rsidR="00BF7373" w:rsidRPr="62093049">
        <w:rPr>
          <w:sz w:val="24"/>
          <w:szCs w:val="24"/>
        </w:rPr>
        <w:t>25</w:t>
      </w:r>
      <w:r w:rsidR="1C540138" w:rsidRPr="62093049">
        <w:rPr>
          <w:sz w:val="24"/>
          <w:szCs w:val="24"/>
        </w:rPr>
        <w:t>5</w:t>
      </w:r>
      <w:r w:rsidR="00BF7373" w:rsidRPr="62093049">
        <w:rPr>
          <w:sz w:val="24"/>
          <w:szCs w:val="24"/>
        </w:rPr>
        <w:t>,</w:t>
      </w:r>
      <w:r w:rsidR="66845AE3" w:rsidRPr="62093049">
        <w:rPr>
          <w:sz w:val="24"/>
          <w:szCs w:val="24"/>
        </w:rPr>
        <w:t>9</w:t>
      </w:r>
      <w:r w:rsidR="00BF7373" w:rsidRPr="0005635F">
        <w:rPr>
          <w:sz w:val="24"/>
          <w:szCs w:val="24"/>
        </w:rPr>
        <w:t xml:space="preserve"> bilhões.</w:t>
      </w:r>
      <w:r w:rsidRPr="0005635F">
        <w:rPr>
          <w:sz w:val="24"/>
          <w:szCs w:val="24"/>
        </w:rPr>
        <w:t xml:space="preserve"> Com o agravamento da situação fiscal dos entes subnacionais, no período de 2016 a </w:t>
      </w:r>
      <w:r w:rsidRPr="62093049">
        <w:rPr>
          <w:sz w:val="24"/>
          <w:szCs w:val="24"/>
        </w:rPr>
        <w:t>20</w:t>
      </w:r>
      <w:r w:rsidR="2F7982EC" w:rsidRPr="62093049">
        <w:rPr>
          <w:sz w:val="24"/>
          <w:szCs w:val="24"/>
        </w:rPr>
        <w:t>20</w:t>
      </w:r>
      <w:r w:rsidRPr="0005635F">
        <w:rPr>
          <w:sz w:val="24"/>
          <w:szCs w:val="24"/>
        </w:rPr>
        <w:t xml:space="preserve"> a União foi instada a honrar garantias em operações de crédito concedidas aos entes, o que não havia ocorrido no período entre 2005 a 2015. O total de honras pagas pela União em </w:t>
      </w:r>
      <w:r w:rsidRPr="62093049">
        <w:rPr>
          <w:sz w:val="24"/>
          <w:szCs w:val="24"/>
        </w:rPr>
        <w:t>20</w:t>
      </w:r>
      <w:r w:rsidR="1781B452" w:rsidRPr="62093049">
        <w:rPr>
          <w:sz w:val="24"/>
          <w:szCs w:val="24"/>
        </w:rPr>
        <w:t>20</w:t>
      </w:r>
      <w:r w:rsidRPr="0005635F">
        <w:rPr>
          <w:sz w:val="24"/>
          <w:szCs w:val="24"/>
        </w:rPr>
        <w:t xml:space="preserve"> foi de R$ </w:t>
      </w:r>
      <w:r w:rsidR="53DD7B76" w:rsidRPr="5509509F">
        <w:rPr>
          <w:sz w:val="24"/>
          <w:szCs w:val="24"/>
        </w:rPr>
        <w:t>13</w:t>
      </w:r>
      <w:r w:rsidRPr="0005635F">
        <w:rPr>
          <w:sz w:val="24"/>
          <w:szCs w:val="24"/>
        </w:rPr>
        <w:t>,</w:t>
      </w:r>
      <w:r w:rsidR="004B4B55" w:rsidRPr="0005635F">
        <w:rPr>
          <w:sz w:val="24"/>
          <w:szCs w:val="24"/>
        </w:rPr>
        <w:t>3</w:t>
      </w:r>
      <w:r w:rsidRPr="0005635F">
        <w:rPr>
          <w:sz w:val="24"/>
          <w:szCs w:val="24"/>
        </w:rPr>
        <w:t xml:space="preserve"> bilhões, </w:t>
      </w:r>
      <w:r w:rsidR="00CB1CE9" w:rsidRPr="0005635F">
        <w:rPr>
          <w:sz w:val="24"/>
          <w:szCs w:val="24"/>
        </w:rPr>
        <w:t xml:space="preserve">representando </w:t>
      </w:r>
      <w:r w:rsidR="3348F264" w:rsidRPr="5509509F">
        <w:rPr>
          <w:sz w:val="24"/>
          <w:szCs w:val="24"/>
        </w:rPr>
        <w:t xml:space="preserve">aumento de cerca de </w:t>
      </w:r>
      <w:r w:rsidR="00D20758">
        <w:rPr>
          <w:sz w:val="24"/>
          <w:szCs w:val="24"/>
        </w:rPr>
        <w:t>60% em relação a</w:t>
      </w:r>
      <w:r w:rsidR="00A75B08" w:rsidRPr="0005635F">
        <w:rPr>
          <w:sz w:val="24"/>
          <w:szCs w:val="24"/>
        </w:rPr>
        <w:t xml:space="preserve">o pagamento de honras de </w:t>
      </w:r>
      <w:r w:rsidR="00A75B08" w:rsidRPr="5509509F">
        <w:rPr>
          <w:sz w:val="24"/>
          <w:szCs w:val="24"/>
        </w:rPr>
        <w:t>201</w:t>
      </w:r>
      <w:r w:rsidR="7FE3ADEA" w:rsidRPr="5509509F">
        <w:rPr>
          <w:sz w:val="24"/>
          <w:szCs w:val="24"/>
        </w:rPr>
        <w:t>9</w:t>
      </w:r>
      <w:r w:rsidR="00EC6B7A" w:rsidRPr="0005635F">
        <w:rPr>
          <w:sz w:val="24"/>
          <w:szCs w:val="24"/>
        </w:rPr>
        <w:t xml:space="preserve"> (R$ 8</w:t>
      </w:r>
      <w:r w:rsidR="00EC6B7A" w:rsidRPr="05691091">
        <w:rPr>
          <w:sz w:val="24"/>
          <w:szCs w:val="24"/>
        </w:rPr>
        <w:t>,</w:t>
      </w:r>
      <w:r w:rsidR="00D5308B">
        <w:rPr>
          <w:sz w:val="24"/>
          <w:szCs w:val="24"/>
        </w:rPr>
        <w:t>4</w:t>
      </w:r>
      <w:r w:rsidR="00EC6B7A" w:rsidRPr="0005635F">
        <w:rPr>
          <w:sz w:val="24"/>
          <w:szCs w:val="24"/>
        </w:rPr>
        <w:t xml:space="preserve"> bilhões)</w:t>
      </w:r>
      <w:r w:rsidRPr="0005635F">
        <w:rPr>
          <w:sz w:val="24"/>
          <w:szCs w:val="24"/>
        </w:rPr>
        <w:t>. A previsão dos valores a serem honrados em 202</w:t>
      </w:r>
      <w:r w:rsidR="00EF5429" w:rsidRPr="0005635F">
        <w:rPr>
          <w:sz w:val="24"/>
          <w:szCs w:val="24"/>
        </w:rPr>
        <w:t>1</w:t>
      </w:r>
      <w:r w:rsidRPr="0005635F">
        <w:rPr>
          <w:sz w:val="24"/>
          <w:szCs w:val="24"/>
        </w:rPr>
        <w:t xml:space="preserve"> </w:t>
      </w:r>
      <w:r w:rsidRPr="05691091">
        <w:rPr>
          <w:sz w:val="24"/>
          <w:szCs w:val="24"/>
        </w:rPr>
        <w:t>e 202</w:t>
      </w:r>
      <w:r w:rsidR="7EFC0B6C" w:rsidRPr="05691091">
        <w:rPr>
          <w:sz w:val="24"/>
          <w:szCs w:val="24"/>
        </w:rPr>
        <w:t>2</w:t>
      </w:r>
      <w:r w:rsidRPr="05691091">
        <w:rPr>
          <w:sz w:val="24"/>
          <w:szCs w:val="24"/>
        </w:rPr>
        <w:t xml:space="preserve"> </w:t>
      </w:r>
      <w:r w:rsidR="00EF5429" w:rsidRPr="0005635F">
        <w:rPr>
          <w:sz w:val="24"/>
          <w:szCs w:val="24"/>
        </w:rPr>
        <w:t xml:space="preserve">é </w:t>
      </w:r>
      <w:r w:rsidRPr="0005635F">
        <w:rPr>
          <w:sz w:val="24"/>
          <w:szCs w:val="24"/>
        </w:rPr>
        <w:t xml:space="preserve">de R$ </w:t>
      </w:r>
      <w:r w:rsidR="138AD603" w:rsidRPr="05691091">
        <w:rPr>
          <w:sz w:val="24"/>
          <w:szCs w:val="24"/>
        </w:rPr>
        <w:t>9</w:t>
      </w:r>
      <w:r w:rsidRPr="0005635F">
        <w:rPr>
          <w:sz w:val="24"/>
          <w:szCs w:val="24"/>
        </w:rPr>
        <w:t>,</w:t>
      </w:r>
      <w:r w:rsidR="00BA3FCB" w:rsidRPr="0005635F">
        <w:rPr>
          <w:sz w:val="24"/>
          <w:szCs w:val="24"/>
        </w:rPr>
        <w:t>5</w:t>
      </w:r>
      <w:r w:rsidRPr="0005635F">
        <w:rPr>
          <w:sz w:val="24"/>
          <w:szCs w:val="24"/>
        </w:rPr>
        <w:t xml:space="preserve"> bilhões</w:t>
      </w:r>
      <w:r w:rsidRPr="05691091">
        <w:rPr>
          <w:sz w:val="24"/>
          <w:szCs w:val="24"/>
        </w:rPr>
        <w:t xml:space="preserve"> e R$ </w:t>
      </w:r>
      <w:r w:rsidR="15A9A3D6" w:rsidRPr="05691091">
        <w:rPr>
          <w:sz w:val="24"/>
          <w:szCs w:val="24"/>
        </w:rPr>
        <w:t>9</w:t>
      </w:r>
      <w:r w:rsidRPr="05691091">
        <w:rPr>
          <w:sz w:val="24"/>
          <w:szCs w:val="24"/>
        </w:rPr>
        <w:t>,</w:t>
      </w:r>
      <w:r w:rsidR="49D481CC" w:rsidRPr="05691091">
        <w:rPr>
          <w:sz w:val="24"/>
          <w:szCs w:val="24"/>
        </w:rPr>
        <w:t>4</w:t>
      </w:r>
      <w:r w:rsidRPr="05691091">
        <w:rPr>
          <w:sz w:val="24"/>
          <w:szCs w:val="24"/>
        </w:rPr>
        <w:t xml:space="preserve"> bilhões</w:t>
      </w:r>
      <w:r w:rsidRPr="0005635F">
        <w:rPr>
          <w:sz w:val="24"/>
          <w:szCs w:val="24"/>
        </w:rPr>
        <w:t>, respectivamente</w:t>
      </w:r>
      <w:r w:rsidR="007A2934" w:rsidRPr="0005635F">
        <w:rPr>
          <w:sz w:val="24"/>
          <w:szCs w:val="24"/>
        </w:rPr>
        <w:t>.</w:t>
      </w:r>
    </w:p>
    <w:p w14:paraId="38477719" w14:textId="25C89985" w:rsidR="00BF2B61" w:rsidRPr="0005635F" w:rsidRDefault="00BF2B61" w:rsidP="0051611C">
      <w:pPr>
        <w:pStyle w:val="PargrafodaLista"/>
        <w:numPr>
          <w:ilvl w:val="0"/>
          <w:numId w:val="25"/>
        </w:numPr>
        <w:spacing w:after="120" w:line="240" w:lineRule="auto"/>
        <w:ind w:left="425" w:hanging="425"/>
        <w:contextualSpacing w:val="0"/>
        <w:jc w:val="both"/>
        <w:rPr>
          <w:sz w:val="24"/>
          <w:szCs w:val="24"/>
        </w:rPr>
      </w:pPr>
      <w:r w:rsidRPr="0005635F">
        <w:rPr>
          <w:sz w:val="24"/>
          <w:szCs w:val="24"/>
        </w:rPr>
        <w:t xml:space="preserve">O estoque de garantias prestadas pelo Tesouro Nacional a Fundos e Programas é de R$ </w:t>
      </w:r>
      <w:r w:rsidR="27CE4478" w:rsidRPr="5844F2C1">
        <w:rPr>
          <w:sz w:val="24"/>
          <w:szCs w:val="24"/>
        </w:rPr>
        <w:t>5</w:t>
      </w:r>
      <w:r w:rsidR="43F9CD5A" w:rsidRPr="5844F2C1">
        <w:rPr>
          <w:sz w:val="24"/>
          <w:szCs w:val="24"/>
        </w:rPr>
        <w:t>,</w:t>
      </w:r>
      <w:r w:rsidR="1AF00D58" w:rsidRPr="5844F2C1">
        <w:rPr>
          <w:sz w:val="24"/>
          <w:szCs w:val="24"/>
        </w:rPr>
        <w:t>6</w:t>
      </w:r>
      <w:r w:rsidRPr="0005635F">
        <w:rPr>
          <w:sz w:val="24"/>
          <w:szCs w:val="24"/>
        </w:rPr>
        <w:t xml:space="preserve"> bilhões, com </w:t>
      </w:r>
      <w:r w:rsidR="1AD28EAE" w:rsidRPr="5844F2C1">
        <w:rPr>
          <w:sz w:val="24"/>
          <w:szCs w:val="24"/>
        </w:rPr>
        <w:t>64</w:t>
      </w:r>
      <w:r w:rsidRPr="0005635F">
        <w:rPr>
          <w:sz w:val="24"/>
          <w:szCs w:val="24"/>
        </w:rPr>
        <w:t>% desse valor referente ao risco de operações junto ao Fundo de Garantia do Tempo de Serviço (FGTS).</w:t>
      </w:r>
    </w:p>
    <w:p w14:paraId="1149B42B" w14:textId="49137078" w:rsidR="007A2934" w:rsidRPr="0005635F" w:rsidRDefault="00F003AA" w:rsidP="0051611C">
      <w:pPr>
        <w:pStyle w:val="PargrafodaLista"/>
        <w:numPr>
          <w:ilvl w:val="0"/>
          <w:numId w:val="25"/>
        </w:numPr>
        <w:spacing w:after="120" w:line="240" w:lineRule="auto"/>
        <w:ind w:left="425" w:hanging="425"/>
        <w:contextualSpacing w:val="0"/>
        <w:jc w:val="both"/>
        <w:rPr>
          <w:sz w:val="24"/>
          <w:szCs w:val="24"/>
        </w:rPr>
      </w:pPr>
      <w:r w:rsidRPr="00F003AA">
        <w:rPr>
          <w:sz w:val="24"/>
          <w:szCs w:val="24"/>
        </w:rPr>
        <w:t xml:space="preserve">As </w:t>
      </w:r>
      <w:proofErr w:type="spellStart"/>
      <w:r w:rsidRPr="00F003AA">
        <w:rPr>
          <w:sz w:val="24"/>
          <w:szCs w:val="24"/>
        </w:rPr>
        <w:t>contragarantias</w:t>
      </w:r>
      <w:proofErr w:type="spellEnd"/>
      <w:r w:rsidRPr="00F003AA">
        <w:rPr>
          <w:sz w:val="24"/>
          <w:szCs w:val="24"/>
        </w:rPr>
        <w:t xml:space="preserve"> de operações de crédito não executadas acumulam um estoque de R$ 33,5 bilhões (dez/2020), sendo 28% decorrentes de ações judiciais contra a União impetradas pelos Estados de Amapá, Goiás, Maranhão, Minas Gerais e Rio Grande do Norte, e 72% decorrentes de avais a recuperar sob o Regime de Recuperação Fiscal.</w:t>
      </w:r>
    </w:p>
    <w:p w14:paraId="0F8A8445" w14:textId="037FCDB2" w:rsidR="0051611C" w:rsidRPr="0005635F" w:rsidRDefault="0051611C" w:rsidP="0051611C">
      <w:pPr>
        <w:pStyle w:val="PargrafodaLista"/>
        <w:numPr>
          <w:ilvl w:val="0"/>
          <w:numId w:val="25"/>
        </w:numPr>
        <w:spacing w:after="120" w:line="240" w:lineRule="auto"/>
        <w:ind w:left="425" w:hanging="425"/>
        <w:contextualSpacing w:val="0"/>
        <w:jc w:val="both"/>
        <w:rPr>
          <w:lang w:eastAsia="pt-BR"/>
        </w:rPr>
      </w:pPr>
      <w:r w:rsidRPr="0005635F">
        <w:rPr>
          <w:sz w:val="24"/>
          <w:szCs w:val="24"/>
        </w:rPr>
        <w:t>Os bancos administradores dos Fundos Constitucionais (FNO, FNE e FCO) estimam valores de despesas com provisão para devedores duvidosos da ordem de R$ 1,</w:t>
      </w:r>
      <w:r w:rsidR="36727468" w:rsidRPr="2B1CA066">
        <w:rPr>
          <w:sz w:val="24"/>
          <w:szCs w:val="24"/>
        </w:rPr>
        <w:t>00</w:t>
      </w:r>
      <w:r w:rsidRPr="0005635F">
        <w:rPr>
          <w:sz w:val="24"/>
          <w:szCs w:val="24"/>
        </w:rPr>
        <w:t xml:space="preserve"> bilhão e R$ 1,</w:t>
      </w:r>
      <w:r w:rsidR="7D2B6B3F" w:rsidRPr="2B1CA066">
        <w:rPr>
          <w:sz w:val="24"/>
          <w:szCs w:val="24"/>
        </w:rPr>
        <w:t>0</w:t>
      </w:r>
      <w:r w:rsidR="00F22C4F">
        <w:rPr>
          <w:sz w:val="24"/>
          <w:szCs w:val="24"/>
        </w:rPr>
        <w:t>4</w:t>
      </w:r>
      <w:r w:rsidRPr="0005635F">
        <w:rPr>
          <w:sz w:val="24"/>
          <w:szCs w:val="24"/>
        </w:rPr>
        <w:t xml:space="preserve"> bilhão para </w:t>
      </w:r>
      <w:r w:rsidRPr="4097793F">
        <w:rPr>
          <w:sz w:val="24"/>
          <w:szCs w:val="24"/>
        </w:rPr>
        <w:t>20</w:t>
      </w:r>
      <w:r w:rsidR="00DB61C7" w:rsidRPr="4097793F">
        <w:rPr>
          <w:sz w:val="24"/>
          <w:szCs w:val="24"/>
        </w:rPr>
        <w:t>2</w:t>
      </w:r>
      <w:r w:rsidR="01E2BD9F" w:rsidRPr="4097793F">
        <w:rPr>
          <w:sz w:val="24"/>
          <w:szCs w:val="24"/>
        </w:rPr>
        <w:t>1</w:t>
      </w:r>
      <w:r w:rsidRPr="0005635F">
        <w:rPr>
          <w:sz w:val="24"/>
          <w:szCs w:val="24"/>
        </w:rPr>
        <w:t xml:space="preserve"> e </w:t>
      </w:r>
      <w:r w:rsidRPr="2B1CA066">
        <w:rPr>
          <w:sz w:val="24"/>
          <w:szCs w:val="24"/>
        </w:rPr>
        <w:t>202</w:t>
      </w:r>
      <w:r w:rsidR="672358A2" w:rsidRPr="2B1CA066">
        <w:rPr>
          <w:sz w:val="24"/>
          <w:szCs w:val="24"/>
        </w:rPr>
        <w:t>2</w:t>
      </w:r>
      <w:r w:rsidRPr="0005635F">
        <w:rPr>
          <w:sz w:val="24"/>
          <w:szCs w:val="24"/>
        </w:rPr>
        <w:t xml:space="preserve">, respectivamente. O valor de estoque baixado como prejuízo relativo a operações com risco dos fundos alcançou, em dezembro de </w:t>
      </w:r>
      <w:r w:rsidRPr="2B1CA066">
        <w:rPr>
          <w:sz w:val="24"/>
          <w:szCs w:val="24"/>
        </w:rPr>
        <w:t>20</w:t>
      </w:r>
      <w:r w:rsidR="1A3C9BD4" w:rsidRPr="2B1CA066">
        <w:rPr>
          <w:sz w:val="24"/>
          <w:szCs w:val="24"/>
        </w:rPr>
        <w:t>20</w:t>
      </w:r>
      <w:r w:rsidRPr="0005635F">
        <w:rPr>
          <w:sz w:val="24"/>
          <w:szCs w:val="24"/>
        </w:rPr>
        <w:t xml:space="preserve">, R$ </w:t>
      </w:r>
      <w:r w:rsidRPr="5FA070A8">
        <w:rPr>
          <w:sz w:val="24"/>
          <w:szCs w:val="24"/>
        </w:rPr>
        <w:t>1</w:t>
      </w:r>
      <w:r w:rsidR="06C5B6BE" w:rsidRPr="5FA070A8">
        <w:rPr>
          <w:sz w:val="24"/>
          <w:szCs w:val="24"/>
        </w:rPr>
        <w:t>5</w:t>
      </w:r>
      <w:r w:rsidRPr="5FA070A8">
        <w:rPr>
          <w:sz w:val="24"/>
          <w:szCs w:val="24"/>
        </w:rPr>
        <w:t>,</w:t>
      </w:r>
      <w:r w:rsidR="73978B55" w:rsidRPr="5FA070A8">
        <w:rPr>
          <w:sz w:val="24"/>
          <w:szCs w:val="24"/>
        </w:rPr>
        <w:t>4</w:t>
      </w:r>
      <w:r w:rsidRPr="0005635F">
        <w:rPr>
          <w:sz w:val="24"/>
          <w:szCs w:val="24"/>
        </w:rPr>
        <w:t xml:space="preserve"> bilhões. Em </w:t>
      </w:r>
      <w:r w:rsidRPr="21A4E6B1">
        <w:rPr>
          <w:sz w:val="24"/>
          <w:szCs w:val="24"/>
        </w:rPr>
        <w:t>20</w:t>
      </w:r>
      <w:r w:rsidR="319DDC05" w:rsidRPr="21A4E6B1">
        <w:rPr>
          <w:sz w:val="24"/>
          <w:szCs w:val="24"/>
        </w:rPr>
        <w:t>20</w:t>
      </w:r>
      <w:r w:rsidRPr="0005635F">
        <w:rPr>
          <w:sz w:val="24"/>
          <w:szCs w:val="24"/>
        </w:rPr>
        <w:t xml:space="preserve"> foram recuperados R$ </w:t>
      </w:r>
      <w:r w:rsidR="02636B63" w:rsidRPr="21A4E6B1">
        <w:rPr>
          <w:sz w:val="24"/>
          <w:szCs w:val="24"/>
        </w:rPr>
        <w:t>204</w:t>
      </w:r>
      <w:r w:rsidRPr="0005635F">
        <w:rPr>
          <w:sz w:val="24"/>
          <w:szCs w:val="24"/>
        </w:rPr>
        <w:t>,</w:t>
      </w:r>
      <w:r w:rsidR="00964B51" w:rsidRPr="0005635F">
        <w:rPr>
          <w:sz w:val="24"/>
          <w:szCs w:val="24"/>
        </w:rPr>
        <w:t>8</w:t>
      </w:r>
      <w:r w:rsidRPr="0005635F">
        <w:rPr>
          <w:sz w:val="24"/>
          <w:szCs w:val="24"/>
        </w:rPr>
        <w:t xml:space="preserve"> milhões, o que equivale a aproximadamente </w:t>
      </w:r>
      <w:r w:rsidR="4155D123" w:rsidRPr="21A4E6B1">
        <w:rPr>
          <w:sz w:val="24"/>
          <w:szCs w:val="24"/>
        </w:rPr>
        <w:t>1</w:t>
      </w:r>
      <w:r w:rsidRPr="21A4E6B1">
        <w:rPr>
          <w:sz w:val="24"/>
          <w:szCs w:val="24"/>
        </w:rPr>
        <w:t>,</w:t>
      </w:r>
      <w:r w:rsidR="5F21CF51" w:rsidRPr="21A4E6B1">
        <w:rPr>
          <w:sz w:val="24"/>
          <w:szCs w:val="24"/>
        </w:rPr>
        <w:t>3</w:t>
      </w:r>
      <w:r w:rsidR="00F04D35" w:rsidRPr="21A4E6B1">
        <w:rPr>
          <w:sz w:val="24"/>
          <w:szCs w:val="24"/>
        </w:rPr>
        <w:t>2</w:t>
      </w:r>
      <w:r w:rsidRPr="0005635F">
        <w:rPr>
          <w:sz w:val="24"/>
          <w:szCs w:val="24"/>
        </w:rPr>
        <w:t>% do estoque de créditos baixados como prejuízo.</w:t>
      </w:r>
    </w:p>
    <w:p w14:paraId="5000F76C" w14:textId="53169201" w:rsidR="0051611C" w:rsidRPr="00C71767" w:rsidRDefault="00C27CAE" w:rsidP="0051611C">
      <w:pPr>
        <w:pStyle w:val="PargrafodaLista"/>
        <w:numPr>
          <w:ilvl w:val="0"/>
          <w:numId w:val="25"/>
        </w:numPr>
        <w:spacing w:after="120" w:line="240" w:lineRule="auto"/>
        <w:ind w:left="425" w:hanging="425"/>
        <w:contextualSpacing w:val="0"/>
        <w:jc w:val="both"/>
        <w:rPr>
          <w:lang w:eastAsia="pt-BR"/>
        </w:rPr>
      </w:pPr>
      <w:r w:rsidRPr="0005635F">
        <w:rPr>
          <w:sz w:val="24"/>
          <w:szCs w:val="24"/>
        </w:rPr>
        <w:t xml:space="preserve">A exposição total </w:t>
      </w:r>
      <w:r w:rsidR="00CC0959" w:rsidRPr="0005635F">
        <w:rPr>
          <w:sz w:val="24"/>
          <w:szCs w:val="24"/>
        </w:rPr>
        <w:t>das</w:t>
      </w:r>
      <w:r w:rsidR="0051611C" w:rsidRPr="0005635F">
        <w:rPr>
          <w:sz w:val="24"/>
          <w:szCs w:val="24"/>
        </w:rPr>
        <w:t xml:space="preserve"> operações no âmbito do Seguro de Crédito à Exportação (SCE), com risco de acionamento do Fundo de Garantia à Exportação (FGE), </w:t>
      </w:r>
      <w:bookmarkStart w:id="14" w:name="_Hlk68712673"/>
      <w:r w:rsidR="00CC0959" w:rsidRPr="0005635F">
        <w:rPr>
          <w:sz w:val="24"/>
          <w:szCs w:val="24"/>
        </w:rPr>
        <w:t>é de</w:t>
      </w:r>
      <w:r w:rsidR="00470D6D">
        <w:rPr>
          <w:sz w:val="24"/>
          <w:szCs w:val="24"/>
        </w:rPr>
        <w:t xml:space="preserve"> </w:t>
      </w:r>
      <w:r w:rsidR="00470D6D" w:rsidRPr="00470D6D">
        <w:rPr>
          <w:sz w:val="24"/>
          <w:szCs w:val="24"/>
        </w:rPr>
        <w:t>US$ 7</w:t>
      </w:r>
      <w:r w:rsidR="00470D6D">
        <w:rPr>
          <w:sz w:val="24"/>
          <w:szCs w:val="24"/>
        </w:rPr>
        <w:t xml:space="preserve">,3 bilhões, que corresponde a </w:t>
      </w:r>
      <w:r w:rsidR="00CC0959" w:rsidRPr="0005635F">
        <w:rPr>
          <w:sz w:val="24"/>
          <w:szCs w:val="24"/>
        </w:rPr>
        <w:t>R$ 37,</w:t>
      </w:r>
      <w:r w:rsidR="00347511">
        <w:rPr>
          <w:sz w:val="24"/>
          <w:szCs w:val="24"/>
        </w:rPr>
        <w:t>7</w:t>
      </w:r>
      <w:r w:rsidR="00CC0959" w:rsidRPr="0005635F">
        <w:rPr>
          <w:sz w:val="24"/>
          <w:szCs w:val="24"/>
        </w:rPr>
        <w:t xml:space="preserve"> bilhões</w:t>
      </w:r>
      <w:r w:rsidR="00470D6D">
        <w:rPr>
          <w:sz w:val="24"/>
          <w:szCs w:val="24"/>
        </w:rPr>
        <w:t xml:space="preserve"> ao câmbio de 31/12/2020</w:t>
      </w:r>
      <w:bookmarkEnd w:id="14"/>
      <w:r w:rsidR="00E52232" w:rsidRPr="0005635F">
        <w:rPr>
          <w:sz w:val="24"/>
          <w:szCs w:val="24"/>
        </w:rPr>
        <w:t>.</w:t>
      </w:r>
      <w:r w:rsidR="003C65AE" w:rsidRPr="0005635F">
        <w:rPr>
          <w:sz w:val="24"/>
          <w:szCs w:val="24"/>
        </w:rPr>
        <w:t xml:space="preserve"> A estimativa de impacto da manutenção do SCE para 202</w:t>
      </w:r>
      <w:r w:rsidR="00347511">
        <w:rPr>
          <w:sz w:val="24"/>
          <w:szCs w:val="24"/>
        </w:rPr>
        <w:t>1</w:t>
      </w:r>
      <w:r w:rsidR="003C65AE" w:rsidRPr="0005635F">
        <w:rPr>
          <w:sz w:val="24"/>
          <w:szCs w:val="24"/>
        </w:rPr>
        <w:t xml:space="preserve"> e </w:t>
      </w:r>
      <w:r w:rsidR="00BE0CF9" w:rsidRPr="0005635F">
        <w:rPr>
          <w:sz w:val="24"/>
          <w:szCs w:val="24"/>
        </w:rPr>
        <w:t>202</w:t>
      </w:r>
      <w:r w:rsidR="00347511">
        <w:rPr>
          <w:sz w:val="24"/>
          <w:szCs w:val="24"/>
        </w:rPr>
        <w:t>2</w:t>
      </w:r>
      <w:r w:rsidR="007F6BC0" w:rsidRPr="0005635F">
        <w:rPr>
          <w:sz w:val="24"/>
          <w:szCs w:val="24"/>
        </w:rPr>
        <w:t xml:space="preserve"> é </w:t>
      </w:r>
      <w:r w:rsidR="000E02D7" w:rsidRPr="0005635F">
        <w:rPr>
          <w:sz w:val="24"/>
          <w:szCs w:val="24"/>
        </w:rPr>
        <w:t>R$ 1,</w:t>
      </w:r>
      <w:r w:rsidR="00347511">
        <w:rPr>
          <w:sz w:val="24"/>
          <w:szCs w:val="24"/>
        </w:rPr>
        <w:t>5</w:t>
      </w:r>
      <w:r w:rsidR="000E02D7" w:rsidRPr="0005635F">
        <w:rPr>
          <w:sz w:val="24"/>
          <w:szCs w:val="24"/>
        </w:rPr>
        <w:t xml:space="preserve"> bilhão e R$ 1,</w:t>
      </w:r>
      <w:r w:rsidR="00347511">
        <w:rPr>
          <w:sz w:val="24"/>
          <w:szCs w:val="24"/>
        </w:rPr>
        <w:t>3</w:t>
      </w:r>
      <w:r w:rsidR="000E02D7" w:rsidRPr="0005635F">
        <w:rPr>
          <w:sz w:val="24"/>
          <w:szCs w:val="24"/>
        </w:rPr>
        <w:t xml:space="preserve"> bilhão, respectivamente.</w:t>
      </w:r>
      <w:r w:rsidR="001B7922" w:rsidRPr="0005635F">
        <w:rPr>
          <w:sz w:val="24"/>
          <w:szCs w:val="24"/>
        </w:rPr>
        <w:t xml:space="preserve"> Como o </w:t>
      </w:r>
      <w:r w:rsidR="00E246E9" w:rsidRPr="0005635F">
        <w:rPr>
          <w:sz w:val="24"/>
          <w:szCs w:val="24"/>
        </w:rPr>
        <w:lastRenderedPageBreak/>
        <w:t xml:space="preserve">Fundo apresenta </w:t>
      </w:r>
      <w:proofErr w:type="gramStart"/>
      <w:r w:rsidR="00E246E9" w:rsidRPr="0005635F">
        <w:rPr>
          <w:sz w:val="24"/>
          <w:szCs w:val="24"/>
        </w:rPr>
        <w:t>sustentabilidade atuarial</w:t>
      </w:r>
      <w:r w:rsidR="00AA6F47" w:rsidRPr="0005635F">
        <w:rPr>
          <w:sz w:val="24"/>
          <w:szCs w:val="24"/>
        </w:rPr>
        <w:t xml:space="preserve"> e adequado</w:t>
      </w:r>
      <w:proofErr w:type="gramEnd"/>
      <w:r w:rsidR="00AA6F47" w:rsidRPr="0005635F">
        <w:rPr>
          <w:sz w:val="24"/>
          <w:szCs w:val="24"/>
        </w:rPr>
        <w:t xml:space="preserve"> provisionamento de liquidez, seu principal risco é de natureza orçamentária e cambial.</w:t>
      </w:r>
    </w:p>
    <w:p w14:paraId="79868EBA" w14:textId="3A5F681E" w:rsidR="00C71767" w:rsidRPr="00772358" w:rsidRDefault="002D331F" w:rsidP="0051611C">
      <w:pPr>
        <w:pStyle w:val="PargrafodaLista"/>
        <w:numPr>
          <w:ilvl w:val="0"/>
          <w:numId w:val="25"/>
        </w:numPr>
        <w:spacing w:after="120" w:line="240" w:lineRule="auto"/>
        <w:ind w:left="425" w:hanging="425"/>
        <w:contextualSpacing w:val="0"/>
        <w:jc w:val="both"/>
        <w:rPr>
          <w:sz w:val="24"/>
          <w:szCs w:val="24"/>
        </w:rPr>
      </w:pPr>
      <w:r w:rsidRPr="002D331F">
        <w:rPr>
          <w:sz w:val="24"/>
          <w:szCs w:val="24"/>
        </w:rPr>
        <w:t>Ao final de dezembro de 2020</w:t>
      </w:r>
      <w:r w:rsidR="00C71767" w:rsidRPr="00772358">
        <w:rPr>
          <w:sz w:val="24"/>
          <w:szCs w:val="24"/>
        </w:rPr>
        <w:t xml:space="preserve"> a União </w:t>
      </w:r>
      <w:r w:rsidRPr="002D331F">
        <w:rPr>
          <w:sz w:val="24"/>
          <w:szCs w:val="24"/>
        </w:rPr>
        <w:t>possuía R$ 6</w:t>
      </w:r>
      <w:r w:rsidR="003F7A90">
        <w:rPr>
          <w:sz w:val="24"/>
          <w:szCs w:val="24"/>
        </w:rPr>
        <w:t>9</w:t>
      </w:r>
      <w:r w:rsidR="00C71767" w:rsidRPr="00772358">
        <w:rPr>
          <w:sz w:val="24"/>
          <w:szCs w:val="24"/>
        </w:rPr>
        <w:t xml:space="preserve">,2 bilhões </w:t>
      </w:r>
      <w:r w:rsidRPr="002D331F">
        <w:rPr>
          <w:sz w:val="24"/>
          <w:szCs w:val="24"/>
        </w:rPr>
        <w:t xml:space="preserve">de participação </w:t>
      </w:r>
      <w:r w:rsidR="00C71767" w:rsidRPr="00772358">
        <w:rPr>
          <w:sz w:val="24"/>
          <w:szCs w:val="24"/>
        </w:rPr>
        <w:t xml:space="preserve">em cotas </w:t>
      </w:r>
      <w:r w:rsidRPr="002D331F">
        <w:rPr>
          <w:sz w:val="24"/>
          <w:szCs w:val="24"/>
        </w:rPr>
        <w:t>nos</w:t>
      </w:r>
      <w:r w:rsidR="00C71767" w:rsidRPr="00772358">
        <w:rPr>
          <w:sz w:val="24"/>
          <w:szCs w:val="24"/>
        </w:rPr>
        <w:t xml:space="preserve"> fundos garantidores privados, destinados a oferecer garantias no âmbito de políticas públicas e programas de governo. Apesar de não impactar as receitas e despesas da União, eventos de acionamento de garantias concedidas geram a obrigação de pagamento de honras por parte dos fundos, o que implica perda de recursos da União. </w:t>
      </w:r>
      <w:r w:rsidRPr="002D331F">
        <w:rPr>
          <w:sz w:val="24"/>
          <w:szCs w:val="24"/>
        </w:rPr>
        <w:t>Durante o ano de 2020, devido à calamidade pública decorrente da pandemia da Covid-19, foram aportados R$ 38 bilhões no FGO e R$ 20 bilhões no FGI.</w:t>
      </w:r>
    </w:p>
    <w:p w14:paraId="5020D874" w14:textId="1B38ECD9" w:rsidR="00EA5D41" w:rsidRPr="0005635F" w:rsidRDefault="0051611C" w:rsidP="00EA5D41">
      <w:pPr>
        <w:pStyle w:val="PargrafodaLista"/>
        <w:numPr>
          <w:ilvl w:val="0"/>
          <w:numId w:val="25"/>
        </w:numPr>
        <w:spacing w:after="120" w:line="240" w:lineRule="auto"/>
        <w:ind w:left="425" w:hanging="425"/>
        <w:contextualSpacing w:val="0"/>
        <w:jc w:val="both"/>
        <w:rPr>
          <w:sz w:val="24"/>
          <w:szCs w:val="24"/>
          <w:lang w:eastAsia="pt-BR"/>
        </w:rPr>
      </w:pPr>
      <w:r w:rsidRPr="0005635F">
        <w:rPr>
          <w:sz w:val="24"/>
          <w:szCs w:val="24"/>
          <w:lang w:eastAsia="pt-BR"/>
        </w:rPr>
        <w:t>O estoque da Dívida Ativa da União alcançou o valor de R$ 2.</w:t>
      </w:r>
      <w:r w:rsidR="00756FF2">
        <w:rPr>
          <w:sz w:val="24"/>
          <w:szCs w:val="24"/>
          <w:lang w:eastAsia="pt-BR"/>
        </w:rPr>
        <w:t>5</w:t>
      </w:r>
      <w:r w:rsidR="0021049E">
        <w:rPr>
          <w:sz w:val="24"/>
          <w:szCs w:val="24"/>
          <w:lang w:eastAsia="pt-BR"/>
        </w:rPr>
        <w:t>25</w:t>
      </w:r>
      <w:r w:rsidR="00455221" w:rsidRPr="0005635F">
        <w:rPr>
          <w:sz w:val="24"/>
          <w:szCs w:val="24"/>
          <w:lang w:eastAsia="pt-BR"/>
        </w:rPr>
        <w:t>,</w:t>
      </w:r>
      <w:r w:rsidR="0021049E">
        <w:rPr>
          <w:sz w:val="24"/>
          <w:szCs w:val="24"/>
          <w:lang w:eastAsia="pt-BR"/>
        </w:rPr>
        <w:t>0</w:t>
      </w:r>
      <w:r w:rsidRPr="0005635F">
        <w:rPr>
          <w:sz w:val="24"/>
          <w:szCs w:val="24"/>
          <w:lang w:eastAsia="pt-BR"/>
        </w:rPr>
        <w:t xml:space="preserve"> bilhões, representando um crescimento de </w:t>
      </w:r>
      <w:r w:rsidR="0021049E">
        <w:rPr>
          <w:sz w:val="24"/>
          <w:szCs w:val="24"/>
          <w:lang w:eastAsia="pt-BR"/>
        </w:rPr>
        <w:t>4,6</w:t>
      </w:r>
      <w:r w:rsidRPr="0005635F">
        <w:rPr>
          <w:sz w:val="24"/>
          <w:szCs w:val="24"/>
          <w:lang w:eastAsia="pt-BR"/>
        </w:rPr>
        <w:t>% em relação ao exercício anterior. Desse valor, aproximadamente 8</w:t>
      </w:r>
      <w:r w:rsidR="00756FF2">
        <w:rPr>
          <w:sz w:val="24"/>
          <w:szCs w:val="24"/>
          <w:lang w:eastAsia="pt-BR"/>
        </w:rPr>
        <w:t>1</w:t>
      </w:r>
      <w:r w:rsidRPr="0005635F">
        <w:rPr>
          <w:sz w:val="24"/>
          <w:szCs w:val="24"/>
          <w:lang w:eastAsia="pt-BR"/>
        </w:rPr>
        <w:t xml:space="preserve">% </w:t>
      </w:r>
      <w:r w:rsidR="000519B2" w:rsidRPr="0005635F">
        <w:rPr>
          <w:sz w:val="24"/>
          <w:szCs w:val="24"/>
          <w:lang w:eastAsia="pt-BR"/>
        </w:rPr>
        <w:t>(</w:t>
      </w:r>
      <w:r w:rsidRPr="0005635F">
        <w:rPr>
          <w:sz w:val="24"/>
          <w:szCs w:val="24"/>
          <w:lang w:eastAsia="pt-BR"/>
        </w:rPr>
        <w:t xml:space="preserve">R$ </w:t>
      </w:r>
      <w:r w:rsidR="00756FF2">
        <w:rPr>
          <w:sz w:val="24"/>
          <w:szCs w:val="24"/>
          <w:lang w:eastAsia="pt-BR"/>
        </w:rPr>
        <w:t>2</w:t>
      </w:r>
      <w:r w:rsidRPr="0005635F">
        <w:rPr>
          <w:sz w:val="24"/>
          <w:szCs w:val="24"/>
          <w:lang w:eastAsia="pt-BR"/>
        </w:rPr>
        <w:t>.</w:t>
      </w:r>
      <w:r w:rsidR="00756FF2">
        <w:rPr>
          <w:sz w:val="24"/>
          <w:szCs w:val="24"/>
          <w:lang w:eastAsia="pt-BR"/>
        </w:rPr>
        <w:t>0</w:t>
      </w:r>
      <w:r w:rsidR="0021049E">
        <w:rPr>
          <w:sz w:val="24"/>
          <w:szCs w:val="24"/>
          <w:lang w:eastAsia="pt-BR"/>
        </w:rPr>
        <w:t>40</w:t>
      </w:r>
      <w:r w:rsidR="00455221" w:rsidRPr="0005635F">
        <w:rPr>
          <w:sz w:val="24"/>
          <w:szCs w:val="24"/>
          <w:lang w:eastAsia="pt-BR"/>
        </w:rPr>
        <w:t>,</w:t>
      </w:r>
      <w:r w:rsidR="0021049E">
        <w:rPr>
          <w:sz w:val="24"/>
          <w:szCs w:val="24"/>
          <w:lang w:eastAsia="pt-BR"/>
        </w:rPr>
        <w:t>0</w:t>
      </w:r>
      <w:r w:rsidRPr="0005635F">
        <w:rPr>
          <w:sz w:val="24"/>
          <w:szCs w:val="24"/>
          <w:lang w:eastAsia="pt-BR"/>
        </w:rPr>
        <w:t xml:space="preserve"> bilhões</w:t>
      </w:r>
      <w:r w:rsidR="000519B2" w:rsidRPr="0005635F">
        <w:rPr>
          <w:sz w:val="24"/>
          <w:szCs w:val="24"/>
          <w:lang w:eastAsia="pt-BR"/>
        </w:rPr>
        <w:t>)</w:t>
      </w:r>
      <w:r w:rsidRPr="0005635F">
        <w:rPr>
          <w:sz w:val="24"/>
          <w:szCs w:val="24"/>
          <w:lang w:eastAsia="pt-BR"/>
        </w:rPr>
        <w:t xml:space="preserve"> são tratados como perdas</w:t>
      </w:r>
      <w:r w:rsidR="00173076">
        <w:rPr>
          <w:sz w:val="24"/>
          <w:szCs w:val="24"/>
          <w:lang w:eastAsia="pt-BR"/>
        </w:rPr>
        <w:t>.</w:t>
      </w:r>
      <w:r w:rsidRPr="0005635F">
        <w:rPr>
          <w:sz w:val="24"/>
          <w:szCs w:val="24"/>
          <w:lang w:eastAsia="pt-BR"/>
        </w:rPr>
        <w:t xml:space="preserve"> </w:t>
      </w:r>
      <w:r w:rsidR="00173076">
        <w:rPr>
          <w:sz w:val="24"/>
          <w:szCs w:val="24"/>
          <w:lang w:eastAsia="pt-BR"/>
        </w:rPr>
        <w:t>H</w:t>
      </w:r>
      <w:r w:rsidRPr="0005635F">
        <w:rPr>
          <w:sz w:val="24"/>
          <w:szCs w:val="24"/>
          <w:lang w:eastAsia="pt-BR"/>
        </w:rPr>
        <w:t xml:space="preserve">á uma expectativa de recuperação/arrecadação de </w:t>
      </w:r>
      <w:r w:rsidR="00C35E25" w:rsidRPr="0005635F">
        <w:rPr>
          <w:sz w:val="24"/>
          <w:szCs w:val="24"/>
          <w:lang w:eastAsia="pt-BR"/>
        </w:rPr>
        <w:t xml:space="preserve">R$ </w:t>
      </w:r>
      <w:r w:rsidR="00455221" w:rsidRPr="0005635F">
        <w:rPr>
          <w:sz w:val="24"/>
          <w:szCs w:val="24"/>
          <w:lang w:eastAsia="pt-BR"/>
        </w:rPr>
        <w:t>4</w:t>
      </w:r>
      <w:r w:rsidR="00756FF2">
        <w:rPr>
          <w:sz w:val="24"/>
          <w:szCs w:val="24"/>
          <w:lang w:eastAsia="pt-BR"/>
        </w:rPr>
        <w:t>8</w:t>
      </w:r>
      <w:r w:rsidR="0021049E">
        <w:rPr>
          <w:sz w:val="24"/>
          <w:szCs w:val="24"/>
          <w:lang w:eastAsia="pt-BR"/>
        </w:rPr>
        <w:t>5</w:t>
      </w:r>
      <w:r w:rsidR="00820332" w:rsidRPr="0005635F">
        <w:rPr>
          <w:sz w:val="24"/>
          <w:szCs w:val="24"/>
          <w:lang w:eastAsia="pt-BR"/>
        </w:rPr>
        <w:t>,</w:t>
      </w:r>
      <w:r w:rsidR="00756FF2">
        <w:rPr>
          <w:sz w:val="24"/>
          <w:szCs w:val="24"/>
          <w:lang w:eastAsia="pt-BR"/>
        </w:rPr>
        <w:t>0</w:t>
      </w:r>
      <w:r w:rsidR="00455221" w:rsidRPr="0005635F">
        <w:rPr>
          <w:sz w:val="24"/>
          <w:szCs w:val="24"/>
          <w:lang w:eastAsia="pt-BR"/>
        </w:rPr>
        <w:t xml:space="preserve"> </w:t>
      </w:r>
      <w:r w:rsidR="00820332" w:rsidRPr="0005635F">
        <w:rPr>
          <w:sz w:val="24"/>
          <w:szCs w:val="24"/>
          <w:lang w:eastAsia="pt-BR"/>
        </w:rPr>
        <w:t>bilhões</w:t>
      </w:r>
      <w:r w:rsidR="00455221" w:rsidRPr="0005635F">
        <w:rPr>
          <w:sz w:val="24"/>
          <w:szCs w:val="24"/>
          <w:lang w:eastAsia="pt-BR"/>
        </w:rPr>
        <w:t xml:space="preserve"> dentro dos próximos 15 anos,</w:t>
      </w:r>
      <w:r w:rsidRPr="0005635F">
        <w:rPr>
          <w:sz w:val="24"/>
          <w:szCs w:val="24"/>
          <w:lang w:eastAsia="pt-BR"/>
        </w:rPr>
        <w:t xml:space="preserve"> com impacto</w:t>
      </w:r>
      <w:r w:rsidR="005329C1" w:rsidRPr="0005635F">
        <w:rPr>
          <w:sz w:val="24"/>
          <w:szCs w:val="24"/>
          <w:lang w:eastAsia="pt-BR"/>
        </w:rPr>
        <w:t>,</w:t>
      </w:r>
      <w:r w:rsidRPr="0005635F">
        <w:rPr>
          <w:sz w:val="24"/>
          <w:szCs w:val="24"/>
          <w:lang w:eastAsia="pt-BR"/>
        </w:rPr>
        <w:t xml:space="preserve"> </w:t>
      </w:r>
      <w:r w:rsidR="00F8711A" w:rsidRPr="0005635F">
        <w:rPr>
          <w:sz w:val="24"/>
          <w:szCs w:val="24"/>
          <w:lang w:eastAsia="pt-BR"/>
        </w:rPr>
        <w:t>predominantemente</w:t>
      </w:r>
      <w:r w:rsidR="005329C1" w:rsidRPr="0005635F">
        <w:rPr>
          <w:sz w:val="24"/>
          <w:szCs w:val="24"/>
          <w:lang w:eastAsia="pt-BR"/>
        </w:rPr>
        <w:t>,</w:t>
      </w:r>
      <w:r w:rsidRPr="0005635F">
        <w:rPr>
          <w:sz w:val="24"/>
          <w:szCs w:val="24"/>
          <w:lang w:eastAsia="pt-BR"/>
        </w:rPr>
        <w:t xml:space="preserve"> primário</w:t>
      </w:r>
      <w:r w:rsidR="009753AC" w:rsidRPr="0005635F">
        <w:rPr>
          <w:sz w:val="24"/>
          <w:szCs w:val="24"/>
          <w:lang w:eastAsia="pt-BR"/>
        </w:rPr>
        <w:t>.</w:t>
      </w:r>
    </w:p>
    <w:p w14:paraId="670722F9" w14:textId="466259DE" w:rsidR="001D6BB4" w:rsidRPr="0005635F" w:rsidRDefault="00816FD6" w:rsidP="00EA5D41">
      <w:pPr>
        <w:pStyle w:val="PargrafodaLista"/>
        <w:numPr>
          <w:ilvl w:val="0"/>
          <w:numId w:val="25"/>
        </w:numPr>
        <w:spacing w:after="120" w:line="240" w:lineRule="auto"/>
        <w:ind w:left="425" w:hanging="425"/>
        <w:contextualSpacing w:val="0"/>
        <w:jc w:val="both"/>
        <w:rPr>
          <w:sz w:val="24"/>
          <w:szCs w:val="24"/>
          <w:lang w:eastAsia="pt-BR"/>
        </w:rPr>
      </w:pPr>
      <w:r w:rsidRPr="0005635F">
        <w:rPr>
          <w:sz w:val="24"/>
          <w:szCs w:val="24"/>
          <w:lang w:eastAsia="pt-BR"/>
        </w:rPr>
        <w:t>O fluxo dos depósitos judiciais, que imp</w:t>
      </w:r>
      <w:r w:rsidR="005635AF" w:rsidRPr="0005635F">
        <w:rPr>
          <w:sz w:val="24"/>
          <w:szCs w:val="24"/>
          <w:lang w:eastAsia="pt-BR"/>
        </w:rPr>
        <w:t>actam o resultado primário</w:t>
      </w:r>
      <w:r w:rsidR="002E1F69" w:rsidRPr="0005635F">
        <w:rPr>
          <w:sz w:val="24"/>
          <w:szCs w:val="24"/>
          <w:lang w:eastAsia="pt-BR"/>
        </w:rPr>
        <w:t xml:space="preserve"> da União</w:t>
      </w:r>
      <w:r w:rsidR="005635AF" w:rsidRPr="0005635F">
        <w:rPr>
          <w:sz w:val="24"/>
          <w:szCs w:val="24"/>
          <w:lang w:eastAsia="pt-BR"/>
        </w:rPr>
        <w:t xml:space="preserve">, </w:t>
      </w:r>
      <w:r w:rsidR="00B00830" w:rsidRPr="0005635F">
        <w:rPr>
          <w:sz w:val="24"/>
          <w:szCs w:val="24"/>
          <w:lang w:eastAsia="pt-BR"/>
        </w:rPr>
        <w:t>fechou o exercício de 20</w:t>
      </w:r>
      <w:r w:rsidR="002B036A">
        <w:rPr>
          <w:sz w:val="24"/>
          <w:szCs w:val="24"/>
          <w:lang w:eastAsia="pt-BR"/>
        </w:rPr>
        <w:t>20</w:t>
      </w:r>
      <w:r w:rsidR="00B00830" w:rsidRPr="0005635F">
        <w:rPr>
          <w:sz w:val="24"/>
          <w:szCs w:val="24"/>
          <w:lang w:eastAsia="pt-BR"/>
        </w:rPr>
        <w:t xml:space="preserve"> </w:t>
      </w:r>
      <w:r w:rsidR="007E5E41" w:rsidRPr="0005635F">
        <w:rPr>
          <w:sz w:val="24"/>
          <w:szCs w:val="24"/>
          <w:lang w:eastAsia="pt-BR"/>
        </w:rPr>
        <w:t xml:space="preserve">com saldo positivo de </w:t>
      </w:r>
      <w:r w:rsidR="00B00830" w:rsidRPr="0005635F">
        <w:rPr>
          <w:sz w:val="24"/>
          <w:szCs w:val="24"/>
          <w:lang w:eastAsia="pt-BR"/>
        </w:rPr>
        <w:t>R</w:t>
      </w:r>
      <w:r w:rsidR="00B00830" w:rsidRPr="00922125">
        <w:rPr>
          <w:sz w:val="24"/>
          <w:szCs w:val="24"/>
          <w:lang w:eastAsia="pt-BR"/>
        </w:rPr>
        <w:t xml:space="preserve">$ </w:t>
      </w:r>
      <w:r w:rsidR="00922125" w:rsidRPr="00922125">
        <w:rPr>
          <w:sz w:val="24"/>
          <w:szCs w:val="24"/>
          <w:lang w:eastAsia="pt-BR"/>
        </w:rPr>
        <w:t>10</w:t>
      </w:r>
      <w:r w:rsidR="00E262FE" w:rsidRPr="00922125">
        <w:rPr>
          <w:sz w:val="24"/>
          <w:szCs w:val="24"/>
          <w:lang w:eastAsia="pt-BR"/>
        </w:rPr>
        <w:t>,</w:t>
      </w:r>
      <w:r w:rsidR="00922125" w:rsidRPr="00922125">
        <w:rPr>
          <w:sz w:val="24"/>
          <w:szCs w:val="24"/>
          <w:lang w:eastAsia="pt-BR"/>
        </w:rPr>
        <w:t>0</w:t>
      </w:r>
      <w:r w:rsidR="00E262FE" w:rsidRPr="00922125">
        <w:rPr>
          <w:sz w:val="24"/>
          <w:szCs w:val="24"/>
          <w:lang w:eastAsia="pt-BR"/>
        </w:rPr>
        <w:t xml:space="preserve"> bilhões</w:t>
      </w:r>
      <w:r w:rsidR="00E262FE" w:rsidRPr="0005635F">
        <w:rPr>
          <w:sz w:val="24"/>
          <w:szCs w:val="24"/>
          <w:lang w:eastAsia="pt-BR"/>
        </w:rPr>
        <w:t>, tendo</w:t>
      </w:r>
      <w:r w:rsidR="00274CB8" w:rsidRPr="0005635F">
        <w:rPr>
          <w:sz w:val="24"/>
          <w:szCs w:val="24"/>
          <w:lang w:eastAsia="pt-BR"/>
        </w:rPr>
        <w:t xml:space="preserve"> os volumes de recolhimento e levantamento de depósito</w:t>
      </w:r>
      <w:r w:rsidR="00C946B6" w:rsidRPr="0005635F">
        <w:rPr>
          <w:sz w:val="24"/>
          <w:szCs w:val="24"/>
          <w:lang w:eastAsia="pt-BR"/>
        </w:rPr>
        <w:t xml:space="preserve"> (saques)</w:t>
      </w:r>
      <w:r w:rsidR="00274CB8" w:rsidRPr="0005635F">
        <w:rPr>
          <w:sz w:val="24"/>
          <w:szCs w:val="24"/>
          <w:lang w:eastAsia="pt-BR"/>
        </w:rPr>
        <w:t xml:space="preserve"> de R</w:t>
      </w:r>
      <w:r w:rsidR="00274CB8" w:rsidRPr="00922125">
        <w:rPr>
          <w:sz w:val="24"/>
          <w:szCs w:val="24"/>
          <w:lang w:eastAsia="pt-BR"/>
        </w:rPr>
        <w:t xml:space="preserve">$ </w:t>
      </w:r>
      <w:r w:rsidR="00922125" w:rsidRPr="00922125">
        <w:rPr>
          <w:sz w:val="24"/>
          <w:szCs w:val="24"/>
          <w:lang w:eastAsia="pt-BR"/>
        </w:rPr>
        <w:t>21</w:t>
      </w:r>
      <w:r w:rsidR="002E1F69" w:rsidRPr="00922125">
        <w:rPr>
          <w:sz w:val="24"/>
          <w:szCs w:val="24"/>
          <w:lang w:eastAsia="pt-BR"/>
        </w:rPr>
        <w:t>,</w:t>
      </w:r>
      <w:r w:rsidR="00922125" w:rsidRPr="00922125">
        <w:rPr>
          <w:sz w:val="24"/>
          <w:szCs w:val="24"/>
          <w:lang w:eastAsia="pt-BR"/>
        </w:rPr>
        <w:t>3</w:t>
      </w:r>
      <w:r w:rsidR="002E1F69" w:rsidRPr="00922125">
        <w:rPr>
          <w:sz w:val="24"/>
          <w:szCs w:val="24"/>
          <w:lang w:eastAsia="pt-BR"/>
        </w:rPr>
        <w:t xml:space="preserve"> bilhões e R$ </w:t>
      </w:r>
      <w:r w:rsidR="00922125" w:rsidRPr="00922125">
        <w:rPr>
          <w:sz w:val="24"/>
          <w:szCs w:val="24"/>
          <w:lang w:eastAsia="pt-BR"/>
        </w:rPr>
        <w:t>11</w:t>
      </w:r>
      <w:r w:rsidR="002E1F69" w:rsidRPr="00922125">
        <w:rPr>
          <w:sz w:val="24"/>
          <w:szCs w:val="24"/>
          <w:lang w:eastAsia="pt-BR"/>
        </w:rPr>
        <w:t>,</w:t>
      </w:r>
      <w:r w:rsidR="00922125" w:rsidRPr="00922125">
        <w:rPr>
          <w:sz w:val="24"/>
          <w:szCs w:val="24"/>
          <w:lang w:eastAsia="pt-BR"/>
        </w:rPr>
        <w:t>3</w:t>
      </w:r>
      <w:r w:rsidR="002E1F69" w:rsidRPr="00922125">
        <w:rPr>
          <w:sz w:val="24"/>
          <w:szCs w:val="24"/>
          <w:lang w:eastAsia="pt-BR"/>
        </w:rPr>
        <w:t xml:space="preserve"> </w:t>
      </w:r>
      <w:r w:rsidR="002E1F69" w:rsidRPr="0005635F">
        <w:rPr>
          <w:sz w:val="24"/>
          <w:szCs w:val="24"/>
          <w:lang w:eastAsia="pt-BR"/>
        </w:rPr>
        <w:t>bilhões, respectivamente.</w:t>
      </w:r>
    </w:p>
    <w:p w14:paraId="444E090D" w14:textId="1711BDB8" w:rsidR="0051611C" w:rsidRPr="0005635F" w:rsidRDefault="0051611C" w:rsidP="0051611C">
      <w:pPr>
        <w:pStyle w:val="PargrafodaLista"/>
        <w:numPr>
          <w:ilvl w:val="0"/>
          <w:numId w:val="25"/>
        </w:numPr>
        <w:spacing w:after="120" w:line="240" w:lineRule="auto"/>
        <w:ind w:left="425" w:hanging="425"/>
        <w:contextualSpacing w:val="0"/>
        <w:jc w:val="both"/>
        <w:rPr>
          <w:lang w:eastAsia="pt-BR"/>
        </w:rPr>
      </w:pPr>
      <w:r w:rsidRPr="0005635F">
        <w:rPr>
          <w:sz w:val="24"/>
          <w:szCs w:val="24"/>
          <w:lang w:eastAsia="pt-BR"/>
        </w:rPr>
        <w:t>O estoque de haveres financeiros da União relacionados aos entes federativos, ao final de 20</w:t>
      </w:r>
      <w:r w:rsidR="00D269C6">
        <w:rPr>
          <w:sz w:val="24"/>
          <w:szCs w:val="24"/>
          <w:lang w:eastAsia="pt-BR"/>
        </w:rPr>
        <w:t>20</w:t>
      </w:r>
      <w:r w:rsidRPr="0005635F">
        <w:rPr>
          <w:sz w:val="24"/>
          <w:szCs w:val="24"/>
          <w:lang w:eastAsia="pt-BR"/>
        </w:rPr>
        <w:t xml:space="preserve">, totalizava R$ </w:t>
      </w:r>
      <w:r w:rsidR="003D2176" w:rsidRPr="0005635F">
        <w:rPr>
          <w:sz w:val="24"/>
          <w:szCs w:val="24"/>
          <w:lang w:eastAsia="pt-BR"/>
        </w:rPr>
        <w:t>6</w:t>
      </w:r>
      <w:r w:rsidR="00D269C6">
        <w:rPr>
          <w:sz w:val="24"/>
          <w:szCs w:val="24"/>
          <w:lang w:eastAsia="pt-BR"/>
        </w:rPr>
        <w:t>47</w:t>
      </w:r>
      <w:r w:rsidR="003D2176" w:rsidRPr="0005635F">
        <w:rPr>
          <w:sz w:val="24"/>
          <w:szCs w:val="24"/>
          <w:lang w:eastAsia="pt-BR"/>
        </w:rPr>
        <w:t>,</w:t>
      </w:r>
      <w:r w:rsidR="00FD530D">
        <w:rPr>
          <w:sz w:val="24"/>
          <w:szCs w:val="24"/>
          <w:lang w:eastAsia="pt-BR"/>
        </w:rPr>
        <w:t>6</w:t>
      </w:r>
      <w:r w:rsidRPr="0005635F">
        <w:rPr>
          <w:sz w:val="24"/>
          <w:szCs w:val="24"/>
          <w:lang w:eastAsia="pt-BR"/>
        </w:rPr>
        <w:t xml:space="preserve"> bilhões e apresenta</w:t>
      </w:r>
      <w:r w:rsidR="00FD5E71">
        <w:rPr>
          <w:sz w:val="24"/>
          <w:szCs w:val="24"/>
          <w:lang w:eastAsia="pt-BR"/>
        </w:rPr>
        <w:t>va</w:t>
      </w:r>
      <w:r w:rsidRPr="0005635F">
        <w:rPr>
          <w:sz w:val="24"/>
          <w:szCs w:val="24"/>
          <w:lang w:eastAsia="pt-BR"/>
        </w:rPr>
        <w:t xml:space="preserve">, naquele exercício, um fluxo de R$ </w:t>
      </w:r>
      <w:r w:rsidR="003D2176" w:rsidRPr="0005635F">
        <w:rPr>
          <w:sz w:val="24"/>
          <w:szCs w:val="24"/>
          <w:lang w:eastAsia="pt-BR"/>
        </w:rPr>
        <w:t>5</w:t>
      </w:r>
      <w:r w:rsidRPr="0005635F">
        <w:rPr>
          <w:sz w:val="24"/>
          <w:szCs w:val="24"/>
          <w:lang w:eastAsia="pt-BR"/>
        </w:rPr>
        <w:t xml:space="preserve"> bilhões, </w:t>
      </w:r>
      <w:r w:rsidR="00D269C6">
        <w:rPr>
          <w:sz w:val="24"/>
          <w:szCs w:val="24"/>
          <w:lang w:eastAsia="pt-BR"/>
        </w:rPr>
        <w:t>30</w:t>
      </w:r>
      <w:r w:rsidRPr="0005635F">
        <w:rPr>
          <w:sz w:val="24"/>
          <w:szCs w:val="24"/>
          <w:lang w:eastAsia="pt-BR"/>
        </w:rPr>
        <w:t>% abaixo do estimado.</w:t>
      </w:r>
      <w:r w:rsidRPr="0005635F">
        <w:rPr>
          <w:sz w:val="24"/>
          <w:szCs w:val="24"/>
        </w:rPr>
        <w:t xml:space="preserve"> A previsão de valores a receber em 202</w:t>
      </w:r>
      <w:r w:rsidR="00D269C6">
        <w:rPr>
          <w:sz w:val="24"/>
          <w:szCs w:val="24"/>
        </w:rPr>
        <w:t>1</w:t>
      </w:r>
      <w:r w:rsidRPr="0005635F">
        <w:rPr>
          <w:sz w:val="24"/>
          <w:szCs w:val="24"/>
        </w:rPr>
        <w:t xml:space="preserve"> e 202</w:t>
      </w:r>
      <w:r w:rsidR="00D269C6">
        <w:rPr>
          <w:sz w:val="24"/>
          <w:szCs w:val="24"/>
        </w:rPr>
        <w:t>2</w:t>
      </w:r>
      <w:r w:rsidRPr="0005635F">
        <w:rPr>
          <w:sz w:val="24"/>
          <w:szCs w:val="24"/>
        </w:rPr>
        <w:t xml:space="preserve"> é de R$ </w:t>
      </w:r>
      <w:r w:rsidR="003D2176" w:rsidRPr="0005635F">
        <w:rPr>
          <w:sz w:val="24"/>
          <w:szCs w:val="24"/>
        </w:rPr>
        <w:t>2</w:t>
      </w:r>
      <w:r w:rsidR="00D269C6">
        <w:rPr>
          <w:sz w:val="24"/>
          <w:szCs w:val="24"/>
        </w:rPr>
        <w:t>4</w:t>
      </w:r>
      <w:r w:rsidR="003D2176" w:rsidRPr="0005635F">
        <w:rPr>
          <w:sz w:val="24"/>
          <w:szCs w:val="24"/>
        </w:rPr>
        <w:t>,</w:t>
      </w:r>
      <w:r w:rsidR="00D269C6">
        <w:rPr>
          <w:sz w:val="24"/>
          <w:szCs w:val="24"/>
        </w:rPr>
        <w:t>9</w:t>
      </w:r>
      <w:r w:rsidRPr="0005635F">
        <w:rPr>
          <w:sz w:val="24"/>
          <w:szCs w:val="24"/>
        </w:rPr>
        <w:t xml:space="preserve"> bilhões e R$ </w:t>
      </w:r>
      <w:r w:rsidR="00D269C6">
        <w:rPr>
          <w:sz w:val="24"/>
          <w:szCs w:val="24"/>
        </w:rPr>
        <w:t>30</w:t>
      </w:r>
      <w:r w:rsidR="003D2176" w:rsidRPr="0005635F">
        <w:rPr>
          <w:sz w:val="24"/>
          <w:szCs w:val="24"/>
        </w:rPr>
        <w:t>,</w:t>
      </w:r>
      <w:r w:rsidR="00546D03">
        <w:rPr>
          <w:sz w:val="24"/>
          <w:szCs w:val="24"/>
        </w:rPr>
        <w:t>4</w:t>
      </w:r>
      <w:r w:rsidRPr="0005635F">
        <w:rPr>
          <w:sz w:val="24"/>
          <w:szCs w:val="24"/>
        </w:rPr>
        <w:t xml:space="preserve"> bilhões, respectivamente</w:t>
      </w:r>
      <w:r w:rsidR="00586DE2" w:rsidRPr="0005635F">
        <w:rPr>
          <w:sz w:val="24"/>
          <w:szCs w:val="24"/>
        </w:rPr>
        <w:t>.</w:t>
      </w:r>
      <w:r w:rsidR="00F95188" w:rsidRPr="0005635F">
        <w:rPr>
          <w:sz w:val="24"/>
          <w:szCs w:val="24"/>
        </w:rPr>
        <w:t xml:space="preserve"> Os principais riscos que atuam sobre esses valore</w:t>
      </w:r>
      <w:r w:rsidR="00C678AF" w:rsidRPr="0005635F">
        <w:rPr>
          <w:sz w:val="24"/>
          <w:szCs w:val="24"/>
        </w:rPr>
        <w:t>s dizem respeito a ações judiciais</w:t>
      </w:r>
      <w:r w:rsidR="00D41AF4" w:rsidRPr="0005635F">
        <w:rPr>
          <w:sz w:val="24"/>
          <w:szCs w:val="24"/>
        </w:rPr>
        <w:t xml:space="preserve"> e</w:t>
      </w:r>
      <w:r w:rsidR="004C43E5" w:rsidRPr="0005635F">
        <w:rPr>
          <w:sz w:val="24"/>
          <w:szCs w:val="24"/>
        </w:rPr>
        <w:t xml:space="preserve"> ao</w:t>
      </w:r>
      <w:r w:rsidR="00C678AF" w:rsidRPr="0005635F">
        <w:rPr>
          <w:sz w:val="24"/>
          <w:szCs w:val="24"/>
        </w:rPr>
        <w:t xml:space="preserve"> não cumprimento de estimativas</w:t>
      </w:r>
      <w:r w:rsidR="002709DC" w:rsidRPr="0005635F">
        <w:rPr>
          <w:sz w:val="24"/>
          <w:szCs w:val="24"/>
        </w:rPr>
        <w:t>, a</w:t>
      </w:r>
      <w:r w:rsidR="006C4F2B" w:rsidRPr="0005635F">
        <w:rPr>
          <w:sz w:val="24"/>
          <w:szCs w:val="24"/>
        </w:rPr>
        <w:t xml:space="preserve">lém </w:t>
      </w:r>
      <w:r w:rsidR="002709DC" w:rsidRPr="0005635F">
        <w:rPr>
          <w:sz w:val="24"/>
          <w:szCs w:val="24"/>
        </w:rPr>
        <w:t>do</w:t>
      </w:r>
      <w:r w:rsidR="00D41AF4" w:rsidRPr="0005635F">
        <w:rPr>
          <w:sz w:val="24"/>
          <w:szCs w:val="24"/>
        </w:rPr>
        <w:t xml:space="preserve"> </w:t>
      </w:r>
      <w:r w:rsidR="005402A3" w:rsidRPr="0005635F">
        <w:rPr>
          <w:sz w:val="24"/>
          <w:szCs w:val="24"/>
        </w:rPr>
        <w:t>cenário</w:t>
      </w:r>
      <w:r w:rsidR="00D41AF4" w:rsidRPr="0005635F">
        <w:rPr>
          <w:sz w:val="24"/>
          <w:szCs w:val="24"/>
        </w:rPr>
        <w:t xml:space="preserve"> de </w:t>
      </w:r>
      <w:r w:rsidR="00BC6BD1" w:rsidRPr="0005635F">
        <w:rPr>
          <w:sz w:val="24"/>
          <w:szCs w:val="24"/>
        </w:rPr>
        <w:t>incertezas legislativa</w:t>
      </w:r>
      <w:r w:rsidR="00D84E93" w:rsidRPr="0005635F">
        <w:rPr>
          <w:sz w:val="24"/>
          <w:szCs w:val="24"/>
        </w:rPr>
        <w:t>s</w:t>
      </w:r>
      <w:r w:rsidR="00DA0BA0" w:rsidRPr="0005635F">
        <w:rPr>
          <w:sz w:val="24"/>
          <w:szCs w:val="24"/>
        </w:rPr>
        <w:t xml:space="preserve"> que existe no relacionamento </w:t>
      </w:r>
      <w:r w:rsidR="00D016F3" w:rsidRPr="0005635F">
        <w:rPr>
          <w:sz w:val="24"/>
          <w:szCs w:val="24"/>
        </w:rPr>
        <w:t>da União com os entes</w:t>
      </w:r>
      <w:r w:rsidR="00D73160" w:rsidRPr="0005635F">
        <w:rPr>
          <w:sz w:val="24"/>
          <w:szCs w:val="24"/>
        </w:rPr>
        <w:t>.</w:t>
      </w:r>
    </w:p>
    <w:p w14:paraId="535DF74B" w14:textId="6DE81B70" w:rsidR="005817AC" w:rsidRPr="0005635F" w:rsidRDefault="0051611C" w:rsidP="0051611C">
      <w:pPr>
        <w:pStyle w:val="PargrafodaLista"/>
        <w:numPr>
          <w:ilvl w:val="0"/>
          <w:numId w:val="25"/>
        </w:numPr>
        <w:spacing w:after="120" w:line="240" w:lineRule="auto"/>
        <w:ind w:left="425" w:hanging="425"/>
        <w:contextualSpacing w:val="0"/>
        <w:jc w:val="both"/>
        <w:rPr>
          <w:rFonts w:eastAsiaTheme="minorEastAsia"/>
          <w:sz w:val="24"/>
          <w:szCs w:val="24"/>
        </w:rPr>
      </w:pPr>
      <w:r w:rsidRPr="0005635F">
        <w:rPr>
          <w:sz w:val="24"/>
          <w:szCs w:val="24"/>
          <w:lang w:eastAsia="pt-BR"/>
        </w:rPr>
        <w:t>O</w:t>
      </w:r>
      <w:r w:rsidR="00D50AB5" w:rsidRPr="0005635F">
        <w:rPr>
          <w:sz w:val="24"/>
          <w:szCs w:val="24"/>
          <w:lang w:eastAsia="pt-BR"/>
        </w:rPr>
        <w:t xml:space="preserve"> estoque </w:t>
      </w:r>
      <w:r w:rsidRPr="0005635F">
        <w:rPr>
          <w:sz w:val="24"/>
          <w:szCs w:val="24"/>
          <w:lang w:eastAsia="pt-BR"/>
        </w:rPr>
        <w:t xml:space="preserve">dos haveres financeiros da União não relacionados aos entes federativos </w:t>
      </w:r>
      <w:r w:rsidR="005B3A08" w:rsidRPr="0005635F">
        <w:rPr>
          <w:sz w:val="24"/>
          <w:szCs w:val="24"/>
          <w:lang w:eastAsia="pt-BR"/>
        </w:rPr>
        <w:t xml:space="preserve">reduziu de R$ </w:t>
      </w:r>
      <w:r w:rsidR="00D50AB5" w:rsidRPr="0005635F">
        <w:rPr>
          <w:sz w:val="24"/>
          <w:szCs w:val="24"/>
          <w:lang w:eastAsia="pt-BR"/>
        </w:rPr>
        <w:t>267</w:t>
      </w:r>
      <w:r w:rsidR="00C96895" w:rsidRPr="0005635F">
        <w:rPr>
          <w:sz w:val="24"/>
          <w:szCs w:val="24"/>
          <w:lang w:eastAsia="pt-BR"/>
        </w:rPr>
        <w:t>,3 bilhões em</w:t>
      </w:r>
      <w:r w:rsidRPr="0005635F">
        <w:rPr>
          <w:sz w:val="24"/>
          <w:szCs w:val="24"/>
          <w:lang w:eastAsia="pt-BR"/>
        </w:rPr>
        <w:t xml:space="preserve"> 2019</w:t>
      </w:r>
      <w:r w:rsidR="386A1445" w:rsidRPr="2FA5264D">
        <w:rPr>
          <w:sz w:val="24"/>
          <w:szCs w:val="24"/>
          <w:lang w:eastAsia="pt-BR"/>
        </w:rPr>
        <w:t xml:space="preserve"> </w:t>
      </w:r>
      <w:r w:rsidR="00C96895" w:rsidRPr="2FA5264D">
        <w:rPr>
          <w:sz w:val="24"/>
          <w:szCs w:val="24"/>
          <w:lang w:eastAsia="pt-BR"/>
        </w:rPr>
        <w:t xml:space="preserve">para R$ </w:t>
      </w:r>
      <w:r w:rsidR="00D50AB5" w:rsidRPr="2FA5264D">
        <w:rPr>
          <w:sz w:val="24"/>
          <w:szCs w:val="24"/>
          <w:lang w:eastAsia="pt-BR"/>
        </w:rPr>
        <w:t>26</w:t>
      </w:r>
      <w:r w:rsidR="15F8CD8C" w:rsidRPr="2FA5264D">
        <w:rPr>
          <w:sz w:val="24"/>
          <w:szCs w:val="24"/>
          <w:lang w:eastAsia="pt-BR"/>
        </w:rPr>
        <w:t>5</w:t>
      </w:r>
      <w:r w:rsidR="00C96895" w:rsidRPr="2FA5264D">
        <w:rPr>
          <w:sz w:val="24"/>
          <w:szCs w:val="24"/>
          <w:lang w:eastAsia="pt-BR"/>
        </w:rPr>
        <w:t>,</w:t>
      </w:r>
      <w:r w:rsidR="00037382">
        <w:rPr>
          <w:sz w:val="24"/>
          <w:szCs w:val="24"/>
          <w:lang w:eastAsia="pt-BR"/>
        </w:rPr>
        <w:t>4</w:t>
      </w:r>
      <w:r w:rsidR="00C96895" w:rsidRPr="2FA5264D">
        <w:rPr>
          <w:sz w:val="24"/>
          <w:szCs w:val="24"/>
          <w:lang w:eastAsia="pt-BR"/>
        </w:rPr>
        <w:t xml:space="preserve"> bilhões em</w:t>
      </w:r>
      <w:r w:rsidRPr="2FA5264D">
        <w:rPr>
          <w:sz w:val="24"/>
          <w:szCs w:val="24"/>
          <w:lang w:eastAsia="pt-BR"/>
        </w:rPr>
        <w:t xml:space="preserve"> 20</w:t>
      </w:r>
      <w:r w:rsidR="468A3BDA" w:rsidRPr="2FA5264D">
        <w:rPr>
          <w:sz w:val="24"/>
          <w:szCs w:val="24"/>
          <w:lang w:eastAsia="pt-BR"/>
        </w:rPr>
        <w:t>20</w:t>
      </w:r>
      <w:r w:rsidR="006E7B98" w:rsidRPr="2FA5264D">
        <w:rPr>
          <w:sz w:val="24"/>
          <w:szCs w:val="24"/>
          <w:lang w:eastAsia="pt-BR"/>
        </w:rPr>
        <w:t>.</w:t>
      </w:r>
      <w:r w:rsidR="006E7B98" w:rsidRPr="0005635F">
        <w:rPr>
          <w:sz w:val="24"/>
          <w:szCs w:val="24"/>
          <w:lang w:eastAsia="pt-BR"/>
        </w:rPr>
        <w:t xml:space="preserve"> </w:t>
      </w:r>
      <w:r w:rsidRPr="0005635F">
        <w:rPr>
          <w:sz w:val="24"/>
          <w:szCs w:val="24"/>
        </w:rPr>
        <w:t>Os valores recebidos entre 201</w:t>
      </w:r>
      <w:r w:rsidR="005817AC" w:rsidRPr="0005635F">
        <w:rPr>
          <w:sz w:val="24"/>
          <w:szCs w:val="24"/>
        </w:rPr>
        <w:t>7</w:t>
      </w:r>
      <w:r w:rsidRPr="0005635F">
        <w:rPr>
          <w:sz w:val="24"/>
          <w:szCs w:val="24"/>
        </w:rPr>
        <w:t xml:space="preserve"> e 201</w:t>
      </w:r>
      <w:r w:rsidR="005817AC" w:rsidRPr="0005635F">
        <w:rPr>
          <w:sz w:val="24"/>
          <w:szCs w:val="24"/>
        </w:rPr>
        <w:t>9</w:t>
      </w:r>
      <w:r w:rsidRPr="0005635F">
        <w:rPr>
          <w:sz w:val="24"/>
          <w:szCs w:val="24"/>
        </w:rPr>
        <w:t xml:space="preserve"> superaram as previsões</w:t>
      </w:r>
      <w:r w:rsidR="005817AC" w:rsidRPr="0005635F">
        <w:rPr>
          <w:sz w:val="24"/>
          <w:szCs w:val="24"/>
        </w:rPr>
        <w:t xml:space="preserve"> devido às liquidações antecipadas do BNDES, em seus contratos junto a STN, que totalizaram, no período, R$ 280 bilhões</w:t>
      </w:r>
      <w:r w:rsidR="007C3F52" w:rsidRPr="0005635F">
        <w:rPr>
          <w:sz w:val="24"/>
          <w:szCs w:val="24"/>
        </w:rPr>
        <w:t>.</w:t>
      </w:r>
      <w:r w:rsidR="6294FE9A" w:rsidRPr="39569741">
        <w:rPr>
          <w:sz w:val="24"/>
          <w:szCs w:val="24"/>
        </w:rPr>
        <w:t xml:space="preserve"> </w:t>
      </w:r>
      <w:r w:rsidR="6294FE9A" w:rsidRPr="39569741">
        <w:rPr>
          <w:rFonts w:ascii="Calibri" w:eastAsia="Calibri" w:hAnsi="Calibri" w:cs="Calibri"/>
          <w:sz w:val="24"/>
          <w:szCs w:val="24"/>
        </w:rPr>
        <w:t>Já em 2020 as receitas referentes a empréstimos concedidos às instituições financeiras apresentaram uma queda em relação ao que havia sido previsto, e</w:t>
      </w:r>
      <w:r w:rsidR="4311700B" w:rsidRPr="39569741">
        <w:rPr>
          <w:rFonts w:ascii="Calibri" w:eastAsia="Calibri" w:hAnsi="Calibri" w:cs="Calibri"/>
          <w:sz w:val="24"/>
          <w:szCs w:val="24"/>
        </w:rPr>
        <w:t xml:space="preserve"> </w:t>
      </w:r>
      <w:r w:rsidR="6294FE9A" w:rsidRPr="39569741">
        <w:rPr>
          <w:rFonts w:ascii="Calibri" w:eastAsia="Calibri" w:hAnsi="Calibri" w:cs="Calibri"/>
          <w:sz w:val="24"/>
          <w:szCs w:val="24"/>
        </w:rPr>
        <w:t xml:space="preserve">também se observou um aumento nas receitas de Operações de Cessões de Crédito, Operações de Crédito à Exportação e Empréstimos </w:t>
      </w:r>
      <w:proofErr w:type="gramStart"/>
      <w:r w:rsidR="6294FE9A" w:rsidRPr="39569741">
        <w:rPr>
          <w:rFonts w:ascii="Calibri" w:eastAsia="Calibri" w:hAnsi="Calibri" w:cs="Calibri"/>
          <w:sz w:val="24"/>
          <w:szCs w:val="24"/>
        </w:rPr>
        <w:t>à</w:t>
      </w:r>
      <w:proofErr w:type="gramEnd"/>
      <w:r w:rsidR="6294FE9A" w:rsidRPr="39569741">
        <w:rPr>
          <w:rFonts w:ascii="Calibri" w:eastAsia="Calibri" w:hAnsi="Calibri" w:cs="Calibri"/>
          <w:sz w:val="24"/>
          <w:szCs w:val="24"/>
        </w:rPr>
        <w:t xml:space="preserve"> Entidades Não Financeiras quando comparadas ao que havia sido previsto</w:t>
      </w:r>
      <w:r w:rsidR="3A393FC1" w:rsidRPr="76D06A8F">
        <w:rPr>
          <w:rFonts w:ascii="Calibri" w:eastAsia="Calibri" w:hAnsi="Calibri" w:cs="Calibri"/>
          <w:sz w:val="24"/>
          <w:szCs w:val="24"/>
        </w:rPr>
        <w:t>.</w:t>
      </w:r>
    </w:p>
    <w:p w14:paraId="350D5E79" w14:textId="2DB11E97" w:rsidR="008F7F2D" w:rsidRPr="0005635F" w:rsidRDefault="000D4265" w:rsidP="0051611C">
      <w:pPr>
        <w:pStyle w:val="PargrafodaLista"/>
        <w:numPr>
          <w:ilvl w:val="0"/>
          <w:numId w:val="25"/>
        </w:numPr>
        <w:spacing w:after="120" w:line="240" w:lineRule="auto"/>
        <w:ind w:left="425" w:hanging="425"/>
        <w:contextualSpacing w:val="0"/>
        <w:jc w:val="both"/>
        <w:rPr>
          <w:lang w:eastAsia="pt-BR"/>
        </w:rPr>
      </w:pPr>
      <w:r w:rsidRPr="0005635F">
        <w:rPr>
          <w:sz w:val="24"/>
          <w:szCs w:val="24"/>
        </w:rPr>
        <w:t xml:space="preserve">O único contrato de PPP da </w:t>
      </w:r>
      <w:r w:rsidR="00D21559" w:rsidRPr="0005635F">
        <w:rPr>
          <w:sz w:val="24"/>
          <w:szCs w:val="24"/>
        </w:rPr>
        <w:t>União</w:t>
      </w:r>
      <w:r w:rsidR="004A5820" w:rsidRPr="0005635F">
        <w:rPr>
          <w:sz w:val="24"/>
          <w:szCs w:val="24"/>
        </w:rPr>
        <w:t xml:space="preserve"> (Complexo Data Center)</w:t>
      </w:r>
      <w:r w:rsidR="001A66F0" w:rsidRPr="0005635F">
        <w:rPr>
          <w:sz w:val="24"/>
          <w:szCs w:val="24"/>
        </w:rPr>
        <w:t xml:space="preserve"> não prevê qualquer tipo de garantia do poder concedente ao </w:t>
      </w:r>
      <w:r w:rsidR="00A955A6" w:rsidRPr="0005635F">
        <w:rPr>
          <w:sz w:val="24"/>
          <w:szCs w:val="24"/>
        </w:rPr>
        <w:t>concessionário, de forma que não existem riscos alocados à União sobre este tema.</w:t>
      </w:r>
    </w:p>
    <w:p w14:paraId="606F4D2E" w14:textId="691674A7" w:rsidR="00764602" w:rsidRPr="0005635F" w:rsidRDefault="00764602" w:rsidP="0051611C">
      <w:pPr>
        <w:pStyle w:val="PargrafodaLista"/>
        <w:numPr>
          <w:ilvl w:val="0"/>
          <w:numId w:val="25"/>
        </w:numPr>
        <w:spacing w:after="120" w:line="240" w:lineRule="auto"/>
        <w:ind w:left="425" w:hanging="425"/>
        <w:contextualSpacing w:val="0"/>
        <w:jc w:val="both"/>
        <w:rPr>
          <w:lang w:eastAsia="pt-BR"/>
        </w:rPr>
      </w:pPr>
      <w:r w:rsidRPr="0005635F">
        <w:rPr>
          <w:sz w:val="24"/>
          <w:szCs w:val="24"/>
        </w:rPr>
        <w:t>No que diz respeito às concessões,</w:t>
      </w:r>
      <w:r w:rsidR="00A30964" w:rsidRPr="0005635F">
        <w:rPr>
          <w:sz w:val="24"/>
          <w:szCs w:val="24"/>
        </w:rPr>
        <w:t xml:space="preserve"> o risco fiscal</w:t>
      </w:r>
      <w:r w:rsidR="00380668" w:rsidRPr="0005635F">
        <w:rPr>
          <w:sz w:val="24"/>
          <w:szCs w:val="24"/>
        </w:rPr>
        <w:t xml:space="preserve"> </w:t>
      </w:r>
      <w:r w:rsidR="008C10CD" w:rsidRPr="0005635F">
        <w:rPr>
          <w:sz w:val="24"/>
          <w:szCs w:val="24"/>
        </w:rPr>
        <w:t xml:space="preserve">pode se manifestar sob </w:t>
      </w:r>
      <w:r w:rsidR="00ED2554">
        <w:rPr>
          <w:sz w:val="24"/>
          <w:szCs w:val="24"/>
        </w:rPr>
        <w:t>dois</w:t>
      </w:r>
      <w:r w:rsidR="008C10CD" w:rsidRPr="0005635F">
        <w:rPr>
          <w:sz w:val="24"/>
          <w:szCs w:val="24"/>
        </w:rPr>
        <w:t xml:space="preserve"> aspectos: </w:t>
      </w:r>
      <w:r w:rsidR="00380668" w:rsidRPr="0005635F">
        <w:rPr>
          <w:sz w:val="24"/>
          <w:szCs w:val="24"/>
        </w:rPr>
        <w:t>pela ótica das despesas</w:t>
      </w:r>
      <w:r w:rsidR="00095A0C" w:rsidRPr="0005635F">
        <w:rPr>
          <w:sz w:val="24"/>
          <w:szCs w:val="24"/>
        </w:rPr>
        <w:t>,</w:t>
      </w:r>
      <w:r w:rsidR="00E55826" w:rsidRPr="0005635F">
        <w:rPr>
          <w:sz w:val="24"/>
          <w:szCs w:val="24"/>
        </w:rPr>
        <w:t xml:space="preserve"> na possibilidade de eventos extraordinários</w:t>
      </w:r>
      <w:r w:rsidR="00097A8A" w:rsidRPr="0005635F">
        <w:rPr>
          <w:sz w:val="24"/>
          <w:szCs w:val="24"/>
        </w:rPr>
        <w:t xml:space="preserve"> que venham a ser reconhecidos como caso fortuito, força maior ou fato do príncipe</w:t>
      </w:r>
      <w:r w:rsidR="002204CE" w:rsidRPr="0005635F">
        <w:rPr>
          <w:sz w:val="24"/>
          <w:szCs w:val="24"/>
        </w:rPr>
        <w:t>,</w:t>
      </w:r>
      <w:r w:rsidR="00D3075E" w:rsidRPr="0005635F">
        <w:rPr>
          <w:sz w:val="24"/>
          <w:szCs w:val="24"/>
        </w:rPr>
        <w:t xml:space="preserve"> acarretando ônus para a </w:t>
      </w:r>
      <w:r w:rsidR="00DD7E84" w:rsidRPr="0005635F">
        <w:rPr>
          <w:sz w:val="24"/>
          <w:szCs w:val="24"/>
        </w:rPr>
        <w:t>U</w:t>
      </w:r>
      <w:r w:rsidR="00D3075E" w:rsidRPr="0005635F">
        <w:rPr>
          <w:sz w:val="24"/>
          <w:szCs w:val="24"/>
        </w:rPr>
        <w:t>nião</w:t>
      </w:r>
      <w:r w:rsidR="0045556C" w:rsidRPr="0005635F">
        <w:rPr>
          <w:sz w:val="24"/>
          <w:szCs w:val="24"/>
        </w:rPr>
        <w:t>;</w:t>
      </w:r>
      <w:r w:rsidR="00D95D41" w:rsidRPr="0005635F">
        <w:rPr>
          <w:sz w:val="24"/>
          <w:szCs w:val="24"/>
        </w:rPr>
        <w:t xml:space="preserve"> e</w:t>
      </w:r>
      <w:r w:rsidR="002204CE" w:rsidRPr="0005635F">
        <w:rPr>
          <w:sz w:val="24"/>
          <w:szCs w:val="24"/>
        </w:rPr>
        <w:t xml:space="preserve"> pela ótica das receitas</w:t>
      </w:r>
      <w:r w:rsidR="00D95D41" w:rsidRPr="0005635F">
        <w:rPr>
          <w:sz w:val="24"/>
          <w:szCs w:val="24"/>
        </w:rPr>
        <w:t>, na</w:t>
      </w:r>
      <w:r w:rsidR="0015749A" w:rsidRPr="0005635F">
        <w:rPr>
          <w:sz w:val="24"/>
          <w:szCs w:val="24"/>
        </w:rPr>
        <w:t xml:space="preserve"> possibilidade</w:t>
      </w:r>
      <w:r w:rsidR="00B85642" w:rsidRPr="0005635F">
        <w:rPr>
          <w:sz w:val="24"/>
          <w:szCs w:val="24"/>
        </w:rPr>
        <w:t xml:space="preserve"> de inadimplência de concessionários em contratos vigentes, ou mesmo na possibilidade de não celebração de novos contratos previstos para o período.</w:t>
      </w:r>
    </w:p>
    <w:p w14:paraId="2F8E232A" w14:textId="591A9C01" w:rsidR="00706C9E" w:rsidRPr="0005635F" w:rsidRDefault="00197224" w:rsidP="0051611C">
      <w:pPr>
        <w:pStyle w:val="PargrafodaLista"/>
        <w:numPr>
          <w:ilvl w:val="0"/>
          <w:numId w:val="25"/>
        </w:numPr>
        <w:spacing w:after="120" w:line="240" w:lineRule="auto"/>
        <w:ind w:left="425" w:hanging="425"/>
        <w:contextualSpacing w:val="0"/>
        <w:jc w:val="both"/>
        <w:rPr>
          <w:lang w:eastAsia="pt-BR"/>
        </w:rPr>
      </w:pPr>
      <w:r w:rsidRPr="00197224">
        <w:rPr>
          <w:sz w:val="24"/>
          <w:szCs w:val="24"/>
        </w:rPr>
        <w:t>No que se refere às estatais federais não dependentes, foi classificado como risco remoto a possibilidade de frustração de receita de dividendos e JCP em 2021, assim se mantendo para os próximos exercícios. O risco de aporte emergencial da União para empresas com dificuldades é considerado possível ou remoto, e o risco de necessidade de esforço fiscal adicional para compensar o resultado primário das estatais é considerado remoto</w:t>
      </w:r>
      <w:r w:rsidR="00FF3E95" w:rsidRPr="0005635F">
        <w:rPr>
          <w:sz w:val="24"/>
          <w:szCs w:val="24"/>
        </w:rPr>
        <w:t>.</w:t>
      </w:r>
    </w:p>
    <w:p w14:paraId="206DDAB2" w14:textId="33765059" w:rsidR="00BF5823" w:rsidRPr="004A71D5" w:rsidRDefault="00BF5823" w:rsidP="0051611C">
      <w:pPr>
        <w:pStyle w:val="PargrafodaLista"/>
        <w:numPr>
          <w:ilvl w:val="0"/>
          <w:numId w:val="25"/>
        </w:numPr>
        <w:spacing w:after="120" w:line="240" w:lineRule="auto"/>
        <w:ind w:left="425" w:hanging="425"/>
        <w:contextualSpacing w:val="0"/>
        <w:jc w:val="both"/>
        <w:rPr>
          <w:sz w:val="24"/>
          <w:szCs w:val="24"/>
          <w:lang w:eastAsia="pt-BR"/>
        </w:rPr>
      </w:pPr>
      <w:r w:rsidRPr="004A71D5">
        <w:rPr>
          <w:sz w:val="24"/>
          <w:szCs w:val="24"/>
          <w:lang w:eastAsia="pt-BR"/>
        </w:rPr>
        <w:lastRenderedPageBreak/>
        <w:t>O valor da exposição ao risco de crédito relativo às operações do Fies, em 31/12/</w:t>
      </w:r>
      <w:r w:rsidR="00083BD0">
        <w:rPr>
          <w:sz w:val="24"/>
          <w:szCs w:val="24"/>
          <w:lang w:eastAsia="pt-BR"/>
        </w:rPr>
        <w:t>20</w:t>
      </w:r>
      <w:r w:rsidRPr="004A71D5">
        <w:rPr>
          <w:sz w:val="24"/>
          <w:szCs w:val="24"/>
          <w:lang w:eastAsia="pt-BR"/>
        </w:rPr>
        <w:t>, era de R$ 1</w:t>
      </w:r>
      <w:r w:rsidR="00083BD0">
        <w:rPr>
          <w:sz w:val="24"/>
          <w:szCs w:val="24"/>
          <w:lang w:eastAsia="pt-BR"/>
        </w:rPr>
        <w:t>11</w:t>
      </w:r>
      <w:r w:rsidRPr="004A71D5">
        <w:rPr>
          <w:sz w:val="24"/>
          <w:szCs w:val="24"/>
          <w:lang w:eastAsia="pt-BR"/>
        </w:rPr>
        <w:t>,</w:t>
      </w:r>
      <w:r w:rsidR="00083BD0">
        <w:rPr>
          <w:sz w:val="24"/>
          <w:szCs w:val="24"/>
          <w:lang w:eastAsia="pt-BR"/>
        </w:rPr>
        <w:t>8</w:t>
      </w:r>
      <w:r w:rsidRPr="004A71D5">
        <w:rPr>
          <w:sz w:val="24"/>
          <w:szCs w:val="24"/>
          <w:lang w:eastAsia="pt-BR"/>
        </w:rPr>
        <w:t xml:space="preserve"> bilhões. A União submete-se a uma exposição adicional de R$ </w:t>
      </w:r>
      <w:r w:rsidR="00083BD0">
        <w:rPr>
          <w:sz w:val="24"/>
          <w:szCs w:val="24"/>
          <w:lang w:eastAsia="pt-BR"/>
        </w:rPr>
        <w:t>2</w:t>
      </w:r>
      <w:r w:rsidRPr="004A71D5">
        <w:rPr>
          <w:sz w:val="24"/>
          <w:szCs w:val="24"/>
          <w:lang w:eastAsia="pt-BR"/>
        </w:rPr>
        <w:t>,</w:t>
      </w:r>
      <w:r w:rsidR="00083BD0">
        <w:rPr>
          <w:sz w:val="24"/>
          <w:szCs w:val="24"/>
          <w:lang w:eastAsia="pt-BR"/>
        </w:rPr>
        <w:t>7</w:t>
      </w:r>
      <w:r w:rsidRPr="004A71D5">
        <w:rPr>
          <w:sz w:val="24"/>
          <w:szCs w:val="24"/>
          <w:lang w:eastAsia="pt-BR"/>
        </w:rPr>
        <w:t xml:space="preserve"> bilhões em recursos contratados ainda por liberar, chegando a uma exposição total de R$ 11</w:t>
      </w:r>
      <w:r w:rsidR="00083BD0">
        <w:rPr>
          <w:sz w:val="24"/>
          <w:szCs w:val="24"/>
          <w:lang w:eastAsia="pt-BR"/>
        </w:rPr>
        <w:t>4</w:t>
      </w:r>
      <w:r w:rsidRPr="004A71D5">
        <w:rPr>
          <w:sz w:val="24"/>
          <w:szCs w:val="24"/>
          <w:lang w:eastAsia="pt-BR"/>
        </w:rPr>
        <w:t>,</w:t>
      </w:r>
      <w:r w:rsidR="00083BD0">
        <w:rPr>
          <w:sz w:val="24"/>
          <w:szCs w:val="24"/>
          <w:lang w:eastAsia="pt-BR"/>
        </w:rPr>
        <w:t>5</w:t>
      </w:r>
      <w:r w:rsidRPr="004A71D5">
        <w:rPr>
          <w:sz w:val="24"/>
          <w:szCs w:val="24"/>
          <w:lang w:eastAsia="pt-BR"/>
        </w:rPr>
        <w:t xml:space="preserve"> bilhões. O saldo devedor integral dos contratos que apresentam atrasos a partir de um dia é de R$ </w:t>
      </w:r>
      <w:r w:rsidR="00083BD0">
        <w:rPr>
          <w:sz w:val="24"/>
          <w:szCs w:val="24"/>
          <w:lang w:eastAsia="pt-BR"/>
        </w:rPr>
        <w:t>57</w:t>
      </w:r>
      <w:r w:rsidRPr="004A71D5">
        <w:rPr>
          <w:sz w:val="24"/>
          <w:szCs w:val="24"/>
          <w:lang w:eastAsia="pt-BR"/>
        </w:rPr>
        <w:t>,</w:t>
      </w:r>
      <w:r w:rsidR="00083BD0">
        <w:rPr>
          <w:sz w:val="24"/>
          <w:szCs w:val="24"/>
          <w:lang w:eastAsia="pt-BR"/>
        </w:rPr>
        <w:t>7</w:t>
      </w:r>
      <w:r w:rsidRPr="004A71D5">
        <w:rPr>
          <w:sz w:val="24"/>
          <w:szCs w:val="24"/>
          <w:lang w:eastAsia="pt-BR"/>
        </w:rPr>
        <w:t xml:space="preserve"> bilhões.</w:t>
      </w:r>
    </w:p>
    <w:p w14:paraId="37F1585D" w14:textId="5B169954" w:rsidR="00CF0F9E" w:rsidRPr="004A71D5" w:rsidRDefault="005A13DE" w:rsidP="0051611C">
      <w:pPr>
        <w:pStyle w:val="PargrafodaLista"/>
        <w:numPr>
          <w:ilvl w:val="0"/>
          <w:numId w:val="25"/>
        </w:numPr>
        <w:spacing w:after="120" w:line="240" w:lineRule="auto"/>
        <w:ind w:left="425" w:hanging="425"/>
        <w:contextualSpacing w:val="0"/>
        <w:jc w:val="both"/>
        <w:rPr>
          <w:sz w:val="24"/>
          <w:szCs w:val="24"/>
          <w:lang w:eastAsia="pt-BR"/>
        </w:rPr>
      </w:pPr>
      <w:r w:rsidRPr="004A71D5">
        <w:rPr>
          <w:sz w:val="24"/>
          <w:szCs w:val="24"/>
          <w:lang w:eastAsia="pt-BR"/>
        </w:rPr>
        <w:t>De acordo com o BCB, não são encontrados problemas de solvência em bancos sistêmicos, mesmo nas condições severas que foram simuladas</w:t>
      </w:r>
      <w:r w:rsidR="00AE7E0B" w:rsidRPr="004A71D5">
        <w:rPr>
          <w:sz w:val="24"/>
          <w:szCs w:val="24"/>
          <w:lang w:eastAsia="pt-BR"/>
        </w:rPr>
        <w:t>,</w:t>
      </w:r>
      <w:r w:rsidRPr="004A71D5">
        <w:rPr>
          <w:sz w:val="24"/>
          <w:szCs w:val="24"/>
          <w:lang w:eastAsia="pt-BR"/>
        </w:rPr>
        <w:t xml:space="preserve"> </w:t>
      </w:r>
      <w:r w:rsidR="00F92046" w:rsidRPr="004A71D5">
        <w:rPr>
          <w:sz w:val="24"/>
          <w:szCs w:val="24"/>
          <w:lang w:eastAsia="pt-BR"/>
        </w:rPr>
        <w:t xml:space="preserve">de forma que </w:t>
      </w:r>
      <w:r w:rsidRPr="004A71D5">
        <w:rPr>
          <w:sz w:val="24"/>
          <w:szCs w:val="24"/>
          <w:lang w:eastAsia="pt-BR"/>
        </w:rPr>
        <w:t>o risco fiscal proveniente do S</w:t>
      </w:r>
      <w:r w:rsidR="00AE7E0B" w:rsidRPr="004A71D5">
        <w:rPr>
          <w:sz w:val="24"/>
          <w:szCs w:val="24"/>
          <w:lang w:eastAsia="pt-BR"/>
        </w:rPr>
        <w:t xml:space="preserve">istema </w:t>
      </w:r>
      <w:r w:rsidRPr="004A71D5">
        <w:rPr>
          <w:sz w:val="24"/>
          <w:szCs w:val="24"/>
          <w:lang w:eastAsia="pt-BR"/>
        </w:rPr>
        <w:t>F</w:t>
      </w:r>
      <w:r w:rsidR="00AE7E0B" w:rsidRPr="004A71D5">
        <w:rPr>
          <w:sz w:val="24"/>
          <w:szCs w:val="24"/>
          <w:lang w:eastAsia="pt-BR"/>
        </w:rPr>
        <w:t xml:space="preserve">inanceiro </w:t>
      </w:r>
      <w:r w:rsidRPr="004A71D5">
        <w:rPr>
          <w:sz w:val="24"/>
          <w:szCs w:val="24"/>
          <w:lang w:eastAsia="pt-BR"/>
        </w:rPr>
        <w:t>N</w:t>
      </w:r>
      <w:r w:rsidR="00AE7E0B" w:rsidRPr="004A71D5">
        <w:rPr>
          <w:sz w:val="24"/>
          <w:szCs w:val="24"/>
          <w:lang w:eastAsia="pt-BR"/>
        </w:rPr>
        <w:t>acional</w:t>
      </w:r>
      <w:r w:rsidRPr="004A71D5">
        <w:rPr>
          <w:sz w:val="24"/>
          <w:szCs w:val="24"/>
          <w:lang w:eastAsia="pt-BR"/>
        </w:rPr>
        <w:t xml:space="preserve"> pode ser considerado desprezível.</w:t>
      </w:r>
    </w:p>
    <w:p w14:paraId="7A5527E4" w14:textId="0F993484" w:rsidR="00C14EA1" w:rsidRPr="00277932" w:rsidRDefault="00C14EA1" w:rsidP="00C14EA1">
      <w:pPr>
        <w:pStyle w:val="PargrafodaLista"/>
        <w:numPr>
          <w:ilvl w:val="0"/>
          <w:numId w:val="25"/>
        </w:numPr>
        <w:spacing w:after="120" w:line="240" w:lineRule="auto"/>
        <w:ind w:left="425" w:hanging="425"/>
        <w:contextualSpacing w:val="0"/>
        <w:jc w:val="both"/>
        <w:rPr>
          <w:sz w:val="24"/>
          <w:szCs w:val="24"/>
        </w:rPr>
      </w:pPr>
      <w:r w:rsidRPr="00277932">
        <w:rPr>
          <w:sz w:val="24"/>
          <w:szCs w:val="24"/>
        </w:rPr>
        <w:t>Os riscos fiscais provenientes de desastres podem ser considerados relativamente pequenos no Brasil. Ainda assim, a dotação orçamentária própria contempla tanto</w:t>
      </w:r>
      <w:r w:rsidR="006D4DB0">
        <w:rPr>
          <w:sz w:val="24"/>
          <w:szCs w:val="24"/>
        </w:rPr>
        <w:t xml:space="preserve"> </w:t>
      </w:r>
      <w:r w:rsidRPr="00277932">
        <w:rPr>
          <w:sz w:val="24"/>
          <w:szCs w:val="24"/>
        </w:rPr>
        <w:t>ações de prevenção e controle, bem como ações de resposta aos desastres.</w:t>
      </w:r>
    </w:p>
    <w:p w14:paraId="20408526" w14:textId="701BEBF4" w:rsidR="0051611C" w:rsidRPr="001C39AF" w:rsidRDefault="0051611C" w:rsidP="0051611C">
      <w:pPr>
        <w:pStyle w:val="PargrafodaLista"/>
        <w:numPr>
          <w:ilvl w:val="0"/>
          <w:numId w:val="25"/>
        </w:numPr>
        <w:spacing w:after="120" w:line="240" w:lineRule="auto"/>
        <w:ind w:left="425" w:hanging="425"/>
        <w:contextualSpacing w:val="0"/>
        <w:jc w:val="both"/>
        <w:rPr>
          <w:lang w:eastAsia="pt-BR"/>
        </w:rPr>
      </w:pPr>
      <w:r w:rsidRPr="001C39AF">
        <w:rPr>
          <w:sz w:val="24"/>
          <w:szCs w:val="24"/>
        </w:rPr>
        <w:t>Com respeito aos riscos fiscais de médio prazo, identifica-se que a mudança demográfica prevista nos próximos anos eleva a pressão por expansão nos serviços de saúde correspondendo a um aumento nas despesas de R$ 1</w:t>
      </w:r>
      <w:r w:rsidR="009937B3" w:rsidRPr="001C39AF">
        <w:rPr>
          <w:sz w:val="24"/>
          <w:szCs w:val="24"/>
        </w:rPr>
        <w:t>3</w:t>
      </w:r>
      <w:r w:rsidRPr="001C39AF">
        <w:rPr>
          <w:sz w:val="24"/>
          <w:szCs w:val="24"/>
        </w:rPr>
        <w:t>,</w:t>
      </w:r>
      <w:r w:rsidR="00737CF3" w:rsidRPr="001C39AF">
        <w:rPr>
          <w:sz w:val="24"/>
          <w:szCs w:val="24"/>
        </w:rPr>
        <w:t>7</w:t>
      </w:r>
      <w:r w:rsidRPr="001C39AF">
        <w:rPr>
          <w:sz w:val="24"/>
          <w:szCs w:val="24"/>
        </w:rPr>
        <w:t xml:space="preserve"> bilhões, em 20</w:t>
      </w:r>
      <w:r w:rsidR="009937B3" w:rsidRPr="001C39AF">
        <w:rPr>
          <w:sz w:val="24"/>
          <w:szCs w:val="24"/>
        </w:rPr>
        <w:t>30</w:t>
      </w:r>
      <w:r w:rsidRPr="001C39AF">
        <w:rPr>
          <w:sz w:val="24"/>
          <w:szCs w:val="24"/>
        </w:rPr>
        <w:t>. Em contrapartida, para esse mesmo ano, a pressão por gastos na educação diminui em R$ 1,</w:t>
      </w:r>
      <w:r w:rsidR="004D342E" w:rsidRPr="001C39AF">
        <w:rPr>
          <w:sz w:val="24"/>
          <w:szCs w:val="24"/>
        </w:rPr>
        <w:t>4</w:t>
      </w:r>
      <w:r w:rsidRPr="001C39AF">
        <w:rPr>
          <w:sz w:val="24"/>
          <w:szCs w:val="24"/>
        </w:rPr>
        <w:t xml:space="preserve"> bilhão.</w:t>
      </w:r>
    </w:p>
    <w:p w14:paraId="4C644274" w14:textId="135FAAEC" w:rsidR="0051611C" w:rsidRPr="0005635F" w:rsidRDefault="0051611C" w:rsidP="0051611C">
      <w:pPr>
        <w:spacing w:after="120" w:line="240" w:lineRule="auto"/>
        <w:ind w:firstLine="1418"/>
        <w:jc w:val="both"/>
        <w:rPr>
          <w:sz w:val="24"/>
          <w:szCs w:val="24"/>
          <w:lang w:eastAsia="pt-BR"/>
        </w:rPr>
      </w:pPr>
      <w:r w:rsidRPr="0005635F">
        <w:rPr>
          <w:sz w:val="24"/>
          <w:szCs w:val="24"/>
          <w:lang w:eastAsia="pt-BR"/>
        </w:rPr>
        <w:t>Cumpre destacar que o monitoramento dos riscos fiscais no exercício 202</w:t>
      </w:r>
      <w:r w:rsidR="00F83731" w:rsidRPr="0005635F">
        <w:rPr>
          <w:sz w:val="24"/>
          <w:szCs w:val="24"/>
          <w:lang w:eastAsia="pt-BR"/>
        </w:rPr>
        <w:t>1</w:t>
      </w:r>
      <w:r w:rsidRPr="0005635F">
        <w:rPr>
          <w:sz w:val="24"/>
          <w:szCs w:val="24"/>
          <w:lang w:eastAsia="pt-BR"/>
        </w:rPr>
        <w:t xml:space="preserve"> se realizará ao longo da execução financeira do orçamento, em alinhamento ao disposto no Art. 9º da Lei Complementar nº 101, de 2000, que disciplina o processo de revisões bimestrais de receitas e despesas e estabelece que os Poderes e o Ministério Público </w:t>
      </w:r>
      <w:proofErr w:type="gramStart"/>
      <w:r w:rsidRPr="0005635F">
        <w:rPr>
          <w:sz w:val="24"/>
          <w:szCs w:val="24"/>
          <w:lang w:eastAsia="pt-BR"/>
        </w:rPr>
        <w:t>devem</w:t>
      </w:r>
      <w:proofErr w:type="gramEnd"/>
      <w:r w:rsidRPr="0005635F">
        <w:rPr>
          <w:sz w:val="24"/>
          <w:szCs w:val="24"/>
          <w:lang w:eastAsia="pt-BR"/>
        </w:rPr>
        <w:t xml:space="preserve"> promover, por ato próprio, limitação de empenho e movimentação financeira no montante necessário compatível com o cumprimento das metas de resultado primário ou nominal estabelecidas no Anexo de Metas Fiscais.</w:t>
      </w:r>
    </w:p>
    <w:p w14:paraId="4B117B75" w14:textId="6D9A1ABD" w:rsidR="0051611C" w:rsidRDefault="00C7117A" w:rsidP="00EB200F">
      <w:pPr>
        <w:ind w:firstLine="1418"/>
        <w:jc w:val="both"/>
        <w:rPr>
          <w:sz w:val="24"/>
          <w:szCs w:val="24"/>
          <w:lang w:eastAsia="pt-BR"/>
        </w:rPr>
      </w:pPr>
      <w:r>
        <w:rPr>
          <w:sz w:val="24"/>
          <w:szCs w:val="24"/>
          <w:lang w:eastAsia="pt-BR"/>
        </w:rPr>
        <w:t xml:space="preserve">A </w:t>
      </w:r>
      <w:r>
        <w:rPr>
          <w:sz w:val="24"/>
          <w:szCs w:val="24"/>
          <w:lang w:eastAsia="pt-BR"/>
        </w:rPr>
        <w:fldChar w:fldCharType="begin"/>
      </w:r>
      <w:r>
        <w:rPr>
          <w:sz w:val="24"/>
          <w:szCs w:val="24"/>
          <w:lang w:eastAsia="pt-BR"/>
        </w:rPr>
        <w:instrText xml:space="preserve"> REF _Ref68627146  \* MERGEFORMAT </w:instrText>
      </w:r>
      <w:r>
        <w:rPr>
          <w:sz w:val="24"/>
          <w:szCs w:val="24"/>
          <w:lang w:eastAsia="pt-BR"/>
        </w:rPr>
        <w:fldChar w:fldCharType="separate"/>
      </w:r>
      <w:r w:rsidR="00304F5F" w:rsidRPr="00304F5F">
        <w:rPr>
          <w:sz w:val="24"/>
          <w:szCs w:val="24"/>
          <w:lang w:eastAsia="pt-BR"/>
        </w:rPr>
        <w:t>Tabela 1</w:t>
      </w:r>
      <w:r>
        <w:rPr>
          <w:sz w:val="24"/>
          <w:szCs w:val="24"/>
          <w:lang w:eastAsia="pt-BR"/>
        </w:rPr>
        <w:fldChar w:fldCharType="end"/>
      </w:r>
      <w:r>
        <w:rPr>
          <w:sz w:val="24"/>
          <w:szCs w:val="24"/>
          <w:lang w:eastAsia="pt-BR"/>
        </w:rPr>
        <w:t xml:space="preserve"> </w:t>
      </w:r>
      <w:r w:rsidR="0051611C" w:rsidRPr="0005635F">
        <w:rPr>
          <w:sz w:val="24"/>
          <w:szCs w:val="24"/>
          <w:lang w:eastAsia="pt-BR"/>
        </w:rPr>
        <w:t xml:space="preserve">consolida a base de </w:t>
      </w:r>
      <w:r w:rsidR="00CC64F3" w:rsidRPr="0005635F">
        <w:rPr>
          <w:sz w:val="24"/>
          <w:szCs w:val="24"/>
          <w:lang w:eastAsia="pt-BR"/>
        </w:rPr>
        <w:t>atuação</w:t>
      </w:r>
      <w:r w:rsidR="0051611C" w:rsidRPr="0005635F">
        <w:rPr>
          <w:sz w:val="24"/>
          <w:szCs w:val="24"/>
          <w:lang w:eastAsia="pt-BR"/>
        </w:rPr>
        <w:t xml:space="preserve"> dos Riscos Fiscais Específicos</w:t>
      </w:r>
      <w:r w:rsidR="007B6476" w:rsidRPr="0005635F">
        <w:rPr>
          <w:sz w:val="24"/>
          <w:szCs w:val="24"/>
          <w:lang w:eastAsia="pt-BR"/>
        </w:rPr>
        <w:t xml:space="preserve">, elencando os valores de </w:t>
      </w:r>
      <w:r w:rsidR="00EE6699" w:rsidRPr="0005635F">
        <w:rPr>
          <w:sz w:val="24"/>
          <w:szCs w:val="24"/>
          <w:lang w:eastAsia="pt-BR"/>
        </w:rPr>
        <w:t>estoque e de fluxo</w:t>
      </w:r>
      <w:r w:rsidR="00FA5F8F" w:rsidRPr="0005635F">
        <w:rPr>
          <w:sz w:val="24"/>
          <w:szCs w:val="24"/>
          <w:lang w:eastAsia="pt-BR"/>
        </w:rPr>
        <w:t>, classificados</w:t>
      </w:r>
      <w:r w:rsidR="001B443B" w:rsidRPr="0005635F">
        <w:rPr>
          <w:sz w:val="24"/>
          <w:szCs w:val="24"/>
          <w:lang w:eastAsia="pt-BR"/>
        </w:rPr>
        <w:t xml:space="preserve"> quanto ao tipo de impacto</w:t>
      </w:r>
      <w:r w:rsidR="001F058C" w:rsidRPr="0005635F">
        <w:rPr>
          <w:sz w:val="24"/>
          <w:szCs w:val="24"/>
          <w:lang w:eastAsia="pt-BR"/>
        </w:rPr>
        <w:t xml:space="preserve"> na despesa ou na receita e, </w:t>
      </w:r>
      <w:r w:rsidR="00B778C7" w:rsidRPr="0005635F">
        <w:rPr>
          <w:sz w:val="24"/>
          <w:szCs w:val="24"/>
          <w:lang w:eastAsia="pt-BR"/>
        </w:rPr>
        <w:t xml:space="preserve">ainda, apontando </w:t>
      </w:r>
      <w:r w:rsidR="0054509A" w:rsidRPr="0005635F">
        <w:rPr>
          <w:sz w:val="24"/>
          <w:szCs w:val="24"/>
          <w:lang w:eastAsia="pt-BR"/>
        </w:rPr>
        <w:t xml:space="preserve">se </w:t>
      </w:r>
      <w:r w:rsidR="00C511B4" w:rsidRPr="0005635F">
        <w:rPr>
          <w:sz w:val="24"/>
          <w:szCs w:val="24"/>
          <w:lang w:eastAsia="pt-BR"/>
        </w:rPr>
        <w:t>o referido impacto</w:t>
      </w:r>
      <w:r w:rsidR="00424267" w:rsidRPr="0005635F">
        <w:rPr>
          <w:sz w:val="24"/>
          <w:szCs w:val="24"/>
          <w:lang w:eastAsia="pt-BR"/>
        </w:rPr>
        <w:t xml:space="preserve"> será de financeir</w:t>
      </w:r>
      <w:r w:rsidR="001C7BAE" w:rsidRPr="0005635F">
        <w:rPr>
          <w:sz w:val="24"/>
          <w:szCs w:val="24"/>
          <w:lang w:eastAsia="pt-BR"/>
        </w:rPr>
        <w:t>o</w:t>
      </w:r>
      <w:r w:rsidR="00424267" w:rsidRPr="0005635F">
        <w:rPr>
          <w:sz w:val="24"/>
          <w:szCs w:val="24"/>
          <w:lang w:eastAsia="pt-BR"/>
        </w:rPr>
        <w:t xml:space="preserve"> ou </w:t>
      </w:r>
      <w:r w:rsidR="00A01115" w:rsidRPr="0005635F">
        <w:rPr>
          <w:sz w:val="24"/>
          <w:szCs w:val="24"/>
          <w:lang w:eastAsia="pt-BR"/>
        </w:rPr>
        <w:t>primári</w:t>
      </w:r>
      <w:r w:rsidR="001C7BAE" w:rsidRPr="0005635F">
        <w:rPr>
          <w:sz w:val="24"/>
          <w:szCs w:val="24"/>
          <w:lang w:eastAsia="pt-BR"/>
        </w:rPr>
        <w:t>o</w:t>
      </w:r>
      <w:r w:rsidR="0051611C" w:rsidRPr="0005635F">
        <w:rPr>
          <w:sz w:val="24"/>
          <w:szCs w:val="24"/>
          <w:lang w:eastAsia="pt-BR"/>
        </w:rPr>
        <w:t>.</w:t>
      </w:r>
    </w:p>
    <w:p w14:paraId="57189244" w14:textId="77777777" w:rsidR="00177DA3" w:rsidRDefault="00177DA3" w:rsidP="00EB200F">
      <w:pPr>
        <w:ind w:firstLine="1418"/>
        <w:jc w:val="both"/>
        <w:rPr>
          <w:sz w:val="24"/>
          <w:szCs w:val="24"/>
          <w:lang w:eastAsia="pt-BR"/>
        </w:rPr>
      </w:pPr>
    </w:p>
    <w:p w14:paraId="13134A4A" w14:textId="1DE3399E" w:rsidR="00177DA3" w:rsidRDefault="00177DA3">
      <w:pPr>
        <w:rPr>
          <w:rFonts w:eastAsia="Times New Roman" w:cs="Times New Roman"/>
          <w:iCs/>
          <w:lang w:eastAsia="pt-BR"/>
        </w:rPr>
      </w:pPr>
      <w:bookmarkStart w:id="15" w:name="_Ref5371043"/>
      <w:r>
        <w:rPr>
          <w:i/>
        </w:rPr>
        <w:br w:type="page"/>
      </w:r>
    </w:p>
    <w:p w14:paraId="31262E27" w14:textId="77777777" w:rsidR="00F02AE0" w:rsidRDefault="00F02AE0" w:rsidP="00826A91">
      <w:pPr>
        <w:pStyle w:val="Legenda"/>
        <w:spacing w:before="240" w:after="120"/>
        <w:jc w:val="center"/>
        <w:rPr>
          <w:rFonts w:asciiTheme="minorHAnsi" w:hAnsiTheme="minorHAnsi"/>
          <w:i w:val="0"/>
          <w:color w:val="auto"/>
          <w:sz w:val="22"/>
          <w:szCs w:val="22"/>
        </w:rPr>
      </w:pPr>
    </w:p>
    <w:p w14:paraId="0066CC98" w14:textId="4820A3EC" w:rsidR="008041E6" w:rsidRPr="0022645B" w:rsidRDefault="00136C5D" w:rsidP="00826A91">
      <w:pPr>
        <w:pStyle w:val="Legenda"/>
        <w:spacing w:before="240" w:after="120"/>
        <w:jc w:val="center"/>
        <w:rPr>
          <w:rFonts w:asciiTheme="minorHAnsi" w:hAnsiTheme="minorHAnsi"/>
          <w:i w:val="0"/>
          <w:color w:val="auto"/>
          <w:sz w:val="22"/>
          <w:szCs w:val="22"/>
        </w:rPr>
      </w:pPr>
      <w:bookmarkStart w:id="16" w:name="_Ref68627146"/>
      <w:bookmarkStart w:id="17" w:name="_Toc69121347"/>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w:t>
      </w:r>
      <w:r w:rsidRPr="0022645B">
        <w:rPr>
          <w:rFonts w:asciiTheme="minorHAnsi" w:hAnsiTheme="minorHAnsi"/>
          <w:i w:val="0"/>
          <w:color w:val="auto"/>
          <w:sz w:val="22"/>
          <w:szCs w:val="22"/>
        </w:rPr>
        <w:fldChar w:fldCharType="end"/>
      </w:r>
      <w:bookmarkEnd w:id="12"/>
      <w:bookmarkEnd w:id="15"/>
      <w:bookmarkEnd w:id="16"/>
      <w:r w:rsidR="006A11CC">
        <w:rPr>
          <w:rFonts w:asciiTheme="minorHAnsi" w:hAnsiTheme="minorHAnsi"/>
          <w:i w:val="0"/>
          <w:color w:val="auto"/>
          <w:sz w:val="22"/>
          <w:szCs w:val="22"/>
        </w:rPr>
        <w:t xml:space="preserve"> </w:t>
      </w:r>
      <w:r w:rsidR="00DE3934">
        <w:rPr>
          <w:rFonts w:asciiTheme="minorHAnsi" w:hAnsiTheme="minorHAnsi"/>
          <w:i w:val="0"/>
          <w:color w:val="auto"/>
          <w:sz w:val="22"/>
          <w:szCs w:val="22"/>
        </w:rPr>
        <w:t>-</w:t>
      </w:r>
      <w:r w:rsidRPr="0022645B">
        <w:rPr>
          <w:rFonts w:asciiTheme="minorHAnsi" w:hAnsiTheme="minorHAnsi"/>
          <w:i w:val="0"/>
          <w:color w:val="auto"/>
          <w:sz w:val="22"/>
          <w:szCs w:val="22"/>
        </w:rPr>
        <w:t xml:space="preserve"> </w:t>
      </w:r>
      <w:r w:rsidR="003D2D80" w:rsidRPr="0022645B">
        <w:rPr>
          <w:rFonts w:asciiTheme="minorHAnsi" w:hAnsiTheme="minorHAnsi"/>
          <w:i w:val="0"/>
          <w:color w:val="auto"/>
          <w:sz w:val="22"/>
          <w:szCs w:val="22"/>
        </w:rPr>
        <w:t>Base de atuação dos Riscos Fiscais Específicos Consolidados</w:t>
      </w:r>
      <w:bookmarkEnd w:id="17"/>
    </w:p>
    <w:tbl>
      <w:tblPr>
        <w:tblW w:w="97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26"/>
        <w:gridCol w:w="2693"/>
        <w:gridCol w:w="992"/>
        <w:gridCol w:w="851"/>
        <w:gridCol w:w="850"/>
        <w:gridCol w:w="851"/>
        <w:gridCol w:w="924"/>
        <w:gridCol w:w="918"/>
        <w:gridCol w:w="1276"/>
      </w:tblGrid>
      <w:tr w:rsidR="00E36C45" w:rsidRPr="00004396" w14:paraId="252294B6" w14:textId="029E89A3" w:rsidTr="00E36C45">
        <w:trPr>
          <w:trHeight w:val="20"/>
          <w:tblHeader/>
        </w:trPr>
        <w:tc>
          <w:tcPr>
            <w:tcW w:w="9781" w:type="dxa"/>
            <w:gridSpan w:val="9"/>
            <w:tcBorders>
              <w:top w:val="nil"/>
              <w:left w:val="nil"/>
              <w:bottom w:val="single" w:sz="4" w:space="0" w:color="BFBFBF" w:themeColor="background1" w:themeShade="BF"/>
              <w:right w:val="nil"/>
            </w:tcBorders>
            <w:shd w:val="clear" w:color="auto" w:fill="auto"/>
          </w:tcPr>
          <w:p w14:paraId="1712F607" w14:textId="23D39540" w:rsidR="00E36C45" w:rsidRPr="007D2D55" w:rsidRDefault="00E36C45" w:rsidP="006A11CC">
            <w:pPr>
              <w:spacing w:after="0" w:line="240" w:lineRule="auto"/>
              <w:jc w:val="right"/>
              <w:rPr>
                <w:rFonts w:eastAsia="Times New Roman" w:cs="Times New Roman"/>
                <w:i/>
                <w:color w:val="000000"/>
                <w:sz w:val="16"/>
                <w:szCs w:val="16"/>
                <w:lang w:eastAsia="pt-BR"/>
              </w:rPr>
            </w:pPr>
            <w:r w:rsidRPr="007D2D55">
              <w:rPr>
                <w:rFonts w:eastAsia="Times New Roman" w:cs="Times New Roman"/>
                <w:i/>
                <w:color w:val="000000"/>
                <w:sz w:val="16"/>
                <w:szCs w:val="16"/>
                <w:lang w:eastAsia="pt-BR"/>
              </w:rPr>
              <w:t>Em R$ bilhões</w:t>
            </w:r>
          </w:p>
        </w:tc>
      </w:tr>
      <w:tr w:rsidR="00304542" w:rsidRPr="00240A31" w14:paraId="4DCA95F0" w14:textId="2B779D5B" w:rsidTr="00C95A9F">
        <w:trPr>
          <w:trHeight w:val="255"/>
          <w:tblHeader/>
        </w:trPr>
        <w:tc>
          <w:tcPr>
            <w:tcW w:w="3119" w:type="dxa"/>
            <w:gridSpan w:val="2"/>
            <w:vMerge w:val="restart"/>
            <w:tcBorders>
              <w:top w:val="single" w:sz="4" w:space="0" w:color="BFBFBF" w:themeColor="background1" w:themeShade="BF"/>
            </w:tcBorders>
            <w:shd w:val="clear" w:color="auto" w:fill="404040" w:themeFill="text1" w:themeFillTint="BF"/>
            <w:vAlign w:val="center"/>
          </w:tcPr>
          <w:p w14:paraId="3AAFBE8E" w14:textId="77777777" w:rsidR="00304542" w:rsidRPr="00310086" w:rsidRDefault="00304542" w:rsidP="006A11CC">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Item</w:t>
            </w:r>
          </w:p>
        </w:tc>
        <w:tc>
          <w:tcPr>
            <w:tcW w:w="992" w:type="dxa"/>
            <w:vMerge w:val="restart"/>
            <w:tcBorders>
              <w:top w:val="single" w:sz="4" w:space="0" w:color="BFBFBF" w:themeColor="background1" w:themeShade="BF"/>
            </w:tcBorders>
            <w:shd w:val="clear" w:color="auto" w:fill="404040" w:themeFill="text1" w:themeFillTint="BF"/>
            <w:vAlign w:val="center"/>
          </w:tcPr>
          <w:p w14:paraId="0675BC65" w14:textId="27A0E0E2" w:rsidR="00304542" w:rsidRPr="00310086" w:rsidRDefault="00304542" w:rsidP="00DF732F">
            <w:pPr>
              <w:spacing w:after="0" w:line="240" w:lineRule="auto"/>
              <w:ind w:left="113" w:right="113"/>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Tipo Impacto</w:t>
            </w:r>
          </w:p>
        </w:tc>
        <w:tc>
          <w:tcPr>
            <w:tcW w:w="1701" w:type="dxa"/>
            <w:gridSpan w:val="2"/>
            <w:tcBorders>
              <w:top w:val="single" w:sz="4" w:space="0" w:color="BFBFBF" w:themeColor="background1" w:themeShade="BF"/>
            </w:tcBorders>
            <w:shd w:val="clear" w:color="auto" w:fill="404040" w:themeFill="text1" w:themeFillTint="BF"/>
            <w:vAlign w:val="center"/>
          </w:tcPr>
          <w:p w14:paraId="6DC92D2E" w14:textId="680FE32F" w:rsidR="00304542" w:rsidRPr="00310086" w:rsidRDefault="00304542" w:rsidP="006A11CC">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Estoque</w:t>
            </w:r>
          </w:p>
        </w:tc>
        <w:tc>
          <w:tcPr>
            <w:tcW w:w="851" w:type="dxa"/>
            <w:vMerge w:val="restart"/>
            <w:tcBorders>
              <w:top w:val="single" w:sz="4" w:space="0" w:color="BFBFBF" w:themeColor="background1" w:themeShade="BF"/>
            </w:tcBorders>
            <w:shd w:val="clear" w:color="auto" w:fill="404040" w:themeFill="text1" w:themeFillTint="BF"/>
            <w:vAlign w:val="center"/>
          </w:tcPr>
          <w:p w14:paraId="6A7157A8" w14:textId="4AADD48C" w:rsidR="00304542" w:rsidRPr="00310086" w:rsidRDefault="00304542" w:rsidP="00C1704E">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w:t>
            </w:r>
          </w:p>
          <w:p w14:paraId="3275648D" w14:textId="1C571059" w:rsidR="00304542" w:rsidRPr="00310086" w:rsidRDefault="00304542" w:rsidP="00C1704E">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Estoque</w:t>
            </w:r>
          </w:p>
          <w:p w14:paraId="59D72A48" w14:textId="7041FBEB" w:rsidR="00304542" w:rsidRPr="00310086" w:rsidRDefault="00304542" w:rsidP="006A11CC">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20</w:t>
            </w:r>
            <w:r w:rsidR="00AE592F" w:rsidRPr="00310086">
              <w:rPr>
                <w:rFonts w:eastAsia="Times New Roman" w:cs="Times New Roman"/>
                <w:b/>
                <w:color w:val="FFFFFF" w:themeColor="background1"/>
                <w:sz w:val="18"/>
                <w:szCs w:val="18"/>
                <w:lang w:eastAsia="pt-BR"/>
              </w:rPr>
              <w:t>20</w:t>
            </w:r>
          </w:p>
        </w:tc>
        <w:tc>
          <w:tcPr>
            <w:tcW w:w="1842" w:type="dxa"/>
            <w:gridSpan w:val="2"/>
            <w:tcBorders>
              <w:top w:val="single" w:sz="4" w:space="0" w:color="BFBFBF" w:themeColor="background1" w:themeShade="BF"/>
            </w:tcBorders>
            <w:shd w:val="clear" w:color="auto" w:fill="404040" w:themeFill="text1" w:themeFillTint="BF"/>
            <w:vAlign w:val="center"/>
          </w:tcPr>
          <w:p w14:paraId="606A0AA5" w14:textId="77777777" w:rsidR="00304542" w:rsidRPr="00310086" w:rsidRDefault="00304542" w:rsidP="00C1704E">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Fluxos</w:t>
            </w:r>
          </w:p>
          <w:p w14:paraId="2E7DEDA4" w14:textId="24889A8E" w:rsidR="00304542" w:rsidRPr="00310086" w:rsidRDefault="00304542" w:rsidP="006A11CC">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Estimados</w:t>
            </w:r>
          </w:p>
        </w:tc>
        <w:tc>
          <w:tcPr>
            <w:tcW w:w="1276" w:type="dxa"/>
            <w:vMerge w:val="restart"/>
            <w:tcBorders>
              <w:top w:val="single" w:sz="4" w:space="0" w:color="BFBFBF" w:themeColor="background1" w:themeShade="BF"/>
            </w:tcBorders>
            <w:shd w:val="clear" w:color="auto" w:fill="404040" w:themeFill="text1" w:themeFillTint="BF"/>
            <w:vAlign w:val="center"/>
          </w:tcPr>
          <w:p w14:paraId="26DC7CFC" w14:textId="0A8E6A7B" w:rsidR="00304542" w:rsidRPr="00310086" w:rsidRDefault="00304542" w:rsidP="00C1704E">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Referência</w:t>
            </w:r>
          </w:p>
        </w:tc>
      </w:tr>
      <w:tr w:rsidR="00304542" w:rsidRPr="00240A31" w14:paraId="27AD5A45" w14:textId="7D30411C" w:rsidTr="00C95A9F">
        <w:trPr>
          <w:trHeight w:val="255"/>
          <w:tblHeader/>
        </w:trPr>
        <w:tc>
          <w:tcPr>
            <w:tcW w:w="3119" w:type="dxa"/>
            <w:gridSpan w:val="2"/>
            <w:vMerge/>
            <w:shd w:val="clear" w:color="auto" w:fill="404040" w:themeFill="text1" w:themeFillTint="BF"/>
            <w:vAlign w:val="center"/>
          </w:tcPr>
          <w:p w14:paraId="6FE6E643" w14:textId="77777777" w:rsidR="00304542" w:rsidRPr="00DA58D9" w:rsidRDefault="00304542" w:rsidP="006A11CC">
            <w:pPr>
              <w:spacing w:after="0" w:line="240" w:lineRule="auto"/>
              <w:rPr>
                <w:rFonts w:eastAsia="Times New Roman" w:cs="Times New Roman"/>
                <w:bCs/>
                <w:color w:val="FFFFFF" w:themeColor="background1"/>
                <w:sz w:val="18"/>
                <w:szCs w:val="18"/>
                <w:lang w:eastAsia="pt-BR"/>
              </w:rPr>
            </w:pPr>
          </w:p>
        </w:tc>
        <w:tc>
          <w:tcPr>
            <w:tcW w:w="992" w:type="dxa"/>
            <w:vMerge/>
            <w:shd w:val="clear" w:color="auto" w:fill="404040" w:themeFill="text1" w:themeFillTint="BF"/>
            <w:vAlign w:val="center"/>
          </w:tcPr>
          <w:p w14:paraId="47E1CE9C" w14:textId="77777777" w:rsidR="00304542" w:rsidRPr="00DA58D9" w:rsidRDefault="00304542" w:rsidP="006A11CC">
            <w:pPr>
              <w:spacing w:after="0" w:line="240" w:lineRule="auto"/>
              <w:jc w:val="center"/>
              <w:rPr>
                <w:rFonts w:eastAsia="Times New Roman" w:cs="Times New Roman"/>
                <w:bCs/>
                <w:color w:val="FFFFFF" w:themeColor="background1"/>
                <w:sz w:val="18"/>
                <w:szCs w:val="18"/>
                <w:lang w:eastAsia="pt-BR"/>
              </w:rPr>
            </w:pPr>
          </w:p>
        </w:tc>
        <w:tc>
          <w:tcPr>
            <w:tcW w:w="851" w:type="dxa"/>
            <w:shd w:val="clear" w:color="auto" w:fill="404040" w:themeFill="text1" w:themeFillTint="BF"/>
            <w:vAlign w:val="center"/>
          </w:tcPr>
          <w:p w14:paraId="3CC01DC6" w14:textId="5C439F1A" w:rsidR="00304542" w:rsidRPr="00310086" w:rsidRDefault="00AE592F" w:rsidP="006A11CC">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2019</w:t>
            </w:r>
          </w:p>
        </w:tc>
        <w:tc>
          <w:tcPr>
            <w:tcW w:w="850" w:type="dxa"/>
            <w:shd w:val="clear" w:color="auto" w:fill="404040" w:themeFill="text1" w:themeFillTint="BF"/>
            <w:vAlign w:val="center"/>
          </w:tcPr>
          <w:p w14:paraId="31430C5F" w14:textId="754C8E5C" w:rsidR="00304542" w:rsidRPr="00310086" w:rsidRDefault="00304542" w:rsidP="006A11CC">
            <w:pPr>
              <w:spacing w:after="0" w:line="240" w:lineRule="auto"/>
              <w:jc w:val="center"/>
              <w:rPr>
                <w:rFonts w:eastAsia="Times New Roman" w:cs="Times New Roman"/>
                <w:b/>
                <w:color w:val="FFFFFF" w:themeColor="background1"/>
                <w:sz w:val="18"/>
                <w:szCs w:val="18"/>
                <w:lang w:eastAsia="pt-BR"/>
              </w:rPr>
            </w:pPr>
            <w:r w:rsidRPr="00310086">
              <w:rPr>
                <w:rFonts w:eastAsia="Times New Roman" w:cs="Times New Roman"/>
                <w:b/>
                <w:color w:val="FFFFFF" w:themeColor="background1"/>
                <w:sz w:val="18"/>
                <w:szCs w:val="18"/>
                <w:lang w:eastAsia="pt-BR"/>
              </w:rPr>
              <w:t>20</w:t>
            </w:r>
            <w:r w:rsidR="00AE592F" w:rsidRPr="00310086">
              <w:rPr>
                <w:rFonts w:eastAsia="Times New Roman" w:cs="Times New Roman"/>
                <w:b/>
                <w:color w:val="FFFFFF" w:themeColor="background1"/>
                <w:sz w:val="18"/>
                <w:szCs w:val="18"/>
                <w:lang w:eastAsia="pt-BR"/>
              </w:rPr>
              <w:t>20</w:t>
            </w:r>
          </w:p>
        </w:tc>
        <w:tc>
          <w:tcPr>
            <w:tcW w:w="851" w:type="dxa"/>
            <w:vMerge/>
            <w:shd w:val="clear" w:color="auto" w:fill="404040" w:themeFill="text1" w:themeFillTint="BF"/>
            <w:vAlign w:val="center"/>
          </w:tcPr>
          <w:p w14:paraId="743E7160" w14:textId="77777777" w:rsidR="00304542" w:rsidRPr="00DA58D9" w:rsidRDefault="00304542" w:rsidP="006A11CC">
            <w:pPr>
              <w:spacing w:after="0" w:line="240" w:lineRule="auto"/>
              <w:jc w:val="center"/>
              <w:rPr>
                <w:rFonts w:eastAsia="Times New Roman" w:cs="Times New Roman"/>
                <w:bCs/>
                <w:color w:val="FFFFFF" w:themeColor="background1"/>
                <w:sz w:val="18"/>
                <w:szCs w:val="18"/>
                <w:lang w:eastAsia="pt-BR"/>
              </w:rPr>
            </w:pPr>
          </w:p>
        </w:tc>
        <w:tc>
          <w:tcPr>
            <w:tcW w:w="924" w:type="dxa"/>
            <w:shd w:val="clear" w:color="auto" w:fill="404040" w:themeFill="text1" w:themeFillTint="BF"/>
            <w:vAlign w:val="center"/>
          </w:tcPr>
          <w:p w14:paraId="1A905A0D" w14:textId="41F0F288" w:rsidR="00304542" w:rsidRPr="00C92369" w:rsidRDefault="00304542" w:rsidP="006A11CC">
            <w:pPr>
              <w:spacing w:after="0" w:line="240" w:lineRule="auto"/>
              <w:jc w:val="center"/>
              <w:rPr>
                <w:rFonts w:eastAsia="Times New Roman" w:cs="Times New Roman"/>
                <w:b/>
                <w:color w:val="FFFFFF" w:themeColor="background1"/>
                <w:sz w:val="18"/>
                <w:szCs w:val="18"/>
                <w:lang w:eastAsia="pt-BR"/>
              </w:rPr>
            </w:pPr>
            <w:r w:rsidRPr="00C92369">
              <w:rPr>
                <w:rFonts w:eastAsia="Times New Roman" w:cs="Times New Roman"/>
                <w:b/>
                <w:color w:val="FFFFFF" w:themeColor="background1"/>
                <w:sz w:val="18"/>
                <w:szCs w:val="18"/>
                <w:lang w:eastAsia="pt-BR"/>
              </w:rPr>
              <w:t>202</w:t>
            </w:r>
            <w:r w:rsidR="00AE592F" w:rsidRPr="00C92369">
              <w:rPr>
                <w:rFonts w:eastAsia="Times New Roman" w:cs="Times New Roman"/>
                <w:b/>
                <w:color w:val="FFFFFF" w:themeColor="background1"/>
                <w:sz w:val="18"/>
                <w:szCs w:val="18"/>
                <w:lang w:eastAsia="pt-BR"/>
              </w:rPr>
              <w:t>1</w:t>
            </w:r>
          </w:p>
        </w:tc>
        <w:tc>
          <w:tcPr>
            <w:tcW w:w="918" w:type="dxa"/>
            <w:shd w:val="clear" w:color="auto" w:fill="404040" w:themeFill="text1" w:themeFillTint="BF"/>
            <w:vAlign w:val="center"/>
          </w:tcPr>
          <w:p w14:paraId="2EDB6709" w14:textId="1997EC85" w:rsidR="00304542" w:rsidRPr="00C92369" w:rsidRDefault="00304542" w:rsidP="006A11CC">
            <w:pPr>
              <w:spacing w:after="0" w:line="240" w:lineRule="auto"/>
              <w:jc w:val="center"/>
              <w:rPr>
                <w:rFonts w:eastAsia="Times New Roman" w:cs="Times New Roman"/>
                <w:b/>
                <w:color w:val="FFFFFF" w:themeColor="background1"/>
                <w:sz w:val="18"/>
                <w:szCs w:val="18"/>
                <w:lang w:eastAsia="pt-BR"/>
              </w:rPr>
            </w:pPr>
            <w:r w:rsidRPr="00C92369">
              <w:rPr>
                <w:rFonts w:eastAsia="Times New Roman" w:cs="Times New Roman"/>
                <w:b/>
                <w:color w:val="FFFFFF" w:themeColor="background1"/>
                <w:sz w:val="18"/>
                <w:szCs w:val="18"/>
                <w:lang w:eastAsia="pt-BR"/>
              </w:rPr>
              <w:t>202</w:t>
            </w:r>
            <w:r w:rsidR="00AE592F" w:rsidRPr="00C92369">
              <w:rPr>
                <w:rFonts w:eastAsia="Times New Roman" w:cs="Times New Roman"/>
                <w:b/>
                <w:color w:val="FFFFFF" w:themeColor="background1"/>
                <w:sz w:val="18"/>
                <w:szCs w:val="18"/>
                <w:lang w:eastAsia="pt-BR"/>
              </w:rPr>
              <w:t>2</w:t>
            </w:r>
          </w:p>
        </w:tc>
        <w:tc>
          <w:tcPr>
            <w:tcW w:w="1276" w:type="dxa"/>
            <w:vMerge/>
            <w:shd w:val="clear" w:color="auto" w:fill="404040" w:themeFill="text1" w:themeFillTint="BF"/>
          </w:tcPr>
          <w:p w14:paraId="3F3ECC4D" w14:textId="77777777" w:rsidR="00304542" w:rsidRPr="00DA58D9" w:rsidRDefault="00304542" w:rsidP="006A11CC">
            <w:pPr>
              <w:spacing w:after="0" w:line="240" w:lineRule="auto"/>
              <w:jc w:val="center"/>
              <w:rPr>
                <w:rFonts w:eastAsia="Times New Roman" w:cs="Times New Roman"/>
                <w:bCs/>
                <w:color w:val="FFFFFF" w:themeColor="background1"/>
                <w:sz w:val="18"/>
                <w:szCs w:val="18"/>
                <w:lang w:eastAsia="pt-BR"/>
              </w:rPr>
            </w:pPr>
          </w:p>
        </w:tc>
      </w:tr>
      <w:tr w:rsidR="00C92369" w:rsidRPr="00240A31" w14:paraId="458B9D93" w14:textId="65DE43F1" w:rsidTr="00C95A9F">
        <w:trPr>
          <w:trHeight w:hRule="exact" w:val="454"/>
        </w:trPr>
        <w:tc>
          <w:tcPr>
            <w:tcW w:w="426" w:type="dxa"/>
            <w:vMerge w:val="restart"/>
            <w:shd w:val="clear" w:color="auto" w:fill="FFFFFF" w:themeFill="background1"/>
            <w:textDirection w:val="btLr"/>
            <w:vAlign w:val="center"/>
          </w:tcPr>
          <w:p w14:paraId="1B20F43F" w14:textId="30F15849" w:rsidR="00C92369" w:rsidRPr="00B24377" w:rsidRDefault="00C92369" w:rsidP="00C92369">
            <w:pPr>
              <w:spacing w:after="0" w:line="240" w:lineRule="auto"/>
              <w:ind w:left="113" w:right="113"/>
              <w:jc w:val="center"/>
              <w:rPr>
                <w:rFonts w:eastAsia="Times New Roman" w:cs="Times New Roman"/>
                <w:b/>
                <w:bCs/>
                <w:sz w:val="18"/>
                <w:szCs w:val="18"/>
                <w:lang w:eastAsia="pt-BR"/>
              </w:rPr>
            </w:pPr>
            <w:r w:rsidRPr="00B24377">
              <w:rPr>
                <w:rFonts w:eastAsia="Times New Roman" w:cs="Times New Roman"/>
                <w:b/>
                <w:bCs/>
                <w:sz w:val="18"/>
                <w:szCs w:val="18"/>
                <w:lang w:eastAsia="pt-BR"/>
              </w:rPr>
              <w:t>Impacto Financeiro</w:t>
            </w:r>
          </w:p>
        </w:tc>
        <w:tc>
          <w:tcPr>
            <w:tcW w:w="2693" w:type="dxa"/>
            <w:shd w:val="clear" w:color="auto" w:fill="FFFFFF" w:themeFill="background1"/>
            <w:vAlign w:val="center"/>
            <w:hideMark/>
          </w:tcPr>
          <w:p w14:paraId="406CD4BF" w14:textId="0B058EAF" w:rsidR="00C92369" w:rsidRPr="00596F51" w:rsidRDefault="00C92369" w:rsidP="00C92369">
            <w:pPr>
              <w:spacing w:after="0" w:line="240" w:lineRule="auto"/>
              <w:rPr>
                <w:rFonts w:eastAsia="Times New Roman" w:cstheme="minorHAnsi"/>
                <w:sz w:val="18"/>
                <w:szCs w:val="18"/>
                <w:lang w:eastAsia="pt-BR"/>
              </w:rPr>
            </w:pPr>
            <w:r w:rsidRPr="00596F51">
              <w:rPr>
                <w:rFonts w:eastAsia="Times New Roman" w:cstheme="minorHAnsi"/>
                <w:sz w:val="18"/>
                <w:szCs w:val="18"/>
                <w:lang w:eastAsia="pt-BR"/>
              </w:rPr>
              <w:t>Passivos Contingentes em Reconhecimento</w:t>
            </w:r>
          </w:p>
        </w:tc>
        <w:tc>
          <w:tcPr>
            <w:tcW w:w="992" w:type="dxa"/>
            <w:shd w:val="clear" w:color="auto" w:fill="FFFFFF" w:themeFill="background1"/>
            <w:vAlign w:val="center"/>
            <w:hideMark/>
          </w:tcPr>
          <w:p w14:paraId="37F3CFB2" w14:textId="77777777" w:rsidR="00C92369" w:rsidRPr="00596F51" w:rsidRDefault="00C9236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 despesa</w:t>
            </w:r>
          </w:p>
        </w:tc>
        <w:tc>
          <w:tcPr>
            <w:tcW w:w="851" w:type="dxa"/>
            <w:shd w:val="clear" w:color="auto" w:fill="FFFFFF" w:themeFill="background1"/>
            <w:vAlign w:val="center"/>
          </w:tcPr>
          <w:p w14:paraId="1F73B3D0" w14:textId="1706ED14" w:rsidR="00C92369" w:rsidRPr="00596F51" w:rsidRDefault="00C9236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122,0</w:t>
            </w:r>
          </w:p>
        </w:tc>
        <w:tc>
          <w:tcPr>
            <w:tcW w:w="850" w:type="dxa"/>
            <w:shd w:val="clear" w:color="auto" w:fill="FFFFFF" w:themeFill="background1"/>
            <w:vAlign w:val="center"/>
          </w:tcPr>
          <w:p w14:paraId="34C5E55D" w14:textId="048E56B6" w:rsidR="00C92369" w:rsidRPr="00596F51" w:rsidRDefault="00C0234E"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113,6</w:t>
            </w:r>
          </w:p>
        </w:tc>
        <w:tc>
          <w:tcPr>
            <w:tcW w:w="851" w:type="dxa"/>
            <w:shd w:val="clear" w:color="auto" w:fill="FFFFFF" w:themeFill="background1"/>
            <w:vAlign w:val="center"/>
          </w:tcPr>
          <w:p w14:paraId="26FD0078" w14:textId="52A2F5E5" w:rsidR="00C92369" w:rsidRPr="00596F51" w:rsidRDefault="00AE5840"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3,3%</w:t>
            </w:r>
          </w:p>
        </w:tc>
        <w:tc>
          <w:tcPr>
            <w:tcW w:w="924" w:type="dxa"/>
            <w:shd w:val="clear" w:color="auto" w:fill="FFFFFF" w:themeFill="background1"/>
            <w:vAlign w:val="center"/>
          </w:tcPr>
          <w:p w14:paraId="5307D3B5" w14:textId="6C13CD83" w:rsidR="00C92369" w:rsidRPr="00596F51" w:rsidRDefault="00C0234E"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23,6</w:t>
            </w:r>
          </w:p>
        </w:tc>
        <w:tc>
          <w:tcPr>
            <w:tcW w:w="918" w:type="dxa"/>
            <w:shd w:val="clear" w:color="auto" w:fill="FFFFFF" w:themeFill="background1"/>
            <w:vAlign w:val="center"/>
          </w:tcPr>
          <w:p w14:paraId="6E51B7F8" w14:textId="7B5E8C4D" w:rsidR="00C92369" w:rsidRPr="00596F51" w:rsidRDefault="00C0234E"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18,0</w:t>
            </w:r>
          </w:p>
        </w:tc>
        <w:tc>
          <w:tcPr>
            <w:tcW w:w="1276" w:type="dxa"/>
            <w:shd w:val="clear" w:color="auto" w:fill="FFFFFF" w:themeFill="background1"/>
            <w:vAlign w:val="center"/>
          </w:tcPr>
          <w:p w14:paraId="05779F6C" w14:textId="15862BA1" w:rsidR="00C92369" w:rsidRPr="00596F51" w:rsidRDefault="00C0234E"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fldChar w:fldCharType="begin"/>
            </w:r>
            <w:r w:rsidRPr="00596F51">
              <w:rPr>
                <w:rFonts w:eastAsia="Times New Roman" w:cstheme="minorHAnsi"/>
                <w:sz w:val="18"/>
                <w:szCs w:val="18"/>
                <w:lang w:eastAsia="pt-BR"/>
              </w:rPr>
              <w:instrText xml:space="preserve"> REF _Ref67390037 \h  \* MERGEFORMAT </w:instrText>
            </w:r>
            <w:r w:rsidRPr="00596F51">
              <w:rPr>
                <w:rFonts w:eastAsia="Times New Roman" w:cstheme="minorHAnsi"/>
                <w:sz w:val="18"/>
                <w:szCs w:val="18"/>
                <w:lang w:eastAsia="pt-BR"/>
              </w:rPr>
            </w:r>
            <w:r w:rsidRPr="00596F51">
              <w:rPr>
                <w:rFonts w:eastAsia="Times New Roman" w:cstheme="minorHAnsi"/>
                <w:sz w:val="18"/>
                <w:szCs w:val="18"/>
                <w:lang w:eastAsia="pt-BR"/>
              </w:rPr>
              <w:fldChar w:fldCharType="separate"/>
            </w:r>
            <w:r w:rsidR="00304F5F" w:rsidRPr="00304F5F">
              <w:rPr>
                <w:rFonts w:cstheme="minorHAnsi"/>
                <w:sz w:val="18"/>
                <w:szCs w:val="18"/>
              </w:rPr>
              <w:t xml:space="preserve">Tabela </w:t>
            </w:r>
            <w:r w:rsidR="00304F5F" w:rsidRPr="00304F5F">
              <w:rPr>
                <w:rFonts w:cstheme="minorHAnsi"/>
                <w:noProof/>
                <w:sz w:val="18"/>
                <w:szCs w:val="18"/>
              </w:rPr>
              <w:t>24</w:t>
            </w:r>
            <w:r w:rsidRPr="00596F51">
              <w:rPr>
                <w:rFonts w:eastAsia="Times New Roman" w:cstheme="minorHAnsi"/>
                <w:sz w:val="18"/>
                <w:szCs w:val="18"/>
                <w:lang w:eastAsia="pt-BR"/>
              </w:rPr>
              <w:fldChar w:fldCharType="end"/>
            </w:r>
          </w:p>
          <w:p w14:paraId="1AE15E5A" w14:textId="2EE0892B" w:rsidR="00C92369" w:rsidRPr="00596F51" w:rsidRDefault="00C0234E"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fldChar w:fldCharType="begin"/>
            </w:r>
            <w:r w:rsidRPr="00596F51">
              <w:rPr>
                <w:rFonts w:eastAsia="Times New Roman" w:cstheme="minorHAnsi"/>
                <w:sz w:val="18"/>
                <w:szCs w:val="18"/>
                <w:lang w:eastAsia="pt-BR"/>
              </w:rPr>
              <w:instrText xml:space="preserve"> REF _Ref67390223 \h  \* MERGEFORMAT </w:instrText>
            </w:r>
            <w:r w:rsidRPr="00596F51">
              <w:rPr>
                <w:rFonts w:eastAsia="Times New Roman" w:cstheme="minorHAnsi"/>
                <w:sz w:val="18"/>
                <w:szCs w:val="18"/>
                <w:lang w:eastAsia="pt-BR"/>
              </w:rPr>
            </w:r>
            <w:r w:rsidRPr="00596F51">
              <w:rPr>
                <w:rFonts w:eastAsia="Times New Roman" w:cstheme="minorHAnsi"/>
                <w:sz w:val="18"/>
                <w:szCs w:val="18"/>
                <w:lang w:eastAsia="pt-BR"/>
              </w:rPr>
              <w:fldChar w:fldCharType="separate"/>
            </w:r>
            <w:r w:rsidR="00304F5F" w:rsidRPr="00304F5F">
              <w:rPr>
                <w:rFonts w:cstheme="minorHAnsi"/>
                <w:sz w:val="18"/>
                <w:szCs w:val="18"/>
              </w:rPr>
              <w:t xml:space="preserve">Tabela </w:t>
            </w:r>
            <w:r w:rsidR="00304F5F" w:rsidRPr="00304F5F">
              <w:rPr>
                <w:rFonts w:cstheme="minorHAnsi"/>
                <w:noProof/>
                <w:sz w:val="18"/>
                <w:szCs w:val="18"/>
              </w:rPr>
              <w:t>25</w:t>
            </w:r>
            <w:r w:rsidRPr="00596F51">
              <w:rPr>
                <w:rFonts w:eastAsia="Times New Roman" w:cstheme="minorHAnsi"/>
                <w:sz w:val="18"/>
                <w:szCs w:val="18"/>
                <w:lang w:eastAsia="pt-BR"/>
              </w:rPr>
              <w:fldChar w:fldCharType="end"/>
            </w:r>
          </w:p>
        </w:tc>
      </w:tr>
      <w:tr w:rsidR="00C92369" w:rsidRPr="00240A31" w14:paraId="558B36E8" w14:textId="6CBC9EBD" w:rsidTr="00193673">
        <w:trPr>
          <w:trHeight w:hRule="exact" w:val="454"/>
        </w:trPr>
        <w:tc>
          <w:tcPr>
            <w:tcW w:w="426" w:type="dxa"/>
            <w:vMerge/>
            <w:shd w:val="clear" w:color="auto" w:fill="FFFFFF" w:themeFill="background1"/>
            <w:vAlign w:val="center"/>
          </w:tcPr>
          <w:p w14:paraId="1797488E" w14:textId="77777777" w:rsidR="00C92369" w:rsidRPr="00775073" w:rsidRDefault="00C92369" w:rsidP="00C92369">
            <w:pPr>
              <w:spacing w:after="0" w:line="240" w:lineRule="auto"/>
              <w:rPr>
                <w:rFonts w:eastAsia="Times New Roman" w:cs="Times New Roman"/>
                <w:sz w:val="18"/>
                <w:szCs w:val="18"/>
                <w:lang w:eastAsia="pt-BR"/>
              </w:rPr>
            </w:pPr>
          </w:p>
        </w:tc>
        <w:tc>
          <w:tcPr>
            <w:tcW w:w="2693" w:type="dxa"/>
            <w:shd w:val="clear" w:color="auto" w:fill="FFFFFF" w:themeFill="background1"/>
            <w:vAlign w:val="center"/>
            <w:hideMark/>
          </w:tcPr>
          <w:p w14:paraId="1828E1B4" w14:textId="5F826DB7" w:rsidR="00C92369" w:rsidRPr="00596F51" w:rsidRDefault="00C92369" w:rsidP="00C92369">
            <w:pPr>
              <w:spacing w:after="0" w:line="240" w:lineRule="auto"/>
              <w:rPr>
                <w:rFonts w:eastAsia="Times New Roman" w:cstheme="minorHAnsi"/>
                <w:sz w:val="18"/>
                <w:szCs w:val="18"/>
                <w:lang w:eastAsia="pt-BR"/>
              </w:rPr>
            </w:pPr>
            <w:r w:rsidRPr="00596F51">
              <w:rPr>
                <w:rFonts w:eastAsia="Times New Roman" w:cstheme="minorHAnsi"/>
                <w:sz w:val="18"/>
                <w:szCs w:val="18"/>
                <w:lang w:eastAsia="pt-BR"/>
              </w:rPr>
              <w:t>Garantias da União</w:t>
            </w:r>
          </w:p>
        </w:tc>
        <w:tc>
          <w:tcPr>
            <w:tcW w:w="992" w:type="dxa"/>
            <w:shd w:val="clear" w:color="auto" w:fill="FFFFFF" w:themeFill="background1"/>
            <w:vAlign w:val="center"/>
            <w:hideMark/>
          </w:tcPr>
          <w:p w14:paraId="61CB1604" w14:textId="77777777" w:rsidR="00C92369" w:rsidRPr="00596F51" w:rsidRDefault="00C9236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 despesa</w:t>
            </w:r>
          </w:p>
        </w:tc>
        <w:tc>
          <w:tcPr>
            <w:tcW w:w="851" w:type="dxa"/>
            <w:shd w:val="clear" w:color="auto" w:fill="FFFFFF" w:themeFill="background1"/>
            <w:vAlign w:val="center"/>
            <w:hideMark/>
          </w:tcPr>
          <w:p w14:paraId="471887C5" w14:textId="4C835DB9" w:rsidR="00C92369" w:rsidRPr="00596F51" w:rsidRDefault="00C9236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279,6</w:t>
            </w:r>
          </w:p>
        </w:tc>
        <w:tc>
          <w:tcPr>
            <w:tcW w:w="850" w:type="dxa"/>
            <w:shd w:val="clear" w:color="auto" w:fill="FFFFFF" w:themeFill="background1"/>
            <w:vAlign w:val="center"/>
          </w:tcPr>
          <w:p w14:paraId="131D7520" w14:textId="6E1D39DE" w:rsidR="00C92369" w:rsidRPr="00596F51" w:rsidRDefault="007B5ED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301,6</w:t>
            </w:r>
          </w:p>
        </w:tc>
        <w:tc>
          <w:tcPr>
            <w:tcW w:w="851" w:type="dxa"/>
            <w:shd w:val="clear" w:color="auto" w:fill="FFFFFF" w:themeFill="background1"/>
            <w:vAlign w:val="center"/>
          </w:tcPr>
          <w:p w14:paraId="6C22F6F5" w14:textId="0688DC05" w:rsidR="00C92369" w:rsidRPr="00596F51" w:rsidRDefault="00AE5840"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8,9%</w:t>
            </w:r>
          </w:p>
        </w:tc>
        <w:tc>
          <w:tcPr>
            <w:tcW w:w="924" w:type="dxa"/>
            <w:shd w:val="clear" w:color="auto" w:fill="FFFFFF" w:themeFill="background1"/>
            <w:vAlign w:val="center"/>
          </w:tcPr>
          <w:p w14:paraId="146906E6" w14:textId="1C95F871" w:rsidR="00C92369" w:rsidRPr="00596F51" w:rsidRDefault="007B5ED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9,8</w:t>
            </w:r>
          </w:p>
        </w:tc>
        <w:tc>
          <w:tcPr>
            <w:tcW w:w="918" w:type="dxa"/>
            <w:shd w:val="clear" w:color="auto" w:fill="FFFFFF" w:themeFill="background1"/>
            <w:vAlign w:val="center"/>
          </w:tcPr>
          <w:p w14:paraId="1C3A5CA1" w14:textId="773242E0" w:rsidR="00C92369" w:rsidRPr="00596F51" w:rsidRDefault="007B5ED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9,4</w:t>
            </w:r>
          </w:p>
        </w:tc>
        <w:tc>
          <w:tcPr>
            <w:tcW w:w="1276" w:type="dxa"/>
            <w:shd w:val="clear" w:color="auto" w:fill="FFFFFF" w:themeFill="background1"/>
            <w:vAlign w:val="center"/>
          </w:tcPr>
          <w:p w14:paraId="1B22BC03" w14:textId="16B3A790" w:rsidR="00C92369" w:rsidRPr="00596F51" w:rsidRDefault="00C9236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 xml:space="preserve">Seção </w:t>
            </w:r>
            <w:r w:rsidR="0053074E" w:rsidRPr="00596F51">
              <w:rPr>
                <w:rFonts w:eastAsia="Times New Roman" w:cstheme="minorHAnsi"/>
                <w:sz w:val="18"/>
                <w:szCs w:val="18"/>
                <w:lang w:eastAsia="pt-BR"/>
              </w:rPr>
              <w:fldChar w:fldCharType="begin"/>
            </w:r>
            <w:r w:rsidR="0053074E" w:rsidRPr="00596F51">
              <w:rPr>
                <w:rFonts w:eastAsia="Times New Roman" w:cstheme="minorHAnsi"/>
                <w:sz w:val="18"/>
                <w:szCs w:val="18"/>
                <w:lang w:eastAsia="pt-BR"/>
              </w:rPr>
              <w:instrText xml:space="preserve"> REF _Ref68687312 \r \h </w:instrText>
            </w:r>
            <w:r w:rsidR="00596F51">
              <w:rPr>
                <w:rFonts w:eastAsia="Times New Roman" w:cstheme="minorHAnsi"/>
                <w:sz w:val="18"/>
                <w:szCs w:val="18"/>
                <w:lang w:eastAsia="pt-BR"/>
              </w:rPr>
              <w:instrText xml:space="preserve"> \* MERGEFORMAT </w:instrText>
            </w:r>
            <w:r w:rsidR="0053074E" w:rsidRPr="00596F51">
              <w:rPr>
                <w:rFonts w:eastAsia="Times New Roman" w:cstheme="minorHAnsi"/>
                <w:sz w:val="18"/>
                <w:szCs w:val="18"/>
                <w:lang w:eastAsia="pt-BR"/>
              </w:rPr>
            </w:r>
            <w:r w:rsidR="0053074E" w:rsidRPr="00596F51">
              <w:rPr>
                <w:rFonts w:eastAsia="Times New Roman" w:cstheme="minorHAnsi"/>
                <w:sz w:val="18"/>
                <w:szCs w:val="18"/>
                <w:lang w:eastAsia="pt-BR"/>
              </w:rPr>
              <w:fldChar w:fldCharType="separate"/>
            </w:r>
            <w:r w:rsidR="00304F5F">
              <w:rPr>
                <w:rFonts w:eastAsia="Times New Roman" w:cstheme="minorHAnsi"/>
                <w:sz w:val="18"/>
                <w:szCs w:val="18"/>
                <w:lang w:eastAsia="pt-BR"/>
              </w:rPr>
              <w:t>4.1.3</w:t>
            </w:r>
            <w:r w:rsidR="0053074E" w:rsidRPr="00596F51">
              <w:rPr>
                <w:rFonts w:eastAsia="Times New Roman" w:cstheme="minorHAnsi"/>
                <w:sz w:val="18"/>
                <w:szCs w:val="18"/>
                <w:lang w:eastAsia="pt-BR"/>
              </w:rPr>
              <w:fldChar w:fldCharType="end"/>
            </w:r>
          </w:p>
        </w:tc>
      </w:tr>
      <w:tr w:rsidR="00C92369" w:rsidRPr="00240A31" w14:paraId="6A6A13B1" w14:textId="313A1253" w:rsidTr="00C95A9F">
        <w:trPr>
          <w:trHeight w:hRule="exact" w:val="454"/>
        </w:trPr>
        <w:tc>
          <w:tcPr>
            <w:tcW w:w="426" w:type="dxa"/>
            <w:vMerge/>
            <w:shd w:val="clear" w:color="auto" w:fill="FFFFFF" w:themeFill="background1"/>
            <w:vAlign w:val="center"/>
          </w:tcPr>
          <w:p w14:paraId="239B19F5" w14:textId="77777777" w:rsidR="00C92369" w:rsidRPr="00775073" w:rsidRDefault="00C92369" w:rsidP="00C92369">
            <w:pPr>
              <w:spacing w:after="0" w:line="240" w:lineRule="auto"/>
              <w:rPr>
                <w:rFonts w:eastAsia="Times New Roman" w:cs="Times New Roman"/>
                <w:sz w:val="18"/>
                <w:szCs w:val="18"/>
                <w:lang w:eastAsia="pt-BR"/>
              </w:rPr>
            </w:pPr>
          </w:p>
        </w:tc>
        <w:tc>
          <w:tcPr>
            <w:tcW w:w="2693" w:type="dxa"/>
            <w:shd w:val="clear" w:color="auto" w:fill="FFFFFF" w:themeFill="background1"/>
            <w:vAlign w:val="center"/>
          </w:tcPr>
          <w:p w14:paraId="0E0F846A" w14:textId="793761DA" w:rsidR="00C92369" w:rsidRPr="00596F51" w:rsidRDefault="00C92369" w:rsidP="00C92369">
            <w:pPr>
              <w:spacing w:after="0" w:line="240" w:lineRule="auto"/>
              <w:rPr>
                <w:rFonts w:eastAsia="Times New Roman" w:cstheme="minorHAnsi"/>
                <w:sz w:val="18"/>
                <w:szCs w:val="18"/>
                <w:lang w:eastAsia="pt-BR"/>
              </w:rPr>
            </w:pPr>
            <w:proofErr w:type="spellStart"/>
            <w:r w:rsidRPr="00596F51">
              <w:rPr>
                <w:rFonts w:eastAsia="Times New Roman" w:cstheme="minorHAnsi"/>
                <w:sz w:val="18"/>
                <w:szCs w:val="18"/>
                <w:lang w:eastAsia="pt-BR"/>
              </w:rPr>
              <w:t>Contragarantias</w:t>
            </w:r>
            <w:proofErr w:type="spellEnd"/>
            <w:r w:rsidRPr="00596F51">
              <w:rPr>
                <w:rFonts w:eastAsia="Times New Roman" w:cstheme="minorHAnsi"/>
                <w:sz w:val="18"/>
                <w:szCs w:val="18"/>
                <w:lang w:eastAsia="pt-BR"/>
              </w:rPr>
              <w:t xml:space="preserve"> Não Executadas</w:t>
            </w:r>
          </w:p>
        </w:tc>
        <w:tc>
          <w:tcPr>
            <w:tcW w:w="992" w:type="dxa"/>
            <w:shd w:val="clear" w:color="auto" w:fill="FFFFFF" w:themeFill="background1"/>
            <w:vAlign w:val="center"/>
          </w:tcPr>
          <w:p w14:paraId="2D18FCF0" w14:textId="47822D2C" w:rsidR="00C92369" w:rsidRPr="00596F51" w:rsidRDefault="00C9236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 despesa</w:t>
            </w:r>
          </w:p>
        </w:tc>
        <w:tc>
          <w:tcPr>
            <w:tcW w:w="851" w:type="dxa"/>
            <w:shd w:val="clear" w:color="auto" w:fill="FFFFFF" w:themeFill="background1"/>
            <w:vAlign w:val="center"/>
          </w:tcPr>
          <w:p w14:paraId="32AC4008" w14:textId="731CEAFD" w:rsidR="00C92369" w:rsidRPr="00596F51" w:rsidRDefault="00C9236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17,7</w:t>
            </w:r>
          </w:p>
        </w:tc>
        <w:tc>
          <w:tcPr>
            <w:tcW w:w="850" w:type="dxa"/>
            <w:shd w:val="clear" w:color="auto" w:fill="FFFFFF" w:themeFill="background1"/>
            <w:vAlign w:val="center"/>
          </w:tcPr>
          <w:p w14:paraId="15213944" w14:textId="3C4FFA8B" w:rsidR="00C92369" w:rsidRPr="00596F51" w:rsidRDefault="00E35C6A"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33,5</w:t>
            </w:r>
          </w:p>
        </w:tc>
        <w:tc>
          <w:tcPr>
            <w:tcW w:w="851" w:type="dxa"/>
            <w:shd w:val="clear" w:color="auto" w:fill="FFFFFF" w:themeFill="background1"/>
            <w:vAlign w:val="center"/>
          </w:tcPr>
          <w:p w14:paraId="369EAEAF" w14:textId="7B488A09" w:rsidR="00C92369" w:rsidRPr="00596F51" w:rsidRDefault="00AE5840"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1,0%</w:t>
            </w:r>
          </w:p>
        </w:tc>
        <w:tc>
          <w:tcPr>
            <w:tcW w:w="924" w:type="dxa"/>
            <w:shd w:val="clear" w:color="auto" w:fill="FFFFFF" w:themeFill="background1"/>
            <w:vAlign w:val="center"/>
          </w:tcPr>
          <w:p w14:paraId="00A04645" w14:textId="5F0DA15A" w:rsidR="00C92369" w:rsidRPr="00596F51" w:rsidRDefault="00A10282"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5,7</w:t>
            </w:r>
          </w:p>
        </w:tc>
        <w:tc>
          <w:tcPr>
            <w:tcW w:w="918" w:type="dxa"/>
            <w:shd w:val="clear" w:color="auto" w:fill="FFFFFF" w:themeFill="background1"/>
            <w:vAlign w:val="center"/>
          </w:tcPr>
          <w:p w14:paraId="1FB47E9D" w14:textId="101E232B" w:rsidR="00C92369" w:rsidRPr="00596F51" w:rsidRDefault="00A10282"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5,5</w:t>
            </w:r>
          </w:p>
        </w:tc>
        <w:tc>
          <w:tcPr>
            <w:tcW w:w="1276" w:type="dxa"/>
            <w:shd w:val="clear" w:color="auto" w:fill="FFFFFF" w:themeFill="background1"/>
            <w:vAlign w:val="center"/>
          </w:tcPr>
          <w:p w14:paraId="4E650CD9" w14:textId="06F28BEF" w:rsidR="00C92369" w:rsidRPr="00596F51" w:rsidRDefault="00A10282"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fldChar w:fldCharType="begin"/>
            </w:r>
            <w:r w:rsidRPr="00596F51">
              <w:rPr>
                <w:rFonts w:eastAsia="Times New Roman" w:cstheme="minorHAnsi"/>
                <w:sz w:val="18"/>
                <w:szCs w:val="18"/>
                <w:lang w:eastAsia="pt-BR"/>
              </w:rPr>
              <w:instrText xml:space="preserve"> REF _Ref67560648 \h  \* MERGEFORMAT </w:instrText>
            </w:r>
            <w:r w:rsidRPr="00596F51">
              <w:rPr>
                <w:rFonts w:eastAsia="Times New Roman" w:cstheme="minorHAnsi"/>
                <w:sz w:val="18"/>
                <w:szCs w:val="18"/>
                <w:lang w:eastAsia="pt-BR"/>
              </w:rPr>
            </w:r>
            <w:r w:rsidRPr="00596F51">
              <w:rPr>
                <w:rFonts w:eastAsia="Times New Roman" w:cstheme="minorHAnsi"/>
                <w:sz w:val="18"/>
                <w:szCs w:val="18"/>
                <w:lang w:eastAsia="pt-BR"/>
              </w:rPr>
              <w:fldChar w:fldCharType="separate"/>
            </w:r>
            <w:r w:rsidR="00304F5F" w:rsidRPr="00304F5F">
              <w:rPr>
                <w:rFonts w:cstheme="minorHAnsi"/>
                <w:sz w:val="18"/>
                <w:szCs w:val="18"/>
              </w:rPr>
              <w:t xml:space="preserve">Tabela </w:t>
            </w:r>
            <w:r w:rsidR="00304F5F" w:rsidRPr="00304F5F">
              <w:rPr>
                <w:rFonts w:cstheme="minorHAnsi"/>
                <w:noProof/>
                <w:sz w:val="18"/>
                <w:szCs w:val="18"/>
              </w:rPr>
              <w:t>29</w:t>
            </w:r>
            <w:r w:rsidRPr="00596F51">
              <w:rPr>
                <w:rFonts w:eastAsia="Times New Roman" w:cstheme="minorHAnsi"/>
                <w:sz w:val="18"/>
                <w:szCs w:val="18"/>
                <w:lang w:eastAsia="pt-BR"/>
              </w:rPr>
              <w:fldChar w:fldCharType="end"/>
            </w:r>
          </w:p>
          <w:p w14:paraId="1BDDCBD4" w14:textId="6C94F826" w:rsidR="00C92369" w:rsidRPr="00596F51" w:rsidRDefault="00A10282"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fldChar w:fldCharType="begin"/>
            </w:r>
            <w:r w:rsidRPr="00596F51">
              <w:rPr>
                <w:rFonts w:eastAsia="Times New Roman" w:cstheme="minorHAnsi"/>
                <w:sz w:val="18"/>
                <w:szCs w:val="18"/>
                <w:lang w:eastAsia="pt-BR"/>
              </w:rPr>
              <w:instrText xml:space="preserve"> REF _Ref67665912 \h  \* MERGEFORMAT </w:instrText>
            </w:r>
            <w:r w:rsidRPr="00596F51">
              <w:rPr>
                <w:rFonts w:eastAsia="Times New Roman" w:cstheme="minorHAnsi"/>
                <w:sz w:val="18"/>
                <w:szCs w:val="18"/>
                <w:lang w:eastAsia="pt-BR"/>
              </w:rPr>
            </w:r>
            <w:r w:rsidRPr="00596F51">
              <w:rPr>
                <w:rFonts w:eastAsia="Times New Roman" w:cstheme="minorHAnsi"/>
                <w:sz w:val="18"/>
                <w:szCs w:val="18"/>
                <w:lang w:eastAsia="pt-BR"/>
              </w:rPr>
              <w:fldChar w:fldCharType="separate"/>
            </w:r>
            <w:r w:rsidR="00304F5F" w:rsidRPr="00304F5F">
              <w:rPr>
                <w:rFonts w:cstheme="minorHAnsi"/>
                <w:sz w:val="18"/>
                <w:szCs w:val="18"/>
              </w:rPr>
              <w:t xml:space="preserve">Tabela </w:t>
            </w:r>
            <w:r w:rsidR="00304F5F" w:rsidRPr="00304F5F">
              <w:rPr>
                <w:rFonts w:cstheme="minorHAnsi"/>
                <w:noProof/>
                <w:sz w:val="18"/>
                <w:szCs w:val="18"/>
              </w:rPr>
              <w:t>30</w:t>
            </w:r>
            <w:r w:rsidRPr="00596F51">
              <w:rPr>
                <w:rFonts w:eastAsia="Times New Roman" w:cstheme="minorHAnsi"/>
                <w:sz w:val="18"/>
                <w:szCs w:val="18"/>
                <w:lang w:eastAsia="pt-BR"/>
              </w:rPr>
              <w:fldChar w:fldCharType="end"/>
            </w:r>
          </w:p>
        </w:tc>
      </w:tr>
      <w:tr w:rsidR="00C92369" w:rsidRPr="00240A31" w14:paraId="4B8CAE3A" w14:textId="69FCA975" w:rsidTr="00193673">
        <w:trPr>
          <w:trHeight w:hRule="exact" w:val="454"/>
        </w:trPr>
        <w:tc>
          <w:tcPr>
            <w:tcW w:w="426" w:type="dxa"/>
            <w:vMerge/>
            <w:shd w:val="clear" w:color="auto" w:fill="FFFFFF" w:themeFill="background1"/>
            <w:vAlign w:val="center"/>
          </w:tcPr>
          <w:p w14:paraId="24B6FA8D" w14:textId="77777777" w:rsidR="00C92369" w:rsidRPr="00775073" w:rsidRDefault="00C92369" w:rsidP="00C92369">
            <w:pPr>
              <w:spacing w:after="0" w:line="240" w:lineRule="auto"/>
              <w:rPr>
                <w:rFonts w:eastAsia="Times New Roman" w:cs="Times New Roman"/>
                <w:sz w:val="18"/>
                <w:szCs w:val="18"/>
                <w:lang w:eastAsia="pt-BR"/>
              </w:rPr>
            </w:pPr>
          </w:p>
        </w:tc>
        <w:tc>
          <w:tcPr>
            <w:tcW w:w="2693" w:type="dxa"/>
            <w:shd w:val="clear" w:color="auto" w:fill="FFFFFF" w:themeFill="background1"/>
            <w:vAlign w:val="center"/>
            <w:hideMark/>
          </w:tcPr>
          <w:p w14:paraId="58C6427D" w14:textId="77777777" w:rsidR="00C92369" w:rsidRPr="00596F51" w:rsidRDefault="00C92369" w:rsidP="00C92369">
            <w:pPr>
              <w:spacing w:after="0" w:line="240" w:lineRule="auto"/>
              <w:rPr>
                <w:rFonts w:eastAsia="Times New Roman" w:cstheme="minorHAnsi"/>
                <w:sz w:val="18"/>
                <w:szCs w:val="18"/>
                <w:lang w:eastAsia="pt-BR"/>
              </w:rPr>
            </w:pPr>
            <w:r w:rsidRPr="00596F51">
              <w:rPr>
                <w:rFonts w:eastAsia="Times New Roman" w:cstheme="minorHAnsi"/>
                <w:sz w:val="18"/>
                <w:szCs w:val="18"/>
                <w:lang w:eastAsia="pt-BR"/>
              </w:rPr>
              <w:t>Créditos do BCB</w:t>
            </w:r>
          </w:p>
        </w:tc>
        <w:tc>
          <w:tcPr>
            <w:tcW w:w="992" w:type="dxa"/>
            <w:shd w:val="clear" w:color="auto" w:fill="FFFFFF" w:themeFill="background1"/>
            <w:vAlign w:val="center"/>
            <w:hideMark/>
          </w:tcPr>
          <w:p w14:paraId="775ECCEB" w14:textId="77777777" w:rsidR="00C92369" w:rsidRPr="00596F51" w:rsidRDefault="00C9236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 receita</w:t>
            </w:r>
          </w:p>
        </w:tc>
        <w:tc>
          <w:tcPr>
            <w:tcW w:w="851" w:type="dxa"/>
            <w:shd w:val="clear" w:color="auto" w:fill="FFFFFF" w:themeFill="background1"/>
            <w:vAlign w:val="center"/>
            <w:hideMark/>
          </w:tcPr>
          <w:p w14:paraId="0AE84172" w14:textId="5CF29892" w:rsidR="00C92369" w:rsidRPr="00596F51" w:rsidRDefault="00C9236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24,7</w:t>
            </w:r>
          </w:p>
        </w:tc>
        <w:tc>
          <w:tcPr>
            <w:tcW w:w="850" w:type="dxa"/>
            <w:shd w:val="clear" w:color="auto" w:fill="FFFFFF" w:themeFill="background1"/>
            <w:vAlign w:val="center"/>
          </w:tcPr>
          <w:p w14:paraId="0B235F73" w14:textId="6D46E23C" w:rsidR="00C92369" w:rsidRPr="00596F51" w:rsidRDefault="00C92369" w:rsidP="00C92369">
            <w:pPr>
              <w:spacing w:after="0" w:line="240" w:lineRule="auto"/>
              <w:jc w:val="right"/>
              <w:rPr>
                <w:rFonts w:eastAsia="Times New Roman" w:cstheme="minorHAnsi"/>
                <w:sz w:val="18"/>
                <w:szCs w:val="18"/>
                <w:lang w:eastAsia="pt-BR"/>
              </w:rPr>
            </w:pPr>
          </w:p>
        </w:tc>
        <w:tc>
          <w:tcPr>
            <w:tcW w:w="851" w:type="dxa"/>
            <w:shd w:val="clear" w:color="auto" w:fill="FFFFFF" w:themeFill="background1"/>
            <w:vAlign w:val="center"/>
          </w:tcPr>
          <w:p w14:paraId="6711789F" w14:textId="53620C3C" w:rsidR="00C92369" w:rsidRPr="00596F51" w:rsidRDefault="00C92369" w:rsidP="00C92369">
            <w:pPr>
              <w:spacing w:after="0" w:line="240" w:lineRule="auto"/>
              <w:jc w:val="right"/>
              <w:rPr>
                <w:rFonts w:eastAsia="Times New Roman" w:cstheme="minorHAnsi"/>
                <w:sz w:val="18"/>
                <w:szCs w:val="18"/>
                <w:lang w:eastAsia="pt-BR"/>
              </w:rPr>
            </w:pPr>
          </w:p>
        </w:tc>
        <w:tc>
          <w:tcPr>
            <w:tcW w:w="924" w:type="dxa"/>
            <w:shd w:val="clear" w:color="auto" w:fill="FFFFFF" w:themeFill="background1"/>
            <w:vAlign w:val="center"/>
          </w:tcPr>
          <w:p w14:paraId="244D4E4B" w14:textId="70872B99" w:rsidR="00C92369" w:rsidRPr="00596F51" w:rsidRDefault="00C92369" w:rsidP="00C92369">
            <w:pPr>
              <w:spacing w:after="0" w:line="240" w:lineRule="auto"/>
              <w:jc w:val="right"/>
              <w:rPr>
                <w:rFonts w:eastAsia="Times New Roman" w:cstheme="minorHAnsi"/>
                <w:sz w:val="18"/>
                <w:szCs w:val="18"/>
                <w:lang w:eastAsia="pt-BR"/>
              </w:rPr>
            </w:pPr>
          </w:p>
        </w:tc>
        <w:tc>
          <w:tcPr>
            <w:tcW w:w="918" w:type="dxa"/>
            <w:shd w:val="clear" w:color="auto" w:fill="FFFFFF" w:themeFill="background1"/>
            <w:vAlign w:val="center"/>
          </w:tcPr>
          <w:p w14:paraId="44C1679E" w14:textId="67775424" w:rsidR="00C92369" w:rsidRPr="00596F51" w:rsidRDefault="00C92369" w:rsidP="00C92369">
            <w:pPr>
              <w:spacing w:after="0" w:line="240" w:lineRule="auto"/>
              <w:jc w:val="right"/>
              <w:rPr>
                <w:rFonts w:eastAsia="Times New Roman" w:cstheme="minorHAnsi"/>
                <w:sz w:val="18"/>
                <w:szCs w:val="18"/>
                <w:lang w:eastAsia="pt-BR"/>
              </w:rPr>
            </w:pPr>
          </w:p>
        </w:tc>
        <w:tc>
          <w:tcPr>
            <w:tcW w:w="1276" w:type="dxa"/>
            <w:shd w:val="clear" w:color="auto" w:fill="FFFFFF" w:themeFill="background1"/>
            <w:vAlign w:val="center"/>
          </w:tcPr>
          <w:p w14:paraId="1CFDDFD9" w14:textId="3B1C97F9" w:rsidR="00C92369" w:rsidRPr="00596F51" w:rsidRDefault="002B4A66"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Seção 4.2.3</w:t>
            </w:r>
          </w:p>
        </w:tc>
      </w:tr>
      <w:tr w:rsidR="00C92369" w:rsidRPr="00240A31" w14:paraId="3D8A9A10" w14:textId="4EE1529F" w:rsidTr="00193673">
        <w:trPr>
          <w:trHeight w:hRule="exact" w:val="454"/>
        </w:trPr>
        <w:tc>
          <w:tcPr>
            <w:tcW w:w="426" w:type="dxa"/>
            <w:vMerge/>
            <w:shd w:val="clear" w:color="auto" w:fill="FFFFFF" w:themeFill="background1"/>
            <w:vAlign w:val="center"/>
          </w:tcPr>
          <w:p w14:paraId="05847F5A" w14:textId="77777777" w:rsidR="00C92369" w:rsidRPr="00775073" w:rsidRDefault="00C92369" w:rsidP="00C92369">
            <w:pPr>
              <w:spacing w:after="0" w:line="240" w:lineRule="auto"/>
              <w:rPr>
                <w:rFonts w:eastAsia="Times New Roman" w:cs="Times New Roman"/>
                <w:sz w:val="18"/>
                <w:szCs w:val="18"/>
                <w:lang w:eastAsia="pt-BR"/>
              </w:rPr>
            </w:pPr>
          </w:p>
        </w:tc>
        <w:tc>
          <w:tcPr>
            <w:tcW w:w="2693" w:type="dxa"/>
            <w:shd w:val="clear" w:color="auto" w:fill="FFFFFF" w:themeFill="background1"/>
            <w:vAlign w:val="center"/>
            <w:hideMark/>
          </w:tcPr>
          <w:p w14:paraId="6F04CDCB" w14:textId="4BBCE46C" w:rsidR="00C92369" w:rsidRPr="00596F51" w:rsidRDefault="00C92369" w:rsidP="00C92369">
            <w:pPr>
              <w:spacing w:after="0" w:line="240" w:lineRule="auto"/>
              <w:rPr>
                <w:rFonts w:eastAsia="Times New Roman" w:cstheme="minorHAnsi"/>
                <w:sz w:val="18"/>
                <w:szCs w:val="18"/>
                <w:lang w:eastAsia="pt-BR"/>
              </w:rPr>
            </w:pPr>
            <w:r w:rsidRPr="00596F51">
              <w:rPr>
                <w:rFonts w:eastAsia="Times New Roman" w:cstheme="minorHAnsi"/>
                <w:sz w:val="18"/>
                <w:szCs w:val="18"/>
                <w:lang w:eastAsia="pt-BR"/>
              </w:rPr>
              <w:t>Haveres Finan. Relacionados a Entes Federativos</w:t>
            </w:r>
          </w:p>
        </w:tc>
        <w:tc>
          <w:tcPr>
            <w:tcW w:w="992" w:type="dxa"/>
            <w:shd w:val="clear" w:color="auto" w:fill="FFFFFF" w:themeFill="background1"/>
            <w:vAlign w:val="center"/>
            <w:hideMark/>
          </w:tcPr>
          <w:p w14:paraId="15222E29" w14:textId="77777777" w:rsidR="00C92369" w:rsidRPr="00596F51" w:rsidRDefault="00C9236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 receita</w:t>
            </w:r>
          </w:p>
        </w:tc>
        <w:tc>
          <w:tcPr>
            <w:tcW w:w="851" w:type="dxa"/>
            <w:shd w:val="clear" w:color="auto" w:fill="FFFFFF" w:themeFill="background1"/>
            <w:vAlign w:val="center"/>
            <w:hideMark/>
          </w:tcPr>
          <w:p w14:paraId="5B51AAC4" w14:textId="77330A8C" w:rsidR="00C92369" w:rsidRPr="00596F51" w:rsidRDefault="00C9236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622,</w:t>
            </w:r>
            <w:r w:rsidR="00A50EEB">
              <w:rPr>
                <w:rFonts w:eastAsia="Times New Roman" w:cstheme="minorHAnsi"/>
                <w:sz w:val="18"/>
                <w:szCs w:val="18"/>
                <w:lang w:eastAsia="pt-BR"/>
              </w:rPr>
              <w:t>8</w:t>
            </w:r>
          </w:p>
        </w:tc>
        <w:tc>
          <w:tcPr>
            <w:tcW w:w="850" w:type="dxa"/>
            <w:shd w:val="clear" w:color="auto" w:fill="FFFFFF" w:themeFill="background1"/>
            <w:vAlign w:val="center"/>
          </w:tcPr>
          <w:p w14:paraId="6711132B" w14:textId="10E2C0A3" w:rsidR="00C92369" w:rsidRPr="00596F51" w:rsidRDefault="009F320A"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647,</w:t>
            </w:r>
            <w:r w:rsidR="00D93BF9" w:rsidRPr="00596F51">
              <w:rPr>
                <w:rFonts w:eastAsia="Times New Roman" w:cstheme="minorHAnsi"/>
                <w:sz w:val="18"/>
                <w:szCs w:val="18"/>
                <w:lang w:eastAsia="pt-BR"/>
              </w:rPr>
              <w:t>6</w:t>
            </w:r>
          </w:p>
        </w:tc>
        <w:tc>
          <w:tcPr>
            <w:tcW w:w="851" w:type="dxa"/>
            <w:shd w:val="clear" w:color="auto" w:fill="FFFFFF" w:themeFill="background1"/>
            <w:vAlign w:val="center"/>
          </w:tcPr>
          <w:p w14:paraId="15193D07" w14:textId="428F6972" w:rsidR="00C92369" w:rsidRPr="00596F51" w:rsidRDefault="00AE5840"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19,0%</w:t>
            </w:r>
          </w:p>
        </w:tc>
        <w:tc>
          <w:tcPr>
            <w:tcW w:w="924" w:type="dxa"/>
            <w:shd w:val="clear" w:color="auto" w:fill="FFFFFF" w:themeFill="background1"/>
            <w:vAlign w:val="center"/>
          </w:tcPr>
          <w:p w14:paraId="0446F84F" w14:textId="3994890C" w:rsidR="00C92369" w:rsidRPr="00596F51" w:rsidRDefault="00D93BF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24,9</w:t>
            </w:r>
          </w:p>
        </w:tc>
        <w:tc>
          <w:tcPr>
            <w:tcW w:w="918" w:type="dxa"/>
            <w:shd w:val="clear" w:color="auto" w:fill="FFFFFF" w:themeFill="background1"/>
            <w:vAlign w:val="center"/>
          </w:tcPr>
          <w:p w14:paraId="31B09C1B" w14:textId="061D424F" w:rsidR="00C92369" w:rsidRPr="00596F51" w:rsidRDefault="00D93BF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30,4</w:t>
            </w:r>
          </w:p>
        </w:tc>
        <w:tc>
          <w:tcPr>
            <w:tcW w:w="1276" w:type="dxa"/>
            <w:shd w:val="clear" w:color="auto" w:fill="FFFFFF" w:themeFill="background1"/>
            <w:vAlign w:val="center"/>
          </w:tcPr>
          <w:p w14:paraId="2F3A6FF2" w14:textId="1D7C5767" w:rsidR="00C92369" w:rsidRPr="00596F51" w:rsidRDefault="00D93BF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fldChar w:fldCharType="begin"/>
            </w:r>
            <w:r w:rsidRPr="00596F51">
              <w:rPr>
                <w:rFonts w:eastAsia="Times New Roman" w:cstheme="minorHAnsi"/>
                <w:sz w:val="18"/>
                <w:szCs w:val="18"/>
                <w:lang w:eastAsia="pt-BR"/>
              </w:rPr>
              <w:instrText xml:space="preserve"> REF _Ref67429210 \h  \* MERGEFORMAT </w:instrText>
            </w:r>
            <w:r w:rsidRPr="00596F51">
              <w:rPr>
                <w:rFonts w:eastAsia="Times New Roman" w:cstheme="minorHAnsi"/>
                <w:sz w:val="18"/>
                <w:szCs w:val="18"/>
                <w:lang w:eastAsia="pt-BR"/>
              </w:rPr>
            </w:r>
            <w:r w:rsidRPr="00596F51">
              <w:rPr>
                <w:rFonts w:eastAsia="Times New Roman" w:cstheme="minorHAnsi"/>
                <w:sz w:val="18"/>
                <w:szCs w:val="18"/>
                <w:lang w:eastAsia="pt-BR"/>
              </w:rPr>
              <w:fldChar w:fldCharType="separate"/>
            </w:r>
            <w:r w:rsidR="00304F5F" w:rsidRPr="00304F5F">
              <w:rPr>
                <w:rFonts w:cstheme="minorHAnsi"/>
                <w:iCs/>
                <w:color w:val="000000" w:themeColor="text1"/>
                <w:sz w:val="18"/>
                <w:szCs w:val="18"/>
              </w:rPr>
              <w:t xml:space="preserve">Tabela </w:t>
            </w:r>
            <w:r w:rsidR="00304F5F" w:rsidRPr="00304F5F">
              <w:rPr>
                <w:rFonts w:cstheme="minorHAnsi"/>
                <w:iCs/>
                <w:noProof/>
                <w:color w:val="000000" w:themeColor="text1"/>
                <w:sz w:val="18"/>
                <w:szCs w:val="18"/>
              </w:rPr>
              <w:t>41</w:t>
            </w:r>
            <w:r w:rsidRPr="00596F51">
              <w:rPr>
                <w:rFonts w:eastAsia="Times New Roman" w:cstheme="minorHAnsi"/>
                <w:sz w:val="18"/>
                <w:szCs w:val="18"/>
                <w:lang w:eastAsia="pt-BR"/>
              </w:rPr>
              <w:fldChar w:fldCharType="end"/>
            </w:r>
          </w:p>
          <w:p w14:paraId="352B8F34" w14:textId="36257410" w:rsidR="00C92369" w:rsidRPr="00596F51" w:rsidRDefault="00D93BF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fldChar w:fldCharType="begin"/>
            </w:r>
            <w:r w:rsidRPr="00596F51">
              <w:rPr>
                <w:rFonts w:eastAsia="Times New Roman" w:cstheme="minorHAnsi"/>
                <w:sz w:val="18"/>
                <w:szCs w:val="18"/>
                <w:lang w:eastAsia="pt-BR"/>
              </w:rPr>
              <w:instrText xml:space="preserve"> REF _Ref68689231 \h  \* MERGEFORMAT </w:instrText>
            </w:r>
            <w:r w:rsidRPr="00596F51">
              <w:rPr>
                <w:rFonts w:eastAsia="Times New Roman" w:cstheme="minorHAnsi"/>
                <w:sz w:val="18"/>
                <w:szCs w:val="18"/>
                <w:lang w:eastAsia="pt-BR"/>
              </w:rPr>
            </w:r>
            <w:r w:rsidRPr="00596F51">
              <w:rPr>
                <w:rFonts w:eastAsia="Times New Roman" w:cstheme="minorHAnsi"/>
                <w:sz w:val="18"/>
                <w:szCs w:val="18"/>
                <w:lang w:eastAsia="pt-BR"/>
              </w:rPr>
              <w:fldChar w:fldCharType="separate"/>
            </w:r>
            <w:r w:rsidR="00304F5F" w:rsidRPr="00304F5F">
              <w:rPr>
                <w:rFonts w:cstheme="minorHAnsi"/>
                <w:color w:val="000000" w:themeColor="text1"/>
                <w:sz w:val="18"/>
                <w:szCs w:val="18"/>
              </w:rPr>
              <w:t xml:space="preserve">Tabela </w:t>
            </w:r>
            <w:r w:rsidR="00304F5F" w:rsidRPr="00304F5F">
              <w:rPr>
                <w:rFonts w:cstheme="minorHAnsi"/>
                <w:noProof/>
                <w:color w:val="000000" w:themeColor="text1"/>
                <w:sz w:val="18"/>
                <w:szCs w:val="18"/>
              </w:rPr>
              <w:t>43</w:t>
            </w:r>
            <w:r w:rsidRPr="00596F51">
              <w:rPr>
                <w:rFonts w:eastAsia="Times New Roman" w:cstheme="minorHAnsi"/>
                <w:sz w:val="18"/>
                <w:szCs w:val="18"/>
                <w:lang w:eastAsia="pt-BR"/>
              </w:rPr>
              <w:fldChar w:fldCharType="end"/>
            </w:r>
          </w:p>
        </w:tc>
      </w:tr>
      <w:tr w:rsidR="00C92369" w:rsidRPr="00240A31" w14:paraId="263204E2" w14:textId="304B917B" w:rsidTr="00193673">
        <w:trPr>
          <w:trHeight w:hRule="exact" w:val="454"/>
        </w:trPr>
        <w:tc>
          <w:tcPr>
            <w:tcW w:w="426" w:type="dxa"/>
            <w:vMerge/>
            <w:shd w:val="clear" w:color="auto" w:fill="FFFFFF" w:themeFill="background1"/>
            <w:vAlign w:val="center"/>
          </w:tcPr>
          <w:p w14:paraId="703A6E76" w14:textId="77777777" w:rsidR="00C92369" w:rsidRPr="00775073" w:rsidRDefault="00C92369" w:rsidP="00C92369">
            <w:pPr>
              <w:spacing w:after="0" w:line="240" w:lineRule="auto"/>
              <w:rPr>
                <w:rFonts w:eastAsia="Times New Roman" w:cs="Times New Roman"/>
                <w:sz w:val="18"/>
                <w:szCs w:val="18"/>
                <w:lang w:eastAsia="pt-BR"/>
              </w:rPr>
            </w:pPr>
          </w:p>
        </w:tc>
        <w:tc>
          <w:tcPr>
            <w:tcW w:w="2693" w:type="dxa"/>
            <w:shd w:val="clear" w:color="auto" w:fill="FFFFFF" w:themeFill="background1"/>
            <w:vAlign w:val="center"/>
            <w:hideMark/>
          </w:tcPr>
          <w:p w14:paraId="09452E0F" w14:textId="5163B7AC" w:rsidR="00C92369" w:rsidRPr="00596F51" w:rsidRDefault="00C92369" w:rsidP="00C92369">
            <w:pPr>
              <w:spacing w:after="0" w:line="240" w:lineRule="auto"/>
              <w:rPr>
                <w:rFonts w:eastAsia="Times New Roman" w:cstheme="minorHAnsi"/>
                <w:sz w:val="18"/>
                <w:szCs w:val="18"/>
                <w:lang w:eastAsia="pt-BR"/>
              </w:rPr>
            </w:pPr>
            <w:r w:rsidRPr="00596F51">
              <w:rPr>
                <w:rFonts w:eastAsia="Times New Roman" w:cstheme="minorHAnsi"/>
                <w:sz w:val="18"/>
                <w:szCs w:val="18"/>
                <w:lang w:eastAsia="pt-BR"/>
              </w:rPr>
              <w:t>Haveres Finan. Não Relacionados a Entes Federativos</w:t>
            </w:r>
          </w:p>
        </w:tc>
        <w:tc>
          <w:tcPr>
            <w:tcW w:w="992" w:type="dxa"/>
            <w:shd w:val="clear" w:color="auto" w:fill="FFFFFF" w:themeFill="background1"/>
            <w:vAlign w:val="center"/>
            <w:hideMark/>
          </w:tcPr>
          <w:p w14:paraId="5435F93E" w14:textId="77777777" w:rsidR="00C92369" w:rsidRPr="00596F51" w:rsidRDefault="00C92369" w:rsidP="00C92369">
            <w:pPr>
              <w:spacing w:after="0" w:line="240" w:lineRule="auto"/>
              <w:jc w:val="center"/>
              <w:rPr>
                <w:rFonts w:eastAsia="Times New Roman" w:cstheme="minorHAnsi"/>
                <w:sz w:val="18"/>
                <w:szCs w:val="18"/>
                <w:lang w:eastAsia="pt-BR"/>
              </w:rPr>
            </w:pPr>
            <w:r w:rsidRPr="00596F51">
              <w:rPr>
                <w:rFonts w:eastAsia="Times New Roman" w:cstheme="minorHAnsi"/>
                <w:sz w:val="18"/>
                <w:szCs w:val="18"/>
                <w:lang w:eastAsia="pt-BR"/>
              </w:rPr>
              <w:t>↓ receita</w:t>
            </w:r>
          </w:p>
        </w:tc>
        <w:tc>
          <w:tcPr>
            <w:tcW w:w="851" w:type="dxa"/>
            <w:shd w:val="clear" w:color="auto" w:fill="FFFFFF" w:themeFill="background1"/>
            <w:vAlign w:val="center"/>
            <w:hideMark/>
          </w:tcPr>
          <w:p w14:paraId="35A7A221" w14:textId="3B0D634E" w:rsidR="00C92369" w:rsidRPr="00596F51" w:rsidRDefault="00C9236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267,3</w:t>
            </w:r>
          </w:p>
        </w:tc>
        <w:tc>
          <w:tcPr>
            <w:tcW w:w="850" w:type="dxa"/>
            <w:tcBorders>
              <w:bottom w:val="single" w:sz="4" w:space="0" w:color="BFBFBF" w:themeColor="background1" w:themeShade="BF"/>
            </w:tcBorders>
            <w:shd w:val="clear" w:color="auto" w:fill="FFFFFF" w:themeFill="background1"/>
            <w:vAlign w:val="center"/>
          </w:tcPr>
          <w:p w14:paraId="7B03A753" w14:textId="3C23B71B" w:rsidR="00C92369" w:rsidRPr="00596F51" w:rsidRDefault="002328EF"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265,4</w:t>
            </w:r>
          </w:p>
        </w:tc>
        <w:tc>
          <w:tcPr>
            <w:tcW w:w="851" w:type="dxa"/>
            <w:tcBorders>
              <w:bottom w:val="single" w:sz="4" w:space="0" w:color="BFBFBF" w:themeColor="background1" w:themeShade="BF"/>
            </w:tcBorders>
            <w:shd w:val="clear" w:color="auto" w:fill="FFFFFF" w:themeFill="background1"/>
            <w:vAlign w:val="center"/>
          </w:tcPr>
          <w:p w14:paraId="5637051A" w14:textId="63842EAE" w:rsidR="00C92369" w:rsidRPr="00596F51" w:rsidRDefault="00AE5840"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7,8%</w:t>
            </w:r>
          </w:p>
        </w:tc>
        <w:tc>
          <w:tcPr>
            <w:tcW w:w="924" w:type="dxa"/>
            <w:tcBorders>
              <w:bottom w:val="single" w:sz="4" w:space="0" w:color="BFBFBF" w:themeColor="background1" w:themeShade="BF"/>
            </w:tcBorders>
            <w:shd w:val="clear" w:color="auto" w:fill="FFFFFF" w:themeFill="background1"/>
            <w:vAlign w:val="center"/>
          </w:tcPr>
          <w:p w14:paraId="17CB8A4B" w14:textId="41B4B9B9" w:rsidR="00C92369" w:rsidRPr="00596F51" w:rsidRDefault="0064062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60,5</w:t>
            </w:r>
          </w:p>
        </w:tc>
        <w:tc>
          <w:tcPr>
            <w:tcW w:w="918" w:type="dxa"/>
            <w:tcBorders>
              <w:bottom w:val="single" w:sz="4" w:space="0" w:color="BFBFBF" w:themeColor="background1" w:themeShade="BF"/>
            </w:tcBorders>
            <w:shd w:val="clear" w:color="auto" w:fill="FFFFFF" w:themeFill="background1"/>
            <w:vAlign w:val="center"/>
          </w:tcPr>
          <w:p w14:paraId="76851C89" w14:textId="34CA0175" w:rsidR="00C92369" w:rsidRPr="00596F51" w:rsidRDefault="00640629" w:rsidP="00C92369">
            <w:pPr>
              <w:spacing w:after="0" w:line="240" w:lineRule="auto"/>
              <w:jc w:val="right"/>
              <w:rPr>
                <w:rFonts w:eastAsia="Times New Roman" w:cstheme="minorHAnsi"/>
                <w:sz w:val="18"/>
                <w:szCs w:val="18"/>
                <w:lang w:eastAsia="pt-BR"/>
              </w:rPr>
            </w:pPr>
            <w:r w:rsidRPr="00596F51">
              <w:rPr>
                <w:rFonts w:eastAsia="Times New Roman" w:cstheme="minorHAnsi"/>
                <w:sz w:val="18"/>
                <w:szCs w:val="18"/>
                <w:lang w:eastAsia="pt-BR"/>
              </w:rPr>
              <w:t>20,9</w:t>
            </w:r>
          </w:p>
        </w:tc>
        <w:tc>
          <w:tcPr>
            <w:tcW w:w="1276" w:type="dxa"/>
            <w:tcBorders>
              <w:bottom w:val="single" w:sz="4" w:space="0" w:color="BFBFBF" w:themeColor="background1" w:themeShade="BF"/>
            </w:tcBorders>
            <w:shd w:val="clear" w:color="auto" w:fill="FFFFFF" w:themeFill="background1"/>
            <w:vAlign w:val="center"/>
          </w:tcPr>
          <w:p w14:paraId="3DB68711" w14:textId="421A1945" w:rsidR="00C92369" w:rsidRPr="00596F51" w:rsidRDefault="00640629" w:rsidP="00C92369">
            <w:pPr>
              <w:spacing w:after="0" w:line="240" w:lineRule="auto"/>
              <w:jc w:val="center"/>
              <w:rPr>
                <w:rFonts w:eastAsia="Times New Roman" w:cstheme="minorHAnsi"/>
                <w:sz w:val="18"/>
                <w:szCs w:val="18"/>
                <w:lang w:eastAsia="pt-BR"/>
              </w:rPr>
            </w:pPr>
            <w:r w:rsidRPr="00640629">
              <w:rPr>
                <w:rFonts w:eastAsia="Times New Roman" w:cs="Times New Roman"/>
                <w:sz w:val="18"/>
                <w:szCs w:val="18"/>
                <w:lang w:eastAsia="pt-BR"/>
              </w:rPr>
              <w:fldChar w:fldCharType="begin"/>
            </w:r>
            <w:r w:rsidRPr="00640629">
              <w:rPr>
                <w:rFonts w:eastAsia="Times New Roman" w:cs="Times New Roman"/>
                <w:sz w:val="18"/>
                <w:szCs w:val="18"/>
                <w:lang w:eastAsia="pt-BR"/>
              </w:rPr>
              <w:instrText xml:space="preserve"> REF _Ref67905069 \h  \* MERGEFORMAT </w:instrText>
            </w:r>
            <w:r w:rsidRPr="00640629">
              <w:rPr>
                <w:rFonts w:eastAsia="Times New Roman" w:cs="Times New Roman"/>
                <w:sz w:val="18"/>
                <w:szCs w:val="18"/>
                <w:lang w:eastAsia="pt-BR"/>
              </w:rPr>
            </w:r>
            <w:r w:rsidRPr="00640629">
              <w:rPr>
                <w:rFonts w:eastAsia="Times New Roman" w:cs="Times New Roman"/>
                <w:sz w:val="18"/>
                <w:szCs w:val="18"/>
                <w:lang w:eastAsia="pt-BR"/>
              </w:rPr>
              <w:fldChar w:fldCharType="separate"/>
            </w:r>
            <w:r w:rsidR="00304F5F" w:rsidRPr="00304F5F">
              <w:rPr>
                <w:rFonts w:eastAsia="Calibri" w:cstheme="minorHAnsi"/>
                <w:sz w:val="18"/>
                <w:szCs w:val="18"/>
              </w:rPr>
              <w:t xml:space="preserve">Tabela </w:t>
            </w:r>
            <w:r w:rsidR="00304F5F" w:rsidRPr="00304F5F">
              <w:rPr>
                <w:rFonts w:cstheme="minorHAnsi"/>
                <w:noProof/>
                <w:sz w:val="18"/>
                <w:szCs w:val="18"/>
              </w:rPr>
              <w:t>51</w:t>
            </w:r>
            <w:r w:rsidRPr="00640629">
              <w:rPr>
                <w:rFonts w:eastAsia="Times New Roman" w:cs="Times New Roman"/>
                <w:sz w:val="18"/>
                <w:szCs w:val="18"/>
                <w:lang w:eastAsia="pt-BR"/>
              </w:rPr>
              <w:fldChar w:fldCharType="end"/>
            </w:r>
          </w:p>
          <w:p w14:paraId="5E18EAA8" w14:textId="5D1E9DB0" w:rsidR="00C92369" w:rsidRPr="00596F51" w:rsidRDefault="00640629" w:rsidP="00C92369">
            <w:pPr>
              <w:spacing w:after="0" w:line="240" w:lineRule="auto"/>
              <w:jc w:val="center"/>
              <w:rPr>
                <w:rFonts w:eastAsia="Times New Roman" w:cstheme="minorHAnsi"/>
                <w:sz w:val="18"/>
                <w:szCs w:val="18"/>
                <w:lang w:eastAsia="pt-BR"/>
              </w:rPr>
            </w:pPr>
            <w:r w:rsidRPr="00640629">
              <w:rPr>
                <w:rFonts w:eastAsia="Times New Roman" w:cs="Times New Roman"/>
                <w:sz w:val="18"/>
                <w:szCs w:val="18"/>
                <w:lang w:eastAsia="pt-BR"/>
              </w:rPr>
              <w:fldChar w:fldCharType="begin"/>
            </w:r>
            <w:r w:rsidRPr="00640629">
              <w:rPr>
                <w:rFonts w:eastAsia="Times New Roman" w:cs="Times New Roman"/>
                <w:sz w:val="18"/>
                <w:szCs w:val="18"/>
                <w:lang w:eastAsia="pt-BR"/>
              </w:rPr>
              <w:instrText xml:space="preserve"> REF _Ref67909778 \h  \* MERGEFORMAT </w:instrText>
            </w:r>
            <w:r w:rsidRPr="00640629">
              <w:rPr>
                <w:rFonts w:eastAsia="Times New Roman" w:cs="Times New Roman"/>
                <w:sz w:val="18"/>
                <w:szCs w:val="18"/>
                <w:lang w:eastAsia="pt-BR"/>
              </w:rPr>
            </w:r>
            <w:r w:rsidRPr="00640629">
              <w:rPr>
                <w:rFonts w:eastAsia="Times New Roman" w:cs="Times New Roman"/>
                <w:sz w:val="18"/>
                <w:szCs w:val="18"/>
                <w:lang w:eastAsia="pt-BR"/>
              </w:rPr>
              <w:fldChar w:fldCharType="separate"/>
            </w:r>
            <w:r w:rsidR="00304F5F" w:rsidRPr="00304F5F">
              <w:rPr>
                <w:rFonts w:eastAsia="Calibri" w:cstheme="minorHAnsi"/>
                <w:sz w:val="18"/>
                <w:szCs w:val="18"/>
              </w:rPr>
              <w:t xml:space="preserve">Tabela </w:t>
            </w:r>
            <w:r w:rsidR="00304F5F" w:rsidRPr="00304F5F">
              <w:rPr>
                <w:rFonts w:cstheme="minorHAnsi"/>
                <w:noProof/>
                <w:sz w:val="18"/>
                <w:szCs w:val="18"/>
              </w:rPr>
              <w:t>53</w:t>
            </w:r>
            <w:r w:rsidRPr="00640629">
              <w:rPr>
                <w:rFonts w:eastAsia="Times New Roman" w:cs="Times New Roman"/>
                <w:sz w:val="18"/>
                <w:szCs w:val="18"/>
                <w:lang w:eastAsia="pt-BR"/>
              </w:rPr>
              <w:fldChar w:fldCharType="end"/>
            </w:r>
          </w:p>
        </w:tc>
      </w:tr>
      <w:tr w:rsidR="005B33C3" w:rsidRPr="005B33C3" w14:paraId="38BFC086" w14:textId="73B349D0" w:rsidTr="00A42422">
        <w:trPr>
          <w:trHeight w:val="255"/>
        </w:trPr>
        <w:tc>
          <w:tcPr>
            <w:tcW w:w="4111" w:type="dxa"/>
            <w:gridSpan w:val="3"/>
            <w:shd w:val="clear" w:color="auto" w:fill="7F7F7F" w:themeFill="text1" w:themeFillTint="80"/>
            <w:vAlign w:val="center"/>
          </w:tcPr>
          <w:p w14:paraId="67F20BB8" w14:textId="6104D379" w:rsidR="009C2913" w:rsidRPr="005B33C3" w:rsidRDefault="009C2913" w:rsidP="002A07B1">
            <w:pPr>
              <w:spacing w:after="0" w:line="240" w:lineRule="auto"/>
              <w:rPr>
                <w:rFonts w:eastAsia="Times New Roman" w:cs="Times New Roman"/>
                <w:b/>
                <w:color w:val="FFFFFF" w:themeColor="background1"/>
                <w:sz w:val="18"/>
                <w:szCs w:val="18"/>
                <w:lang w:eastAsia="pt-BR"/>
              </w:rPr>
            </w:pPr>
            <w:r w:rsidRPr="005B33C3">
              <w:rPr>
                <w:rFonts w:eastAsia="Times New Roman" w:cs="Times New Roman"/>
                <w:b/>
                <w:color w:val="FFFFFF" w:themeColor="background1"/>
                <w:sz w:val="18"/>
                <w:szCs w:val="18"/>
                <w:lang w:eastAsia="pt-BR"/>
              </w:rPr>
              <w:t>Subtotal Financeiro</w:t>
            </w:r>
          </w:p>
        </w:tc>
        <w:tc>
          <w:tcPr>
            <w:tcW w:w="851" w:type="dxa"/>
            <w:tcBorders>
              <w:right w:val="single" w:sz="4" w:space="0" w:color="BFBFBF" w:themeColor="background1" w:themeShade="BF"/>
            </w:tcBorders>
            <w:shd w:val="clear" w:color="auto" w:fill="7F7F7F" w:themeFill="text1" w:themeFillTint="80"/>
            <w:vAlign w:val="center"/>
          </w:tcPr>
          <w:p w14:paraId="4BB885D5" w14:textId="43524BF2" w:rsidR="009C2913" w:rsidRPr="005B33C3" w:rsidRDefault="00C92369" w:rsidP="00466295">
            <w:pPr>
              <w:spacing w:after="0" w:line="240" w:lineRule="auto"/>
              <w:jc w:val="right"/>
              <w:rPr>
                <w:rFonts w:eastAsia="Times New Roman" w:cs="Times New Roman"/>
                <w:b/>
                <w:color w:val="FFFFFF" w:themeColor="background1"/>
                <w:sz w:val="18"/>
                <w:szCs w:val="18"/>
                <w:lang w:eastAsia="pt-BR"/>
              </w:rPr>
            </w:pPr>
            <w:r w:rsidRPr="005B33C3">
              <w:rPr>
                <w:rFonts w:eastAsia="Times New Roman" w:cs="Times New Roman"/>
                <w:b/>
                <w:color w:val="FFFFFF" w:themeColor="background1"/>
                <w:sz w:val="18"/>
                <w:szCs w:val="18"/>
                <w:lang w:eastAsia="pt-BR"/>
              </w:rPr>
              <w:t>1.334,0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7F7F7F" w:themeFill="text1" w:themeFillTint="80"/>
            <w:vAlign w:val="center"/>
          </w:tcPr>
          <w:p w14:paraId="00F31D1E" w14:textId="15A983BE" w:rsidR="009C2913" w:rsidRPr="005B33C3" w:rsidRDefault="00AE5840" w:rsidP="00466295">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1.361,7</w:t>
            </w:r>
          </w:p>
        </w:tc>
        <w:tc>
          <w:tcPr>
            <w:tcW w:w="851" w:type="dxa"/>
            <w:tcBorders>
              <w:top w:val="single" w:sz="4" w:space="0" w:color="BFBFBF" w:themeColor="background1" w:themeShade="BF"/>
              <w:left w:val="nil"/>
              <w:bottom w:val="single" w:sz="4" w:space="0" w:color="BFBFBF" w:themeColor="background1" w:themeShade="BF"/>
              <w:right w:val="nil"/>
            </w:tcBorders>
            <w:shd w:val="clear" w:color="auto" w:fill="7F7F7F" w:themeFill="text1" w:themeFillTint="80"/>
            <w:vAlign w:val="center"/>
          </w:tcPr>
          <w:p w14:paraId="09B0A81F" w14:textId="1BBD8B25" w:rsidR="009C2913" w:rsidRPr="005B33C3" w:rsidRDefault="00AE5840" w:rsidP="00466295">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40,1%</w:t>
            </w:r>
          </w:p>
        </w:tc>
        <w:tc>
          <w:tcPr>
            <w:tcW w:w="1842" w:type="dxa"/>
            <w:gridSpan w:val="2"/>
            <w:tcBorders>
              <w:top w:val="single" w:sz="4" w:space="0" w:color="BFBFBF" w:themeColor="background1" w:themeShade="BF"/>
              <w:left w:val="nil"/>
              <w:bottom w:val="single" w:sz="4" w:space="0" w:color="BFBFBF" w:themeColor="background1" w:themeShade="BF"/>
              <w:right w:val="nil"/>
            </w:tcBorders>
            <w:shd w:val="clear" w:color="auto" w:fill="7F7F7F" w:themeFill="text1" w:themeFillTint="80"/>
            <w:vAlign w:val="center"/>
          </w:tcPr>
          <w:p w14:paraId="63DD48D9" w14:textId="7A0E7795" w:rsidR="009C2913" w:rsidRPr="005B33C3" w:rsidRDefault="009C2913" w:rsidP="00466295">
            <w:pPr>
              <w:spacing w:after="0" w:line="240" w:lineRule="auto"/>
              <w:jc w:val="right"/>
              <w:rPr>
                <w:rFonts w:eastAsia="Times New Roman" w:cs="Times New Roman"/>
                <w:b/>
                <w:color w:val="FFFFFF" w:themeColor="background1"/>
                <w:sz w:val="18"/>
                <w:szCs w:val="18"/>
                <w:lang w:eastAsia="pt-BR"/>
              </w:rPr>
            </w:pPr>
          </w:p>
        </w:tc>
        <w:tc>
          <w:tcPr>
            <w:tcW w:w="12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7F7F7F" w:themeFill="text1" w:themeFillTint="80"/>
            <w:vAlign w:val="center"/>
          </w:tcPr>
          <w:p w14:paraId="4023AEAB" w14:textId="77777777" w:rsidR="009C2913" w:rsidRPr="005B33C3" w:rsidRDefault="009C2913" w:rsidP="00AA5EE4">
            <w:pPr>
              <w:spacing w:after="0" w:line="240" w:lineRule="auto"/>
              <w:jc w:val="center"/>
              <w:rPr>
                <w:rFonts w:eastAsia="Times New Roman" w:cs="Times New Roman"/>
                <w:b/>
                <w:color w:val="FFFFFF" w:themeColor="background1"/>
                <w:sz w:val="18"/>
                <w:szCs w:val="18"/>
                <w:lang w:eastAsia="pt-BR"/>
              </w:rPr>
            </w:pPr>
          </w:p>
        </w:tc>
      </w:tr>
      <w:tr w:rsidR="00DA2068" w:rsidRPr="00240A31" w14:paraId="0CD95D69" w14:textId="6C7273A4" w:rsidTr="00193673">
        <w:trPr>
          <w:trHeight w:hRule="exact" w:val="454"/>
        </w:trPr>
        <w:tc>
          <w:tcPr>
            <w:tcW w:w="426" w:type="dxa"/>
            <w:vMerge w:val="restart"/>
            <w:shd w:val="clear" w:color="auto" w:fill="FFFFFF" w:themeFill="background1"/>
            <w:textDirection w:val="btLr"/>
            <w:vAlign w:val="center"/>
          </w:tcPr>
          <w:p w14:paraId="4BA69D6B" w14:textId="2AE4CB50" w:rsidR="00DA2068" w:rsidRPr="00B24377" w:rsidRDefault="00DA2068" w:rsidP="00DA2068">
            <w:pPr>
              <w:spacing w:after="0" w:line="240" w:lineRule="auto"/>
              <w:ind w:left="113" w:right="113"/>
              <w:jc w:val="center"/>
              <w:rPr>
                <w:rFonts w:eastAsia="Times New Roman" w:cs="Times New Roman"/>
                <w:b/>
                <w:sz w:val="18"/>
                <w:szCs w:val="18"/>
                <w:lang w:eastAsia="pt-BR"/>
              </w:rPr>
            </w:pPr>
            <w:r w:rsidRPr="00B24377">
              <w:rPr>
                <w:rFonts w:eastAsia="Times New Roman" w:cs="Times New Roman"/>
                <w:b/>
                <w:sz w:val="18"/>
                <w:szCs w:val="18"/>
                <w:lang w:eastAsia="pt-BR"/>
              </w:rPr>
              <w:t>Impacto Primário</w:t>
            </w:r>
          </w:p>
        </w:tc>
        <w:tc>
          <w:tcPr>
            <w:tcW w:w="2693" w:type="dxa"/>
            <w:shd w:val="clear" w:color="auto" w:fill="FFFFFF" w:themeFill="background1"/>
            <w:vAlign w:val="center"/>
            <w:hideMark/>
          </w:tcPr>
          <w:p w14:paraId="2F49A41B" w14:textId="14476563" w:rsidR="00DA2068" w:rsidRPr="00775073" w:rsidRDefault="00DA2068" w:rsidP="00DA2068">
            <w:pPr>
              <w:spacing w:after="0" w:line="240" w:lineRule="auto"/>
              <w:rPr>
                <w:rFonts w:eastAsia="Times New Roman" w:cs="Times New Roman"/>
                <w:bCs/>
                <w:sz w:val="18"/>
                <w:szCs w:val="18"/>
                <w:lang w:eastAsia="pt-BR"/>
              </w:rPr>
            </w:pPr>
            <w:r w:rsidRPr="00775073">
              <w:rPr>
                <w:rFonts w:eastAsia="Times New Roman" w:cs="Times New Roman"/>
                <w:bCs/>
                <w:sz w:val="18"/>
                <w:szCs w:val="18"/>
                <w:lang w:eastAsia="pt-BR"/>
              </w:rPr>
              <w:t>Seguro de Crédito à Exportação</w:t>
            </w:r>
            <w:r>
              <w:rPr>
                <w:rFonts w:eastAsia="Times New Roman" w:cs="Times New Roman"/>
                <w:bCs/>
                <w:sz w:val="18"/>
                <w:szCs w:val="18"/>
                <w:lang w:eastAsia="pt-BR"/>
              </w:rPr>
              <w:t xml:space="preserve"> </w:t>
            </w:r>
            <w:proofErr w:type="gramStart"/>
            <w:r w:rsidR="00204C3D">
              <w:rPr>
                <w:rFonts w:eastAsia="Times New Roman" w:cs="Times New Roman"/>
                <w:bCs/>
                <w:sz w:val="18"/>
                <w:szCs w:val="18"/>
                <w:vertAlign w:val="superscript"/>
                <w:lang w:eastAsia="pt-BR"/>
              </w:rPr>
              <w:t>2</w:t>
            </w:r>
            <w:proofErr w:type="gramEnd"/>
          </w:p>
        </w:tc>
        <w:tc>
          <w:tcPr>
            <w:tcW w:w="992" w:type="dxa"/>
            <w:shd w:val="clear" w:color="auto" w:fill="FFFFFF" w:themeFill="background1"/>
            <w:vAlign w:val="center"/>
            <w:hideMark/>
          </w:tcPr>
          <w:p w14:paraId="4A86457F" w14:textId="77777777" w:rsidR="00DA2068" w:rsidRPr="00240A31" w:rsidRDefault="00DA2068" w:rsidP="00DA2068">
            <w:pPr>
              <w:spacing w:after="0" w:line="240" w:lineRule="auto"/>
              <w:jc w:val="center"/>
              <w:rPr>
                <w:rFonts w:eastAsia="Times New Roman" w:cs="Times New Roman"/>
                <w:sz w:val="18"/>
                <w:szCs w:val="18"/>
                <w:lang w:eastAsia="pt-BR"/>
              </w:rPr>
            </w:pPr>
            <w:r w:rsidRPr="00240A31">
              <w:rPr>
                <w:rFonts w:eastAsia="Times New Roman" w:cs="Times New Roman"/>
                <w:sz w:val="18"/>
                <w:szCs w:val="18"/>
                <w:lang w:eastAsia="pt-BR"/>
              </w:rPr>
              <w:t>↑ despesa</w:t>
            </w:r>
          </w:p>
        </w:tc>
        <w:tc>
          <w:tcPr>
            <w:tcW w:w="851" w:type="dxa"/>
            <w:shd w:val="clear" w:color="auto" w:fill="FFFFFF" w:themeFill="background1"/>
            <w:vAlign w:val="center"/>
            <w:hideMark/>
          </w:tcPr>
          <w:p w14:paraId="1C250004" w14:textId="4260FC27" w:rsidR="00DA2068" w:rsidRPr="00240A31" w:rsidRDefault="00DA2068" w:rsidP="00DA2068">
            <w:pPr>
              <w:spacing w:after="0" w:line="240" w:lineRule="auto"/>
              <w:jc w:val="right"/>
              <w:rPr>
                <w:rFonts w:eastAsia="Times New Roman" w:cs="Times New Roman"/>
                <w:sz w:val="18"/>
                <w:szCs w:val="18"/>
                <w:lang w:eastAsia="pt-BR"/>
              </w:rPr>
            </w:pPr>
            <w:r w:rsidRPr="00240A31">
              <w:rPr>
                <w:rFonts w:eastAsia="Times New Roman" w:cs="Times New Roman"/>
                <w:sz w:val="18"/>
                <w:szCs w:val="18"/>
                <w:lang w:eastAsia="pt-BR"/>
              </w:rPr>
              <w:t>37,4</w:t>
            </w:r>
          </w:p>
        </w:tc>
        <w:tc>
          <w:tcPr>
            <w:tcW w:w="850" w:type="dxa"/>
            <w:shd w:val="clear" w:color="auto" w:fill="FFFFFF" w:themeFill="background1"/>
            <w:vAlign w:val="center"/>
          </w:tcPr>
          <w:p w14:paraId="527E5BFD" w14:textId="389DC5B0" w:rsidR="00DA2068" w:rsidRPr="00240A31" w:rsidRDefault="002C02A4"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37,7</w:t>
            </w:r>
          </w:p>
        </w:tc>
        <w:tc>
          <w:tcPr>
            <w:tcW w:w="851" w:type="dxa"/>
            <w:shd w:val="clear" w:color="auto" w:fill="FFFFFF" w:themeFill="background1"/>
            <w:vAlign w:val="center"/>
          </w:tcPr>
          <w:p w14:paraId="549BDE23" w14:textId="0C4F1D74" w:rsidR="00DA2068" w:rsidRPr="00240A31" w:rsidRDefault="00AE5840"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1,1%</w:t>
            </w:r>
          </w:p>
        </w:tc>
        <w:tc>
          <w:tcPr>
            <w:tcW w:w="924" w:type="dxa"/>
            <w:tcBorders>
              <w:top w:val="single" w:sz="4" w:space="0" w:color="BFBFBF" w:themeColor="background1" w:themeShade="BF"/>
            </w:tcBorders>
            <w:shd w:val="clear" w:color="auto" w:fill="FFFFFF" w:themeFill="background1"/>
            <w:vAlign w:val="center"/>
          </w:tcPr>
          <w:p w14:paraId="7AA5CDC3" w14:textId="211009E2" w:rsidR="00DA2068" w:rsidRPr="00240A31" w:rsidRDefault="0046638B"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1,5</w:t>
            </w:r>
          </w:p>
        </w:tc>
        <w:tc>
          <w:tcPr>
            <w:tcW w:w="918" w:type="dxa"/>
            <w:tcBorders>
              <w:top w:val="single" w:sz="4" w:space="0" w:color="BFBFBF" w:themeColor="background1" w:themeShade="BF"/>
            </w:tcBorders>
            <w:shd w:val="clear" w:color="auto" w:fill="FFFFFF" w:themeFill="background1"/>
            <w:vAlign w:val="center"/>
          </w:tcPr>
          <w:p w14:paraId="45D3A501" w14:textId="681A48AE" w:rsidR="00DA2068" w:rsidRPr="00240A31" w:rsidRDefault="0046638B"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1,3</w:t>
            </w:r>
          </w:p>
        </w:tc>
        <w:tc>
          <w:tcPr>
            <w:tcW w:w="1276" w:type="dxa"/>
            <w:tcBorders>
              <w:top w:val="single" w:sz="4" w:space="0" w:color="BFBFBF" w:themeColor="background1" w:themeShade="BF"/>
            </w:tcBorders>
            <w:shd w:val="clear" w:color="auto" w:fill="FFFFFF" w:themeFill="background1"/>
            <w:vAlign w:val="center"/>
          </w:tcPr>
          <w:p w14:paraId="7DCB3C95" w14:textId="75135CD7" w:rsidR="00DA2068" w:rsidRPr="00B9482C" w:rsidRDefault="00DA2068" w:rsidP="00DA2068">
            <w:pPr>
              <w:spacing w:after="0" w:line="240" w:lineRule="auto"/>
              <w:jc w:val="center"/>
              <w:rPr>
                <w:rFonts w:eastAsia="Times New Roman" w:cs="Times New Roman"/>
                <w:sz w:val="18"/>
                <w:szCs w:val="18"/>
                <w:lang w:eastAsia="pt-BR"/>
              </w:rPr>
            </w:pPr>
            <w:r w:rsidRPr="00B9482C">
              <w:rPr>
                <w:rFonts w:eastAsia="Times New Roman" w:cs="Times New Roman"/>
                <w:sz w:val="18"/>
                <w:szCs w:val="18"/>
                <w:lang w:eastAsia="pt-BR"/>
              </w:rPr>
              <w:fldChar w:fldCharType="begin"/>
            </w:r>
            <w:r w:rsidRPr="00B9482C">
              <w:rPr>
                <w:rFonts w:eastAsia="Times New Roman" w:cs="Times New Roman"/>
                <w:sz w:val="18"/>
                <w:szCs w:val="18"/>
                <w:lang w:eastAsia="pt-BR"/>
              </w:rPr>
              <w:instrText xml:space="preserve"> REF _Ref35269964 \h  \* MERGEFORMAT </w:instrText>
            </w:r>
            <w:r w:rsidRPr="00B9482C">
              <w:rPr>
                <w:rFonts w:eastAsia="Times New Roman" w:cs="Times New Roman"/>
                <w:sz w:val="18"/>
                <w:szCs w:val="18"/>
                <w:lang w:eastAsia="pt-BR"/>
              </w:rPr>
            </w:r>
            <w:r w:rsidRPr="00B9482C">
              <w:rPr>
                <w:rFonts w:eastAsia="Times New Roman" w:cs="Times New Roman"/>
                <w:sz w:val="18"/>
                <w:szCs w:val="18"/>
                <w:lang w:eastAsia="pt-BR"/>
              </w:rPr>
              <w:fldChar w:fldCharType="separate"/>
            </w:r>
            <w:r w:rsidR="00304F5F" w:rsidRPr="00304F5F">
              <w:rPr>
                <w:sz w:val="18"/>
                <w:szCs w:val="18"/>
              </w:rPr>
              <w:t xml:space="preserve">Tabela </w:t>
            </w:r>
            <w:r w:rsidR="00304F5F" w:rsidRPr="00304F5F">
              <w:rPr>
                <w:noProof/>
                <w:sz w:val="18"/>
                <w:szCs w:val="18"/>
              </w:rPr>
              <w:t>34</w:t>
            </w:r>
            <w:r w:rsidRPr="00B9482C">
              <w:rPr>
                <w:rFonts w:eastAsia="Times New Roman" w:cs="Times New Roman"/>
                <w:sz w:val="18"/>
                <w:szCs w:val="18"/>
                <w:lang w:eastAsia="pt-BR"/>
              </w:rPr>
              <w:fldChar w:fldCharType="end"/>
            </w:r>
          </w:p>
        </w:tc>
      </w:tr>
      <w:tr w:rsidR="00DA2068" w:rsidRPr="00240A31" w14:paraId="6A3B48E8" w14:textId="2BCADFBD" w:rsidTr="00193673">
        <w:trPr>
          <w:trHeight w:hRule="exact" w:val="454"/>
        </w:trPr>
        <w:tc>
          <w:tcPr>
            <w:tcW w:w="426" w:type="dxa"/>
            <w:vMerge/>
            <w:shd w:val="clear" w:color="auto" w:fill="FFFFFF" w:themeFill="background1"/>
            <w:vAlign w:val="center"/>
          </w:tcPr>
          <w:p w14:paraId="327DFD41" w14:textId="77777777" w:rsidR="00DA2068" w:rsidRPr="00775073" w:rsidRDefault="00DA2068" w:rsidP="00DA2068">
            <w:pPr>
              <w:spacing w:after="0" w:line="240" w:lineRule="auto"/>
              <w:rPr>
                <w:rFonts w:eastAsia="Times New Roman" w:cs="Times New Roman"/>
                <w:bCs/>
                <w:sz w:val="18"/>
                <w:szCs w:val="18"/>
                <w:lang w:eastAsia="pt-BR"/>
              </w:rPr>
            </w:pPr>
          </w:p>
        </w:tc>
        <w:tc>
          <w:tcPr>
            <w:tcW w:w="2693" w:type="dxa"/>
            <w:shd w:val="clear" w:color="auto" w:fill="FFFFFF" w:themeFill="background1"/>
            <w:vAlign w:val="center"/>
            <w:hideMark/>
          </w:tcPr>
          <w:p w14:paraId="09E1346E" w14:textId="77777777" w:rsidR="00DA2068" w:rsidRPr="00775073" w:rsidRDefault="00DA2068" w:rsidP="00DA2068">
            <w:pPr>
              <w:spacing w:after="0" w:line="240" w:lineRule="auto"/>
              <w:rPr>
                <w:rFonts w:eastAsia="Times New Roman" w:cs="Times New Roman"/>
                <w:bCs/>
                <w:sz w:val="18"/>
                <w:szCs w:val="18"/>
                <w:lang w:eastAsia="pt-BR"/>
              </w:rPr>
            </w:pPr>
            <w:r w:rsidRPr="00775073">
              <w:rPr>
                <w:rFonts w:eastAsia="Times New Roman" w:cs="Times New Roman"/>
                <w:bCs/>
                <w:sz w:val="18"/>
                <w:szCs w:val="18"/>
                <w:lang w:eastAsia="pt-BR"/>
              </w:rPr>
              <w:t>Passivos relacionados a Demandas Judiciais</w:t>
            </w:r>
          </w:p>
        </w:tc>
        <w:tc>
          <w:tcPr>
            <w:tcW w:w="992" w:type="dxa"/>
            <w:shd w:val="clear" w:color="auto" w:fill="FFFFFF" w:themeFill="background1"/>
            <w:vAlign w:val="center"/>
            <w:hideMark/>
          </w:tcPr>
          <w:p w14:paraId="18B13AD7" w14:textId="77777777" w:rsidR="00DA2068" w:rsidRPr="00240A31" w:rsidRDefault="00DA2068" w:rsidP="00DA2068">
            <w:pPr>
              <w:spacing w:after="0" w:line="240" w:lineRule="auto"/>
              <w:jc w:val="center"/>
              <w:rPr>
                <w:rFonts w:eastAsia="Times New Roman" w:cs="Times New Roman"/>
                <w:sz w:val="18"/>
                <w:szCs w:val="18"/>
                <w:lang w:eastAsia="pt-BR"/>
              </w:rPr>
            </w:pPr>
            <w:r w:rsidRPr="00240A31">
              <w:rPr>
                <w:rFonts w:eastAsia="Times New Roman" w:cs="Times New Roman"/>
                <w:sz w:val="18"/>
                <w:szCs w:val="18"/>
                <w:lang w:eastAsia="pt-BR"/>
              </w:rPr>
              <w:t>↑ despesa</w:t>
            </w:r>
          </w:p>
        </w:tc>
        <w:tc>
          <w:tcPr>
            <w:tcW w:w="851" w:type="dxa"/>
            <w:shd w:val="clear" w:color="auto" w:fill="FFFFFF" w:themeFill="background1"/>
            <w:vAlign w:val="center"/>
            <w:hideMark/>
          </w:tcPr>
          <w:p w14:paraId="622B0359" w14:textId="70DDA245" w:rsidR="00DA2068" w:rsidRPr="00240A31" w:rsidRDefault="00DA2068" w:rsidP="00DA2068">
            <w:pPr>
              <w:spacing w:after="0" w:line="240" w:lineRule="auto"/>
              <w:jc w:val="right"/>
              <w:rPr>
                <w:rFonts w:eastAsia="Times New Roman" w:cs="Times New Roman"/>
                <w:sz w:val="18"/>
                <w:szCs w:val="18"/>
                <w:lang w:eastAsia="pt-BR"/>
              </w:rPr>
            </w:pPr>
            <w:r w:rsidRPr="00240A31">
              <w:rPr>
                <w:rFonts w:eastAsia="Times New Roman" w:cs="Times New Roman"/>
                <w:sz w:val="18"/>
                <w:szCs w:val="18"/>
                <w:lang w:eastAsia="pt-BR"/>
              </w:rPr>
              <w:t>1.5</w:t>
            </w:r>
            <w:r>
              <w:rPr>
                <w:rFonts w:eastAsia="Times New Roman" w:cs="Times New Roman"/>
                <w:sz w:val="18"/>
                <w:szCs w:val="18"/>
                <w:lang w:eastAsia="pt-BR"/>
              </w:rPr>
              <w:t>40</w:t>
            </w:r>
            <w:r w:rsidRPr="00240A31">
              <w:rPr>
                <w:rFonts w:eastAsia="Times New Roman" w:cs="Times New Roman"/>
                <w:sz w:val="18"/>
                <w:szCs w:val="18"/>
                <w:lang w:eastAsia="pt-BR"/>
              </w:rPr>
              <w:t>,</w:t>
            </w:r>
            <w:r>
              <w:rPr>
                <w:rFonts w:eastAsia="Times New Roman" w:cs="Times New Roman"/>
                <w:sz w:val="18"/>
                <w:szCs w:val="18"/>
                <w:lang w:eastAsia="pt-BR"/>
              </w:rPr>
              <w:t>1</w:t>
            </w:r>
          </w:p>
        </w:tc>
        <w:tc>
          <w:tcPr>
            <w:tcW w:w="850" w:type="dxa"/>
            <w:shd w:val="clear" w:color="auto" w:fill="FFFFFF" w:themeFill="background1"/>
            <w:vAlign w:val="center"/>
          </w:tcPr>
          <w:p w14:paraId="272C64D8" w14:textId="56C7E4FE" w:rsidR="00DA2068" w:rsidRPr="00240A31" w:rsidRDefault="00D442BC"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1.316,1</w:t>
            </w:r>
          </w:p>
        </w:tc>
        <w:tc>
          <w:tcPr>
            <w:tcW w:w="851" w:type="dxa"/>
            <w:shd w:val="clear" w:color="auto" w:fill="FFFFFF" w:themeFill="background1"/>
            <w:vAlign w:val="center"/>
          </w:tcPr>
          <w:p w14:paraId="6D258171" w14:textId="240AC2EF" w:rsidR="00DA2068" w:rsidRPr="00240A31" w:rsidRDefault="00A7288A"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38,7%</w:t>
            </w:r>
          </w:p>
        </w:tc>
        <w:tc>
          <w:tcPr>
            <w:tcW w:w="924" w:type="dxa"/>
            <w:shd w:val="clear" w:color="auto" w:fill="FFFFFF" w:themeFill="background1"/>
            <w:vAlign w:val="center"/>
          </w:tcPr>
          <w:p w14:paraId="52E3B71F" w14:textId="7B07163A" w:rsidR="00DA2068" w:rsidRPr="00240A31" w:rsidRDefault="009C34B6"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n.d</w:t>
            </w:r>
            <w:proofErr w:type="spellEnd"/>
            <w:r>
              <w:rPr>
                <w:rFonts w:eastAsia="Times New Roman" w:cs="Times New Roman"/>
                <w:sz w:val="18"/>
                <w:szCs w:val="18"/>
                <w:lang w:eastAsia="pt-BR"/>
              </w:rPr>
              <w:t>.</w:t>
            </w:r>
            <w:proofErr w:type="gramEnd"/>
          </w:p>
        </w:tc>
        <w:tc>
          <w:tcPr>
            <w:tcW w:w="918" w:type="dxa"/>
            <w:shd w:val="clear" w:color="auto" w:fill="FFFFFF" w:themeFill="background1"/>
            <w:vAlign w:val="center"/>
          </w:tcPr>
          <w:p w14:paraId="04F50FD5" w14:textId="59EC9FC3" w:rsidR="00DA2068" w:rsidRPr="00240A31" w:rsidRDefault="009C34B6"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n.d</w:t>
            </w:r>
            <w:proofErr w:type="spellEnd"/>
            <w:r>
              <w:rPr>
                <w:rFonts w:eastAsia="Times New Roman" w:cs="Times New Roman"/>
                <w:sz w:val="18"/>
                <w:szCs w:val="18"/>
                <w:lang w:eastAsia="pt-BR"/>
              </w:rPr>
              <w:t>.</w:t>
            </w:r>
            <w:proofErr w:type="gramEnd"/>
          </w:p>
        </w:tc>
        <w:tc>
          <w:tcPr>
            <w:tcW w:w="1276" w:type="dxa"/>
            <w:shd w:val="clear" w:color="auto" w:fill="FFFFFF" w:themeFill="background1"/>
            <w:vAlign w:val="center"/>
          </w:tcPr>
          <w:p w14:paraId="20F6240A" w14:textId="7CC53003" w:rsidR="00DA2068" w:rsidRPr="00BD3D9D" w:rsidRDefault="00DA2068" w:rsidP="00DA2068">
            <w:pPr>
              <w:spacing w:after="0" w:line="240" w:lineRule="auto"/>
              <w:jc w:val="center"/>
              <w:rPr>
                <w:rFonts w:eastAsia="Times New Roman" w:cs="Times New Roman"/>
                <w:sz w:val="18"/>
                <w:szCs w:val="18"/>
                <w:lang w:eastAsia="pt-BR"/>
              </w:rPr>
            </w:pPr>
            <w:r w:rsidRPr="00BD3D9D">
              <w:rPr>
                <w:rFonts w:eastAsia="Times New Roman" w:cs="Times New Roman"/>
                <w:sz w:val="18"/>
                <w:szCs w:val="18"/>
                <w:lang w:eastAsia="pt-BR"/>
              </w:rPr>
              <w:fldChar w:fldCharType="begin"/>
            </w:r>
            <w:r w:rsidRPr="00BD3D9D">
              <w:rPr>
                <w:rFonts w:eastAsia="Times New Roman" w:cs="Times New Roman"/>
                <w:sz w:val="18"/>
                <w:szCs w:val="18"/>
                <w:lang w:eastAsia="pt-BR"/>
              </w:rPr>
              <w:instrText xml:space="preserve"> REF _Ref5265298 \h  \* MERGEFORMAT </w:instrText>
            </w:r>
            <w:r w:rsidRPr="00BD3D9D">
              <w:rPr>
                <w:rFonts w:eastAsia="Times New Roman" w:cs="Times New Roman"/>
                <w:sz w:val="18"/>
                <w:szCs w:val="18"/>
                <w:lang w:eastAsia="pt-BR"/>
              </w:rPr>
            </w:r>
            <w:r w:rsidRPr="00BD3D9D">
              <w:rPr>
                <w:rFonts w:eastAsia="Times New Roman" w:cs="Times New Roman"/>
                <w:sz w:val="18"/>
                <w:szCs w:val="18"/>
                <w:lang w:eastAsia="pt-BR"/>
              </w:rPr>
              <w:fldChar w:fldCharType="separate"/>
            </w:r>
            <w:r w:rsidR="00304F5F" w:rsidRPr="00304F5F">
              <w:rPr>
                <w:sz w:val="18"/>
                <w:szCs w:val="18"/>
              </w:rPr>
              <w:t xml:space="preserve">Tabela </w:t>
            </w:r>
            <w:r w:rsidR="00304F5F" w:rsidRPr="00304F5F">
              <w:rPr>
                <w:noProof/>
                <w:sz w:val="18"/>
                <w:szCs w:val="18"/>
              </w:rPr>
              <w:t>21</w:t>
            </w:r>
            <w:r w:rsidRPr="00BD3D9D">
              <w:rPr>
                <w:rFonts w:eastAsia="Times New Roman" w:cs="Times New Roman"/>
                <w:sz w:val="18"/>
                <w:szCs w:val="18"/>
                <w:lang w:eastAsia="pt-BR"/>
              </w:rPr>
              <w:fldChar w:fldCharType="end"/>
            </w:r>
          </w:p>
        </w:tc>
      </w:tr>
      <w:tr w:rsidR="00DA2068" w:rsidRPr="00240A31" w14:paraId="289F486F" w14:textId="7DFC3A13" w:rsidTr="00193673">
        <w:trPr>
          <w:trHeight w:hRule="exact" w:val="454"/>
        </w:trPr>
        <w:tc>
          <w:tcPr>
            <w:tcW w:w="426" w:type="dxa"/>
            <w:vMerge/>
            <w:shd w:val="clear" w:color="auto" w:fill="FFFFFF" w:themeFill="background1"/>
            <w:vAlign w:val="center"/>
          </w:tcPr>
          <w:p w14:paraId="7EAA51A4" w14:textId="77777777" w:rsidR="00DA2068" w:rsidRPr="00775073" w:rsidRDefault="00DA2068" w:rsidP="00DA2068">
            <w:pPr>
              <w:spacing w:after="0" w:line="240" w:lineRule="auto"/>
              <w:rPr>
                <w:rFonts w:eastAsia="Times New Roman" w:cs="Times New Roman"/>
                <w:bCs/>
                <w:sz w:val="18"/>
                <w:szCs w:val="18"/>
                <w:lang w:eastAsia="pt-BR"/>
              </w:rPr>
            </w:pPr>
          </w:p>
        </w:tc>
        <w:tc>
          <w:tcPr>
            <w:tcW w:w="2693" w:type="dxa"/>
            <w:shd w:val="clear" w:color="auto" w:fill="FFFFFF" w:themeFill="background1"/>
            <w:vAlign w:val="center"/>
            <w:hideMark/>
          </w:tcPr>
          <w:p w14:paraId="7F68ECEE" w14:textId="77777777" w:rsidR="00DA2068" w:rsidRPr="00775073" w:rsidRDefault="00DA2068" w:rsidP="00DA2068">
            <w:pPr>
              <w:spacing w:after="0" w:line="240" w:lineRule="auto"/>
              <w:rPr>
                <w:rFonts w:eastAsia="Times New Roman" w:cs="Times New Roman"/>
                <w:bCs/>
                <w:sz w:val="18"/>
                <w:szCs w:val="18"/>
                <w:lang w:eastAsia="pt-BR"/>
              </w:rPr>
            </w:pPr>
            <w:r w:rsidRPr="00775073">
              <w:rPr>
                <w:rFonts w:eastAsia="Times New Roman" w:cs="Times New Roman"/>
                <w:bCs/>
                <w:sz w:val="18"/>
                <w:szCs w:val="18"/>
                <w:lang w:eastAsia="pt-BR"/>
              </w:rPr>
              <w:t>Passivos relacionados aos Fundos Constitucionais</w:t>
            </w:r>
          </w:p>
        </w:tc>
        <w:tc>
          <w:tcPr>
            <w:tcW w:w="992" w:type="dxa"/>
            <w:shd w:val="clear" w:color="auto" w:fill="FFFFFF" w:themeFill="background1"/>
            <w:vAlign w:val="center"/>
            <w:hideMark/>
          </w:tcPr>
          <w:p w14:paraId="47F84194" w14:textId="77777777" w:rsidR="00DA2068" w:rsidRPr="00240A31" w:rsidRDefault="00DA2068" w:rsidP="00DA2068">
            <w:pPr>
              <w:spacing w:after="0" w:line="240" w:lineRule="auto"/>
              <w:jc w:val="center"/>
              <w:rPr>
                <w:rFonts w:eastAsia="Times New Roman" w:cs="Times New Roman"/>
                <w:sz w:val="18"/>
                <w:szCs w:val="18"/>
                <w:lang w:eastAsia="pt-BR"/>
              </w:rPr>
            </w:pPr>
            <w:r w:rsidRPr="00240A31">
              <w:rPr>
                <w:rFonts w:eastAsia="Times New Roman" w:cs="Times New Roman"/>
                <w:sz w:val="18"/>
                <w:szCs w:val="18"/>
                <w:lang w:eastAsia="pt-BR"/>
              </w:rPr>
              <w:t>↑ despesa</w:t>
            </w:r>
          </w:p>
        </w:tc>
        <w:tc>
          <w:tcPr>
            <w:tcW w:w="851" w:type="dxa"/>
            <w:shd w:val="clear" w:color="auto" w:fill="FFFFFF" w:themeFill="background1"/>
            <w:vAlign w:val="center"/>
            <w:hideMark/>
          </w:tcPr>
          <w:p w14:paraId="19F89B51" w14:textId="04F7A2F4" w:rsidR="00DA2068" w:rsidRPr="00240A31" w:rsidRDefault="00DA2068" w:rsidP="00DA2068">
            <w:pPr>
              <w:spacing w:after="0" w:line="240" w:lineRule="auto"/>
              <w:jc w:val="right"/>
              <w:rPr>
                <w:rFonts w:eastAsia="Times New Roman" w:cs="Times New Roman"/>
                <w:sz w:val="18"/>
                <w:szCs w:val="18"/>
                <w:lang w:eastAsia="pt-BR"/>
              </w:rPr>
            </w:pPr>
            <w:r w:rsidRPr="00240A31">
              <w:rPr>
                <w:rFonts w:eastAsia="Times New Roman" w:cs="Times New Roman"/>
                <w:sz w:val="18"/>
                <w:szCs w:val="18"/>
                <w:lang w:eastAsia="pt-BR"/>
              </w:rPr>
              <w:t>14,1</w:t>
            </w:r>
          </w:p>
        </w:tc>
        <w:tc>
          <w:tcPr>
            <w:tcW w:w="850" w:type="dxa"/>
            <w:shd w:val="clear" w:color="auto" w:fill="FFFFFF" w:themeFill="background1"/>
            <w:vAlign w:val="center"/>
          </w:tcPr>
          <w:p w14:paraId="716B3004" w14:textId="2ED291B0" w:rsidR="00DA2068" w:rsidRPr="00240A31" w:rsidRDefault="00C55BC2"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15,5</w:t>
            </w:r>
          </w:p>
        </w:tc>
        <w:tc>
          <w:tcPr>
            <w:tcW w:w="851" w:type="dxa"/>
            <w:shd w:val="clear" w:color="auto" w:fill="FFFFFF" w:themeFill="background1"/>
            <w:vAlign w:val="center"/>
          </w:tcPr>
          <w:p w14:paraId="381DEF22" w14:textId="7D5042E1" w:rsidR="00DA2068" w:rsidRPr="00240A31" w:rsidRDefault="00A7288A"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0,5%</w:t>
            </w:r>
          </w:p>
        </w:tc>
        <w:tc>
          <w:tcPr>
            <w:tcW w:w="924" w:type="dxa"/>
            <w:shd w:val="clear" w:color="auto" w:fill="FFFFFF" w:themeFill="background1"/>
            <w:vAlign w:val="center"/>
          </w:tcPr>
          <w:p w14:paraId="6F6BB18F" w14:textId="298DD400" w:rsidR="00DA2068" w:rsidRPr="00240A31" w:rsidRDefault="00C55BC2"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1,0</w:t>
            </w:r>
          </w:p>
        </w:tc>
        <w:tc>
          <w:tcPr>
            <w:tcW w:w="918" w:type="dxa"/>
            <w:shd w:val="clear" w:color="auto" w:fill="FFFFFF" w:themeFill="background1"/>
            <w:vAlign w:val="center"/>
          </w:tcPr>
          <w:p w14:paraId="11879C5C" w14:textId="6F1B61FE" w:rsidR="00DA2068" w:rsidRPr="00240A31" w:rsidRDefault="00C55BC2"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1,0</w:t>
            </w:r>
          </w:p>
        </w:tc>
        <w:tc>
          <w:tcPr>
            <w:tcW w:w="1276" w:type="dxa"/>
            <w:shd w:val="clear" w:color="auto" w:fill="FFFFFF" w:themeFill="background1"/>
            <w:vAlign w:val="center"/>
          </w:tcPr>
          <w:p w14:paraId="504CDEBE" w14:textId="22B7C006" w:rsidR="00DA2068" w:rsidRPr="00BD3D9D" w:rsidRDefault="00DA2068" w:rsidP="00DA2068">
            <w:pPr>
              <w:spacing w:after="0" w:line="240" w:lineRule="auto"/>
              <w:jc w:val="center"/>
              <w:rPr>
                <w:rFonts w:eastAsia="Times New Roman" w:cs="Times New Roman"/>
                <w:sz w:val="18"/>
                <w:szCs w:val="18"/>
                <w:lang w:eastAsia="pt-BR"/>
              </w:rPr>
            </w:pPr>
            <w:r w:rsidRPr="00BD3D9D">
              <w:rPr>
                <w:rFonts w:eastAsia="Times New Roman" w:cs="Times New Roman"/>
                <w:sz w:val="18"/>
                <w:szCs w:val="18"/>
                <w:lang w:eastAsia="pt-BR"/>
              </w:rPr>
              <w:fldChar w:fldCharType="begin"/>
            </w:r>
            <w:r w:rsidRPr="00BD3D9D">
              <w:rPr>
                <w:rFonts w:eastAsia="Times New Roman" w:cs="Times New Roman"/>
                <w:sz w:val="18"/>
                <w:szCs w:val="18"/>
                <w:lang w:eastAsia="pt-BR"/>
              </w:rPr>
              <w:instrText xml:space="preserve"> REF _Ref5284579 \h  \* MERGEFORMAT </w:instrText>
            </w:r>
            <w:r w:rsidRPr="00BD3D9D">
              <w:rPr>
                <w:rFonts w:eastAsia="Times New Roman" w:cs="Times New Roman"/>
                <w:sz w:val="18"/>
                <w:szCs w:val="18"/>
                <w:lang w:eastAsia="pt-BR"/>
              </w:rPr>
            </w:r>
            <w:r w:rsidRPr="00BD3D9D">
              <w:rPr>
                <w:rFonts w:eastAsia="Times New Roman" w:cs="Times New Roman"/>
                <w:sz w:val="18"/>
                <w:szCs w:val="18"/>
                <w:lang w:eastAsia="pt-BR"/>
              </w:rPr>
              <w:fldChar w:fldCharType="separate"/>
            </w:r>
            <w:r w:rsidR="00304F5F" w:rsidRPr="00304F5F">
              <w:rPr>
                <w:sz w:val="18"/>
                <w:szCs w:val="18"/>
              </w:rPr>
              <w:t xml:space="preserve">Tabela </w:t>
            </w:r>
            <w:r w:rsidR="00304F5F" w:rsidRPr="00304F5F">
              <w:rPr>
                <w:noProof/>
                <w:sz w:val="18"/>
                <w:szCs w:val="18"/>
              </w:rPr>
              <w:t>31</w:t>
            </w:r>
            <w:r w:rsidRPr="00BD3D9D">
              <w:rPr>
                <w:rFonts w:eastAsia="Times New Roman" w:cs="Times New Roman"/>
                <w:sz w:val="18"/>
                <w:szCs w:val="18"/>
                <w:lang w:eastAsia="pt-BR"/>
              </w:rPr>
              <w:fldChar w:fldCharType="end"/>
            </w:r>
            <w:r w:rsidRPr="00BD3D9D">
              <w:rPr>
                <w:rFonts w:eastAsia="Times New Roman" w:cs="Times New Roman"/>
                <w:sz w:val="18"/>
                <w:szCs w:val="18"/>
                <w:lang w:eastAsia="pt-BR"/>
              </w:rPr>
              <w:t xml:space="preserve"> </w:t>
            </w:r>
            <w:r w:rsidRPr="00BD3D9D">
              <w:rPr>
                <w:rFonts w:eastAsia="Times New Roman" w:cs="Times New Roman"/>
                <w:sz w:val="18"/>
                <w:szCs w:val="18"/>
                <w:lang w:eastAsia="pt-BR"/>
              </w:rPr>
              <w:fldChar w:fldCharType="begin"/>
            </w:r>
            <w:r w:rsidRPr="00BD3D9D">
              <w:rPr>
                <w:rFonts w:eastAsia="Times New Roman" w:cs="Times New Roman"/>
                <w:sz w:val="18"/>
                <w:szCs w:val="18"/>
                <w:lang w:eastAsia="pt-BR"/>
              </w:rPr>
              <w:instrText xml:space="preserve"> REF _Ref5635865 \h  \* MERGEFORMAT </w:instrText>
            </w:r>
            <w:r w:rsidRPr="00BD3D9D">
              <w:rPr>
                <w:rFonts w:eastAsia="Times New Roman" w:cs="Times New Roman"/>
                <w:sz w:val="18"/>
                <w:szCs w:val="18"/>
                <w:lang w:eastAsia="pt-BR"/>
              </w:rPr>
            </w:r>
            <w:r w:rsidRPr="00BD3D9D">
              <w:rPr>
                <w:rFonts w:eastAsia="Times New Roman" w:cs="Times New Roman"/>
                <w:sz w:val="18"/>
                <w:szCs w:val="18"/>
                <w:lang w:eastAsia="pt-BR"/>
              </w:rPr>
              <w:fldChar w:fldCharType="separate"/>
            </w:r>
            <w:r w:rsidR="00304F5F" w:rsidRPr="00304F5F">
              <w:rPr>
                <w:sz w:val="18"/>
                <w:szCs w:val="18"/>
              </w:rPr>
              <w:t xml:space="preserve">Tabela </w:t>
            </w:r>
            <w:r w:rsidR="00304F5F" w:rsidRPr="00304F5F">
              <w:rPr>
                <w:noProof/>
                <w:sz w:val="18"/>
                <w:szCs w:val="18"/>
              </w:rPr>
              <w:t>32</w:t>
            </w:r>
            <w:r w:rsidRPr="00BD3D9D">
              <w:rPr>
                <w:rFonts w:eastAsia="Times New Roman" w:cs="Times New Roman"/>
                <w:sz w:val="18"/>
                <w:szCs w:val="18"/>
                <w:lang w:eastAsia="pt-BR"/>
              </w:rPr>
              <w:fldChar w:fldCharType="end"/>
            </w:r>
          </w:p>
        </w:tc>
      </w:tr>
      <w:tr w:rsidR="00DA2068" w:rsidRPr="00240A31" w14:paraId="05125CE4" w14:textId="40C7ECD5" w:rsidTr="00C95A9F">
        <w:trPr>
          <w:trHeight w:hRule="exact" w:val="454"/>
        </w:trPr>
        <w:tc>
          <w:tcPr>
            <w:tcW w:w="426" w:type="dxa"/>
            <w:vMerge/>
            <w:shd w:val="clear" w:color="auto" w:fill="FFFFFF" w:themeFill="background1"/>
            <w:vAlign w:val="center"/>
          </w:tcPr>
          <w:p w14:paraId="2498B88B" w14:textId="77777777" w:rsidR="00DA2068" w:rsidRPr="00775073" w:rsidRDefault="00DA2068" w:rsidP="00DA2068">
            <w:pPr>
              <w:spacing w:after="0" w:line="240" w:lineRule="auto"/>
              <w:rPr>
                <w:rFonts w:eastAsia="Times New Roman" w:cs="Times New Roman"/>
                <w:bCs/>
                <w:sz w:val="18"/>
                <w:szCs w:val="18"/>
                <w:lang w:eastAsia="pt-BR"/>
              </w:rPr>
            </w:pPr>
          </w:p>
        </w:tc>
        <w:tc>
          <w:tcPr>
            <w:tcW w:w="2693" w:type="dxa"/>
            <w:shd w:val="clear" w:color="auto" w:fill="FFFFFF" w:themeFill="background1"/>
            <w:vAlign w:val="center"/>
          </w:tcPr>
          <w:p w14:paraId="01AA9807" w14:textId="1C1A972B" w:rsidR="00DA2068" w:rsidRPr="00775073" w:rsidRDefault="00DA2068" w:rsidP="00DA2068">
            <w:pPr>
              <w:spacing w:after="0" w:line="240" w:lineRule="auto"/>
              <w:rPr>
                <w:rFonts w:eastAsia="Times New Roman" w:cs="Times New Roman"/>
                <w:bCs/>
                <w:sz w:val="18"/>
                <w:szCs w:val="18"/>
                <w:lang w:eastAsia="pt-BR"/>
              </w:rPr>
            </w:pPr>
            <w:r>
              <w:rPr>
                <w:rFonts w:eastAsia="Times New Roman" w:cs="Times New Roman"/>
                <w:bCs/>
                <w:sz w:val="18"/>
                <w:szCs w:val="18"/>
                <w:lang w:eastAsia="pt-BR"/>
              </w:rPr>
              <w:t>Fundo de Financiamento Estudantil -</w:t>
            </w:r>
            <w:r w:rsidRPr="00775073">
              <w:rPr>
                <w:rFonts w:eastAsia="Times New Roman" w:cs="Times New Roman"/>
                <w:bCs/>
                <w:sz w:val="18"/>
                <w:szCs w:val="18"/>
                <w:lang w:eastAsia="pt-BR"/>
              </w:rPr>
              <w:t xml:space="preserve"> Fies</w:t>
            </w:r>
            <w:r w:rsidR="00204C3D">
              <w:rPr>
                <w:rFonts w:eastAsia="Times New Roman" w:cs="Times New Roman"/>
                <w:bCs/>
                <w:sz w:val="18"/>
                <w:szCs w:val="18"/>
                <w:vertAlign w:val="superscript"/>
                <w:lang w:eastAsia="pt-BR"/>
              </w:rPr>
              <w:t>3</w:t>
            </w:r>
          </w:p>
        </w:tc>
        <w:tc>
          <w:tcPr>
            <w:tcW w:w="992" w:type="dxa"/>
            <w:shd w:val="clear" w:color="auto" w:fill="FFFFFF" w:themeFill="background1"/>
            <w:vAlign w:val="center"/>
          </w:tcPr>
          <w:p w14:paraId="24C97191" w14:textId="05C4F447" w:rsidR="00DA2068" w:rsidRPr="00240A31" w:rsidRDefault="00DA2068" w:rsidP="00DA2068">
            <w:pPr>
              <w:spacing w:after="0" w:line="240" w:lineRule="auto"/>
              <w:jc w:val="center"/>
              <w:rPr>
                <w:rFonts w:eastAsia="Times New Roman" w:cs="Times New Roman"/>
                <w:sz w:val="18"/>
                <w:szCs w:val="18"/>
                <w:lang w:eastAsia="pt-BR"/>
              </w:rPr>
            </w:pPr>
            <w:r w:rsidRPr="00240A31">
              <w:rPr>
                <w:rFonts w:eastAsia="Times New Roman" w:cs="Times New Roman"/>
                <w:sz w:val="18"/>
                <w:szCs w:val="18"/>
                <w:lang w:eastAsia="pt-BR"/>
              </w:rPr>
              <w:t>↓ receita</w:t>
            </w:r>
          </w:p>
        </w:tc>
        <w:tc>
          <w:tcPr>
            <w:tcW w:w="851" w:type="dxa"/>
            <w:shd w:val="clear" w:color="auto" w:fill="FFFFFF" w:themeFill="background1"/>
            <w:vAlign w:val="center"/>
          </w:tcPr>
          <w:p w14:paraId="5F169690" w14:textId="643F54BF" w:rsidR="00DA2068" w:rsidRPr="00240A31" w:rsidRDefault="00DA2068" w:rsidP="00DA2068">
            <w:pPr>
              <w:spacing w:after="0" w:line="240" w:lineRule="auto"/>
              <w:jc w:val="right"/>
              <w:rPr>
                <w:rFonts w:eastAsia="Times New Roman" w:cs="Times New Roman"/>
                <w:sz w:val="18"/>
                <w:szCs w:val="18"/>
                <w:lang w:eastAsia="pt-BR"/>
              </w:rPr>
            </w:pPr>
            <w:r w:rsidRPr="00240A31">
              <w:rPr>
                <w:rFonts w:eastAsia="Times New Roman" w:cs="Times New Roman"/>
                <w:sz w:val="18"/>
                <w:szCs w:val="18"/>
                <w:lang w:eastAsia="pt-BR"/>
              </w:rPr>
              <w:t>113,1</w:t>
            </w:r>
          </w:p>
        </w:tc>
        <w:tc>
          <w:tcPr>
            <w:tcW w:w="850" w:type="dxa"/>
            <w:shd w:val="clear" w:color="auto" w:fill="FFFFFF" w:themeFill="background1"/>
            <w:vAlign w:val="center"/>
          </w:tcPr>
          <w:p w14:paraId="009B0D89" w14:textId="455EB202" w:rsidR="00DA2068" w:rsidRPr="00240A31" w:rsidRDefault="000565E7"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114,5</w:t>
            </w:r>
          </w:p>
        </w:tc>
        <w:tc>
          <w:tcPr>
            <w:tcW w:w="851" w:type="dxa"/>
            <w:shd w:val="clear" w:color="auto" w:fill="FFFFFF" w:themeFill="background1"/>
            <w:vAlign w:val="center"/>
          </w:tcPr>
          <w:p w14:paraId="5762FC43" w14:textId="73A65563" w:rsidR="00DA2068" w:rsidRPr="00240A31" w:rsidRDefault="00A7288A"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3,4%</w:t>
            </w:r>
          </w:p>
        </w:tc>
        <w:tc>
          <w:tcPr>
            <w:tcW w:w="924" w:type="dxa"/>
            <w:shd w:val="clear" w:color="auto" w:fill="FFFFFF" w:themeFill="background1"/>
            <w:vAlign w:val="center"/>
          </w:tcPr>
          <w:p w14:paraId="0B7478BA" w14:textId="504EE3EB" w:rsidR="00DA2068" w:rsidRPr="00240A31" w:rsidRDefault="000565E7"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n.d</w:t>
            </w:r>
            <w:proofErr w:type="spellEnd"/>
            <w:r>
              <w:rPr>
                <w:rFonts w:eastAsia="Times New Roman" w:cs="Times New Roman"/>
                <w:sz w:val="18"/>
                <w:szCs w:val="18"/>
                <w:lang w:eastAsia="pt-BR"/>
              </w:rPr>
              <w:t>.</w:t>
            </w:r>
            <w:proofErr w:type="gramEnd"/>
          </w:p>
        </w:tc>
        <w:tc>
          <w:tcPr>
            <w:tcW w:w="918" w:type="dxa"/>
            <w:shd w:val="clear" w:color="auto" w:fill="FFFFFF" w:themeFill="background1"/>
            <w:vAlign w:val="center"/>
          </w:tcPr>
          <w:p w14:paraId="0E48231B" w14:textId="5AD4388E" w:rsidR="00DA2068" w:rsidRPr="00240A31" w:rsidRDefault="000565E7"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n.d</w:t>
            </w:r>
            <w:proofErr w:type="spellEnd"/>
            <w:r>
              <w:rPr>
                <w:rFonts w:eastAsia="Times New Roman" w:cs="Times New Roman"/>
                <w:sz w:val="18"/>
                <w:szCs w:val="18"/>
                <w:lang w:eastAsia="pt-BR"/>
              </w:rPr>
              <w:t>.</w:t>
            </w:r>
            <w:proofErr w:type="gramEnd"/>
          </w:p>
        </w:tc>
        <w:tc>
          <w:tcPr>
            <w:tcW w:w="1276" w:type="dxa"/>
            <w:shd w:val="clear" w:color="auto" w:fill="FFFFFF" w:themeFill="background1"/>
            <w:vAlign w:val="center"/>
          </w:tcPr>
          <w:p w14:paraId="50D58C15" w14:textId="0C02F927" w:rsidR="00DA2068" w:rsidRPr="001A077D" w:rsidRDefault="001A077D" w:rsidP="00DA2068">
            <w:pPr>
              <w:spacing w:after="0" w:line="240" w:lineRule="auto"/>
              <w:jc w:val="center"/>
              <w:rPr>
                <w:rFonts w:eastAsia="Times New Roman" w:cs="Times New Roman"/>
                <w:sz w:val="18"/>
                <w:szCs w:val="18"/>
                <w:lang w:eastAsia="pt-BR"/>
              </w:rPr>
            </w:pPr>
            <w:r w:rsidRPr="001A077D">
              <w:rPr>
                <w:rFonts w:eastAsia="Times New Roman" w:cs="Times New Roman"/>
                <w:sz w:val="18"/>
                <w:szCs w:val="18"/>
                <w:lang w:eastAsia="pt-BR"/>
              </w:rPr>
              <w:fldChar w:fldCharType="begin"/>
            </w:r>
            <w:r w:rsidRPr="001A077D">
              <w:rPr>
                <w:rFonts w:eastAsia="Times New Roman" w:cs="Times New Roman"/>
                <w:sz w:val="18"/>
                <w:szCs w:val="18"/>
                <w:lang w:eastAsia="pt-BR"/>
              </w:rPr>
              <w:instrText xml:space="preserve"> REF _Ref4161281 \h  \* MERGEFORMAT </w:instrText>
            </w:r>
            <w:r w:rsidRPr="001A077D">
              <w:rPr>
                <w:rFonts w:eastAsia="Times New Roman" w:cs="Times New Roman"/>
                <w:sz w:val="18"/>
                <w:szCs w:val="18"/>
                <w:lang w:eastAsia="pt-BR"/>
              </w:rPr>
            </w:r>
            <w:r w:rsidRPr="001A077D">
              <w:rPr>
                <w:rFonts w:eastAsia="Times New Roman" w:cs="Times New Roman"/>
                <w:sz w:val="18"/>
                <w:szCs w:val="18"/>
                <w:lang w:eastAsia="pt-BR"/>
              </w:rPr>
              <w:fldChar w:fldCharType="separate"/>
            </w:r>
            <w:r w:rsidR="00304F5F" w:rsidRPr="00304F5F">
              <w:rPr>
                <w:sz w:val="18"/>
                <w:szCs w:val="18"/>
              </w:rPr>
              <w:t xml:space="preserve">Tabela </w:t>
            </w:r>
            <w:r w:rsidR="00304F5F" w:rsidRPr="00304F5F">
              <w:rPr>
                <w:noProof/>
                <w:sz w:val="18"/>
                <w:szCs w:val="18"/>
              </w:rPr>
              <w:t>68</w:t>
            </w:r>
            <w:r w:rsidRPr="001A077D">
              <w:rPr>
                <w:rFonts w:eastAsia="Times New Roman" w:cs="Times New Roman"/>
                <w:sz w:val="18"/>
                <w:szCs w:val="18"/>
                <w:lang w:eastAsia="pt-BR"/>
              </w:rPr>
              <w:fldChar w:fldCharType="end"/>
            </w:r>
          </w:p>
        </w:tc>
      </w:tr>
      <w:tr w:rsidR="00DA2068" w:rsidRPr="00240A31" w14:paraId="54E02E0E" w14:textId="36ADEF19" w:rsidTr="00C95A9F">
        <w:trPr>
          <w:trHeight w:hRule="exact" w:val="454"/>
        </w:trPr>
        <w:tc>
          <w:tcPr>
            <w:tcW w:w="426" w:type="dxa"/>
            <w:vMerge/>
            <w:shd w:val="clear" w:color="auto" w:fill="FFFFFF" w:themeFill="background1"/>
            <w:vAlign w:val="center"/>
          </w:tcPr>
          <w:p w14:paraId="0AFFA933" w14:textId="77777777" w:rsidR="00DA2068" w:rsidRPr="00775073" w:rsidRDefault="00DA2068" w:rsidP="00DA2068">
            <w:pPr>
              <w:spacing w:after="0" w:line="240" w:lineRule="auto"/>
              <w:rPr>
                <w:rFonts w:eastAsia="Times New Roman" w:cs="Times New Roman"/>
                <w:bCs/>
                <w:sz w:val="18"/>
                <w:szCs w:val="18"/>
                <w:lang w:eastAsia="pt-BR"/>
              </w:rPr>
            </w:pPr>
          </w:p>
        </w:tc>
        <w:tc>
          <w:tcPr>
            <w:tcW w:w="2693" w:type="dxa"/>
            <w:shd w:val="clear" w:color="auto" w:fill="FFFFFF" w:themeFill="background1"/>
            <w:vAlign w:val="center"/>
            <w:hideMark/>
          </w:tcPr>
          <w:p w14:paraId="2C823D58" w14:textId="5A30C5A1" w:rsidR="00DA2068" w:rsidRPr="00775073" w:rsidRDefault="00DA2068" w:rsidP="00DA2068">
            <w:pPr>
              <w:spacing w:after="0" w:line="240" w:lineRule="auto"/>
              <w:rPr>
                <w:rFonts w:eastAsia="Times New Roman" w:cs="Times New Roman"/>
                <w:bCs/>
                <w:sz w:val="18"/>
                <w:szCs w:val="18"/>
                <w:lang w:eastAsia="pt-BR"/>
              </w:rPr>
            </w:pPr>
            <w:r w:rsidRPr="00775073">
              <w:rPr>
                <w:rFonts w:eastAsia="Times New Roman" w:cs="Times New Roman"/>
                <w:bCs/>
                <w:sz w:val="18"/>
                <w:szCs w:val="18"/>
                <w:lang w:eastAsia="pt-BR"/>
              </w:rPr>
              <w:t>Dívida Ativa</w:t>
            </w:r>
            <w:r w:rsidR="00204C3D">
              <w:rPr>
                <w:rFonts w:eastAsia="Times New Roman" w:cs="Times New Roman"/>
                <w:bCs/>
                <w:sz w:val="18"/>
                <w:szCs w:val="18"/>
                <w:vertAlign w:val="superscript"/>
                <w:lang w:eastAsia="pt-BR"/>
              </w:rPr>
              <w:t>3</w:t>
            </w:r>
          </w:p>
        </w:tc>
        <w:tc>
          <w:tcPr>
            <w:tcW w:w="992" w:type="dxa"/>
            <w:shd w:val="clear" w:color="auto" w:fill="FFFFFF" w:themeFill="background1"/>
            <w:vAlign w:val="center"/>
            <w:hideMark/>
          </w:tcPr>
          <w:p w14:paraId="6B51F92C" w14:textId="77777777" w:rsidR="00DA2068" w:rsidRPr="00240A31" w:rsidRDefault="00DA2068" w:rsidP="00DA2068">
            <w:pPr>
              <w:spacing w:after="0" w:line="240" w:lineRule="auto"/>
              <w:jc w:val="center"/>
              <w:rPr>
                <w:rFonts w:eastAsia="Times New Roman" w:cs="Times New Roman"/>
                <w:sz w:val="18"/>
                <w:szCs w:val="18"/>
                <w:lang w:eastAsia="pt-BR"/>
              </w:rPr>
            </w:pPr>
            <w:r w:rsidRPr="00240A31">
              <w:rPr>
                <w:rFonts w:eastAsia="Times New Roman" w:cs="Times New Roman"/>
                <w:sz w:val="18"/>
                <w:szCs w:val="18"/>
                <w:lang w:eastAsia="pt-BR"/>
              </w:rPr>
              <w:t>↓ receita</w:t>
            </w:r>
          </w:p>
        </w:tc>
        <w:tc>
          <w:tcPr>
            <w:tcW w:w="851" w:type="dxa"/>
            <w:shd w:val="clear" w:color="auto" w:fill="FFFFFF" w:themeFill="background1"/>
            <w:vAlign w:val="center"/>
          </w:tcPr>
          <w:p w14:paraId="42D0F9AB" w14:textId="447614A8" w:rsidR="00DA2068" w:rsidRPr="00240A31" w:rsidRDefault="00DA2068" w:rsidP="00DA2068">
            <w:pPr>
              <w:spacing w:after="0" w:line="240" w:lineRule="auto"/>
              <w:jc w:val="right"/>
              <w:rPr>
                <w:rFonts w:eastAsia="Times New Roman" w:cs="Times New Roman"/>
                <w:sz w:val="18"/>
                <w:szCs w:val="18"/>
                <w:lang w:eastAsia="pt-BR"/>
              </w:rPr>
            </w:pPr>
            <w:r w:rsidRPr="00240A31">
              <w:rPr>
                <w:rFonts w:eastAsia="Times New Roman" w:cs="Times New Roman"/>
                <w:sz w:val="18"/>
                <w:szCs w:val="18"/>
                <w:lang w:eastAsia="pt-BR"/>
              </w:rPr>
              <w:t>441,5</w:t>
            </w:r>
          </w:p>
        </w:tc>
        <w:tc>
          <w:tcPr>
            <w:tcW w:w="850" w:type="dxa"/>
            <w:shd w:val="clear" w:color="auto" w:fill="FFFFFF" w:themeFill="background1"/>
            <w:vAlign w:val="center"/>
          </w:tcPr>
          <w:p w14:paraId="6606EDE9" w14:textId="5E652439" w:rsidR="00DA2068" w:rsidRPr="00240A31" w:rsidRDefault="000565E7"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485,0</w:t>
            </w:r>
          </w:p>
        </w:tc>
        <w:tc>
          <w:tcPr>
            <w:tcW w:w="851" w:type="dxa"/>
            <w:shd w:val="clear" w:color="auto" w:fill="FFFFFF" w:themeFill="background1"/>
            <w:vAlign w:val="center"/>
          </w:tcPr>
          <w:p w14:paraId="32E1E6DA" w14:textId="3BD8282B" w:rsidR="00DA2068" w:rsidRPr="00240A31" w:rsidRDefault="00A7288A"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14,3%</w:t>
            </w:r>
          </w:p>
        </w:tc>
        <w:tc>
          <w:tcPr>
            <w:tcW w:w="924" w:type="dxa"/>
            <w:shd w:val="clear" w:color="auto" w:fill="FFFFFF" w:themeFill="background1"/>
            <w:vAlign w:val="center"/>
          </w:tcPr>
          <w:p w14:paraId="1F61FF8E" w14:textId="54D4E51F" w:rsidR="00DA2068" w:rsidRPr="00240A31" w:rsidRDefault="00256006"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24,9</w:t>
            </w:r>
          </w:p>
        </w:tc>
        <w:tc>
          <w:tcPr>
            <w:tcW w:w="918" w:type="dxa"/>
            <w:shd w:val="clear" w:color="auto" w:fill="FFFFFF" w:themeFill="background1"/>
            <w:vAlign w:val="center"/>
          </w:tcPr>
          <w:p w14:paraId="0D95B392" w14:textId="7C2608C8" w:rsidR="00DA2068" w:rsidRPr="00240A31" w:rsidRDefault="00256006"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25,9</w:t>
            </w:r>
          </w:p>
        </w:tc>
        <w:tc>
          <w:tcPr>
            <w:tcW w:w="1276" w:type="dxa"/>
            <w:shd w:val="clear" w:color="auto" w:fill="FFFFFF" w:themeFill="background1"/>
            <w:vAlign w:val="center"/>
          </w:tcPr>
          <w:p w14:paraId="371A9932" w14:textId="7F143BDD" w:rsidR="004F5CF6" w:rsidRPr="004F5CF6" w:rsidRDefault="004F5CF6" w:rsidP="004F5CF6">
            <w:pPr>
              <w:spacing w:after="0" w:line="240" w:lineRule="auto"/>
              <w:jc w:val="center"/>
              <w:rPr>
                <w:rFonts w:eastAsia="Times New Roman" w:cs="Times New Roman"/>
                <w:sz w:val="18"/>
                <w:szCs w:val="18"/>
                <w:lang w:eastAsia="pt-BR"/>
              </w:rPr>
            </w:pPr>
            <w:r w:rsidRPr="004F5CF6">
              <w:rPr>
                <w:rFonts w:eastAsia="Times New Roman" w:cs="Times New Roman"/>
                <w:sz w:val="18"/>
                <w:szCs w:val="18"/>
                <w:lang w:eastAsia="pt-BR"/>
              </w:rPr>
              <w:fldChar w:fldCharType="begin"/>
            </w:r>
            <w:r w:rsidRPr="004F5CF6">
              <w:rPr>
                <w:rFonts w:eastAsia="Times New Roman" w:cs="Times New Roman"/>
                <w:sz w:val="18"/>
                <w:szCs w:val="18"/>
                <w:lang w:eastAsia="pt-BR"/>
              </w:rPr>
              <w:instrText xml:space="preserve"> REF _Ref67653583 \h  \* MERGEFORMAT </w:instrText>
            </w:r>
            <w:r w:rsidRPr="004F5CF6">
              <w:rPr>
                <w:rFonts w:eastAsia="Times New Roman" w:cs="Times New Roman"/>
                <w:sz w:val="18"/>
                <w:szCs w:val="18"/>
                <w:lang w:eastAsia="pt-BR"/>
              </w:rPr>
            </w:r>
            <w:r w:rsidRPr="004F5CF6">
              <w:rPr>
                <w:rFonts w:eastAsia="Times New Roman" w:cs="Times New Roman"/>
                <w:sz w:val="18"/>
                <w:szCs w:val="18"/>
                <w:lang w:eastAsia="pt-BR"/>
              </w:rPr>
              <w:fldChar w:fldCharType="separate"/>
            </w:r>
            <w:r w:rsidR="00304F5F" w:rsidRPr="00304F5F">
              <w:rPr>
                <w:rFonts w:cstheme="minorHAnsi"/>
                <w:sz w:val="18"/>
                <w:szCs w:val="18"/>
              </w:rPr>
              <w:t xml:space="preserve">Tabela </w:t>
            </w:r>
            <w:r w:rsidR="00304F5F" w:rsidRPr="00304F5F">
              <w:rPr>
                <w:rFonts w:cstheme="minorHAnsi"/>
                <w:noProof/>
                <w:sz w:val="18"/>
                <w:szCs w:val="18"/>
              </w:rPr>
              <w:t>36</w:t>
            </w:r>
            <w:r w:rsidRPr="004F5CF6">
              <w:rPr>
                <w:rFonts w:eastAsia="Times New Roman" w:cs="Times New Roman"/>
                <w:sz w:val="18"/>
                <w:szCs w:val="18"/>
                <w:lang w:eastAsia="pt-BR"/>
              </w:rPr>
              <w:fldChar w:fldCharType="end"/>
            </w:r>
          </w:p>
          <w:p w14:paraId="49BA51EC" w14:textId="6493A670" w:rsidR="00DA2068" w:rsidRPr="00BD3D9D" w:rsidRDefault="00DA2068" w:rsidP="00DA2068">
            <w:pPr>
              <w:spacing w:after="0" w:line="240" w:lineRule="auto"/>
              <w:jc w:val="center"/>
              <w:rPr>
                <w:rFonts w:eastAsia="Times New Roman" w:cs="Times New Roman"/>
                <w:sz w:val="18"/>
                <w:szCs w:val="18"/>
                <w:lang w:eastAsia="pt-BR"/>
              </w:rPr>
            </w:pPr>
            <w:r w:rsidRPr="00BD3D9D">
              <w:rPr>
                <w:rFonts w:eastAsia="Times New Roman" w:cs="Times New Roman"/>
                <w:sz w:val="18"/>
                <w:szCs w:val="18"/>
                <w:lang w:eastAsia="pt-BR"/>
              </w:rPr>
              <w:fldChar w:fldCharType="begin"/>
            </w:r>
            <w:r w:rsidRPr="00BD3D9D">
              <w:rPr>
                <w:rFonts w:eastAsia="Times New Roman" w:cs="Times New Roman"/>
                <w:sz w:val="18"/>
                <w:szCs w:val="18"/>
                <w:lang w:eastAsia="pt-BR"/>
              </w:rPr>
              <w:instrText xml:space="preserve"> REF _Ref33186320 \h  \* MERGEFORMAT </w:instrText>
            </w:r>
            <w:r w:rsidRPr="00BD3D9D">
              <w:rPr>
                <w:rFonts w:eastAsia="Times New Roman" w:cs="Times New Roman"/>
                <w:sz w:val="18"/>
                <w:szCs w:val="18"/>
                <w:lang w:eastAsia="pt-BR"/>
              </w:rPr>
            </w:r>
            <w:r w:rsidRPr="00BD3D9D">
              <w:rPr>
                <w:rFonts w:eastAsia="Times New Roman" w:cs="Times New Roman"/>
                <w:sz w:val="18"/>
                <w:szCs w:val="18"/>
                <w:lang w:eastAsia="pt-BR"/>
              </w:rPr>
              <w:fldChar w:fldCharType="separate"/>
            </w:r>
            <w:r w:rsidR="00304F5F" w:rsidRPr="00304F5F">
              <w:rPr>
                <w:sz w:val="18"/>
                <w:szCs w:val="18"/>
              </w:rPr>
              <w:t xml:space="preserve">Tabela </w:t>
            </w:r>
            <w:r w:rsidR="00304F5F" w:rsidRPr="00304F5F">
              <w:rPr>
                <w:noProof/>
                <w:sz w:val="18"/>
                <w:szCs w:val="18"/>
              </w:rPr>
              <w:t>38</w:t>
            </w:r>
            <w:r w:rsidRPr="00BD3D9D">
              <w:rPr>
                <w:rFonts w:eastAsia="Times New Roman" w:cs="Times New Roman"/>
                <w:sz w:val="18"/>
                <w:szCs w:val="18"/>
                <w:lang w:eastAsia="pt-BR"/>
              </w:rPr>
              <w:fldChar w:fldCharType="end"/>
            </w:r>
          </w:p>
        </w:tc>
      </w:tr>
      <w:tr w:rsidR="00DA2068" w:rsidRPr="00240A31" w14:paraId="7300021A" w14:textId="763500D9" w:rsidTr="00193673">
        <w:trPr>
          <w:trHeight w:hRule="exact" w:val="454"/>
        </w:trPr>
        <w:tc>
          <w:tcPr>
            <w:tcW w:w="426" w:type="dxa"/>
            <w:vMerge/>
            <w:shd w:val="clear" w:color="auto" w:fill="FFFFFF" w:themeFill="background1"/>
            <w:vAlign w:val="center"/>
          </w:tcPr>
          <w:p w14:paraId="54ABE49A" w14:textId="77777777" w:rsidR="00DA2068" w:rsidRPr="00775073" w:rsidRDefault="00DA2068" w:rsidP="00DA2068">
            <w:pPr>
              <w:spacing w:after="0" w:line="240" w:lineRule="auto"/>
              <w:rPr>
                <w:rFonts w:eastAsia="Times New Roman" w:cs="Times New Roman"/>
                <w:bCs/>
                <w:sz w:val="18"/>
                <w:szCs w:val="18"/>
                <w:lang w:eastAsia="pt-BR"/>
              </w:rPr>
            </w:pPr>
          </w:p>
        </w:tc>
        <w:tc>
          <w:tcPr>
            <w:tcW w:w="2693" w:type="dxa"/>
            <w:shd w:val="clear" w:color="auto" w:fill="FFFFFF" w:themeFill="background1"/>
            <w:vAlign w:val="center"/>
            <w:hideMark/>
          </w:tcPr>
          <w:p w14:paraId="3753BC1C" w14:textId="143B745D" w:rsidR="00DA2068" w:rsidRPr="00775073" w:rsidRDefault="00DA2068" w:rsidP="00DA2068">
            <w:pPr>
              <w:spacing w:after="0" w:line="240" w:lineRule="auto"/>
              <w:rPr>
                <w:rFonts w:eastAsia="Times New Roman" w:cs="Times New Roman"/>
                <w:bCs/>
                <w:sz w:val="18"/>
                <w:szCs w:val="18"/>
                <w:lang w:eastAsia="pt-BR"/>
              </w:rPr>
            </w:pPr>
            <w:r w:rsidRPr="00775073">
              <w:rPr>
                <w:rFonts w:eastAsia="Times New Roman" w:cs="Times New Roman"/>
                <w:bCs/>
                <w:sz w:val="18"/>
                <w:szCs w:val="18"/>
                <w:lang w:eastAsia="pt-BR"/>
              </w:rPr>
              <w:t xml:space="preserve">Concessões e </w:t>
            </w:r>
            <w:proofErr w:type="spellStart"/>
            <w:r w:rsidRPr="00775073">
              <w:rPr>
                <w:rFonts w:eastAsia="Times New Roman" w:cs="Times New Roman"/>
                <w:bCs/>
                <w:sz w:val="18"/>
                <w:szCs w:val="18"/>
                <w:lang w:eastAsia="pt-BR"/>
              </w:rPr>
              <w:t>PPPs</w:t>
            </w:r>
            <w:proofErr w:type="spellEnd"/>
          </w:p>
        </w:tc>
        <w:tc>
          <w:tcPr>
            <w:tcW w:w="992" w:type="dxa"/>
            <w:shd w:val="clear" w:color="auto" w:fill="FFFFFF" w:themeFill="background1"/>
            <w:vAlign w:val="center"/>
            <w:hideMark/>
          </w:tcPr>
          <w:p w14:paraId="7A780BF6" w14:textId="77777777" w:rsidR="00DA2068" w:rsidRPr="00240A31" w:rsidRDefault="00DA2068" w:rsidP="00DA2068">
            <w:pPr>
              <w:spacing w:after="0" w:line="240" w:lineRule="auto"/>
              <w:jc w:val="center"/>
              <w:rPr>
                <w:rFonts w:eastAsia="Times New Roman" w:cs="Times New Roman"/>
                <w:sz w:val="18"/>
                <w:szCs w:val="18"/>
                <w:lang w:eastAsia="pt-BR"/>
              </w:rPr>
            </w:pPr>
            <w:r w:rsidRPr="00240A31">
              <w:rPr>
                <w:rFonts w:eastAsia="Times New Roman" w:cs="Times New Roman"/>
                <w:sz w:val="18"/>
                <w:szCs w:val="18"/>
                <w:lang w:eastAsia="pt-BR"/>
              </w:rPr>
              <w:t>↓ receita</w:t>
            </w:r>
          </w:p>
        </w:tc>
        <w:tc>
          <w:tcPr>
            <w:tcW w:w="851" w:type="dxa"/>
            <w:shd w:val="clear" w:color="auto" w:fill="FFFFFF" w:themeFill="background1"/>
            <w:vAlign w:val="center"/>
            <w:hideMark/>
          </w:tcPr>
          <w:p w14:paraId="6A6FE423" w14:textId="76A11B94" w:rsidR="00DA2068" w:rsidRPr="00240A31" w:rsidRDefault="00DA2068" w:rsidP="00DA2068">
            <w:pPr>
              <w:spacing w:after="0" w:line="240" w:lineRule="auto"/>
              <w:jc w:val="right"/>
              <w:rPr>
                <w:rFonts w:eastAsia="Times New Roman" w:cs="Times New Roman"/>
                <w:sz w:val="18"/>
                <w:szCs w:val="18"/>
                <w:lang w:eastAsia="pt-BR"/>
              </w:rPr>
            </w:pPr>
            <w:proofErr w:type="spellStart"/>
            <w:proofErr w:type="gramStart"/>
            <w:r w:rsidRPr="00240A31">
              <w:rPr>
                <w:rFonts w:eastAsia="Times New Roman" w:cs="Times New Roman"/>
                <w:sz w:val="18"/>
                <w:szCs w:val="18"/>
                <w:lang w:eastAsia="pt-BR"/>
              </w:rPr>
              <w:t>n.a</w:t>
            </w:r>
            <w:proofErr w:type="spellEnd"/>
            <w:r w:rsidRPr="00240A31">
              <w:rPr>
                <w:rFonts w:eastAsia="Times New Roman" w:cs="Times New Roman"/>
                <w:sz w:val="18"/>
                <w:szCs w:val="18"/>
                <w:lang w:eastAsia="pt-BR"/>
              </w:rPr>
              <w:t>.</w:t>
            </w:r>
            <w:proofErr w:type="gramEnd"/>
          </w:p>
        </w:tc>
        <w:tc>
          <w:tcPr>
            <w:tcW w:w="850" w:type="dxa"/>
            <w:shd w:val="clear" w:color="auto" w:fill="FFFFFF" w:themeFill="background1"/>
            <w:vAlign w:val="center"/>
          </w:tcPr>
          <w:p w14:paraId="618FF1A6" w14:textId="7124C7C0" w:rsidR="00DA2068" w:rsidRPr="00240A31" w:rsidRDefault="00565816"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n.a</w:t>
            </w:r>
            <w:proofErr w:type="spellEnd"/>
            <w:r>
              <w:rPr>
                <w:rFonts w:eastAsia="Times New Roman" w:cs="Times New Roman"/>
                <w:sz w:val="18"/>
                <w:szCs w:val="18"/>
                <w:lang w:eastAsia="pt-BR"/>
              </w:rPr>
              <w:t>.</w:t>
            </w:r>
            <w:proofErr w:type="gramEnd"/>
          </w:p>
        </w:tc>
        <w:tc>
          <w:tcPr>
            <w:tcW w:w="851" w:type="dxa"/>
            <w:shd w:val="clear" w:color="auto" w:fill="FFFFFF" w:themeFill="background1"/>
            <w:vAlign w:val="center"/>
          </w:tcPr>
          <w:p w14:paraId="6A364C76" w14:textId="24A80BA9" w:rsidR="00DA2068" w:rsidRPr="00240A31" w:rsidRDefault="00565816"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n.a</w:t>
            </w:r>
            <w:proofErr w:type="spellEnd"/>
            <w:r>
              <w:rPr>
                <w:rFonts w:eastAsia="Times New Roman" w:cs="Times New Roman"/>
                <w:sz w:val="18"/>
                <w:szCs w:val="18"/>
                <w:lang w:eastAsia="pt-BR"/>
              </w:rPr>
              <w:t>.</w:t>
            </w:r>
            <w:proofErr w:type="gramEnd"/>
          </w:p>
        </w:tc>
        <w:tc>
          <w:tcPr>
            <w:tcW w:w="924" w:type="dxa"/>
            <w:shd w:val="clear" w:color="auto" w:fill="FFFFFF" w:themeFill="background1"/>
            <w:vAlign w:val="center"/>
          </w:tcPr>
          <w:p w14:paraId="40203EEE" w14:textId="4428FB1D" w:rsidR="00DA2068" w:rsidRPr="00240A31" w:rsidRDefault="00565816"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n.d</w:t>
            </w:r>
            <w:proofErr w:type="spellEnd"/>
            <w:r>
              <w:rPr>
                <w:rFonts w:eastAsia="Times New Roman" w:cs="Times New Roman"/>
                <w:sz w:val="18"/>
                <w:szCs w:val="18"/>
                <w:lang w:eastAsia="pt-BR"/>
              </w:rPr>
              <w:t>.</w:t>
            </w:r>
            <w:proofErr w:type="gramEnd"/>
          </w:p>
        </w:tc>
        <w:tc>
          <w:tcPr>
            <w:tcW w:w="918" w:type="dxa"/>
            <w:shd w:val="clear" w:color="auto" w:fill="FFFFFF" w:themeFill="background1"/>
            <w:vAlign w:val="center"/>
          </w:tcPr>
          <w:p w14:paraId="301B182A" w14:textId="738D7CA6" w:rsidR="00DA2068" w:rsidRPr="00240A31" w:rsidRDefault="00565816"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n.d</w:t>
            </w:r>
            <w:proofErr w:type="spellEnd"/>
            <w:r>
              <w:rPr>
                <w:rFonts w:eastAsia="Times New Roman" w:cs="Times New Roman"/>
                <w:sz w:val="18"/>
                <w:szCs w:val="18"/>
                <w:lang w:eastAsia="pt-BR"/>
              </w:rPr>
              <w:t>.</w:t>
            </w:r>
            <w:proofErr w:type="gramEnd"/>
          </w:p>
        </w:tc>
        <w:tc>
          <w:tcPr>
            <w:tcW w:w="1276" w:type="dxa"/>
            <w:shd w:val="clear" w:color="auto" w:fill="FFFFFF" w:themeFill="background1"/>
            <w:vAlign w:val="center"/>
          </w:tcPr>
          <w:p w14:paraId="6A6E7154" w14:textId="21BB4A4A" w:rsidR="00DA2068" w:rsidRPr="00BD3D9D" w:rsidRDefault="00DA2068" w:rsidP="00DA2068">
            <w:pPr>
              <w:spacing w:after="0" w:line="240" w:lineRule="auto"/>
              <w:jc w:val="center"/>
              <w:rPr>
                <w:rFonts w:eastAsia="Times New Roman" w:cs="Times New Roman"/>
                <w:sz w:val="18"/>
                <w:szCs w:val="18"/>
                <w:lang w:eastAsia="pt-BR"/>
              </w:rPr>
            </w:pPr>
            <w:proofErr w:type="spellStart"/>
            <w:proofErr w:type="gramStart"/>
            <w:r w:rsidRPr="00BD3D9D">
              <w:rPr>
                <w:rFonts w:eastAsia="Times New Roman" w:cs="Times New Roman"/>
                <w:sz w:val="18"/>
                <w:szCs w:val="18"/>
                <w:lang w:eastAsia="pt-BR"/>
              </w:rPr>
              <w:t>n.a</w:t>
            </w:r>
            <w:proofErr w:type="spellEnd"/>
            <w:r w:rsidRPr="00BD3D9D">
              <w:rPr>
                <w:rFonts w:eastAsia="Times New Roman" w:cs="Times New Roman"/>
                <w:sz w:val="18"/>
                <w:szCs w:val="18"/>
                <w:lang w:eastAsia="pt-BR"/>
              </w:rPr>
              <w:t>.</w:t>
            </w:r>
            <w:proofErr w:type="gramEnd"/>
          </w:p>
        </w:tc>
      </w:tr>
      <w:tr w:rsidR="00DA2068" w:rsidRPr="00240A31" w14:paraId="6CCB8C82" w14:textId="1E00DDC6" w:rsidTr="00193673">
        <w:trPr>
          <w:trHeight w:hRule="exact" w:val="454"/>
        </w:trPr>
        <w:tc>
          <w:tcPr>
            <w:tcW w:w="426" w:type="dxa"/>
            <w:vMerge/>
            <w:shd w:val="clear" w:color="auto" w:fill="FFFFFF" w:themeFill="background1"/>
            <w:vAlign w:val="center"/>
          </w:tcPr>
          <w:p w14:paraId="7B83B926" w14:textId="77777777" w:rsidR="00DA2068" w:rsidRPr="00775073" w:rsidRDefault="00DA2068" w:rsidP="00DA2068">
            <w:pPr>
              <w:spacing w:after="0" w:line="240" w:lineRule="auto"/>
              <w:rPr>
                <w:rFonts w:eastAsia="Times New Roman" w:cs="Times New Roman"/>
                <w:bCs/>
                <w:sz w:val="18"/>
                <w:szCs w:val="18"/>
                <w:lang w:eastAsia="pt-BR"/>
              </w:rPr>
            </w:pPr>
          </w:p>
        </w:tc>
        <w:tc>
          <w:tcPr>
            <w:tcW w:w="2693" w:type="dxa"/>
            <w:shd w:val="clear" w:color="auto" w:fill="FFFFFF" w:themeFill="background1"/>
            <w:vAlign w:val="center"/>
            <w:hideMark/>
          </w:tcPr>
          <w:p w14:paraId="625D8C9D" w14:textId="47EBC35D" w:rsidR="00DA2068" w:rsidRPr="00775073" w:rsidRDefault="00DA2068" w:rsidP="00DA2068">
            <w:pPr>
              <w:spacing w:after="0" w:line="240" w:lineRule="auto"/>
              <w:rPr>
                <w:rFonts w:eastAsia="Times New Roman" w:cs="Times New Roman"/>
                <w:bCs/>
                <w:sz w:val="18"/>
                <w:szCs w:val="18"/>
                <w:lang w:eastAsia="pt-BR"/>
              </w:rPr>
            </w:pPr>
            <w:r w:rsidRPr="00775073">
              <w:rPr>
                <w:rFonts w:eastAsia="Times New Roman" w:cs="Times New Roman"/>
                <w:bCs/>
                <w:sz w:val="18"/>
                <w:szCs w:val="18"/>
                <w:lang w:eastAsia="pt-BR"/>
              </w:rPr>
              <w:t>Dividendos das Estatais</w:t>
            </w:r>
          </w:p>
        </w:tc>
        <w:tc>
          <w:tcPr>
            <w:tcW w:w="992" w:type="dxa"/>
            <w:shd w:val="clear" w:color="auto" w:fill="FFFFFF" w:themeFill="background1"/>
            <w:vAlign w:val="center"/>
            <w:hideMark/>
          </w:tcPr>
          <w:p w14:paraId="213443DB" w14:textId="77777777" w:rsidR="00DA2068" w:rsidRPr="00240A31" w:rsidRDefault="00DA2068" w:rsidP="00DA2068">
            <w:pPr>
              <w:spacing w:after="0" w:line="240" w:lineRule="auto"/>
              <w:jc w:val="center"/>
              <w:rPr>
                <w:rFonts w:eastAsia="Times New Roman" w:cs="Times New Roman"/>
                <w:sz w:val="18"/>
                <w:szCs w:val="18"/>
                <w:lang w:eastAsia="pt-BR"/>
              </w:rPr>
            </w:pPr>
            <w:r w:rsidRPr="00240A31">
              <w:rPr>
                <w:rFonts w:eastAsia="Times New Roman" w:cs="Times New Roman"/>
                <w:sz w:val="18"/>
                <w:szCs w:val="18"/>
                <w:lang w:eastAsia="pt-BR"/>
              </w:rPr>
              <w:t>↓ receita</w:t>
            </w:r>
          </w:p>
        </w:tc>
        <w:tc>
          <w:tcPr>
            <w:tcW w:w="851" w:type="dxa"/>
            <w:shd w:val="clear" w:color="auto" w:fill="FFFFFF" w:themeFill="background1"/>
            <w:vAlign w:val="center"/>
            <w:hideMark/>
          </w:tcPr>
          <w:p w14:paraId="6D1BE03A" w14:textId="66B07A6F" w:rsidR="00DA2068" w:rsidRPr="00240A31" w:rsidRDefault="00DA2068" w:rsidP="00DA2068">
            <w:pPr>
              <w:spacing w:after="0" w:line="240" w:lineRule="auto"/>
              <w:jc w:val="right"/>
              <w:rPr>
                <w:rFonts w:eastAsia="Times New Roman" w:cs="Times New Roman"/>
                <w:sz w:val="18"/>
                <w:szCs w:val="18"/>
                <w:lang w:eastAsia="pt-BR"/>
              </w:rPr>
            </w:pPr>
            <w:proofErr w:type="spellStart"/>
            <w:proofErr w:type="gramStart"/>
            <w:r w:rsidRPr="00240A31">
              <w:rPr>
                <w:rFonts w:eastAsia="Times New Roman" w:cs="Times New Roman"/>
                <w:sz w:val="18"/>
                <w:szCs w:val="18"/>
                <w:lang w:eastAsia="pt-BR"/>
              </w:rPr>
              <w:t>n.a</w:t>
            </w:r>
            <w:proofErr w:type="spellEnd"/>
            <w:r w:rsidRPr="00240A31">
              <w:rPr>
                <w:rFonts w:eastAsia="Times New Roman" w:cs="Times New Roman"/>
                <w:sz w:val="18"/>
                <w:szCs w:val="18"/>
                <w:lang w:eastAsia="pt-BR"/>
              </w:rPr>
              <w:t>.</w:t>
            </w:r>
            <w:proofErr w:type="gramEnd"/>
          </w:p>
        </w:tc>
        <w:tc>
          <w:tcPr>
            <w:tcW w:w="850" w:type="dxa"/>
            <w:shd w:val="clear" w:color="auto" w:fill="FFFFFF" w:themeFill="background1"/>
            <w:vAlign w:val="center"/>
          </w:tcPr>
          <w:p w14:paraId="61760FB3" w14:textId="4273BAC7" w:rsidR="00DA2068" w:rsidRPr="00240A31" w:rsidRDefault="0051578E"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n.a</w:t>
            </w:r>
            <w:proofErr w:type="spellEnd"/>
            <w:r>
              <w:rPr>
                <w:rFonts w:eastAsia="Times New Roman" w:cs="Times New Roman"/>
                <w:sz w:val="18"/>
                <w:szCs w:val="18"/>
                <w:lang w:eastAsia="pt-BR"/>
              </w:rPr>
              <w:t>.</w:t>
            </w:r>
            <w:proofErr w:type="gramEnd"/>
          </w:p>
        </w:tc>
        <w:tc>
          <w:tcPr>
            <w:tcW w:w="851" w:type="dxa"/>
            <w:shd w:val="clear" w:color="auto" w:fill="FFFFFF" w:themeFill="background1"/>
            <w:vAlign w:val="center"/>
          </w:tcPr>
          <w:p w14:paraId="09451EF9" w14:textId="00ADCDEB" w:rsidR="00DA2068" w:rsidRPr="00240A31" w:rsidRDefault="0051578E" w:rsidP="00DA2068">
            <w:pPr>
              <w:spacing w:after="0" w:line="240" w:lineRule="auto"/>
              <w:jc w:val="right"/>
              <w:rPr>
                <w:rFonts w:eastAsia="Times New Roman" w:cs="Times New Roman"/>
                <w:sz w:val="18"/>
                <w:szCs w:val="18"/>
                <w:lang w:eastAsia="pt-BR"/>
              </w:rPr>
            </w:pPr>
            <w:proofErr w:type="spellStart"/>
            <w:proofErr w:type="gramStart"/>
            <w:r>
              <w:rPr>
                <w:rFonts w:eastAsia="Times New Roman" w:cs="Times New Roman"/>
                <w:sz w:val="18"/>
                <w:szCs w:val="18"/>
                <w:lang w:eastAsia="pt-BR"/>
              </w:rPr>
              <w:t>n.a</w:t>
            </w:r>
            <w:proofErr w:type="spellEnd"/>
            <w:r>
              <w:rPr>
                <w:rFonts w:eastAsia="Times New Roman" w:cs="Times New Roman"/>
                <w:sz w:val="18"/>
                <w:szCs w:val="18"/>
                <w:lang w:eastAsia="pt-BR"/>
              </w:rPr>
              <w:t>.</w:t>
            </w:r>
            <w:proofErr w:type="gramEnd"/>
          </w:p>
        </w:tc>
        <w:tc>
          <w:tcPr>
            <w:tcW w:w="924" w:type="dxa"/>
            <w:tcBorders>
              <w:bottom w:val="single" w:sz="4" w:space="0" w:color="BFBFBF" w:themeColor="background1" w:themeShade="BF"/>
            </w:tcBorders>
            <w:shd w:val="clear" w:color="auto" w:fill="FFFFFF" w:themeFill="background1"/>
            <w:vAlign w:val="center"/>
          </w:tcPr>
          <w:p w14:paraId="3BC1DADF" w14:textId="0181DBF5" w:rsidR="00DA2068" w:rsidRPr="00240A31" w:rsidRDefault="0051578E"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15,9</w:t>
            </w:r>
          </w:p>
        </w:tc>
        <w:tc>
          <w:tcPr>
            <w:tcW w:w="918" w:type="dxa"/>
            <w:tcBorders>
              <w:bottom w:val="single" w:sz="4" w:space="0" w:color="BFBFBF" w:themeColor="background1" w:themeShade="BF"/>
            </w:tcBorders>
            <w:shd w:val="clear" w:color="auto" w:fill="FFFFFF" w:themeFill="background1"/>
            <w:vAlign w:val="center"/>
          </w:tcPr>
          <w:p w14:paraId="16F6817E" w14:textId="42FCADE8" w:rsidR="00DA2068" w:rsidRPr="00915A01" w:rsidRDefault="0051578E" w:rsidP="00DA2068">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13,1</w:t>
            </w:r>
          </w:p>
        </w:tc>
        <w:tc>
          <w:tcPr>
            <w:tcW w:w="1276" w:type="dxa"/>
            <w:tcBorders>
              <w:bottom w:val="single" w:sz="4" w:space="0" w:color="BFBFBF" w:themeColor="background1" w:themeShade="BF"/>
            </w:tcBorders>
            <w:shd w:val="clear" w:color="auto" w:fill="FFFFFF" w:themeFill="background1"/>
            <w:vAlign w:val="center"/>
          </w:tcPr>
          <w:p w14:paraId="2248C674" w14:textId="2B73CBB2" w:rsidR="00DA2068" w:rsidRPr="00BD3D9D" w:rsidRDefault="0051578E" w:rsidP="00DA2068">
            <w:pPr>
              <w:spacing w:after="0" w:line="240" w:lineRule="auto"/>
              <w:jc w:val="center"/>
              <w:rPr>
                <w:rFonts w:eastAsia="Times New Roman" w:cs="Times New Roman"/>
                <w:sz w:val="18"/>
                <w:szCs w:val="18"/>
                <w:lang w:eastAsia="pt-BR"/>
              </w:rPr>
            </w:pPr>
            <w:r w:rsidRPr="0051578E">
              <w:rPr>
                <w:rFonts w:eastAsia="Times New Roman" w:cs="Times New Roman"/>
                <w:sz w:val="18"/>
                <w:szCs w:val="18"/>
                <w:lang w:eastAsia="pt-BR"/>
              </w:rPr>
              <w:fldChar w:fldCharType="begin"/>
            </w:r>
            <w:r w:rsidRPr="0051578E">
              <w:rPr>
                <w:rFonts w:eastAsia="Times New Roman" w:cs="Times New Roman"/>
                <w:sz w:val="18"/>
                <w:szCs w:val="18"/>
                <w:lang w:eastAsia="pt-BR"/>
              </w:rPr>
              <w:instrText xml:space="preserve"> REF _Ref68016203 \h  \* MERGEFORMAT </w:instrText>
            </w:r>
            <w:r w:rsidRPr="0051578E">
              <w:rPr>
                <w:rFonts w:eastAsia="Times New Roman" w:cs="Times New Roman"/>
                <w:sz w:val="18"/>
                <w:szCs w:val="18"/>
                <w:lang w:eastAsia="pt-BR"/>
              </w:rPr>
            </w:r>
            <w:r w:rsidRPr="0051578E">
              <w:rPr>
                <w:rFonts w:eastAsia="Times New Roman" w:cs="Times New Roman"/>
                <w:sz w:val="18"/>
                <w:szCs w:val="18"/>
                <w:lang w:eastAsia="pt-BR"/>
              </w:rPr>
              <w:fldChar w:fldCharType="separate"/>
            </w:r>
            <w:r w:rsidR="00304F5F" w:rsidRPr="00304F5F">
              <w:rPr>
                <w:rFonts w:eastAsia="Calibri" w:cstheme="minorHAnsi"/>
                <w:sz w:val="18"/>
                <w:szCs w:val="18"/>
              </w:rPr>
              <w:t xml:space="preserve">Tabela </w:t>
            </w:r>
            <w:r w:rsidR="00304F5F" w:rsidRPr="00304F5F">
              <w:rPr>
                <w:rFonts w:cstheme="minorHAnsi"/>
                <w:noProof/>
                <w:sz w:val="18"/>
                <w:szCs w:val="18"/>
              </w:rPr>
              <w:t>60</w:t>
            </w:r>
            <w:r w:rsidRPr="0051578E">
              <w:rPr>
                <w:rFonts w:eastAsia="Times New Roman" w:cs="Times New Roman"/>
                <w:sz w:val="18"/>
                <w:szCs w:val="18"/>
                <w:lang w:eastAsia="pt-BR"/>
              </w:rPr>
              <w:fldChar w:fldCharType="end"/>
            </w:r>
          </w:p>
        </w:tc>
      </w:tr>
      <w:tr w:rsidR="00DA2068" w:rsidRPr="00EE7DCC" w14:paraId="63E1862B" w14:textId="1D6B66F1" w:rsidTr="00D728BC">
        <w:trPr>
          <w:trHeight w:hRule="exact" w:val="454"/>
        </w:trPr>
        <w:tc>
          <w:tcPr>
            <w:tcW w:w="426" w:type="dxa"/>
            <w:vMerge/>
            <w:shd w:val="clear" w:color="auto" w:fill="FFFFFF" w:themeFill="background1"/>
            <w:vAlign w:val="center"/>
          </w:tcPr>
          <w:p w14:paraId="2939C2B9" w14:textId="663A14EC" w:rsidR="00DA2068" w:rsidRPr="006F2C76" w:rsidRDefault="00DA2068" w:rsidP="00DA2068">
            <w:pPr>
              <w:spacing w:after="0" w:line="240" w:lineRule="auto"/>
              <w:rPr>
                <w:rFonts w:eastAsia="Times New Roman" w:cs="Times New Roman"/>
                <w:bCs/>
                <w:sz w:val="18"/>
                <w:szCs w:val="18"/>
                <w:lang w:eastAsia="pt-BR"/>
              </w:rPr>
            </w:pPr>
          </w:p>
        </w:tc>
        <w:tc>
          <w:tcPr>
            <w:tcW w:w="2693" w:type="dxa"/>
            <w:shd w:val="clear" w:color="auto" w:fill="FFFFFF" w:themeFill="background1"/>
            <w:vAlign w:val="center"/>
          </w:tcPr>
          <w:p w14:paraId="27EFF06D" w14:textId="4F5D75FD" w:rsidR="00DA2068" w:rsidRPr="007D2D55" w:rsidRDefault="00DA2068" w:rsidP="00DA2068">
            <w:pPr>
              <w:spacing w:after="0" w:line="240" w:lineRule="auto"/>
              <w:rPr>
                <w:rFonts w:eastAsia="Times New Roman" w:cs="Times New Roman"/>
                <w:bCs/>
                <w:sz w:val="18"/>
                <w:szCs w:val="18"/>
                <w:lang w:eastAsia="pt-BR"/>
              </w:rPr>
            </w:pPr>
            <w:r w:rsidRPr="007D2D55">
              <w:rPr>
                <w:rFonts w:eastAsia="Times New Roman" w:cs="Times New Roman"/>
                <w:bCs/>
                <w:sz w:val="18"/>
                <w:szCs w:val="18"/>
                <w:lang w:eastAsia="pt-BR"/>
              </w:rPr>
              <w:t>Fundos Garantidores</w:t>
            </w:r>
          </w:p>
        </w:tc>
        <w:tc>
          <w:tcPr>
            <w:tcW w:w="992" w:type="dxa"/>
            <w:shd w:val="clear" w:color="auto" w:fill="FFFFFF" w:themeFill="background1"/>
            <w:vAlign w:val="center"/>
          </w:tcPr>
          <w:p w14:paraId="57DA5AA6" w14:textId="656E4C1A" w:rsidR="00DA2068" w:rsidRPr="007D2D55" w:rsidRDefault="00DA2068" w:rsidP="00DA2068">
            <w:pPr>
              <w:spacing w:after="0" w:line="240" w:lineRule="auto"/>
              <w:jc w:val="center"/>
              <w:rPr>
                <w:rFonts w:eastAsia="Times New Roman" w:cs="Times New Roman"/>
                <w:bCs/>
                <w:sz w:val="18"/>
                <w:szCs w:val="18"/>
                <w:lang w:eastAsia="pt-BR"/>
              </w:rPr>
            </w:pPr>
            <w:proofErr w:type="gramStart"/>
            <w:r w:rsidRPr="007D2D55">
              <w:rPr>
                <w:rFonts w:eastAsia="Times New Roman" w:cs="Times New Roman"/>
                <w:bCs/>
                <w:sz w:val="18"/>
                <w:szCs w:val="18"/>
                <w:lang w:eastAsia="pt-BR"/>
              </w:rPr>
              <w:t>n.a.</w:t>
            </w:r>
            <w:proofErr w:type="gramEnd"/>
            <w:r w:rsidR="00253C22">
              <w:rPr>
                <w:rFonts w:eastAsia="Times New Roman" w:cs="Times New Roman"/>
                <w:bCs/>
                <w:sz w:val="18"/>
                <w:szCs w:val="18"/>
                <w:vertAlign w:val="superscript"/>
                <w:lang w:eastAsia="pt-BR"/>
              </w:rPr>
              <w:t>4</w:t>
            </w:r>
          </w:p>
        </w:tc>
        <w:tc>
          <w:tcPr>
            <w:tcW w:w="851" w:type="dxa"/>
            <w:shd w:val="clear" w:color="auto" w:fill="FFFFFF" w:themeFill="background1"/>
            <w:vAlign w:val="center"/>
          </w:tcPr>
          <w:p w14:paraId="6ED48338" w14:textId="492E6C43" w:rsidR="00DA2068" w:rsidRPr="007D2D55" w:rsidRDefault="00DA2068" w:rsidP="00DA2068">
            <w:pPr>
              <w:spacing w:after="0" w:line="240" w:lineRule="auto"/>
              <w:jc w:val="right"/>
              <w:rPr>
                <w:rFonts w:eastAsia="Times New Roman" w:cs="Times New Roman"/>
                <w:bCs/>
                <w:sz w:val="18"/>
                <w:szCs w:val="18"/>
                <w:lang w:eastAsia="pt-BR"/>
              </w:rPr>
            </w:pPr>
            <w:r>
              <w:rPr>
                <w:rFonts w:eastAsia="Times New Roman" w:cs="Times New Roman"/>
                <w:bCs/>
                <w:sz w:val="18"/>
                <w:szCs w:val="18"/>
                <w:lang w:eastAsia="pt-BR"/>
              </w:rPr>
              <w:t>11,2</w:t>
            </w:r>
          </w:p>
        </w:tc>
        <w:tc>
          <w:tcPr>
            <w:tcW w:w="850" w:type="dxa"/>
            <w:shd w:val="clear" w:color="auto" w:fill="FFFFFF" w:themeFill="background1"/>
            <w:vAlign w:val="center"/>
          </w:tcPr>
          <w:p w14:paraId="69BAF147" w14:textId="0BEEAB07" w:rsidR="00DA2068" w:rsidRPr="007D2D55" w:rsidRDefault="009E7230" w:rsidP="00DA2068">
            <w:pPr>
              <w:spacing w:after="0" w:line="240" w:lineRule="auto"/>
              <w:jc w:val="right"/>
              <w:rPr>
                <w:rFonts w:eastAsia="Times New Roman" w:cs="Times New Roman"/>
                <w:bCs/>
                <w:sz w:val="18"/>
                <w:szCs w:val="18"/>
                <w:lang w:eastAsia="pt-BR"/>
              </w:rPr>
            </w:pPr>
            <w:r>
              <w:rPr>
                <w:rFonts w:eastAsia="Times New Roman" w:cs="Times New Roman"/>
                <w:bCs/>
                <w:sz w:val="18"/>
                <w:szCs w:val="18"/>
                <w:lang w:eastAsia="pt-BR"/>
              </w:rPr>
              <w:t>69,2</w:t>
            </w:r>
          </w:p>
        </w:tc>
        <w:tc>
          <w:tcPr>
            <w:tcW w:w="851" w:type="dxa"/>
            <w:shd w:val="clear" w:color="auto" w:fill="FFFFFF" w:themeFill="background1"/>
            <w:vAlign w:val="center"/>
          </w:tcPr>
          <w:p w14:paraId="43C72D66" w14:textId="694FFB9D" w:rsidR="00DA2068" w:rsidRPr="007D2D55" w:rsidRDefault="00A7288A" w:rsidP="00DA2068">
            <w:pPr>
              <w:spacing w:after="0" w:line="240" w:lineRule="auto"/>
              <w:jc w:val="right"/>
              <w:rPr>
                <w:rFonts w:eastAsia="Times New Roman" w:cs="Times New Roman"/>
                <w:bCs/>
                <w:sz w:val="18"/>
                <w:szCs w:val="18"/>
                <w:lang w:eastAsia="pt-BR"/>
              </w:rPr>
            </w:pPr>
            <w:r>
              <w:rPr>
                <w:rFonts w:eastAsia="Times New Roman" w:cs="Times New Roman"/>
                <w:bCs/>
                <w:sz w:val="18"/>
                <w:szCs w:val="18"/>
                <w:lang w:eastAsia="pt-BR"/>
              </w:rPr>
              <w:t>2,0%</w:t>
            </w:r>
          </w:p>
        </w:tc>
        <w:tc>
          <w:tcPr>
            <w:tcW w:w="924" w:type="dxa"/>
            <w:tcBorders>
              <w:bottom w:val="single" w:sz="4" w:space="0" w:color="BFBFBF" w:themeColor="background1" w:themeShade="BF"/>
            </w:tcBorders>
            <w:shd w:val="clear" w:color="auto" w:fill="FFFFFF" w:themeFill="background1"/>
            <w:vAlign w:val="center"/>
          </w:tcPr>
          <w:p w14:paraId="43A4F666" w14:textId="230BD4C9" w:rsidR="00DA2068" w:rsidRPr="006F2C76" w:rsidRDefault="00DA2068" w:rsidP="00DA2068">
            <w:pPr>
              <w:spacing w:after="0" w:line="240" w:lineRule="auto"/>
              <w:jc w:val="right"/>
              <w:rPr>
                <w:rFonts w:eastAsia="Times New Roman" w:cs="Times New Roman"/>
                <w:bCs/>
                <w:sz w:val="18"/>
                <w:szCs w:val="18"/>
                <w:lang w:eastAsia="pt-BR"/>
              </w:rPr>
            </w:pPr>
          </w:p>
        </w:tc>
        <w:tc>
          <w:tcPr>
            <w:tcW w:w="918" w:type="dxa"/>
            <w:tcBorders>
              <w:bottom w:val="single" w:sz="4" w:space="0" w:color="BFBFBF" w:themeColor="background1" w:themeShade="BF"/>
            </w:tcBorders>
            <w:shd w:val="clear" w:color="auto" w:fill="FFFFFF" w:themeFill="background1"/>
            <w:vAlign w:val="center"/>
          </w:tcPr>
          <w:p w14:paraId="78736D55" w14:textId="49176F0B" w:rsidR="00DA2068" w:rsidRPr="006F2C76" w:rsidRDefault="00DA2068" w:rsidP="00DA2068">
            <w:pPr>
              <w:spacing w:after="0" w:line="240" w:lineRule="auto"/>
              <w:jc w:val="right"/>
              <w:rPr>
                <w:rFonts w:eastAsia="Times New Roman" w:cs="Times New Roman"/>
                <w:bCs/>
                <w:sz w:val="18"/>
                <w:szCs w:val="18"/>
                <w:lang w:eastAsia="pt-BR"/>
              </w:rPr>
            </w:pPr>
          </w:p>
        </w:tc>
        <w:tc>
          <w:tcPr>
            <w:tcW w:w="1276" w:type="dxa"/>
            <w:tcBorders>
              <w:bottom w:val="single" w:sz="4" w:space="0" w:color="BFBFBF" w:themeColor="background1" w:themeShade="BF"/>
            </w:tcBorders>
            <w:shd w:val="clear" w:color="auto" w:fill="FFFFFF" w:themeFill="background1"/>
            <w:vAlign w:val="center"/>
          </w:tcPr>
          <w:p w14:paraId="3C58FE92" w14:textId="345DA63C" w:rsidR="00DA2068" w:rsidRPr="00BD3D9D" w:rsidRDefault="00DA2068" w:rsidP="00DA2068">
            <w:pPr>
              <w:spacing w:after="0" w:line="240" w:lineRule="auto"/>
              <w:jc w:val="center"/>
              <w:rPr>
                <w:rFonts w:eastAsia="Times New Roman" w:cs="Times New Roman"/>
                <w:bCs/>
                <w:sz w:val="18"/>
                <w:szCs w:val="18"/>
                <w:lang w:eastAsia="pt-BR"/>
              </w:rPr>
            </w:pPr>
            <w:r w:rsidRPr="00BD3D9D">
              <w:rPr>
                <w:rFonts w:eastAsia="Times New Roman" w:cs="Times New Roman"/>
                <w:bCs/>
                <w:sz w:val="18"/>
                <w:szCs w:val="18"/>
                <w:lang w:eastAsia="pt-BR"/>
              </w:rPr>
              <w:fldChar w:fldCharType="begin"/>
            </w:r>
            <w:r w:rsidRPr="00BD3D9D">
              <w:rPr>
                <w:rFonts w:eastAsia="Times New Roman" w:cs="Times New Roman"/>
                <w:bCs/>
                <w:sz w:val="18"/>
                <w:szCs w:val="18"/>
                <w:lang w:eastAsia="pt-BR"/>
              </w:rPr>
              <w:instrText xml:space="preserve"> REF _Ref36820187 \h  \* MERGEFORMAT </w:instrText>
            </w:r>
            <w:r w:rsidRPr="00BD3D9D">
              <w:rPr>
                <w:rFonts w:eastAsia="Times New Roman" w:cs="Times New Roman"/>
                <w:bCs/>
                <w:sz w:val="18"/>
                <w:szCs w:val="18"/>
                <w:lang w:eastAsia="pt-BR"/>
              </w:rPr>
            </w:r>
            <w:r w:rsidRPr="00BD3D9D">
              <w:rPr>
                <w:rFonts w:eastAsia="Times New Roman" w:cs="Times New Roman"/>
                <w:bCs/>
                <w:sz w:val="18"/>
                <w:szCs w:val="18"/>
                <w:lang w:eastAsia="pt-BR"/>
              </w:rPr>
              <w:fldChar w:fldCharType="separate"/>
            </w:r>
            <w:r w:rsidR="00304F5F" w:rsidRPr="00304F5F">
              <w:rPr>
                <w:sz w:val="18"/>
                <w:szCs w:val="18"/>
              </w:rPr>
              <w:t xml:space="preserve">Tabela </w:t>
            </w:r>
            <w:r w:rsidR="00304F5F" w:rsidRPr="00304F5F">
              <w:rPr>
                <w:noProof/>
                <w:sz w:val="18"/>
                <w:szCs w:val="18"/>
              </w:rPr>
              <w:t>35</w:t>
            </w:r>
            <w:r w:rsidRPr="00BD3D9D">
              <w:rPr>
                <w:rFonts w:eastAsia="Times New Roman" w:cs="Times New Roman"/>
                <w:bCs/>
                <w:sz w:val="18"/>
                <w:szCs w:val="18"/>
                <w:lang w:eastAsia="pt-BR"/>
              </w:rPr>
              <w:fldChar w:fldCharType="end"/>
            </w:r>
          </w:p>
        </w:tc>
      </w:tr>
      <w:tr w:rsidR="00D93C1D" w:rsidRPr="00D93C1D" w14:paraId="32AA68E7" w14:textId="056BF41B" w:rsidTr="00D728BC">
        <w:trPr>
          <w:trHeight w:val="255"/>
        </w:trPr>
        <w:tc>
          <w:tcPr>
            <w:tcW w:w="4111" w:type="dxa"/>
            <w:gridSpan w:val="3"/>
            <w:shd w:val="clear" w:color="auto" w:fill="7F7F7F" w:themeFill="text1" w:themeFillTint="80"/>
            <w:vAlign w:val="center"/>
          </w:tcPr>
          <w:p w14:paraId="120C146B" w14:textId="4BDD10D4" w:rsidR="009C2913" w:rsidRPr="00D93C1D" w:rsidRDefault="009C2913" w:rsidP="002A3263">
            <w:pPr>
              <w:spacing w:after="0" w:line="240" w:lineRule="auto"/>
              <w:rPr>
                <w:rFonts w:eastAsia="Times New Roman" w:cs="Times New Roman"/>
                <w:b/>
                <w:color w:val="FFFFFF" w:themeColor="background1"/>
                <w:sz w:val="18"/>
                <w:szCs w:val="18"/>
                <w:lang w:eastAsia="pt-BR"/>
              </w:rPr>
            </w:pPr>
            <w:r w:rsidRPr="00D93C1D">
              <w:rPr>
                <w:rFonts w:eastAsia="Times New Roman" w:cs="Times New Roman"/>
                <w:b/>
                <w:color w:val="FFFFFF" w:themeColor="background1"/>
                <w:sz w:val="18"/>
                <w:szCs w:val="18"/>
                <w:lang w:eastAsia="pt-BR"/>
              </w:rPr>
              <w:t>Subtotal Primário</w:t>
            </w:r>
          </w:p>
        </w:tc>
        <w:tc>
          <w:tcPr>
            <w:tcW w:w="851" w:type="dxa"/>
            <w:shd w:val="clear" w:color="auto" w:fill="7F7F7F" w:themeFill="text1" w:themeFillTint="80"/>
            <w:vAlign w:val="center"/>
          </w:tcPr>
          <w:p w14:paraId="7478033B" w14:textId="55660815" w:rsidR="009C2913" w:rsidRPr="00D93C1D" w:rsidRDefault="00DA2068" w:rsidP="00CF1255">
            <w:pPr>
              <w:spacing w:after="0" w:line="240" w:lineRule="auto"/>
              <w:jc w:val="right"/>
              <w:rPr>
                <w:rFonts w:eastAsia="Times New Roman" w:cs="Times New Roman"/>
                <w:b/>
                <w:color w:val="FFFFFF" w:themeColor="background1"/>
                <w:sz w:val="18"/>
                <w:szCs w:val="18"/>
                <w:lang w:eastAsia="pt-BR"/>
              </w:rPr>
            </w:pPr>
            <w:r w:rsidRPr="00D93C1D">
              <w:rPr>
                <w:rFonts w:eastAsia="Times New Roman" w:cs="Times New Roman"/>
                <w:b/>
                <w:color w:val="FFFFFF" w:themeColor="background1"/>
                <w:sz w:val="18"/>
                <w:szCs w:val="18"/>
                <w:lang w:eastAsia="pt-BR"/>
              </w:rPr>
              <w:t>2.157,4</w:t>
            </w:r>
          </w:p>
        </w:tc>
        <w:tc>
          <w:tcPr>
            <w:tcW w:w="850" w:type="dxa"/>
            <w:shd w:val="clear" w:color="auto" w:fill="7F7F7F" w:themeFill="text1" w:themeFillTint="80"/>
            <w:vAlign w:val="center"/>
          </w:tcPr>
          <w:p w14:paraId="3B20D307" w14:textId="2C181B8F" w:rsidR="009C2913" w:rsidRPr="00D93C1D" w:rsidRDefault="00AE5840" w:rsidP="002A3263">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2.038,0</w:t>
            </w:r>
          </w:p>
        </w:tc>
        <w:tc>
          <w:tcPr>
            <w:tcW w:w="851" w:type="dxa"/>
            <w:tcBorders>
              <w:right w:val="single" w:sz="4" w:space="0" w:color="BFBFBF" w:themeColor="background1" w:themeShade="BF"/>
            </w:tcBorders>
            <w:shd w:val="clear" w:color="auto" w:fill="7F7F7F" w:themeFill="text1" w:themeFillTint="80"/>
            <w:vAlign w:val="center"/>
          </w:tcPr>
          <w:p w14:paraId="754C74A7" w14:textId="02D86AEF" w:rsidR="009C2913" w:rsidRPr="00D93C1D" w:rsidRDefault="00A7288A" w:rsidP="002A3263">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59,9%</w:t>
            </w:r>
          </w:p>
        </w:tc>
        <w:tc>
          <w:tcPr>
            <w:tcW w:w="1842" w:type="dxa"/>
            <w:gridSpan w:val="2"/>
            <w:tcBorders>
              <w:top w:val="single" w:sz="4" w:space="0" w:color="BFBFBF" w:themeColor="background1" w:themeShade="BF"/>
              <w:left w:val="single" w:sz="4" w:space="0" w:color="BFBFBF" w:themeColor="background1" w:themeShade="BF"/>
              <w:bottom w:val="nil"/>
              <w:right w:val="nil"/>
            </w:tcBorders>
            <w:shd w:val="clear" w:color="auto" w:fill="7F7F7F" w:themeFill="text1" w:themeFillTint="80"/>
            <w:vAlign w:val="center"/>
          </w:tcPr>
          <w:p w14:paraId="112424F4" w14:textId="77777777" w:rsidR="009C2913" w:rsidRPr="00D93C1D" w:rsidRDefault="009C2913" w:rsidP="002A3263">
            <w:pPr>
              <w:spacing w:after="0" w:line="240" w:lineRule="auto"/>
              <w:jc w:val="right"/>
              <w:rPr>
                <w:rFonts w:eastAsia="Times New Roman" w:cs="Times New Roman"/>
                <w:b/>
                <w:color w:val="FFFFFF" w:themeColor="background1"/>
                <w:sz w:val="18"/>
                <w:szCs w:val="18"/>
                <w:lang w:eastAsia="pt-BR"/>
              </w:rPr>
            </w:pPr>
          </w:p>
        </w:tc>
        <w:tc>
          <w:tcPr>
            <w:tcW w:w="1276" w:type="dxa"/>
            <w:tcBorders>
              <w:top w:val="single" w:sz="4" w:space="0" w:color="BFBFBF" w:themeColor="background1" w:themeShade="BF"/>
              <w:left w:val="nil"/>
              <w:bottom w:val="nil"/>
              <w:right w:val="single" w:sz="4" w:space="0" w:color="BFBFBF" w:themeColor="background1" w:themeShade="BF"/>
            </w:tcBorders>
            <w:shd w:val="clear" w:color="auto" w:fill="7F7F7F" w:themeFill="text1" w:themeFillTint="80"/>
          </w:tcPr>
          <w:p w14:paraId="198062C3" w14:textId="77777777" w:rsidR="009C2913" w:rsidRPr="00D93C1D" w:rsidRDefault="009C2913" w:rsidP="002A3263">
            <w:pPr>
              <w:spacing w:after="0" w:line="240" w:lineRule="auto"/>
              <w:jc w:val="right"/>
              <w:rPr>
                <w:rFonts w:eastAsia="Times New Roman" w:cs="Times New Roman"/>
                <w:b/>
                <w:color w:val="FFFFFF" w:themeColor="background1"/>
                <w:sz w:val="18"/>
                <w:szCs w:val="18"/>
                <w:lang w:eastAsia="pt-BR"/>
              </w:rPr>
            </w:pPr>
          </w:p>
        </w:tc>
      </w:tr>
      <w:tr w:rsidR="00DA2068" w:rsidRPr="00EE7DCC" w14:paraId="50C9D199" w14:textId="4D5502C2" w:rsidTr="00D728BC">
        <w:trPr>
          <w:trHeight w:val="255"/>
        </w:trPr>
        <w:tc>
          <w:tcPr>
            <w:tcW w:w="3119" w:type="dxa"/>
            <w:gridSpan w:val="2"/>
            <w:vMerge w:val="restart"/>
            <w:shd w:val="clear" w:color="auto" w:fill="7F7F7F" w:themeFill="text1" w:themeFillTint="80"/>
            <w:vAlign w:val="center"/>
          </w:tcPr>
          <w:p w14:paraId="49BA7362" w14:textId="3290C62C" w:rsidR="00DA2068" w:rsidRPr="00774964" w:rsidRDefault="00DA2068" w:rsidP="00DA2068">
            <w:pPr>
              <w:spacing w:after="0" w:line="240" w:lineRule="auto"/>
              <w:rPr>
                <w:rFonts w:eastAsia="Times New Roman" w:cs="Times New Roman"/>
                <w:b/>
                <w:color w:val="FFFFFF" w:themeColor="background1"/>
                <w:sz w:val="18"/>
                <w:szCs w:val="18"/>
                <w:lang w:eastAsia="pt-BR"/>
              </w:rPr>
            </w:pPr>
            <w:r w:rsidRPr="00774964">
              <w:rPr>
                <w:rFonts w:eastAsia="Times New Roman" w:cs="Times New Roman"/>
                <w:b/>
                <w:color w:val="FFFFFF" w:themeColor="background1"/>
                <w:sz w:val="18"/>
                <w:szCs w:val="18"/>
                <w:lang w:eastAsia="pt-BR"/>
              </w:rPr>
              <w:t>Subtotal por Tipo de Impacto</w:t>
            </w:r>
          </w:p>
        </w:tc>
        <w:tc>
          <w:tcPr>
            <w:tcW w:w="992" w:type="dxa"/>
            <w:shd w:val="clear" w:color="auto" w:fill="7F7F7F" w:themeFill="text1" w:themeFillTint="80"/>
            <w:vAlign w:val="center"/>
          </w:tcPr>
          <w:p w14:paraId="61301730" w14:textId="77777777" w:rsidR="00DA2068" w:rsidRPr="00774964" w:rsidRDefault="00DA2068" w:rsidP="00DA2068">
            <w:pPr>
              <w:spacing w:after="0" w:line="240" w:lineRule="auto"/>
              <w:jc w:val="center"/>
              <w:rPr>
                <w:rFonts w:eastAsia="Times New Roman" w:cs="Times New Roman"/>
                <w:b/>
                <w:color w:val="FFFFFF" w:themeColor="background1"/>
                <w:sz w:val="18"/>
                <w:szCs w:val="18"/>
                <w:lang w:eastAsia="pt-BR"/>
              </w:rPr>
            </w:pPr>
            <w:r w:rsidRPr="00774964">
              <w:rPr>
                <w:rFonts w:eastAsia="Times New Roman" w:cs="Times New Roman"/>
                <w:b/>
                <w:color w:val="FFFFFF" w:themeColor="background1"/>
                <w:sz w:val="18"/>
                <w:szCs w:val="18"/>
                <w:lang w:eastAsia="pt-BR"/>
              </w:rPr>
              <w:t>↑ despesa</w:t>
            </w:r>
          </w:p>
        </w:tc>
        <w:tc>
          <w:tcPr>
            <w:tcW w:w="851" w:type="dxa"/>
            <w:shd w:val="clear" w:color="auto" w:fill="7F7F7F" w:themeFill="text1" w:themeFillTint="80"/>
            <w:vAlign w:val="center"/>
          </w:tcPr>
          <w:p w14:paraId="0CF67411" w14:textId="5AA67897" w:rsidR="00DA2068" w:rsidRPr="00774964" w:rsidRDefault="00DA2068" w:rsidP="00DA2068">
            <w:pPr>
              <w:spacing w:after="0" w:line="240" w:lineRule="auto"/>
              <w:jc w:val="right"/>
              <w:rPr>
                <w:rFonts w:eastAsia="Times New Roman" w:cs="Times New Roman"/>
                <w:b/>
                <w:color w:val="FFFFFF" w:themeColor="background1"/>
                <w:sz w:val="18"/>
                <w:szCs w:val="18"/>
                <w:lang w:eastAsia="pt-BR"/>
              </w:rPr>
            </w:pPr>
            <w:r w:rsidRPr="00774964">
              <w:rPr>
                <w:rFonts w:eastAsia="Times New Roman" w:cs="Times New Roman"/>
                <w:b/>
                <w:color w:val="FFFFFF" w:themeColor="background1"/>
                <w:sz w:val="18"/>
                <w:szCs w:val="18"/>
                <w:lang w:eastAsia="pt-BR"/>
              </w:rPr>
              <w:t>2.010,9</w:t>
            </w:r>
          </w:p>
        </w:tc>
        <w:tc>
          <w:tcPr>
            <w:tcW w:w="850" w:type="dxa"/>
            <w:shd w:val="clear" w:color="auto" w:fill="7F7F7F" w:themeFill="text1" w:themeFillTint="80"/>
            <w:vAlign w:val="center"/>
          </w:tcPr>
          <w:p w14:paraId="65CF6BAB" w14:textId="6A8ACE82" w:rsidR="00DA2068" w:rsidRPr="00774964" w:rsidRDefault="00AE5840" w:rsidP="00DA2068">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1.818,0</w:t>
            </w:r>
          </w:p>
        </w:tc>
        <w:tc>
          <w:tcPr>
            <w:tcW w:w="851" w:type="dxa"/>
            <w:tcBorders>
              <w:right w:val="single" w:sz="4" w:space="0" w:color="BFBFBF" w:themeColor="background1" w:themeShade="BF"/>
            </w:tcBorders>
            <w:shd w:val="clear" w:color="auto" w:fill="7F7F7F" w:themeFill="text1" w:themeFillTint="80"/>
            <w:vAlign w:val="center"/>
          </w:tcPr>
          <w:p w14:paraId="61626180" w14:textId="7C084174" w:rsidR="00DA2068" w:rsidRPr="00F44684" w:rsidRDefault="00A7288A" w:rsidP="00DA2068">
            <w:pPr>
              <w:spacing w:after="0" w:line="240" w:lineRule="auto"/>
              <w:jc w:val="right"/>
              <w:rPr>
                <w:rFonts w:eastAsia="Times New Roman" w:cs="Times New Roman"/>
                <w:b/>
                <w:color w:val="FFFFFF" w:themeColor="background1"/>
                <w:sz w:val="18"/>
                <w:szCs w:val="18"/>
                <w:lang w:eastAsia="pt-BR"/>
              </w:rPr>
            </w:pPr>
            <w:r w:rsidRPr="00F44684">
              <w:rPr>
                <w:rFonts w:eastAsia="Times New Roman" w:cs="Times New Roman"/>
                <w:b/>
                <w:color w:val="FFFFFF" w:themeColor="background1"/>
                <w:sz w:val="18"/>
                <w:szCs w:val="18"/>
                <w:lang w:eastAsia="pt-BR"/>
              </w:rPr>
              <w:t>53,5%</w:t>
            </w:r>
          </w:p>
        </w:tc>
        <w:tc>
          <w:tcPr>
            <w:tcW w:w="1842" w:type="dxa"/>
            <w:gridSpan w:val="2"/>
            <w:tcBorders>
              <w:top w:val="nil"/>
              <w:left w:val="single" w:sz="4" w:space="0" w:color="BFBFBF" w:themeColor="background1" w:themeShade="BF"/>
              <w:bottom w:val="nil"/>
              <w:right w:val="nil"/>
            </w:tcBorders>
            <w:shd w:val="clear" w:color="auto" w:fill="7F7F7F" w:themeFill="text1" w:themeFillTint="80"/>
            <w:vAlign w:val="center"/>
          </w:tcPr>
          <w:p w14:paraId="309F2B8F" w14:textId="2A7F9433" w:rsidR="00DA2068" w:rsidRPr="00EE7DCC" w:rsidRDefault="00DA2068" w:rsidP="00DA2068">
            <w:pPr>
              <w:spacing w:after="0" w:line="240" w:lineRule="auto"/>
              <w:jc w:val="right"/>
              <w:rPr>
                <w:rFonts w:eastAsia="Times New Roman" w:cs="Times New Roman"/>
                <w:b/>
                <w:color w:val="FFFFFF" w:themeColor="background1"/>
                <w:sz w:val="18"/>
                <w:szCs w:val="18"/>
                <w:lang w:eastAsia="pt-BR"/>
              </w:rPr>
            </w:pPr>
          </w:p>
        </w:tc>
        <w:tc>
          <w:tcPr>
            <w:tcW w:w="1276" w:type="dxa"/>
            <w:tcBorders>
              <w:top w:val="nil"/>
              <w:left w:val="nil"/>
              <w:bottom w:val="nil"/>
              <w:right w:val="single" w:sz="4" w:space="0" w:color="BFBFBF" w:themeColor="background1" w:themeShade="BF"/>
            </w:tcBorders>
            <w:shd w:val="clear" w:color="auto" w:fill="7F7F7F" w:themeFill="text1" w:themeFillTint="80"/>
          </w:tcPr>
          <w:p w14:paraId="51579874" w14:textId="77777777" w:rsidR="00DA2068" w:rsidRPr="00EE7DCC" w:rsidRDefault="00DA2068" w:rsidP="00DA2068">
            <w:pPr>
              <w:spacing w:after="0" w:line="240" w:lineRule="auto"/>
              <w:jc w:val="right"/>
              <w:rPr>
                <w:rFonts w:eastAsia="Times New Roman" w:cs="Times New Roman"/>
                <w:b/>
                <w:color w:val="FFFFFF" w:themeColor="background1"/>
                <w:sz w:val="18"/>
                <w:szCs w:val="18"/>
                <w:lang w:eastAsia="pt-BR"/>
              </w:rPr>
            </w:pPr>
          </w:p>
        </w:tc>
      </w:tr>
      <w:tr w:rsidR="00DA2068" w:rsidRPr="00EE7DCC" w14:paraId="36A4BFAE" w14:textId="656FCDAB" w:rsidTr="00D728BC">
        <w:trPr>
          <w:trHeight w:val="255"/>
        </w:trPr>
        <w:tc>
          <w:tcPr>
            <w:tcW w:w="3119" w:type="dxa"/>
            <w:gridSpan w:val="2"/>
            <w:vMerge/>
            <w:shd w:val="clear" w:color="auto" w:fill="7F7F7F" w:themeFill="text1" w:themeFillTint="80"/>
            <w:vAlign w:val="center"/>
          </w:tcPr>
          <w:p w14:paraId="697AC414" w14:textId="1FBB5EBB" w:rsidR="00DA2068" w:rsidRPr="00774964" w:rsidRDefault="00DA2068" w:rsidP="00DA2068">
            <w:pPr>
              <w:spacing w:after="0" w:line="240" w:lineRule="auto"/>
              <w:jc w:val="center"/>
              <w:rPr>
                <w:rFonts w:eastAsia="Times New Roman" w:cs="Times New Roman"/>
                <w:b/>
                <w:color w:val="FFFFFF" w:themeColor="background1"/>
                <w:sz w:val="18"/>
                <w:szCs w:val="18"/>
                <w:lang w:eastAsia="pt-BR"/>
              </w:rPr>
            </w:pPr>
          </w:p>
        </w:tc>
        <w:tc>
          <w:tcPr>
            <w:tcW w:w="992" w:type="dxa"/>
            <w:tcBorders>
              <w:bottom w:val="single" w:sz="4" w:space="0" w:color="BFBFBF" w:themeColor="background1" w:themeShade="BF"/>
            </w:tcBorders>
            <w:shd w:val="clear" w:color="auto" w:fill="7F7F7F" w:themeFill="text1" w:themeFillTint="80"/>
            <w:vAlign w:val="center"/>
          </w:tcPr>
          <w:p w14:paraId="7E7064D1" w14:textId="77777777" w:rsidR="00DA2068" w:rsidRPr="00774964" w:rsidRDefault="00DA2068" w:rsidP="00DA2068">
            <w:pPr>
              <w:spacing w:after="0" w:line="240" w:lineRule="auto"/>
              <w:jc w:val="center"/>
              <w:rPr>
                <w:rFonts w:eastAsia="Times New Roman" w:cs="Times New Roman"/>
                <w:b/>
                <w:color w:val="FFFFFF" w:themeColor="background1"/>
                <w:sz w:val="18"/>
                <w:szCs w:val="18"/>
                <w:lang w:eastAsia="pt-BR"/>
              </w:rPr>
            </w:pPr>
            <w:r w:rsidRPr="00774964">
              <w:rPr>
                <w:rFonts w:eastAsia="Times New Roman" w:cs="Times New Roman"/>
                <w:b/>
                <w:color w:val="FFFFFF" w:themeColor="background1"/>
                <w:sz w:val="18"/>
                <w:szCs w:val="18"/>
                <w:lang w:eastAsia="pt-BR"/>
              </w:rPr>
              <w:t>↓ receita</w:t>
            </w:r>
          </w:p>
        </w:tc>
        <w:tc>
          <w:tcPr>
            <w:tcW w:w="851" w:type="dxa"/>
            <w:tcBorders>
              <w:bottom w:val="single" w:sz="4" w:space="0" w:color="BFBFBF" w:themeColor="background1" w:themeShade="BF"/>
            </w:tcBorders>
            <w:shd w:val="clear" w:color="auto" w:fill="7F7F7F" w:themeFill="text1" w:themeFillTint="80"/>
            <w:vAlign w:val="center"/>
          </w:tcPr>
          <w:p w14:paraId="38D89C17" w14:textId="55F76DE5" w:rsidR="00DA2068" w:rsidRPr="00774964" w:rsidRDefault="00DA2068" w:rsidP="00DA2068">
            <w:pPr>
              <w:spacing w:after="0" w:line="240" w:lineRule="auto"/>
              <w:jc w:val="right"/>
              <w:rPr>
                <w:rFonts w:eastAsia="Times New Roman" w:cs="Times New Roman"/>
                <w:b/>
                <w:color w:val="FFFFFF" w:themeColor="background1"/>
                <w:sz w:val="18"/>
                <w:szCs w:val="18"/>
                <w:lang w:eastAsia="pt-BR"/>
              </w:rPr>
            </w:pPr>
            <w:r w:rsidRPr="00774964">
              <w:rPr>
                <w:rFonts w:eastAsia="Times New Roman" w:cs="Times New Roman"/>
                <w:b/>
                <w:color w:val="FFFFFF" w:themeColor="background1"/>
                <w:sz w:val="18"/>
                <w:szCs w:val="18"/>
                <w:lang w:eastAsia="pt-BR"/>
              </w:rPr>
              <w:t>1.469,3</w:t>
            </w:r>
          </w:p>
        </w:tc>
        <w:tc>
          <w:tcPr>
            <w:tcW w:w="850" w:type="dxa"/>
            <w:tcBorders>
              <w:bottom w:val="single" w:sz="4" w:space="0" w:color="BFBFBF" w:themeColor="background1" w:themeShade="BF"/>
            </w:tcBorders>
            <w:shd w:val="clear" w:color="auto" w:fill="7F7F7F" w:themeFill="text1" w:themeFillTint="80"/>
            <w:vAlign w:val="center"/>
          </w:tcPr>
          <w:p w14:paraId="68E8E310" w14:textId="43E369C5" w:rsidR="00DA2068" w:rsidRPr="00774964" w:rsidRDefault="00AE5840" w:rsidP="00DA2068">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1.512,5</w:t>
            </w:r>
          </w:p>
        </w:tc>
        <w:tc>
          <w:tcPr>
            <w:tcW w:w="851" w:type="dxa"/>
            <w:tcBorders>
              <w:bottom w:val="single" w:sz="4" w:space="0" w:color="BFBFBF" w:themeColor="background1" w:themeShade="BF"/>
              <w:right w:val="single" w:sz="4" w:space="0" w:color="BFBFBF" w:themeColor="background1" w:themeShade="BF"/>
            </w:tcBorders>
            <w:shd w:val="clear" w:color="auto" w:fill="7F7F7F" w:themeFill="text1" w:themeFillTint="80"/>
            <w:vAlign w:val="center"/>
          </w:tcPr>
          <w:p w14:paraId="495BCC4E" w14:textId="40CB781F" w:rsidR="00DA2068" w:rsidRPr="00F44684" w:rsidRDefault="00A7288A" w:rsidP="00DA2068">
            <w:pPr>
              <w:spacing w:after="0" w:line="240" w:lineRule="auto"/>
              <w:jc w:val="right"/>
              <w:rPr>
                <w:rFonts w:eastAsia="Times New Roman" w:cs="Times New Roman"/>
                <w:b/>
                <w:color w:val="FFFFFF" w:themeColor="background1"/>
                <w:sz w:val="18"/>
                <w:szCs w:val="18"/>
                <w:lang w:eastAsia="pt-BR"/>
              </w:rPr>
            </w:pPr>
            <w:r w:rsidRPr="00F44684">
              <w:rPr>
                <w:rFonts w:eastAsia="Times New Roman" w:cs="Times New Roman"/>
                <w:b/>
                <w:color w:val="FFFFFF" w:themeColor="background1"/>
                <w:sz w:val="18"/>
                <w:szCs w:val="18"/>
                <w:lang w:eastAsia="pt-BR"/>
              </w:rPr>
              <w:t>44,5%</w:t>
            </w:r>
          </w:p>
        </w:tc>
        <w:tc>
          <w:tcPr>
            <w:tcW w:w="1842" w:type="dxa"/>
            <w:gridSpan w:val="2"/>
            <w:tcBorders>
              <w:top w:val="nil"/>
              <w:left w:val="single" w:sz="4" w:space="0" w:color="BFBFBF" w:themeColor="background1" w:themeShade="BF"/>
              <w:bottom w:val="nil"/>
              <w:right w:val="nil"/>
            </w:tcBorders>
            <w:shd w:val="clear" w:color="auto" w:fill="7F7F7F" w:themeFill="text1" w:themeFillTint="80"/>
            <w:vAlign w:val="center"/>
          </w:tcPr>
          <w:p w14:paraId="2BC6CB66" w14:textId="3A204FB8" w:rsidR="00DA2068" w:rsidRPr="00EE7DCC" w:rsidRDefault="00DA2068" w:rsidP="00DA2068">
            <w:pPr>
              <w:spacing w:after="0" w:line="240" w:lineRule="auto"/>
              <w:jc w:val="right"/>
              <w:rPr>
                <w:rFonts w:eastAsia="Times New Roman" w:cs="Times New Roman"/>
                <w:b/>
                <w:color w:val="FFFFFF" w:themeColor="background1"/>
                <w:sz w:val="18"/>
                <w:szCs w:val="18"/>
                <w:lang w:eastAsia="pt-BR"/>
              </w:rPr>
            </w:pPr>
          </w:p>
        </w:tc>
        <w:tc>
          <w:tcPr>
            <w:tcW w:w="1276" w:type="dxa"/>
            <w:tcBorders>
              <w:top w:val="nil"/>
              <w:left w:val="nil"/>
              <w:bottom w:val="nil"/>
              <w:right w:val="single" w:sz="4" w:space="0" w:color="BFBFBF" w:themeColor="background1" w:themeShade="BF"/>
            </w:tcBorders>
            <w:shd w:val="clear" w:color="auto" w:fill="7F7F7F" w:themeFill="text1" w:themeFillTint="80"/>
          </w:tcPr>
          <w:p w14:paraId="0D320A91" w14:textId="77777777" w:rsidR="00DA2068" w:rsidRPr="00EE7DCC" w:rsidRDefault="00DA2068" w:rsidP="00DA2068">
            <w:pPr>
              <w:spacing w:after="0" w:line="240" w:lineRule="auto"/>
              <w:jc w:val="right"/>
              <w:rPr>
                <w:rFonts w:eastAsia="Times New Roman" w:cs="Times New Roman"/>
                <w:b/>
                <w:color w:val="FFFFFF" w:themeColor="background1"/>
                <w:sz w:val="18"/>
                <w:szCs w:val="18"/>
                <w:lang w:eastAsia="pt-BR"/>
              </w:rPr>
            </w:pPr>
          </w:p>
        </w:tc>
      </w:tr>
      <w:tr w:rsidR="00DA2068" w:rsidRPr="00EE7DCC" w14:paraId="640A4595" w14:textId="759FDA46" w:rsidTr="00D728BC">
        <w:trPr>
          <w:trHeight w:val="255"/>
        </w:trPr>
        <w:tc>
          <w:tcPr>
            <w:tcW w:w="3119" w:type="dxa"/>
            <w:gridSpan w:val="2"/>
            <w:vMerge/>
            <w:tcBorders>
              <w:bottom w:val="single" w:sz="4" w:space="0" w:color="BFBFBF" w:themeColor="background1" w:themeShade="BF"/>
            </w:tcBorders>
            <w:shd w:val="clear" w:color="auto" w:fill="7F7F7F" w:themeFill="text1" w:themeFillTint="80"/>
            <w:vAlign w:val="center"/>
          </w:tcPr>
          <w:p w14:paraId="2565D737" w14:textId="77777777" w:rsidR="00DA2068" w:rsidRPr="00774964" w:rsidRDefault="00DA2068" w:rsidP="00DA2068">
            <w:pPr>
              <w:spacing w:after="0" w:line="240" w:lineRule="auto"/>
              <w:jc w:val="center"/>
              <w:rPr>
                <w:rFonts w:eastAsia="Times New Roman" w:cs="Times New Roman"/>
                <w:b/>
                <w:color w:val="FFFFFF" w:themeColor="background1"/>
                <w:sz w:val="18"/>
                <w:szCs w:val="18"/>
                <w:lang w:eastAsia="pt-BR"/>
              </w:rPr>
            </w:pPr>
          </w:p>
        </w:tc>
        <w:tc>
          <w:tcPr>
            <w:tcW w:w="992" w:type="dxa"/>
            <w:tcBorders>
              <w:bottom w:val="single" w:sz="4" w:space="0" w:color="BFBFBF" w:themeColor="background1" w:themeShade="BF"/>
            </w:tcBorders>
            <w:shd w:val="clear" w:color="auto" w:fill="7F7F7F" w:themeFill="text1" w:themeFillTint="80"/>
            <w:vAlign w:val="center"/>
          </w:tcPr>
          <w:p w14:paraId="4EFE25EE" w14:textId="0B1EECCC" w:rsidR="00DA2068" w:rsidRPr="00774964" w:rsidRDefault="00DA2068" w:rsidP="00DA2068">
            <w:pPr>
              <w:spacing w:after="0" w:line="240" w:lineRule="auto"/>
              <w:jc w:val="center"/>
              <w:rPr>
                <w:rFonts w:eastAsia="Times New Roman" w:cs="Times New Roman"/>
                <w:b/>
                <w:color w:val="FFFFFF" w:themeColor="background1"/>
                <w:sz w:val="18"/>
                <w:szCs w:val="18"/>
                <w:lang w:eastAsia="pt-BR"/>
              </w:rPr>
            </w:pPr>
            <w:proofErr w:type="spellStart"/>
            <w:proofErr w:type="gramStart"/>
            <w:r w:rsidRPr="00774964">
              <w:rPr>
                <w:rFonts w:eastAsia="Times New Roman" w:cs="Times New Roman"/>
                <w:b/>
                <w:color w:val="FFFFFF" w:themeColor="background1"/>
                <w:sz w:val="18"/>
                <w:szCs w:val="18"/>
                <w:lang w:eastAsia="pt-BR"/>
              </w:rPr>
              <w:t>n.a</w:t>
            </w:r>
            <w:proofErr w:type="spellEnd"/>
            <w:r w:rsidRPr="00774964">
              <w:rPr>
                <w:rFonts w:eastAsia="Times New Roman" w:cs="Times New Roman"/>
                <w:b/>
                <w:color w:val="FFFFFF" w:themeColor="background1"/>
                <w:sz w:val="18"/>
                <w:szCs w:val="18"/>
                <w:lang w:eastAsia="pt-BR"/>
              </w:rPr>
              <w:t>.</w:t>
            </w:r>
            <w:proofErr w:type="gramEnd"/>
          </w:p>
        </w:tc>
        <w:tc>
          <w:tcPr>
            <w:tcW w:w="851" w:type="dxa"/>
            <w:tcBorders>
              <w:bottom w:val="single" w:sz="4" w:space="0" w:color="BFBFBF" w:themeColor="background1" w:themeShade="BF"/>
            </w:tcBorders>
            <w:shd w:val="clear" w:color="auto" w:fill="7F7F7F" w:themeFill="text1" w:themeFillTint="80"/>
            <w:vAlign w:val="center"/>
          </w:tcPr>
          <w:p w14:paraId="07020A35" w14:textId="7CCE305B" w:rsidR="00DA2068" w:rsidRPr="00774964" w:rsidRDefault="00DA2068" w:rsidP="00DA2068">
            <w:pPr>
              <w:spacing w:after="0" w:line="240" w:lineRule="auto"/>
              <w:jc w:val="right"/>
              <w:rPr>
                <w:rFonts w:eastAsia="Times New Roman" w:cs="Times New Roman"/>
                <w:b/>
                <w:color w:val="FFFFFF" w:themeColor="background1"/>
                <w:sz w:val="18"/>
                <w:szCs w:val="18"/>
                <w:lang w:eastAsia="pt-BR"/>
              </w:rPr>
            </w:pPr>
            <w:r w:rsidRPr="00774964">
              <w:rPr>
                <w:rFonts w:eastAsia="Times New Roman" w:cs="Times New Roman"/>
                <w:b/>
                <w:color w:val="FFFFFF" w:themeColor="background1"/>
                <w:sz w:val="18"/>
                <w:szCs w:val="18"/>
                <w:lang w:eastAsia="pt-BR"/>
              </w:rPr>
              <w:t>11,2</w:t>
            </w:r>
          </w:p>
        </w:tc>
        <w:tc>
          <w:tcPr>
            <w:tcW w:w="850" w:type="dxa"/>
            <w:tcBorders>
              <w:bottom w:val="single" w:sz="4" w:space="0" w:color="BFBFBF" w:themeColor="background1" w:themeShade="BF"/>
            </w:tcBorders>
            <w:shd w:val="clear" w:color="auto" w:fill="7F7F7F" w:themeFill="text1" w:themeFillTint="80"/>
            <w:vAlign w:val="center"/>
          </w:tcPr>
          <w:p w14:paraId="744E588F" w14:textId="60D6BF03" w:rsidR="00DA2068" w:rsidRPr="00774964" w:rsidRDefault="00AE5840" w:rsidP="00DA2068">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69,2</w:t>
            </w:r>
          </w:p>
        </w:tc>
        <w:tc>
          <w:tcPr>
            <w:tcW w:w="851" w:type="dxa"/>
            <w:tcBorders>
              <w:bottom w:val="single" w:sz="4" w:space="0" w:color="BFBFBF" w:themeColor="background1" w:themeShade="BF"/>
              <w:right w:val="single" w:sz="4" w:space="0" w:color="BFBFBF" w:themeColor="background1" w:themeShade="BF"/>
            </w:tcBorders>
            <w:shd w:val="clear" w:color="auto" w:fill="7F7F7F" w:themeFill="text1" w:themeFillTint="80"/>
            <w:vAlign w:val="center"/>
          </w:tcPr>
          <w:p w14:paraId="7CA866D3" w14:textId="00EC6B9C" w:rsidR="00DA2068" w:rsidRPr="00F44684" w:rsidRDefault="00A7288A" w:rsidP="00DA2068">
            <w:pPr>
              <w:spacing w:after="0" w:line="240" w:lineRule="auto"/>
              <w:jc w:val="right"/>
              <w:rPr>
                <w:rFonts w:eastAsia="Times New Roman" w:cs="Times New Roman"/>
                <w:b/>
                <w:color w:val="FFFFFF" w:themeColor="background1"/>
                <w:sz w:val="18"/>
                <w:szCs w:val="18"/>
                <w:lang w:eastAsia="pt-BR"/>
              </w:rPr>
            </w:pPr>
            <w:r w:rsidRPr="00F44684">
              <w:rPr>
                <w:rFonts w:eastAsia="Times New Roman" w:cs="Times New Roman"/>
                <w:b/>
                <w:color w:val="FFFFFF" w:themeColor="background1"/>
                <w:sz w:val="18"/>
                <w:szCs w:val="18"/>
                <w:lang w:eastAsia="pt-BR"/>
              </w:rPr>
              <w:t>2,0%</w:t>
            </w:r>
          </w:p>
        </w:tc>
        <w:tc>
          <w:tcPr>
            <w:tcW w:w="1842" w:type="dxa"/>
            <w:gridSpan w:val="2"/>
            <w:tcBorders>
              <w:top w:val="nil"/>
              <w:left w:val="single" w:sz="4" w:space="0" w:color="BFBFBF" w:themeColor="background1" w:themeShade="BF"/>
              <w:bottom w:val="single" w:sz="4" w:space="0" w:color="BFBFBF" w:themeColor="background1" w:themeShade="BF"/>
              <w:right w:val="nil"/>
            </w:tcBorders>
            <w:shd w:val="clear" w:color="auto" w:fill="7F7F7F" w:themeFill="text1" w:themeFillTint="80"/>
            <w:vAlign w:val="center"/>
          </w:tcPr>
          <w:p w14:paraId="637D96AD" w14:textId="77777777" w:rsidR="00DA2068" w:rsidRPr="00EE7DCC" w:rsidRDefault="00DA2068" w:rsidP="00DA2068">
            <w:pPr>
              <w:spacing w:after="0" w:line="240" w:lineRule="auto"/>
              <w:jc w:val="right"/>
              <w:rPr>
                <w:rFonts w:eastAsia="Times New Roman" w:cs="Times New Roman"/>
                <w:b/>
                <w:color w:val="FFFFFF" w:themeColor="background1"/>
                <w:sz w:val="18"/>
                <w:szCs w:val="18"/>
                <w:lang w:eastAsia="pt-BR"/>
              </w:rPr>
            </w:pPr>
          </w:p>
        </w:tc>
        <w:tc>
          <w:tcPr>
            <w:tcW w:w="1276" w:type="dxa"/>
            <w:tcBorders>
              <w:top w:val="nil"/>
              <w:left w:val="nil"/>
              <w:bottom w:val="single" w:sz="4" w:space="0" w:color="BFBFBF" w:themeColor="background1" w:themeShade="BF"/>
              <w:right w:val="single" w:sz="4" w:space="0" w:color="BFBFBF" w:themeColor="background1" w:themeShade="BF"/>
            </w:tcBorders>
            <w:shd w:val="clear" w:color="auto" w:fill="7F7F7F" w:themeFill="text1" w:themeFillTint="80"/>
          </w:tcPr>
          <w:p w14:paraId="1085A4C5" w14:textId="77777777" w:rsidR="00DA2068" w:rsidRPr="00EE7DCC" w:rsidRDefault="00DA2068" w:rsidP="00DA2068">
            <w:pPr>
              <w:spacing w:after="0" w:line="240" w:lineRule="auto"/>
              <w:jc w:val="right"/>
              <w:rPr>
                <w:rFonts w:eastAsia="Times New Roman" w:cs="Times New Roman"/>
                <w:b/>
                <w:color w:val="FFFFFF" w:themeColor="background1"/>
                <w:sz w:val="18"/>
                <w:szCs w:val="18"/>
                <w:lang w:eastAsia="pt-BR"/>
              </w:rPr>
            </w:pPr>
          </w:p>
        </w:tc>
      </w:tr>
      <w:tr w:rsidR="00A105C4" w:rsidRPr="00A105C4" w14:paraId="743BAA99" w14:textId="72D9A04B" w:rsidTr="00D728BC">
        <w:trPr>
          <w:trHeight w:val="255"/>
        </w:trPr>
        <w:tc>
          <w:tcPr>
            <w:tcW w:w="3119" w:type="dxa"/>
            <w:gridSpan w:val="2"/>
            <w:tcBorders>
              <w:bottom w:val="single" w:sz="4" w:space="0" w:color="BFBFBF" w:themeColor="background1" w:themeShade="BF"/>
              <w:right w:val="nil"/>
            </w:tcBorders>
            <w:shd w:val="clear" w:color="auto" w:fill="404040" w:themeFill="text1" w:themeFillTint="BF"/>
            <w:vAlign w:val="center"/>
          </w:tcPr>
          <w:p w14:paraId="2D7EA1B2" w14:textId="77777777" w:rsidR="009C2913" w:rsidRPr="00A105C4" w:rsidRDefault="009C2913" w:rsidP="00EE7DCC">
            <w:pPr>
              <w:spacing w:after="0" w:line="240" w:lineRule="auto"/>
              <w:rPr>
                <w:rFonts w:eastAsia="Times New Roman" w:cs="Times New Roman"/>
                <w:b/>
                <w:color w:val="FFFFFF" w:themeColor="background1"/>
                <w:sz w:val="18"/>
                <w:szCs w:val="18"/>
                <w:lang w:eastAsia="pt-BR"/>
              </w:rPr>
            </w:pPr>
            <w:r w:rsidRPr="00A105C4">
              <w:rPr>
                <w:rFonts w:eastAsia="Times New Roman" w:cs="Times New Roman"/>
                <w:b/>
                <w:color w:val="FFFFFF" w:themeColor="background1"/>
                <w:sz w:val="18"/>
                <w:szCs w:val="18"/>
                <w:lang w:eastAsia="pt-BR"/>
              </w:rPr>
              <w:t>Total Geral</w:t>
            </w:r>
          </w:p>
        </w:tc>
        <w:tc>
          <w:tcPr>
            <w:tcW w:w="992" w:type="dxa"/>
            <w:tcBorders>
              <w:left w:val="nil"/>
              <w:bottom w:val="single" w:sz="4" w:space="0" w:color="BFBFBF" w:themeColor="background1" w:themeShade="BF"/>
            </w:tcBorders>
            <w:shd w:val="clear" w:color="auto" w:fill="404040" w:themeFill="text1" w:themeFillTint="BF"/>
            <w:vAlign w:val="center"/>
          </w:tcPr>
          <w:p w14:paraId="5E321400" w14:textId="5BCB9E24" w:rsidR="009C2913" w:rsidRPr="00A105C4" w:rsidRDefault="009C2913" w:rsidP="00EE7DCC">
            <w:pPr>
              <w:spacing w:after="0" w:line="240" w:lineRule="auto"/>
              <w:rPr>
                <w:rFonts w:eastAsia="Times New Roman" w:cs="Times New Roman"/>
                <w:b/>
                <w:color w:val="FFFFFF" w:themeColor="background1"/>
                <w:sz w:val="18"/>
                <w:szCs w:val="18"/>
                <w:lang w:eastAsia="pt-BR"/>
              </w:rPr>
            </w:pPr>
          </w:p>
        </w:tc>
        <w:tc>
          <w:tcPr>
            <w:tcW w:w="851" w:type="dxa"/>
            <w:tcBorders>
              <w:bottom w:val="single" w:sz="4" w:space="0" w:color="BFBFBF" w:themeColor="background1" w:themeShade="BF"/>
            </w:tcBorders>
            <w:shd w:val="clear" w:color="auto" w:fill="404040" w:themeFill="text1" w:themeFillTint="BF"/>
            <w:vAlign w:val="center"/>
          </w:tcPr>
          <w:p w14:paraId="423625A2" w14:textId="2B38E509" w:rsidR="009C2913" w:rsidRPr="00A105C4" w:rsidRDefault="00DA2068" w:rsidP="00466295">
            <w:pPr>
              <w:spacing w:after="0" w:line="240" w:lineRule="auto"/>
              <w:jc w:val="right"/>
              <w:rPr>
                <w:rFonts w:eastAsia="Times New Roman" w:cs="Times New Roman"/>
                <w:b/>
                <w:color w:val="FFFFFF" w:themeColor="background1"/>
                <w:sz w:val="18"/>
                <w:szCs w:val="18"/>
                <w:lang w:eastAsia="pt-BR"/>
              </w:rPr>
            </w:pPr>
            <w:r w:rsidRPr="00A105C4">
              <w:rPr>
                <w:rFonts w:eastAsia="Times New Roman" w:cs="Times New Roman"/>
                <w:b/>
                <w:color w:val="FFFFFF" w:themeColor="background1"/>
                <w:sz w:val="18"/>
                <w:szCs w:val="18"/>
                <w:lang w:eastAsia="pt-BR"/>
              </w:rPr>
              <w:t>3.491,4</w:t>
            </w:r>
          </w:p>
        </w:tc>
        <w:tc>
          <w:tcPr>
            <w:tcW w:w="850" w:type="dxa"/>
            <w:tcBorders>
              <w:bottom w:val="single" w:sz="4" w:space="0" w:color="BFBFBF" w:themeColor="background1" w:themeShade="BF"/>
            </w:tcBorders>
            <w:shd w:val="clear" w:color="auto" w:fill="404040" w:themeFill="text1" w:themeFillTint="BF"/>
            <w:vAlign w:val="center"/>
          </w:tcPr>
          <w:p w14:paraId="324E8554" w14:textId="037C8EC8" w:rsidR="009C2913" w:rsidRPr="00A105C4" w:rsidRDefault="00AE5840" w:rsidP="00466295">
            <w:pPr>
              <w:spacing w:after="0" w:line="240" w:lineRule="auto"/>
              <w:jc w:val="right"/>
              <w:rPr>
                <w:rFonts w:eastAsia="Times New Roman" w:cs="Times New Roman"/>
                <w:b/>
                <w:color w:val="FFFFFF" w:themeColor="background1"/>
                <w:sz w:val="18"/>
                <w:szCs w:val="18"/>
                <w:lang w:eastAsia="pt-BR"/>
              </w:rPr>
            </w:pPr>
            <w:r>
              <w:rPr>
                <w:rFonts w:eastAsia="Times New Roman" w:cs="Times New Roman"/>
                <w:b/>
                <w:color w:val="FFFFFF" w:themeColor="background1"/>
                <w:sz w:val="18"/>
                <w:szCs w:val="18"/>
                <w:lang w:eastAsia="pt-BR"/>
              </w:rPr>
              <w:t>3.399,7</w:t>
            </w:r>
          </w:p>
        </w:tc>
        <w:tc>
          <w:tcPr>
            <w:tcW w:w="851" w:type="dxa"/>
            <w:tcBorders>
              <w:bottom w:val="single" w:sz="4" w:space="0" w:color="BFBFBF" w:themeColor="background1" w:themeShade="BF"/>
            </w:tcBorders>
            <w:shd w:val="clear" w:color="auto" w:fill="404040" w:themeFill="text1" w:themeFillTint="BF"/>
            <w:vAlign w:val="center"/>
          </w:tcPr>
          <w:p w14:paraId="095DBA51" w14:textId="19E34883" w:rsidR="009C2913" w:rsidRPr="00F44684" w:rsidRDefault="009C2913" w:rsidP="00466295">
            <w:pPr>
              <w:spacing w:after="0" w:line="240" w:lineRule="auto"/>
              <w:jc w:val="right"/>
              <w:rPr>
                <w:rFonts w:eastAsia="Times New Roman" w:cs="Times New Roman"/>
                <w:b/>
                <w:color w:val="FFFFFF" w:themeColor="background1"/>
                <w:sz w:val="18"/>
                <w:szCs w:val="18"/>
                <w:lang w:eastAsia="pt-BR"/>
              </w:rPr>
            </w:pPr>
            <w:r w:rsidRPr="00F44684">
              <w:rPr>
                <w:rFonts w:eastAsia="Times New Roman" w:cs="Times New Roman"/>
                <w:b/>
                <w:color w:val="FFFFFF" w:themeColor="background1"/>
                <w:sz w:val="18"/>
                <w:szCs w:val="18"/>
                <w:lang w:eastAsia="pt-BR"/>
              </w:rPr>
              <w:t>100,0%</w:t>
            </w:r>
          </w:p>
        </w:tc>
        <w:tc>
          <w:tcPr>
            <w:tcW w:w="1842" w:type="dxa"/>
            <w:gridSpan w:val="2"/>
            <w:tcBorders>
              <w:top w:val="single" w:sz="4" w:space="0" w:color="BFBFBF" w:themeColor="background1" w:themeShade="BF"/>
              <w:bottom w:val="single" w:sz="4" w:space="0" w:color="BFBFBF" w:themeColor="background1" w:themeShade="BF"/>
              <w:right w:val="nil"/>
            </w:tcBorders>
            <w:shd w:val="clear" w:color="auto" w:fill="404040" w:themeFill="text1" w:themeFillTint="BF"/>
            <w:vAlign w:val="center"/>
          </w:tcPr>
          <w:p w14:paraId="6BC15DE2" w14:textId="77777777" w:rsidR="009C2913" w:rsidRPr="00A105C4" w:rsidRDefault="009C2913" w:rsidP="00466295">
            <w:pPr>
              <w:spacing w:after="0" w:line="240" w:lineRule="auto"/>
              <w:jc w:val="right"/>
              <w:rPr>
                <w:rFonts w:eastAsia="Times New Roman" w:cs="Times New Roman"/>
                <w:b/>
                <w:color w:val="FFFFFF" w:themeColor="background1"/>
                <w:sz w:val="18"/>
                <w:szCs w:val="18"/>
                <w:lang w:eastAsia="pt-BR"/>
              </w:rPr>
            </w:pPr>
          </w:p>
        </w:tc>
        <w:tc>
          <w:tcPr>
            <w:tcW w:w="1276" w:type="dxa"/>
            <w:tcBorders>
              <w:top w:val="single" w:sz="4" w:space="0" w:color="BFBFBF" w:themeColor="background1" w:themeShade="BF"/>
              <w:left w:val="nil"/>
              <w:bottom w:val="single" w:sz="4" w:space="0" w:color="BFBFBF" w:themeColor="background1" w:themeShade="BF"/>
            </w:tcBorders>
            <w:shd w:val="clear" w:color="auto" w:fill="404040" w:themeFill="text1" w:themeFillTint="BF"/>
          </w:tcPr>
          <w:p w14:paraId="21E7439A" w14:textId="77777777" w:rsidR="009C2913" w:rsidRPr="00A105C4" w:rsidRDefault="009C2913" w:rsidP="00466295">
            <w:pPr>
              <w:spacing w:after="0" w:line="240" w:lineRule="auto"/>
              <w:jc w:val="right"/>
              <w:rPr>
                <w:rFonts w:eastAsia="Times New Roman" w:cs="Times New Roman"/>
                <w:b/>
                <w:color w:val="FFFFFF" w:themeColor="background1"/>
                <w:sz w:val="18"/>
                <w:szCs w:val="18"/>
                <w:lang w:eastAsia="pt-BR"/>
              </w:rPr>
            </w:pPr>
          </w:p>
        </w:tc>
      </w:tr>
      <w:tr w:rsidR="00E36C45" w:rsidRPr="00EE7DCC" w14:paraId="193578B8" w14:textId="1531A4AD" w:rsidTr="00E36C45">
        <w:trPr>
          <w:trHeight w:val="255"/>
        </w:trPr>
        <w:tc>
          <w:tcPr>
            <w:tcW w:w="9781" w:type="dxa"/>
            <w:gridSpan w:val="9"/>
            <w:tcBorders>
              <w:left w:val="nil"/>
              <w:bottom w:val="nil"/>
              <w:right w:val="nil"/>
            </w:tcBorders>
            <w:shd w:val="clear" w:color="auto" w:fill="FFFFFF" w:themeFill="background1"/>
            <w:vAlign w:val="center"/>
          </w:tcPr>
          <w:p w14:paraId="6DFA701E" w14:textId="5652CB93" w:rsidR="00580393" w:rsidRDefault="00BB1120" w:rsidP="00BD7DD2">
            <w:pPr>
              <w:spacing w:after="0" w:line="240" w:lineRule="auto"/>
              <w:rPr>
                <w:rFonts w:eastAsia="Times New Roman" w:cs="Times New Roman"/>
                <w:bCs/>
                <w:i/>
                <w:iCs/>
                <w:sz w:val="16"/>
                <w:szCs w:val="16"/>
                <w:lang w:eastAsia="pt-BR"/>
              </w:rPr>
            </w:pPr>
            <w:proofErr w:type="spellStart"/>
            <w:proofErr w:type="gramStart"/>
            <w:r>
              <w:rPr>
                <w:rFonts w:eastAsia="Times New Roman" w:cs="Times New Roman"/>
                <w:bCs/>
                <w:i/>
                <w:iCs/>
                <w:sz w:val="16"/>
                <w:szCs w:val="16"/>
                <w:lang w:eastAsia="pt-BR"/>
              </w:rPr>
              <w:t>n.a</w:t>
            </w:r>
            <w:proofErr w:type="spellEnd"/>
            <w:r>
              <w:rPr>
                <w:rFonts w:eastAsia="Times New Roman" w:cs="Times New Roman"/>
                <w:bCs/>
                <w:i/>
                <w:iCs/>
                <w:sz w:val="16"/>
                <w:szCs w:val="16"/>
                <w:lang w:eastAsia="pt-BR"/>
              </w:rPr>
              <w:t>.</w:t>
            </w:r>
            <w:proofErr w:type="gramEnd"/>
            <w:r>
              <w:rPr>
                <w:rFonts w:eastAsia="Times New Roman" w:cs="Times New Roman"/>
                <w:bCs/>
                <w:i/>
                <w:iCs/>
                <w:sz w:val="16"/>
                <w:szCs w:val="16"/>
                <w:lang w:eastAsia="pt-BR"/>
              </w:rPr>
              <w:t xml:space="preserve"> </w:t>
            </w:r>
            <w:r w:rsidR="000C636F" w:rsidRPr="000C636F">
              <w:rPr>
                <w:rFonts w:eastAsia="Times New Roman" w:cs="Times New Roman"/>
                <w:bCs/>
                <w:i/>
                <w:iCs/>
                <w:sz w:val="16"/>
                <w:szCs w:val="16"/>
                <w:lang w:eastAsia="pt-BR"/>
              </w:rPr>
              <w:t>(não aplicável ou não se aplica)</w:t>
            </w:r>
            <w:r>
              <w:rPr>
                <w:rFonts w:eastAsia="Times New Roman" w:cs="Times New Roman"/>
                <w:bCs/>
                <w:i/>
                <w:iCs/>
                <w:sz w:val="16"/>
                <w:szCs w:val="16"/>
                <w:lang w:eastAsia="pt-BR"/>
              </w:rPr>
              <w:t xml:space="preserve"> e </w:t>
            </w:r>
            <w:proofErr w:type="spellStart"/>
            <w:r>
              <w:rPr>
                <w:rFonts w:eastAsia="Times New Roman" w:cs="Times New Roman"/>
                <w:bCs/>
                <w:i/>
                <w:iCs/>
                <w:sz w:val="16"/>
                <w:szCs w:val="16"/>
                <w:lang w:eastAsia="pt-BR"/>
              </w:rPr>
              <w:t>n.d</w:t>
            </w:r>
            <w:proofErr w:type="spellEnd"/>
            <w:r>
              <w:rPr>
                <w:rFonts w:eastAsia="Times New Roman" w:cs="Times New Roman"/>
                <w:bCs/>
                <w:i/>
                <w:iCs/>
                <w:sz w:val="16"/>
                <w:szCs w:val="16"/>
                <w:lang w:eastAsia="pt-BR"/>
              </w:rPr>
              <w:t>. (</w:t>
            </w:r>
            <w:r w:rsidR="00DD3958">
              <w:rPr>
                <w:rFonts w:eastAsia="Times New Roman" w:cs="Times New Roman"/>
                <w:bCs/>
                <w:i/>
                <w:iCs/>
                <w:sz w:val="16"/>
                <w:szCs w:val="16"/>
                <w:lang w:eastAsia="pt-BR"/>
              </w:rPr>
              <w:t xml:space="preserve">informação </w:t>
            </w:r>
            <w:r>
              <w:rPr>
                <w:rFonts w:eastAsia="Times New Roman" w:cs="Times New Roman"/>
                <w:bCs/>
                <w:i/>
                <w:iCs/>
                <w:sz w:val="16"/>
                <w:szCs w:val="16"/>
                <w:lang w:eastAsia="pt-BR"/>
              </w:rPr>
              <w:t xml:space="preserve">não </w:t>
            </w:r>
            <w:r w:rsidR="00CA78C1">
              <w:rPr>
                <w:rFonts w:eastAsia="Times New Roman" w:cs="Times New Roman"/>
                <w:bCs/>
                <w:i/>
                <w:iCs/>
                <w:sz w:val="16"/>
                <w:szCs w:val="16"/>
                <w:lang w:eastAsia="pt-BR"/>
              </w:rPr>
              <w:t>disponível</w:t>
            </w:r>
            <w:r w:rsidR="008F6D60">
              <w:rPr>
                <w:rFonts w:eastAsia="Times New Roman" w:cs="Times New Roman"/>
                <w:bCs/>
                <w:i/>
                <w:iCs/>
                <w:sz w:val="16"/>
                <w:szCs w:val="16"/>
                <w:lang w:eastAsia="pt-BR"/>
              </w:rPr>
              <w:t>).</w:t>
            </w:r>
          </w:p>
          <w:p w14:paraId="031347DE" w14:textId="3FE6FB27" w:rsidR="005603B9" w:rsidRDefault="00B461F9" w:rsidP="00BD7DD2">
            <w:pPr>
              <w:spacing w:after="0" w:line="240" w:lineRule="auto"/>
              <w:rPr>
                <w:rFonts w:eastAsia="Times New Roman" w:cs="Times New Roman"/>
                <w:bCs/>
                <w:i/>
                <w:iCs/>
                <w:sz w:val="16"/>
                <w:szCs w:val="16"/>
                <w:lang w:eastAsia="pt-BR"/>
              </w:rPr>
            </w:pPr>
            <w:proofErr w:type="gramStart"/>
            <w:r>
              <w:rPr>
                <w:rFonts w:eastAsia="Times New Roman" w:cs="Times New Roman"/>
                <w:bCs/>
                <w:i/>
                <w:iCs/>
                <w:sz w:val="16"/>
                <w:szCs w:val="16"/>
                <w:vertAlign w:val="superscript"/>
                <w:lang w:eastAsia="pt-BR"/>
              </w:rPr>
              <w:t>1</w:t>
            </w:r>
            <w:proofErr w:type="gramEnd"/>
            <w:r w:rsidR="009060DE" w:rsidRPr="00BA4A04">
              <w:rPr>
                <w:rFonts w:eastAsia="Times New Roman" w:cs="Times New Roman"/>
                <w:bCs/>
                <w:i/>
                <w:iCs/>
                <w:sz w:val="16"/>
                <w:szCs w:val="16"/>
                <w:vertAlign w:val="superscript"/>
                <w:lang w:eastAsia="pt-BR"/>
              </w:rPr>
              <w:t xml:space="preserve"> </w:t>
            </w:r>
            <w:r w:rsidRPr="00B461F9">
              <w:rPr>
                <w:rFonts w:eastAsia="Times New Roman" w:cs="Times New Roman"/>
                <w:bCs/>
                <w:i/>
                <w:iCs/>
                <w:sz w:val="16"/>
                <w:szCs w:val="16"/>
                <w:lang w:eastAsia="pt-BR"/>
              </w:rPr>
              <w:t>De acordo com o BCB, as perdas esperadas dos créditos com as Instituições em Liquidação Extrajudicial  já são consolidadas no Balanço Geral da União</w:t>
            </w:r>
            <w:r w:rsidR="003C074B">
              <w:rPr>
                <w:rFonts w:eastAsia="Times New Roman" w:cs="Times New Roman"/>
                <w:bCs/>
                <w:i/>
                <w:iCs/>
                <w:sz w:val="16"/>
                <w:szCs w:val="16"/>
                <w:lang w:eastAsia="pt-BR"/>
              </w:rPr>
              <w:t xml:space="preserve"> e não foram</w:t>
            </w:r>
            <w:r w:rsidRPr="00B461F9">
              <w:rPr>
                <w:rFonts w:eastAsia="Times New Roman" w:cs="Times New Roman"/>
                <w:bCs/>
                <w:i/>
                <w:iCs/>
                <w:sz w:val="16"/>
                <w:szCs w:val="16"/>
                <w:lang w:eastAsia="pt-BR"/>
              </w:rPr>
              <w:t xml:space="preserve"> apresentadas neste Anexo, a fim de evitar duplicidade da informação</w:t>
            </w:r>
            <w:r w:rsidR="0037460E">
              <w:rPr>
                <w:rFonts w:eastAsia="Times New Roman" w:cs="Times New Roman"/>
                <w:bCs/>
                <w:i/>
                <w:iCs/>
                <w:sz w:val="16"/>
                <w:szCs w:val="16"/>
                <w:lang w:eastAsia="pt-BR"/>
              </w:rPr>
              <w:t>.</w:t>
            </w:r>
          </w:p>
          <w:p w14:paraId="77C37BC7" w14:textId="113AC677" w:rsidR="005603B9" w:rsidRPr="00BA4A04" w:rsidRDefault="005603B9" w:rsidP="005603B9">
            <w:pPr>
              <w:spacing w:after="0" w:line="240" w:lineRule="auto"/>
              <w:rPr>
                <w:rFonts w:eastAsia="Times New Roman" w:cs="Times New Roman"/>
                <w:bCs/>
                <w:i/>
                <w:iCs/>
                <w:sz w:val="16"/>
                <w:szCs w:val="16"/>
                <w:lang w:eastAsia="pt-BR"/>
              </w:rPr>
            </w:pPr>
            <w:proofErr w:type="gramStart"/>
            <w:r>
              <w:rPr>
                <w:rFonts w:eastAsia="Times New Roman" w:cs="Times New Roman"/>
                <w:bCs/>
                <w:i/>
                <w:iCs/>
                <w:sz w:val="16"/>
                <w:szCs w:val="16"/>
                <w:vertAlign w:val="superscript"/>
                <w:lang w:eastAsia="pt-BR"/>
              </w:rPr>
              <w:t>2</w:t>
            </w:r>
            <w:proofErr w:type="gramEnd"/>
            <w:r w:rsidRPr="00BA4A04">
              <w:rPr>
                <w:rFonts w:eastAsia="Times New Roman" w:cs="Times New Roman"/>
                <w:bCs/>
                <w:i/>
                <w:iCs/>
                <w:sz w:val="16"/>
                <w:szCs w:val="16"/>
                <w:vertAlign w:val="superscript"/>
                <w:lang w:eastAsia="pt-BR"/>
              </w:rPr>
              <w:t xml:space="preserve"> </w:t>
            </w:r>
            <w:r>
              <w:rPr>
                <w:rFonts w:eastAsia="Times New Roman" w:cs="Times New Roman"/>
                <w:bCs/>
                <w:i/>
                <w:iCs/>
                <w:sz w:val="16"/>
                <w:szCs w:val="16"/>
                <w:lang w:eastAsia="pt-BR"/>
              </w:rPr>
              <w:t xml:space="preserve">O valor do Seguro de Crédito à Exportação está referenciado em dólar e foi convertido para reais pela taxa de câmbio do último dia útil de 2020 (R$ </w:t>
            </w:r>
            <w:r w:rsidRPr="00EC2778">
              <w:rPr>
                <w:rFonts w:eastAsia="Times New Roman" w:cs="Times New Roman"/>
                <w:bCs/>
                <w:i/>
                <w:iCs/>
                <w:sz w:val="16"/>
                <w:szCs w:val="16"/>
                <w:lang w:eastAsia="pt-BR"/>
              </w:rPr>
              <w:t>5,1961</w:t>
            </w:r>
            <w:r>
              <w:rPr>
                <w:rFonts w:eastAsia="Times New Roman" w:cs="Times New Roman"/>
                <w:bCs/>
                <w:i/>
                <w:iCs/>
                <w:sz w:val="16"/>
                <w:szCs w:val="16"/>
                <w:lang w:eastAsia="pt-BR"/>
              </w:rPr>
              <w:t>).</w:t>
            </w:r>
          </w:p>
          <w:p w14:paraId="3F59F15F" w14:textId="1728231A" w:rsidR="00E36C45" w:rsidRPr="007D2D55" w:rsidRDefault="00204C3D" w:rsidP="00BD7DD2">
            <w:pPr>
              <w:spacing w:after="0" w:line="240" w:lineRule="auto"/>
              <w:rPr>
                <w:rFonts w:eastAsia="Times New Roman" w:cs="Times New Roman"/>
                <w:bCs/>
                <w:i/>
                <w:iCs/>
                <w:sz w:val="16"/>
                <w:szCs w:val="16"/>
                <w:lang w:eastAsia="pt-BR"/>
              </w:rPr>
            </w:pPr>
            <w:proofErr w:type="gramStart"/>
            <w:r>
              <w:rPr>
                <w:rFonts w:eastAsia="Times New Roman" w:cs="Times New Roman"/>
                <w:bCs/>
                <w:i/>
                <w:iCs/>
                <w:sz w:val="16"/>
                <w:szCs w:val="16"/>
                <w:vertAlign w:val="superscript"/>
                <w:lang w:eastAsia="pt-BR"/>
              </w:rPr>
              <w:t>3</w:t>
            </w:r>
            <w:proofErr w:type="gramEnd"/>
            <w:r w:rsidR="00E36C45" w:rsidRPr="007D2D55">
              <w:rPr>
                <w:rFonts w:eastAsia="Times New Roman" w:cs="Times New Roman"/>
                <w:bCs/>
                <w:i/>
                <w:iCs/>
                <w:sz w:val="16"/>
                <w:szCs w:val="16"/>
                <w:lang w:eastAsia="pt-BR"/>
              </w:rPr>
              <w:t xml:space="preserve"> Impacto predominantemente primário</w:t>
            </w:r>
            <w:r w:rsidR="006345F2">
              <w:rPr>
                <w:rFonts w:eastAsia="Times New Roman" w:cs="Times New Roman"/>
                <w:bCs/>
                <w:i/>
                <w:iCs/>
                <w:sz w:val="16"/>
                <w:szCs w:val="16"/>
                <w:lang w:eastAsia="pt-BR"/>
              </w:rPr>
              <w:t>.</w:t>
            </w:r>
          </w:p>
          <w:p w14:paraId="788D9FD3" w14:textId="33E07E50" w:rsidR="00E36C45" w:rsidRDefault="00253C22" w:rsidP="00BD7DD2">
            <w:pPr>
              <w:spacing w:after="0" w:line="240" w:lineRule="auto"/>
              <w:rPr>
                <w:rFonts w:eastAsia="Times New Roman" w:cs="Times New Roman"/>
                <w:bCs/>
                <w:i/>
                <w:iCs/>
                <w:sz w:val="16"/>
                <w:szCs w:val="16"/>
                <w:lang w:eastAsia="pt-BR"/>
              </w:rPr>
            </w:pPr>
            <w:proofErr w:type="gramStart"/>
            <w:r>
              <w:rPr>
                <w:rFonts w:eastAsia="Times New Roman" w:cs="Times New Roman"/>
                <w:bCs/>
                <w:i/>
                <w:iCs/>
                <w:sz w:val="16"/>
                <w:szCs w:val="16"/>
                <w:vertAlign w:val="superscript"/>
                <w:lang w:eastAsia="pt-BR"/>
              </w:rPr>
              <w:t>4</w:t>
            </w:r>
            <w:proofErr w:type="gramEnd"/>
            <w:r w:rsidR="00E36C45" w:rsidRPr="007D2D55">
              <w:rPr>
                <w:rFonts w:eastAsia="Times New Roman" w:cs="Times New Roman"/>
                <w:bCs/>
                <w:i/>
                <w:iCs/>
                <w:sz w:val="16"/>
                <w:szCs w:val="16"/>
                <w:lang w:eastAsia="pt-BR"/>
              </w:rPr>
              <w:t xml:space="preserve"> Perdas em fundos garantidores privados nos quais a União é cotista não afetam diretamente o resultado primário do Tesouro Nacional. Não obstante, a redução no patrimônio da União reduz o montante de recursos que pode ser resgatado pela União. O resgate desses recursos para a Conta Única da União gera receita primária.</w:t>
            </w:r>
          </w:p>
          <w:p w14:paraId="2C8740B0" w14:textId="18BDE2C7" w:rsidR="00E36C45" w:rsidRPr="007D2D55" w:rsidRDefault="00E36C45" w:rsidP="00BD7DD2">
            <w:pPr>
              <w:spacing w:after="0" w:line="240" w:lineRule="auto"/>
              <w:rPr>
                <w:rFonts w:eastAsia="Times New Roman" w:cs="Times New Roman"/>
                <w:bCs/>
                <w:i/>
                <w:iCs/>
                <w:sz w:val="16"/>
                <w:szCs w:val="16"/>
                <w:vertAlign w:val="superscript"/>
                <w:lang w:eastAsia="pt-BR"/>
              </w:rPr>
            </w:pPr>
            <w:r w:rsidRPr="007D2D55">
              <w:rPr>
                <w:rFonts w:eastAsia="Times New Roman" w:cs="Times New Roman"/>
                <w:b/>
                <w:i/>
                <w:sz w:val="16"/>
                <w:szCs w:val="16"/>
                <w:lang w:eastAsia="pt-BR"/>
              </w:rPr>
              <w:t>Elaboração</w:t>
            </w:r>
            <w:r w:rsidRPr="007D2D55">
              <w:rPr>
                <w:rFonts w:eastAsia="Times New Roman" w:cs="Times New Roman"/>
                <w:bCs/>
                <w:i/>
                <w:iCs/>
                <w:sz w:val="16"/>
                <w:szCs w:val="16"/>
                <w:lang w:eastAsia="pt-BR"/>
              </w:rPr>
              <w:t>: STN/ME</w:t>
            </w:r>
          </w:p>
        </w:tc>
      </w:tr>
    </w:tbl>
    <w:p w14:paraId="1A969D09" w14:textId="7FC8ECEB" w:rsidR="009658BD" w:rsidRDefault="009658BD" w:rsidP="002D5741">
      <w:pPr>
        <w:spacing w:after="120" w:line="240" w:lineRule="auto"/>
        <w:jc w:val="both"/>
        <w:rPr>
          <w:sz w:val="24"/>
          <w:szCs w:val="24"/>
          <w:lang w:eastAsia="pt-BR"/>
        </w:rPr>
      </w:pPr>
    </w:p>
    <w:p w14:paraId="5A35FAD7" w14:textId="63E4F387" w:rsidR="00D34AC3" w:rsidRDefault="00D34AC3" w:rsidP="002D5741">
      <w:pPr>
        <w:spacing w:after="120" w:line="240" w:lineRule="auto"/>
        <w:jc w:val="both"/>
        <w:rPr>
          <w:sz w:val="24"/>
          <w:szCs w:val="24"/>
          <w:lang w:eastAsia="pt-BR"/>
        </w:rPr>
      </w:pPr>
    </w:p>
    <w:p w14:paraId="615F71AF" w14:textId="233B1096" w:rsidR="00D34AC3" w:rsidRDefault="00D34AC3" w:rsidP="002D5741">
      <w:pPr>
        <w:spacing w:after="120" w:line="240" w:lineRule="auto"/>
        <w:jc w:val="both"/>
        <w:rPr>
          <w:sz w:val="24"/>
          <w:szCs w:val="24"/>
          <w:lang w:eastAsia="pt-BR"/>
        </w:rPr>
      </w:pPr>
    </w:p>
    <w:p w14:paraId="2BF82203" w14:textId="1639A2FA" w:rsidR="00D34AC3" w:rsidRDefault="00D34AC3" w:rsidP="002D5741">
      <w:pPr>
        <w:spacing w:after="120" w:line="240" w:lineRule="auto"/>
        <w:jc w:val="both"/>
        <w:rPr>
          <w:sz w:val="24"/>
          <w:szCs w:val="24"/>
          <w:lang w:eastAsia="pt-BR"/>
        </w:rPr>
      </w:pPr>
    </w:p>
    <w:p w14:paraId="3C2E16BB" w14:textId="40964FEB" w:rsidR="001D4FDB" w:rsidRDefault="001D4FDB">
      <w:pPr>
        <w:rPr>
          <w:sz w:val="24"/>
          <w:szCs w:val="24"/>
          <w:lang w:eastAsia="pt-BR"/>
        </w:rPr>
      </w:pPr>
      <w:r>
        <w:rPr>
          <w:sz w:val="24"/>
          <w:szCs w:val="24"/>
          <w:lang w:eastAsia="pt-BR"/>
        </w:rPr>
        <w:br w:type="page"/>
      </w:r>
    </w:p>
    <w:p w14:paraId="1F1324CF" w14:textId="77777777" w:rsidR="0076630B" w:rsidRPr="0022645B" w:rsidRDefault="0076630B" w:rsidP="005D1CB5">
      <w:pPr>
        <w:pStyle w:val="Ttulo1"/>
        <w:numPr>
          <w:ilvl w:val="0"/>
          <w:numId w:val="36"/>
        </w:numPr>
        <w:spacing w:after="120" w:line="240" w:lineRule="auto"/>
        <w:ind w:left="431" w:hanging="431"/>
        <w:rPr>
          <w:rFonts w:asciiTheme="minorHAnsi" w:hAnsiTheme="minorHAnsi"/>
          <w:b/>
          <w:color w:val="auto"/>
          <w:sz w:val="28"/>
          <w:szCs w:val="28"/>
          <w:lang w:eastAsia="pt-BR"/>
        </w:rPr>
      </w:pPr>
      <w:bookmarkStart w:id="18" w:name="_Toc5180270"/>
      <w:bookmarkStart w:id="19" w:name="_Toc67317969"/>
      <w:bookmarkStart w:id="20" w:name="_Toc67929623"/>
      <w:bookmarkStart w:id="21" w:name="_Toc69121210"/>
      <w:r w:rsidRPr="0022645B">
        <w:rPr>
          <w:rFonts w:asciiTheme="minorHAnsi" w:hAnsiTheme="minorHAnsi"/>
          <w:b/>
          <w:color w:val="auto"/>
          <w:sz w:val="28"/>
          <w:szCs w:val="28"/>
          <w:lang w:eastAsia="pt-BR"/>
        </w:rPr>
        <w:lastRenderedPageBreak/>
        <w:t>ANÁLISE DOS RISCOS MACROECONÔMICOS</w:t>
      </w:r>
      <w:bookmarkEnd w:id="18"/>
      <w:r w:rsidR="000635D9" w:rsidRPr="0022645B">
        <w:rPr>
          <w:rFonts w:asciiTheme="minorHAnsi" w:hAnsiTheme="minorHAnsi"/>
          <w:b/>
          <w:color w:val="auto"/>
          <w:sz w:val="28"/>
          <w:szCs w:val="28"/>
          <w:lang w:eastAsia="pt-BR"/>
        </w:rPr>
        <w:t xml:space="preserve"> (GERAIS)</w:t>
      </w:r>
      <w:bookmarkEnd w:id="19"/>
      <w:bookmarkEnd w:id="20"/>
      <w:bookmarkEnd w:id="21"/>
    </w:p>
    <w:p w14:paraId="3C77EF11" w14:textId="3E8FB8E4" w:rsidR="000D17A6" w:rsidRDefault="000D17A6" w:rsidP="000D17A6">
      <w:pPr>
        <w:spacing w:after="120" w:line="240" w:lineRule="auto"/>
        <w:ind w:firstLine="1418"/>
        <w:jc w:val="both"/>
        <w:rPr>
          <w:sz w:val="24"/>
          <w:szCs w:val="24"/>
        </w:rPr>
      </w:pPr>
      <w:r w:rsidRPr="0005635F">
        <w:rPr>
          <w:sz w:val="24"/>
          <w:szCs w:val="24"/>
        </w:rPr>
        <w:t>Nesta seção são analisados os riscos fiscais gerados a partir da variabilidade dos parâmetros macroeconômicos utilizados para as previsões de receitas administradas pela R</w:t>
      </w:r>
      <w:r w:rsidR="002E035D" w:rsidRPr="0005635F">
        <w:rPr>
          <w:sz w:val="24"/>
          <w:szCs w:val="24"/>
        </w:rPr>
        <w:t>FB</w:t>
      </w:r>
      <w:r w:rsidRPr="0005635F">
        <w:rPr>
          <w:sz w:val="24"/>
          <w:szCs w:val="24"/>
        </w:rPr>
        <w:t xml:space="preserve">, despesas primárias e resultado primário do governo, assim como da dívida pública federal. </w:t>
      </w:r>
      <w:bookmarkStart w:id="22" w:name="_Toc447189111"/>
      <w:bookmarkStart w:id="23" w:name="_Toc447189113"/>
      <w:bookmarkStart w:id="24" w:name="_Toc447613111"/>
      <w:bookmarkStart w:id="25" w:name="_Toc2869864"/>
      <w:bookmarkEnd w:id="22"/>
      <w:r w:rsidR="007B4758" w:rsidRPr="0005635F">
        <w:rPr>
          <w:sz w:val="24"/>
          <w:szCs w:val="24"/>
        </w:rPr>
        <w:t>O</w:t>
      </w:r>
      <w:r w:rsidRPr="0005635F">
        <w:rPr>
          <w:sz w:val="24"/>
          <w:szCs w:val="24"/>
        </w:rPr>
        <w:t xml:space="preserve">bserva-se a sensibilidade de cada </w:t>
      </w:r>
      <w:r w:rsidR="00615948">
        <w:rPr>
          <w:sz w:val="24"/>
          <w:szCs w:val="24"/>
        </w:rPr>
        <w:t xml:space="preserve">um </w:t>
      </w:r>
      <w:r w:rsidR="002E6D16">
        <w:rPr>
          <w:sz w:val="24"/>
          <w:szCs w:val="24"/>
        </w:rPr>
        <w:t xml:space="preserve">destes </w:t>
      </w:r>
      <w:r w:rsidRPr="0005635F">
        <w:rPr>
          <w:sz w:val="24"/>
          <w:szCs w:val="24"/>
        </w:rPr>
        <w:t>ite</w:t>
      </w:r>
      <w:r w:rsidR="002E6D16">
        <w:rPr>
          <w:sz w:val="24"/>
          <w:szCs w:val="24"/>
        </w:rPr>
        <w:t>ns</w:t>
      </w:r>
      <w:r w:rsidRPr="0005635F">
        <w:rPr>
          <w:sz w:val="24"/>
          <w:szCs w:val="24"/>
        </w:rPr>
        <w:t xml:space="preserve"> d</w:t>
      </w:r>
      <w:r w:rsidR="002E6D16">
        <w:rPr>
          <w:sz w:val="24"/>
          <w:szCs w:val="24"/>
        </w:rPr>
        <w:t>as</w:t>
      </w:r>
      <w:r w:rsidRPr="0005635F">
        <w:rPr>
          <w:sz w:val="24"/>
          <w:szCs w:val="24"/>
        </w:rPr>
        <w:t xml:space="preserve"> contas públicas às variações da taxa de crescimento do PIB, da inflação, da taxa de câmbio, da massa salarial e da taxa de juros da economia. Na subseção que trata </w:t>
      </w:r>
      <w:r w:rsidR="002E035D" w:rsidRPr="0005635F">
        <w:rPr>
          <w:sz w:val="24"/>
          <w:szCs w:val="24"/>
        </w:rPr>
        <w:t>d</w:t>
      </w:r>
      <w:r w:rsidRPr="0005635F">
        <w:rPr>
          <w:sz w:val="24"/>
          <w:szCs w:val="24"/>
        </w:rPr>
        <w:t>a dívida pública, também são abordados os riscos de mercado que afetam o perfil de maturação da dívida e os riscos de refinanciamento.</w:t>
      </w:r>
    </w:p>
    <w:p w14:paraId="2AB4E06A" w14:textId="77777777" w:rsidR="009D6C1C" w:rsidRPr="0005635F" w:rsidRDefault="009D6C1C" w:rsidP="000D17A6">
      <w:pPr>
        <w:spacing w:after="120" w:line="240" w:lineRule="auto"/>
        <w:ind w:firstLine="1418"/>
        <w:jc w:val="both"/>
        <w:rPr>
          <w:sz w:val="24"/>
          <w:szCs w:val="24"/>
        </w:rPr>
      </w:pPr>
    </w:p>
    <w:p w14:paraId="1052D586" w14:textId="49F6E20B" w:rsidR="000D17A6" w:rsidRPr="0022645B" w:rsidRDefault="000D17A6" w:rsidP="00823035">
      <w:pPr>
        <w:pStyle w:val="Ttulo2"/>
        <w:keepLines/>
        <w:numPr>
          <w:ilvl w:val="1"/>
          <w:numId w:val="36"/>
        </w:numPr>
        <w:spacing w:before="240" w:after="120"/>
        <w:ind w:left="578" w:hanging="578"/>
        <w:jc w:val="left"/>
        <w:rPr>
          <w:rFonts w:asciiTheme="minorHAnsi" w:hAnsiTheme="minorHAnsi" w:cs="Times New Roman"/>
          <w:color w:val="auto"/>
          <w:sz w:val="24"/>
          <w:szCs w:val="24"/>
        </w:rPr>
      </w:pPr>
      <w:bookmarkStart w:id="26" w:name="_Toc5012221"/>
      <w:bookmarkStart w:id="27" w:name="_Toc5030467"/>
      <w:bookmarkStart w:id="28" w:name="_Toc5180271"/>
      <w:bookmarkStart w:id="29" w:name="_Toc67317970"/>
      <w:bookmarkStart w:id="30" w:name="_Toc67929624"/>
      <w:bookmarkStart w:id="31" w:name="_Toc69121211"/>
      <w:r w:rsidRPr="0022645B">
        <w:rPr>
          <w:rFonts w:asciiTheme="minorHAnsi" w:hAnsiTheme="minorHAnsi" w:cs="Times New Roman"/>
          <w:color w:val="auto"/>
          <w:sz w:val="24"/>
          <w:szCs w:val="24"/>
        </w:rPr>
        <w:t>SENSIBILIDADE DAS RECEITAS ADMINISTRADAS PELA RFB</w:t>
      </w:r>
      <w:bookmarkEnd w:id="26"/>
      <w:bookmarkEnd w:id="27"/>
      <w:bookmarkEnd w:id="28"/>
      <w:bookmarkEnd w:id="29"/>
      <w:bookmarkEnd w:id="30"/>
      <w:bookmarkEnd w:id="31"/>
    </w:p>
    <w:p w14:paraId="54D6300C" w14:textId="1F7BC2C6" w:rsidR="000D17A6" w:rsidRDefault="000D17A6" w:rsidP="000D17A6">
      <w:pPr>
        <w:spacing w:after="120" w:line="240" w:lineRule="auto"/>
        <w:ind w:firstLine="1418"/>
        <w:jc w:val="both"/>
        <w:rPr>
          <w:rStyle w:val="ilfuvd"/>
          <w:sz w:val="24"/>
          <w:szCs w:val="24"/>
        </w:rPr>
      </w:pPr>
      <w:r w:rsidRPr="0005635F">
        <w:rPr>
          <w:sz w:val="24"/>
          <w:szCs w:val="24"/>
        </w:rPr>
        <w:t>Esse item está subdividido em d</w:t>
      </w:r>
      <w:r w:rsidR="002E035D" w:rsidRPr="0005635F">
        <w:rPr>
          <w:sz w:val="24"/>
          <w:szCs w:val="24"/>
        </w:rPr>
        <w:t>uas partes</w:t>
      </w:r>
      <w:r w:rsidR="00AF03C6" w:rsidRPr="0005635F">
        <w:rPr>
          <w:sz w:val="24"/>
          <w:szCs w:val="24"/>
        </w:rPr>
        <w:t xml:space="preserve">. A subseção </w:t>
      </w:r>
      <w:r w:rsidR="00EC6EC2" w:rsidRPr="0005635F">
        <w:rPr>
          <w:sz w:val="24"/>
          <w:szCs w:val="24"/>
        </w:rPr>
        <w:fldChar w:fldCharType="begin"/>
      </w:r>
      <w:r w:rsidR="00EC6EC2" w:rsidRPr="0005635F">
        <w:rPr>
          <w:sz w:val="24"/>
          <w:szCs w:val="24"/>
        </w:rPr>
        <w:instrText xml:space="preserve"> REF _Ref5713300 \n \h </w:instrText>
      </w:r>
      <w:r w:rsidR="004873B8" w:rsidRPr="0005635F">
        <w:rPr>
          <w:sz w:val="24"/>
          <w:szCs w:val="24"/>
        </w:rPr>
        <w:instrText xml:space="preserve"> \* MERGEFORMAT </w:instrText>
      </w:r>
      <w:r w:rsidR="00EC6EC2" w:rsidRPr="0005635F">
        <w:rPr>
          <w:sz w:val="24"/>
          <w:szCs w:val="24"/>
        </w:rPr>
      </w:r>
      <w:r w:rsidR="00EC6EC2" w:rsidRPr="0005635F">
        <w:rPr>
          <w:sz w:val="24"/>
          <w:szCs w:val="24"/>
        </w:rPr>
        <w:fldChar w:fldCharType="separate"/>
      </w:r>
      <w:r w:rsidR="00304F5F">
        <w:rPr>
          <w:sz w:val="24"/>
          <w:szCs w:val="24"/>
        </w:rPr>
        <w:t>3.1.1</w:t>
      </w:r>
      <w:r w:rsidR="00EC6EC2" w:rsidRPr="0005635F">
        <w:rPr>
          <w:sz w:val="24"/>
          <w:szCs w:val="24"/>
        </w:rPr>
        <w:fldChar w:fldCharType="end"/>
      </w:r>
      <w:r w:rsidRPr="0005635F">
        <w:rPr>
          <w:sz w:val="24"/>
          <w:szCs w:val="24"/>
        </w:rPr>
        <w:t xml:space="preserve"> te</w:t>
      </w:r>
      <w:r w:rsidR="00AF03C6" w:rsidRPr="0005635F">
        <w:rPr>
          <w:sz w:val="24"/>
          <w:szCs w:val="24"/>
        </w:rPr>
        <w:t>m</w:t>
      </w:r>
      <w:r w:rsidRPr="0005635F">
        <w:rPr>
          <w:sz w:val="24"/>
          <w:szCs w:val="24"/>
        </w:rPr>
        <w:t xml:space="preserve"> o objetivo de apresentar a diferença entre</w:t>
      </w:r>
      <w:r w:rsidR="007B4758" w:rsidRPr="0005635F">
        <w:rPr>
          <w:sz w:val="24"/>
          <w:szCs w:val="24"/>
        </w:rPr>
        <w:t xml:space="preserve"> os valores previstos d</w:t>
      </w:r>
      <w:r w:rsidRPr="0005635F">
        <w:rPr>
          <w:sz w:val="24"/>
          <w:szCs w:val="24"/>
        </w:rPr>
        <w:t>as receitas administradas pela RF</w:t>
      </w:r>
      <w:r w:rsidR="002E035D" w:rsidRPr="0005635F">
        <w:rPr>
          <w:sz w:val="24"/>
          <w:szCs w:val="24"/>
        </w:rPr>
        <w:t>B</w:t>
      </w:r>
      <w:r w:rsidR="007B4758" w:rsidRPr="0005635F">
        <w:rPr>
          <w:sz w:val="24"/>
          <w:szCs w:val="24"/>
        </w:rPr>
        <w:t xml:space="preserve"> para 20</w:t>
      </w:r>
      <w:r w:rsidR="006D47AE">
        <w:rPr>
          <w:sz w:val="24"/>
          <w:szCs w:val="24"/>
        </w:rPr>
        <w:t>20</w:t>
      </w:r>
      <w:r w:rsidR="007B4758" w:rsidRPr="0005635F">
        <w:rPr>
          <w:sz w:val="24"/>
          <w:szCs w:val="24"/>
        </w:rPr>
        <w:t xml:space="preserve"> e os valores</w:t>
      </w:r>
      <w:r w:rsidRPr="0005635F">
        <w:rPr>
          <w:sz w:val="24"/>
          <w:szCs w:val="24"/>
        </w:rPr>
        <w:t xml:space="preserve"> </w:t>
      </w:r>
      <w:r w:rsidR="00AF03C6" w:rsidRPr="0005635F">
        <w:rPr>
          <w:sz w:val="24"/>
          <w:szCs w:val="24"/>
        </w:rPr>
        <w:t xml:space="preserve">efetivamente </w:t>
      </w:r>
      <w:r w:rsidRPr="0005635F">
        <w:rPr>
          <w:sz w:val="24"/>
          <w:szCs w:val="24"/>
        </w:rPr>
        <w:t>arrecadad</w:t>
      </w:r>
      <w:r w:rsidR="007B4758" w:rsidRPr="0005635F">
        <w:rPr>
          <w:sz w:val="24"/>
          <w:szCs w:val="24"/>
        </w:rPr>
        <w:t>o</w:t>
      </w:r>
      <w:r w:rsidRPr="0005635F">
        <w:rPr>
          <w:sz w:val="24"/>
          <w:szCs w:val="24"/>
        </w:rPr>
        <w:t>s</w:t>
      </w:r>
      <w:r w:rsidR="00AF03C6" w:rsidRPr="0005635F">
        <w:rPr>
          <w:sz w:val="24"/>
          <w:szCs w:val="24"/>
        </w:rPr>
        <w:t>.</w:t>
      </w:r>
      <w:r w:rsidR="0030429F" w:rsidRPr="0005635F">
        <w:rPr>
          <w:sz w:val="24"/>
          <w:szCs w:val="24"/>
        </w:rPr>
        <w:t xml:space="preserve"> </w:t>
      </w:r>
      <w:r w:rsidR="008714D8" w:rsidRPr="0005635F">
        <w:rPr>
          <w:sz w:val="24"/>
          <w:szCs w:val="24"/>
        </w:rPr>
        <w:t>Já a</w:t>
      </w:r>
      <w:r w:rsidR="00AF03C6" w:rsidRPr="0005635F">
        <w:rPr>
          <w:rStyle w:val="ilfuvd"/>
          <w:sz w:val="24"/>
          <w:szCs w:val="24"/>
        </w:rPr>
        <w:t xml:space="preserve"> subseção</w:t>
      </w:r>
      <w:r w:rsidR="00EC6EC2" w:rsidRPr="0005635F">
        <w:rPr>
          <w:rStyle w:val="ilfuvd"/>
          <w:sz w:val="24"/>
          <w:szCs w:val="24"/>
        </w:rPr>
        <w:t xml:space="preserve"> </w:t>
      </w:r>
      <w:r w:rsidR="00EC6EC2" w:rsidRPr="0005635F">
        <w:rPr>
          <w:rStyle w:val="ilfuvd"/>
          <w:sz w:val="24"/>
          <w:szCs w:val="24"/>
        </w:rPr>
        <w:fldChar w:fldCharType="begin"/>
      </w:r>
      <w:r w:rsidR="00EC6EC2" w:rsidRPr="0005635F">
        <w:rPr>
          <w:rStyle w:val="ilfuvd"/>
          <w:sz w:val="24"/>
          <w:szCs w:val="24"/>
        </w:rPr>
        <w:instrText xml:space="preserve"> REF _Ref5713313 \n \h </w:instrText>
      </w:r>
      <w:r w:rsidR="004873B8" w:rsidRPr="0005635F">
        <w:rPr>
          <w:rStyle w:val="ilfuvd"/>
          <w:sz w:val="24"/>
          <w:szCs w:val="24"/>
        </w:rPr>
        <w:instrText xml:space="preserve"> \* MERGEFORMAT </w:instrText>
      </w:r>
      <w:r w:rsidR="00EC6EC2" w:rsidRPr="0005635F">
        <w:rPr>
          <w:rStyle w:val="ilfuvd"/>
          <w:sz w:val="24"/>
          <w:szCs w:val="24"/>
        </w:rPr>
      </w:r>
      <w:r w:rsidR="00EC6EC2" w:rsidRPr="0005635F">
        <w:rPr>
          <w:rStyle w:val="ilfuvd"/>
          <w:sz w:val="24"/>
          <w:szCs w:val="24"/>
        </w:rPr>
        <w:fldChar w:fldCharType="separate"/>
      </w:r>
      <w:r w:rsidR="00304F5F">
        <w:rPr>
          <w:rStyle w:val="ilfuvd"/>
          <w:sz w:val="24"/>
          <w:szCs w:val="24"/>
        </w:rPr>
        <w:t>3.1.2</w:t>
      </w:r>
      <w:r w:rsidR="00EC6EC2" w:rsidRPr="0005635F">
        <w:rPr>
          <w:rStyle w:val="ilfuvd"/>
          <w:sz w:val="24"/>
          <w:szCs w:val="24"/>
        </w:rPr>
        <w:fldChar w:fldCharType="end"/>
      </w:r>
      <w:r w:rsidR="00AF03C6" w:rsidRPr="0005635F">
        <w:rPr>
          <w:rStyle w:val="ilfuvd"/>
          <w:sz w:val="24"/>
          <w:szCs w:val="24"/>
        </w:rPr>
        <w:t xml:space="preserve"> apresenta a análise de sensibilidade das receitas administradas pela </w:t>
      </w:r>
      <w:r w:rsidR="002027FF" w:rsidRPr="0005635F">
        <w:rPr>
          <w:rStyle w:val="ilfuvd"/>
          <w:sz w:val="24"/>
          <w:szCs w:val="24"/>
        </w:rPr>
        <w:t>RFB</w:t>
      </w:r>
      <w:r w:rsidR="00AF03C6" w:rsidRPr="0005635F">
        <w:rPr>
          <w:rStyle w:val="ilfuvd"/>
          <w:sz w:val="24"/>
          <w:szCs w:val="24"/>
        </w:rPr>
        <w:t xml:space="preserve"> em relação aos parâmetros macroeconômicos usados para a elaboração da Lei Orçamentária Anual</w:t>
      </w:r>
      <w:r w:rsidR="002027FF" w:rsidRPr="0005635F">
        <w:rPr>
          <w:rStyle w:val="ilfuvd"/>
          <w:sz w:val="24"/>
          <w:szCs w:val="24"/>
        </w:rPr>
        <w:t xml:space="preserve"> (LOA)</w:t>
      </w:r>
      <w:r w:rsidR="00AF03C6" w:rsidRPr="0005635F">
        <w:rPr>
          <w:rStyle w:val="ilfuvd"/>
          <w:sz w:val="24"/>
          <w:szCs w:val="24"/>
        </w:rPr>
        <w:t>.</w:t>
      </w:r>
    </w:p>
    <w:p w14:paraId="40F873DE" w14:textId="77777777" w:rsidR="009D6C1C" w:rsidRPr="0005635F" w:rsidRDefault="009D6C1C" w:rsidP="000D17A6">
      <w:pPr>
        <w:spacing w:after="120" w:line="240" w:lineRule="auto"/>
        <w:ind w:firstLine="1418"/>
        <w:jc w:val="both"/>
        <w:rPr>
          <w:sz w:val="24"/>
          <w:szCs w:val="24"/>
        </w:rPr>
      </w:pPr>
    </w:p>
    <w:p w14:paraId="2C837339" w14:textId="77777777" w:rsidR="000D17A6" w:rsidRPr="0022645B" w:rsidRDefault="000D17A6" w:rsidP="00507A38">
      <w:pPr>
        <w:pStyle w:val="Ttulo3"/>
        <w:keepNext w:val="0"/>
        <w:numPr>
          <w:ilvl w:val="2"/>
          <w:numId w:val="36"/>
        </w:numPr>
        <w:spacing w:before="240" w:after="120"/>
        <w:ind w:left="720" w:hanging="720"/>
        <w:rPr>
          <w:rFonts w:asciiTheme="minorHAnsi" w:hAnsiTheme="minorHAnsi"/>
          <w:b/>
          <w:smallCaps w:val="0"/>
        </w:rPr>
      </w:pPr>
      <w:bookmarkStart w:id="32" w:name="_Toc5012222"/>
      <w:bookmarkStart w:id="33" w:name="_Toc5030468"/>
      <w:bookmarkStart w:id="34" w:name="_Toc5180272"/>
      <w:bookmarkStart w:id="35" w:name="_Ref5713300"/>
      <w:bookmarkStart w:id="36" w:name="_Toc67317971"/>
      <w:bookmarkStart w:id="37" w:name="_Toc67929625"/>
      <w:bookmarkStart w:id="38" w:name="_Toc69121212"/>
      <w:r w:rsidRPr="0022645B">
        <w:rPr>
          <w:rFonts w:asciiTheme="minorHAnsi" w:hAnsiTheme="minorHAnsi"/>
          <w:b/>
          <w:smallCaps w:val="0"/>
        </w:rPr>
        <w:t>Receitas Administradas pela RFB</w:t>
      </w:r>
      <w:bookmarkEnd w:id="32"/>
      <w:bookmarkEnd w:id="33"/>
      <w:bookmarkEnd w:id="34"/>
      <w:bookmarkEnd w:id="35"/>
      <w:bookmarkEnd w:id="36"/>
      <w:bookmarkEnd w:id="37"/>
      <w:bookmarkEnd w:id="38"/>
    </w:p>
    <w:p w14:paraId="208498FA" w14:textId="77777777" w:rsidR="008B5567" w:rsidRDefault="008B5567" w:rsidP="008B5567">
      <w:pPr>
        <w:spacing w:after="120" w:line="240" w:lineRule="auto"/>
        <w:ind w:firstLine="1418"/>
        <w:jc w:val="both"/>
        <w:rPr>
          <w:sz w:val="24"/>
          <w:szCs w:val="24"/>
        </w:rPr>
      </w:pPr>
      <w:r w:rsidRPr="0005635F">
        <w:rPr>
          <w:sz w:val="24"/>
          <w:szCs w:val="24"/>
        </w:rPr>
        <w:t>Como referência para a projeção das receitas do governo</w:t>
      </w:r>
      <w:r>
        <w:rPr>
          <w:sz w:val="24"/>
          <w:szCs w:val="24"/>
        </w:rPr>
        <w:t>,</w:t>
      </w:r>
      <w:r w:rsidRPr="0005635F">
        <w:rPr>
          <w:sz w:val="24"/>
          <w:szCs w:val="24"/>
        </w:rPr>
        <w:t xml:space="preserve"> considera-se </w:t>
      </w:r>
      <w:proofErr w:type="gramStart"/>
      <w:r>
        <w:rPr>
          <w:sz w:val="24"/>
          <w:szCs w:val="24"/>
        </w:rPr>
        <w:t>o</w:t>
      </w:r>
      <w:r w:rsidRPr="0005635F">
        <w:rPr>
          <w:sz w:val="24"/>
          <w:szCs w:val="24"/>
        </w:rPr>
        <w:t xml:space="preserve"> cenário base</w:t>
      </w:r>
      <w:proofErr w:type="gramEnd"/>
      <w:r w:rsidRPr="0005635F">
        <w:rPr>
          <w:sz w:val="24"/>
          <w:szCs w:val="24"/>
        </w:rPr>
        <w:t xml:space="preserve"> de parâmetros macroeconômicos estimados</w:t>
      </w:r>
      <w:r>
        <w:rPr>
          <w:sz w:val="24"/>
          <w:szCs w:val="24"/>
        </w:rPr>
        <w:t xml:space="preserve"> apresentado no Anexo de Metas Fiscais e as receitas realizadas no exercício anterior. Note-se, no entanto, que as projeções de receitas experimentam variações entre a elaboração da lei orçamentária e o início do exercício do exercício fiscal e durante o próprio exercício. Essas variações decorrem de alterações no cenário macroeconômico, que pode ser significativamente diferente entre uma projeção e outra, além de fatores que não são conhecidos no momento das estimativas, como alterações da legislação tributária e eventos econômicos extraordinários.</w:t>
      </w:r>
    </w:p>
    <w:p w14:paraId="19ED74BB" w14:textId="530EF703" w:rsidR="008B5567" w:rsidRDefault="008B5567" w:rsidP="008B5567">
      <w:pPr>
        <w:spacing w:after="120" w:line="240" w:lineRule="auto"/>
        <w:ind w:firstLine="1418"/>
        <w:jc w:val="both"/>
        <w:rPr>
          <w:sz w:val="24"/>
          <w:szCs w:val="24"/>
        </w:rPr>
      </w:pPr>
      <w:r>
        <w:rPr>
          <w:sz w:val="24"/>
          <w:szCs w:val="24"/>
        </w:rPr>
        <w:t xml:space="preserve">Importante ressaltar que o ano de 2020 foi particularmente desafiador às projeções de receitas, pois a irrupção da pandemia de Covid-19 alterou completamente os prognósticos até então existentes, provocando uma forte recessão econômica em âmbito mundial, além de desafios sanitários e sociais. A fim de mitigar esses efeitos, o governo brasileiro </w:t>
      </w:r>
      <w:proofErr w:type="gramStart"/>
      <w:r>
        <w:rPr>
          <w:sz w:val="24"/>
          <w:szCs w:val="24"/>
        </w:rPr>
        <w:t>implementou</w:t>
      </w:r>
      <w:proofErr w:type="gramEnd"/>
      <w:r>
        <w:rPr>
          <w:sz w:val="24"/>
          <w:szCs w:val="24"/>
        </w:rPr>
        <w:t xml:space="preserve"> uma série de medidas, as quais incluíram isenções de tributos relacionados ao custo de financiamento das empresas (IOF) e a insumos relacionados ao combate à Covid-19 (imposto de importação, IPI, </w:t>
      </w:r>
      <w:proofErr w:type="spellStart"/>
      <w:r>
        <w:rPr>
          <w:sz w:val="24"/>
          <w:szCs w:val="24"/>
        </w:rPr>
        <w:t>Cofins</w:t>
      </w:r>
      <w:proofErr w:type="spellEnd"/>
      <w:r>
        <w:rPr>
          <w:sz w:val="24"/>
          <w:szCs w:val="24"/>
        </w:rPr>
        <w:t xml:space="preserve">), o que também influenciou a arrecadação ao longo do ano, como se verifica </w:t>
      </w:r>
      <w:r w:rsidRPr="009A4AA6">
        <w:rPr>
          <w:sz w:val="24"/>
          <w:szCs w:val="24"/>
        </w:rPr>
        <w:t xml:space="preserve">na </w:t>
      </w:r>
      <w:r w:rsidRPr="004B41A7">
        <w:rPr>
          <w:sz w:val="24"/>
          <w:szCs w:val="24"/>
        </w:rPr>
        <w:fldChar w:fldCharType="begin"/>
      </w:r>
      <w:r w:rsidRPr="009A4AA6">
        <w:rPr>
          <w:sz w:val="24"/>
          <w:szCs w:val="24"/>
        </w:rPr>
        <w:instrText xml:space="preserve"> REF _Ref4767145 \h </w:instrText>
      </w:r>
      <w:r w:rsidRPr="002A1A90">
        <w:rPr>
          <w:sz w:val="24"/>
          <w:szCs w:val="24"/>
        </w:rPr>
        <w:instrText xml:space="preserve"> \* MERGEFORMAT </w:instrText>
      </w:r>
      <w:r w:rsidRPr="004B41A7">
        <w:rPr>
          <w:sz w:val="24"/>
          <w:szCs w:val="24"/>
        </w:rPr>
      </w:r>
      <w:r w:rsidRPr="004B41A7">
        <w:rPr>
          <w:sz w:val="24"/>
          <w:szCs w:val="24"/>
        </w:rPr>
        <w:fldChar w:fldCharType="separate"/>
      </w:r>
      <w:r w:rsidR="00304F5F" w:rsidRPr="00304F5F">
        <w:rPr>
          <w:sz w:val="24"/>
          <w:szCs w:val="24"/>
        </w:rPr>
        <w:t>Tabela 2</w:t>
      </w:r>
      <w:r w:rsidRPr="004B41A7">
        <w:rPr>
          <w:sz w:val="24"/>
          <w:szCs w:val="24"/>
        </w:rPr>
        <w:fldChar w:fldCharType="end"/>
      </w:r>
      <w:r>
        <w:rPr>
          <w:sz w:val="24"/>
          <w:szCs w:val="24"/>
        </w:rPr>
        <w:t>.</w:t>
      </w:r>
    </w:p>
    <w:p w14:paraId="63BEFBFB" w14:textId="4E239BD9" w:rsidR="000D17A6" w:rsidRPr="0022645B" w:rsidRDefault="000D17A6" w:rsidP="0091119D">
      <w:pPr>
        <w:pStyle w:val="Legenda"/>
        <w:spacing w:before="240" w:after="120"/>
        <w:jc w:val="center"/>
        <w:rPr>
          <w:rFonts w:asciiTheme="minorHAnsi" w:hAnsiTheme="minorHAnsi"/>
          <w:i w:val="0"/>
          <w:color w:val="auto"/>
          <w:sz w:val="22"/>
          <w:szCs w:val="22"/>
        </w:rPr>
      </w:pPr>
      <w:bookmarkStart w:id="39" w:name="_Ref4767145"/>
      <w:bookmarkStart w:id="40" w:name="_Toc5027581"/>
      <w:bookmarkStart w:id="41" w:name="_Toc69121348"/>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2</w:t>
      </w:r>
      <w:r w:rsidRPr="0022645B">
        <w:rPr>
          <w:rFonts w:asciiTheme="minorHAnsi" w:hAnsiTheme="minorHAnsi"/>
          <w:i w:val="0"/>
          <w:color w:val="auto"/>
          <w:sz w:val="22"/>
          <w:szCs w:val="22"/>
        </w:rPr>
        <w:fldChar w:fldCharType="end"/>
      </w:r>
      <w:bookmarkEnd w:id="39"/>
      <w:r w:rsidR="00B50E17">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 Previsão das Receitas Administradas pela RFB em </w:t>
      </w:r>
      <w:bookmarkEnd w:id="40"/>
      <w:r w:rsidRPr="0022645B">
        <w:rPr>
          <w:rFonts w:asciiTheme="minorHAnsi" w:hAnsiTheme="minorHAnsi"/>
          <w:i w:val="0"/>
          <w:color w:val="auto"/>
          <w:sz w:val="22"/>
          <w:szCs w:val="22"/>
        </w:rPr>
        <w:t>20</w:t>
      </w:r>
      <w:r w:rsidR="00B65818">
        <w:rPr>
          <w:rFonts w:asciiTheme="minorHAnsi" w:hAnsiTheme="minorHAnsi"/>
          <w:i w:val="0"/>
          <w:color w:val="auto"/>
          <w:sz w:val="22"/>
          <w:szCs w:val="22"/>
        </w:rPr>
        <w:t>20</w:t>
      </w:r>
      <w:bookmarkEnd w:id="41"/>
    </w:p>
    <w:tbl>
      <w:tblPr>
        <w:tblW w:w="9939" w:type="dxa"/>
        <w:tblLayout w:type="fixed"/>
        <w:tblCellMar>
          <w:left w:w="70" w:type="dxa"/>
          <w:right w:w="70" w:type="dxa"/>
        </w:tblCellMar>
        <w:tblLook w:val="04A0" w:firstRow="1" w:lastRow="0" w:firstColumn="1" w:lastColumn="0" w:noHBand="0" w:noVBand="1"/>
      </w:tblPr>
      <w:tblGrid>
        <w:gridCol w:w="3261"/>
        <w:gridCol w:w="974"/>
        <w:gridCol w:w="928"/>
        <w:gridCol w:w="929"/>
        <w:gridCol w:w="929"/>
        <w:gridCol w:w="929"/>
        <w:gridCol w:w="929"/>
        <w:gridCol w:w="1044"/>
        <w:gridCol w:w="16"/>
      </w:tblGrid>
      <w:tr w:rsidR="00B17F23" w:rsidRPr="00955CB1" w14:paraId="1F44F020" w14:textId="77777777" w:rsidTr="009150FE">
        <w:trPr>
          <w:trHeight w:val="252"/>
          <w:tblHeader/>
        </w:trPr>
        <w:tc>
          <w:tcPr>
            <w:tcW w:w="9939" w:type="dxa"/>
            <w:gridSpan w:val="9"/>
            <w:tcBorders>
              <w:bottom w:val="single" w:sz="4" w:space="0" w:color="BFBFBF" w:themeColor="background1" w:themeShade="BF"/>
            </w:tcBorders>
            <w:shd w:val="clear" w:color="auto" w:fill="auto"/>
            <w:noWrap/>
            <w:vAlign w:val="center"/>
          </w:tcPr>
          <w:p w14:paraId="04FDFFA4" w14:textId="77777777" w:rsidR="00B17F23" w:rsidRPr="00955CB1" w:rsidRDefault="00B17F23" w:rsidP="0021468A">
            <w:pPr>
              <w:spacing w:after="0" w:line="240" w:lineRule="auto"/>
              <w:jc w:val="right"/>
              <w:rPr>
                <w:rFonts w:eastAsia="Times New Roman" w:cstheme="minorHAnsi"/>
                <w:sz w:val="16"/>
                <w:szCs w:val="16"/>
                <w:lang w:eastAsia="pt-BR"/>
              </w:rPr>
            </w:pPr>
            <w:r w:rsidRPr="00955CB1">
              <w:rPr>
                <w:rFonts w:eastAsia="Times New Roman" w:cstheme="minorHAnsi"/>
                <w:i/>
                <w:sz w:val="16"/>
                <w:szCs w:val="16"/>
                <w:lang w:eastAsia="pt-BR"/>
              </w:rPr>
              <w:t>Em R$ milhões</w:t>
            </w:r>
          </w:p>
        </w:tc>
      </w:tr>
      <w:tr w:rsidR="00B17F23" w:rsidRPr="002706DB" w14:paraId="49EF73CD" w14:textId="77777777" w:rsidTr="009150FE">
        <w:trPr>
          <w:trHeight w:val="514"/>
          <w:tblHeader/>
        </w:trPr>
        <w:tc>
          <w:tcPr>
            <w:tcW w:w="326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noWrap/>
            <w:vAlign w:val="center"/>
            <w:hideMark/>
          </w:tcPr>
          <w:p w14:paraId="32BCC249" w14:textId="77777777" w:rsidR="00B17F23" w:rsidRPr="002706DB" w:rsidRDefault="00B17F23" w:rsidP="0021468A">
            <w:pPr>
              <w:spacing w:after="0" w:line="240" w:lineRule="auto"/>
              <w:jc w:val="center"/>
              <w:rPr>
                <w:rFonts w:eastAsia="Times New Roman" w:cstheme="minorHAnsi"/>
                <w:b/>
                <w:bCs/>
                <w:color w:val="FFFFFF"/>
                <w:sz w:val="20"/>
                <w:szCs w:val="20"/>
                <w:lang w:eastAsia="pt-BR"/>
              </w:rPr>
            </w:pPr>
            <w:r w:rsidRPr="002706DB">
              <w:rPr>
                <w:rFonts w:eastAsia="Times New Roman" w:cstheme="minorHAnsi"/>
                <w:b/>
                <w:bCs/>
                <w:color w:val="FFFFFF"/>
                <w:sz w:val="20"/>
                <w:szCs w:val="20"/>
                <w:lang w:eastAsia="pt-BR"/>
              </w:rPr>
              <w:t>Receitas</w:t>
            </w:r>
          </w:p>
        </w:tc>
        <w:tc>
          <w:tcPr>
            <w:tcW w:w="97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noWrap/>
            <w:vAlign w:val="center"/>
            <w:hideMark/>
          </w:tcPr>
          <w:p w14:paraId="0E762903"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eastAsia="pt-BR"/>
              </w:rPr>
              <w:t>Legislativo</w:t>
            </w:r>
          </w:p>
          <w:p w14:paraId="66101E4C"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eastAsia="pt-BR"/>
              </w:rPr>
              <w:t>LOA</w:t>
            </w:r>
          </w:p>
          <w:p w14:paraId="13672B05"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eastAsia="pt-BR"/>
              </w:rPr>
              <w:t>2020</w:t>
            </w:r>
          </w:p>
        </w:tc>
        <w:tc>
          <w:tcPr>
            <w:tcW w:w="464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noWrap/>
            <w:vAlign w:val="center"/>
            <w:hideMark/>
          </w:tcPr>
          <w:p w14:paraId="77EA1762" w14:textId="77777777" w:rsidR="00B17F23" w:rsidRPr="002706DB" w:rsidRDefault="00B17F23" w:rsidP="0021468A">
            <w:pPr>
              <w:spacing w:after="0" w:line="240" w:lineRule="auto"/>
              <w:jc w:val="center"/>
              <w:rPr>
                <w:rFonts w:eastAsia="Times New Roman" w:cstheme="minorHAnsi"/>
                <w:b/>
                <w:bCs/>
                <w:color w:val="FFFFFF"/>
                <w:sz w:val="20"/>
                <w:szCs w:val="20"/>
                <w:lang w:eastAsia="pt-BR"/>
              </w:rPr>
            </w:pPr>
            <w:r w:rsidRPr="002706DB">
              <w:rPr>
                <w:rFonts w:eastAsia="Times New Roman" w:cstheme="minorHAnsi"/>
                <w:b/>
                <w:bCs/>
                <w:color w:val="FFFFFF"/>
                <w:sz w:val="20"/>
                <w:szCs w:val="20"/>
                <w:lang w:eastAsia="pt-BR"/>
              </w:rPr>
              <w:t>Executivo</w:t>
            </w:r>
          </w:p>
        </w:tc>
        <w:tc>
          <w:tcPr>
            <w:tcW w:w="1060"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6A90101F" w14:textId="77777777" w:rsidR="00B17F23" w:rsidRPr="009150FE" w:rsidRDefault="00B17F23" w:rsidP="0021468A">
            <w:pPr>
              <w:spacing w:after="0" w:line="240" w:lineRule="auto"/>
              <w:jc w:val="center"/>
              <w:rPr>
                <w:rFonts w:eastAsia="Times New Roman" w:cstheme="minorHAnsi"/>
                <w:b/>
                <w:bCs/>
                <w:color w:val="FFFFFF"/>
                <w:sz w:val="17"/>
                <w:szCs w:val="17"/>
                <w:lang w:eastAsia="pt-BR"/>
              </w:rPr>
            </w:pPr>
            <w:r w:rsidRPr="009150FE">
              <w:rPr>
                <w:rFonts w:eastAsia="Times New Roman" w:cstheme="minorHAnsi"/>
                <w:b/>
                <w:bCs/>
                <w:color w:val="FFFFFF"/>
                <w:sz w:val="17"/>
                <w:szCs w:val="17"/>
                <w:lang w:eastAsia="pt-BR"/>
              </w:rPr>
              <w:t>Arrecadação</w:t>
            </w:r>
          </w:p>
          <w:p w14:paraId="33C7697A" w14:textId="77777777" w:rsidR="00B17F23" w:rsidRPr="009150FE" w:rsidRDefault="00B17F23" w:rsidP="0021468A">
            <w:pPr>
              <w:spacing w:after="0" w:line="240" w:lineRule="auto"/>
              <w:jc w:val="center"/>
              <w:rPr>
                <w:rFonts w:eastAsia="Times New Roman" w:cstheme="minorHAnsi"/>
                <w:b/>
                <w:bCs/>
                <w:color w:val="FFFFFF"/>
                <w:sz w:val="17"/>
                <w:szCs w:val="17"/>
                <w:lang w:eastAsia="pt-BR"/>
              </w:rPr>
            </w:pPr>
            <w:r w:rsidRPr="009150FE">
              <w:rPr>
                <w:rFonts w:eastAsia="Times New Roman" w:cstheme="minorHAnsi"/>
                <w:b/>
                <w:bCs/>
                <w:color w:val="FFFFFF"/>
                <w:sz w:val="17"/>
                <w:szCs w:val="17"/>
                <w:lang w:eastAsia="pt-BR"/>
              </w:rPr>
              <w:t>Efetiva</w:t>
            </w:r>
          </w:p>
          <w:p w14:paraId="04263C99" w14:textId="77777777" w:rsidR="00B17F23" w:rsidRPr="009150FE" w:rsidRDefault="00B17F23" w:rsidP="0021468A">
            <w:pPr>
              <w:spacing w:after="0" w:line="240" w:lineRule="auto"/>
              <w:jc w:val="center"/>
              <w:rPr>
                <w:rFonts w:eastAsia="Times New Roman" w:cstheme="minorHAnsi"/>
                <w:b/>
                <w:bCs/>
                <w:color w:val="FFFFFF"/>
                <w:sz w:val="17"/>
                <w:szCs w:val="17"/>
                <w:lang w:eastAsia="pt-BR"/>
              </w:rPr>
            </w:pPr>
            <w:r w:rsidRPr="009150FE">
              <w:rPr>
                <w:rFonts w:eastAsia="Times New Roman" w:cstheme="minorHAnsi"/>
                <w:b/>
                <w:bCs/>
                <w:color w:val="FFFFFF"/>
                <w:sz w:val="17"/>
                <w:szCs w:val="17"/>
                <w:lang w:eastAsia="pt-BR"/>
              </w:rPr>
              <w:t>2020</w:t>
            </w:r>
          </w:p>
        </w:tc>
      </w:tr>
      <w:tr w:rsidR="00B17F23" w:rsidRPr="002706DB" w14:paraId="30949C11" w14:textId="77777777" w:rsidTr="009150FE">
        <w:trPr>
          <w:trHeight w:val="388"/>
          <w:tblHeader/>
        </w:trPr>
        <w:tc>
          <w:tcPr>
            <w:tcW w:w="3261"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3A5E7C" w14:textId="77777777" w:rsidR="00B17F23" w:rsidRPr="002706DB" w:rsidRDefault="00B17F23" w:rsidP="0021468A">
            <w:pPr>
              <w:spacing w:after="0" w:line="240" w:lineRule="auto"/>
              <w:rPr>
                <w:rFonts w:eastAsia="Times New Roman" w:cstheme="minorHAnsi"/>
                <w:color w:val="FFFFFF"/>
                <w:sz w:val="18"/>
                <w:szCs w:val="18"/>
                <w:lang w:eastAsia="pt-BR"/>
              </w:rPr>
            </w:pPr>
          </w:p>
        </w:tc>
        <w:tc>
          <w:tcPr>
            <w:tcW w:w="974"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noWrap/>
            <w:vAlign w:val="center"/>
            <w:hideMark/>
          </w:tcPr>
          <w:p w14:paraId="14477AD0" w14:textId="77777777" w:rsidR="00B17F23" w:rsidRPr="002706DB" w:rsidRDefault="00B17F23" w:rsidP="0021468A">
            <w:pPr>
              <w:spacing w:after="0" w:line="240" w:lineRule="auto"/>
              <w:jc w:val="center"/>
              <w:rPr>
                <w:rFonts w:eastAsia="Times New Roman" w:cstheme="minorHAnsi"/>
                <w:color w:val="FFFFFF"/>
                <w:sz w:val="18"/>
                <w:szCs w:val="18"/>
                <w:lang w:eastAsia="pt-BR"/>
              </w:rPr>
            </w:pP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153F4726"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val="pt-PT" w:eastAsia="pt-BR"/>
              </w:rPr>
              <w:t>DEC. Nº 10.295/20</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37992F28"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val="pt-PT" w:eastAsia="pt-BR"/>
              </w:rPr>
              <w:t>DEC. Nº 10.385/20</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0AB2EDC6"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val="pt-PT" w:eastAsia="pt-BR"/>
              </w:rPr>
              <w:t>DEC. Nº 10.444/20</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0D58690C"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val="pt-PT" w:eastAsia="pt-BR"/>
              </w:rPr>
              <w:t>DEC. Nº 10.500/20</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13C2B9F8" w14:textId="77777777" w:rsidR="00B17F23" w:rsidRPr="00537579" w:rsidRDefault="00B17F23" w:rsidP="0021468A">
            <w:pPr>
              <w:spacing w:after="0" w:line="240" w:lineRule="auto"/>
              <w:jc w:val="center"/>
              <w:rPr>
                <w:rFonts w:eastAsia="Times New Roman" w:cstheme="minorHAnsi"/>
                <w:b/>
                <w:bCs/>
                <w:color w:val="FFFFFF"/>
                <w:sz w:val="18"/>
                <w:szCs w:val="18"/>
                <w:lang w:eastAsia="pt-BR"/>
              </w:rPr>
            </w:pPr>
            <w:r w:rsidRPr="00537579">
              <w:rPr>
                <w:rFonts w:eastAsia="Times New Roman" w:cstheme="minorHAnsi"/>
                <w:b/>
                <w:bCs/>
                <w:color w:val="FFFFFF"/>
                <w:sz w:val="18"/>
                <w:szCs w:val="18"/>
                <w:lang w:val="pt-PT" w:eastAsia="pt-BR"/>
              </w:rPr>
              <w:t>DEC. Nº 10.556/20</w:t>
            </w:r>
          </w:p>
        </w:tc>
        <w:tc>
          <w:tcPr>
            <w:tcW w:w="1060" w:type="dxa"/>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306512F2" w14:textId="77777777" w:rsidR="00B17F23" w:rsidRPr="002706DB" w:rsidRDefault="00B17F23" w:rsidP="0021468A">
            <w:pPr>
              <w:spacing w:after="0" w:line="240" w:lineRule="auto"/>
              <w:jc w:val="center"/>
              <w:rPr>
                <w:rFonts w:eastAsia="Times New Roman" w:cstheme="minorHAnsi"/>
                <w:b/>
                <w:bCs/>
                <w:color w:val="FFFFFF"/>
                <w:sz w:val="18"/>
                <w:szCs w:val="18"/>
                <w:lang w:eastAsia="pt-BR"/>
              </w:rPr>
            </w:pPr>
          </w:p>
        </w:tc>
      </w:tr>
      <w:tr w:rsidR="002706DB" w:rsidRPr="002706DB" w14:paraId="5601DC28"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5033FCF6"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Imposto sobre a Importação</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757C3976"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47.202</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39B56ABD"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49.049</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7FCCACB3"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40.419</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6A0A3946"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39.076</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25442226"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43.401</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41DEDEFA"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42.607</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1E1CE820"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45.744</w:t>
            </w:r>
          </w:p>
        </w:tc>
      </w:tr>
      <w:tr w:rsidR="00B17F23" w:rsidRPr="002706DB" w14:paraId="43156DF6"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067BDC7"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Imposto sobre Produtos Industrializados</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6E84D90"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59.299</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8F47816"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55.836</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5AFB79D"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44.642</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123D0C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45.451</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60D8530"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50.932</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FBB57EF"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53.275</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12928F8"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56.695</w:t>
            </w:r>
          </w:p>
        </w:tc>
      </w:tr>
      <w:tr w:rsidR="002706DB" w:rsidRPr="002706DB" w14:paraId="4F157C1A"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2828553A"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Imposto sobre a Renda</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2E5A6A43"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410.645</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5DAB5E2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422.745</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1248323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398.268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76BB7AB0"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380.774</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115EA4CE"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373.800</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76E537D8"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383.960</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529C3E7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384.125</w:t>
            </w:r>
          </w:p>
        </w:tc>
      </w:tr>
      <w:tr w:rsidR="00B17F23" w:rsidRPr="002706DB" w14:paraId="44332127"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46CA9D"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Imposto s/ Operações Financeiras (IOF)</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4D7A25A"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43.271</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F7C552D"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45.138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FDC6A34"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36.118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E311F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29.125</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335696E"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29.176</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31A70FC"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21.657</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6D4D16"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22.048</w:t>
            </w:r>
          </w:p>
        </w:tc>
      </w:tr>
      <w:tr w:rsidR="002706DB" w:rsidRPr="002706DB" w14:paraId="0CE79D6C"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788BBF0A"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Contribuição Seguridade Social (COFINS)</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242CD5BA"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259.045</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670FF40B"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245.839</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6A124207"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228.828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597C064B"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231.003</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060A5FD7"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224.695</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570B607E"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225.162</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6A81B41D"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221.964</w:t>
            </w:r>
          </w:p>
        </w:tc>
      </w:tr>
      <w:tr w:rsidR="00B17F23" w:rsidRPr="002706DB" w14:paraId="7D1EB125"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C8EE664"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Contribuição para o PIS/PASEP</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1295FFA"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71.506</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539E8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67.773</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1F5C7C3"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63.268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FD4897"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63.031</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BD68240"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62.477</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F4FB056"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64.100</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2C9A0C"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62.594</w:t>
            </w:r>
          </w:p>
        </w:tc>
      </w:tr>
      <w:tr w:rsidR="002706DB" w:rsidRPr="002706DB" w14:paraId="6BD694D0"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1D7EE323"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lastRenderedPageBreak/>
              <w:t>Contribuição Social s/ Lucro Líquido (CSLL)</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27DC7196"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87.058</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4EFE3FFD"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86.530</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0AE9A51B"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80.102</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406FA844"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79.205</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16972008"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76.377</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3EB498E4"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78.245</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315A2F55"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79.319</w:t>
            </w:r>
          </w:p>
        </w:tc>
      </w:tr>
      <w:tr w:rsidR="00B17F23" w:rsidRPr="002706DB" w14:paraId="0E2047CE"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217CD9A"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CIDE - Combustíveis</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373EED"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2.863</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75C37F"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2.763</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D997DC"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2.402</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A399A8"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2.278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D4A877D"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2.333</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F3CAEDC"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2.373</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60D0FB5"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1.988</w:t>
            </w:r>
          </w:p>
        </w:tc>
      </w:tr>
      <w:tr w:rsidR="002706DB" w:rsidRPr="002706DB" w14:paraId="02646D79"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076F7465" w14:textId="77777777" w:rsidR="00B17F23" w:rsidRPr="002706DB" w:rsidRDefault="00B17F23" w:rsidP="0021468A">
            <w:pPr>
              <w:spacing w:after="0" w:line="240" w:lineRule="auto"/>
              <w:rPr>
                <w:rFonts w:eastAsia="Times New Roman" w:cstheme="minorHAnsi"/>
                <w:color w:val="000000"/>
                <w:sz w:val="18"/>
                <w:szCs w:val="18"/>
                <w:lang w:eastAsia="pt-BR"/>
              </w:rPr>
            </w:pPr>
            <w:r w:rsidRPr="002706DB">
              <w:rPr>
                <w:rFonts w:eastAsia="Times New Roman" w:cstheme="minorHAnsi"/>
                <w:color w:val="000000"/>
                <w:sz w:val="18"/>
                <w:szCs w:val="18"/>
                <w:lang w:eastAsia="pt-BR"/>
              </w:rPr>
              <w:t>Outras administradas pela RFB</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59D0EFE7"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22.120</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3F904703"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22.113</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1D010C9E"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20.431</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4C4DCAA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21.493</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5F649740"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21.891</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310B54A2"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23.566</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F2F2"/>
            <w:noWrap/>
            <w:vAlign w:val="center"/>
            <w:hideMark/>
          </w:tcPr>
          <w:p w14:paraId="1ABA9149" w14:textId="77777777" w:rsidR="00B17F23" w:rsidRPr="002706DB" w:rsidRDefault="00B17F23" w:rsidP="0021468A">
            <w:pPr>
              <w:spacing w:after="0" w:line="240" w:lineRule="auto"/>
              <w:jc w:val="right"/>
              <w:rPr>
                <w:rFonts w:eastAsia="Times New Roman" w:cstheme="minorHAnsi"/>
                <w:color w:val="000000"/>
                <w:sz w:val="18"/>
                <w:szCs w:val="18"/>
                <w:lang w:eastAsia="pt-BR"/>
              </w:rPr>
            </w:pPr>
            <w:r w:rsidRPr="002706DB">
              <w:rPr>
                <w:rFonts w:eastAsia="Times New Roman" w:cstheme="minorHAnsi"/>
                <w:color w:val="000000"/>
                <w:sz w:val="18"/>
                <w:szCs w:val="18"/>
                <w:lang w:val="pt-PT" w:eastAsia="pt-BR"/>
              </w:rPr>
              <w:t>25.046</w:t>
            </w:r>
          </w:p>
        </w:tc>
      </w:tr>
      <w:tr w:rsidR="002706DB" w:rsidRPr="00955CB1" w14:paraId="3E8C3D43"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61C8672A" w14:textId="77777777" w:rsidR="00B17F23" w:rsidRPr="00955CB1" w:rsidRDefault="00B17F23" w:rsidP="0021468A">
            <w:pPr>
              <w:spacing w:after="0" w:line="240" w:lineRule="auto"/>
              <w:rPr>
                <w:rFonts w:eastAsia="Times New Roman" w:cstheme="minorHAnsi"/>
                <w:b/>
                <w:bCs/>
                <w:color w:val="FFFFFF"/>
                <w:sz w:val="18"/>
                <w:szCs w:val="18"/>
                <w:lang w:eastAsia="pt-BR"/>
              </w:rPr>
            </w:pPr>
            <w:r w:rsidRPr="00955CB1">
              <w:rPr>
                <w:rFonts w:eastAsia="Times New Roman" w:cstheme="minorHAnsi"/>
                <w:b/>
                <w:bCs/>
                <w:color w:val="FFFFFF"/>
                <w:sz w:val="18"/>
                <w:szCs w:val="18"/>
                <w:lang w:eastAsia="pt-BR"/>
              </w:rPr>
              <w:t>Subtotal (a)</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602A968B" w14:textId="77777777" w:rsidR="00B17F23" w:rsidRPr="00955CB1" w:rsidRDefault="00B17F23"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1.003.010</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5CDE2CA2" w14:textId="77777777" w:rsidR="00B17F23" w:rsidRPr="00955CB1" w:rsidRDefault="00B17F23"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997.786</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52633065" w14:textId="77777777" w:rsidR="00B17F23" w:rsidRPr="00955CB1" w:rsidRDefault="00B17F23"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914.478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424481F6" w14:textId="77777777" w:rsidR="00B17F23" w:rsidRPr="00955CB1" w:rsidRDefault="00B17F23"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891.436</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593A8A17" w14:textId="77777777" w:rsidR="00B17F23" w:rsidRPr="00955CB1" w:rsidRDefault="00B17F23"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885.082</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35D07863" w14:textId="77777777" w:rsidR="00B17F23" w:rsidRPr="00955CB1" w:rsidRDefault="00B17F23"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894.946</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19A73440" w14:textId="77777777" w:rsidR="00B17F23" w:rsidRPr="00955CB1" w:rsidRDefault="00B17F23"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899.523</w:t>
            </w:r>
          </w:p>
        </w:tc>
      </w:tr>
      <w:tr w:rsidR="00B17F23" w:rsidRPr="00955CB1" w14:paraId="0E82210E"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5170E28" w14:textId="77777777" w:rsidR="00B17F23" w:rsidRPr="00955CB1" w:rsidRDefault="00B17F23" w:rsidP="0021468A">
            <w:pPr>
              <w:spacing w:after="0" w:line="240" w:lineRule="auto"/>
              <w:rPr>
                <w:rFonts w:eastAsia="Times New Roman" w:cstheme="minorHAnsi"/>
                <w:b/>
                <w:bCs/>
                <w:color w:val="000000"/>
                <w:sz w:val="18"/>
                <w:szCs w:val="18"/>
                <w:lang w:eastAsia="pt-BR"/>
              </w:rPr>
            </w:pPr>
            <w:r w:rsidRPr="00955CB1">
              <w:rPr>
                <w:rFonts w:eastAsia="Times New Roman" w:cstheme="minorHAnsi"/>
                <w:b/>
                <w:bCs/>
                <w:color w:val="000000"/>
                <w:sz w:val="18"/>
                <w:szCs w:val="18"/>
                <w:lang w:eastAsia="pt-BR"/>
              </w:rPr>
              <w:t>Previdenciária (b)</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086CDB5" w14:textId="77777777" w:rsidR="00B17F23" w:rsidRPr="00955CB1" w:rsidRDefault="00B17F23" w:rsidP="0021468A">
            <w:pPr>
              <w:spacing w:after="0" w:line="240" w:lineRule="auto"/>
              <w:jc w:val="right"/>
              <w:rPr>
                <w:rFonts w:eastAsia="Times New Roman" w:cstheme="minorHAnsi"/>
                <w:b/>
                <w:bCs/>
                <w:color w:val="000000"/>
                <w:sz w:val="18"/>
                <w:szCs w:val="18"/>
                <w:lang w:eastAsia="pt-BR"/>
              </w:rPr>
            </w:pPr>
            <w:r w:rsidRPr="00955CB1">
              <w:rPr>
                <w:rFonts w:eastAsia="Times New Roman" w:cstheme="minorHAnsi"/>
                <w:b/>
                <w:bCs/>
                <w:color w:val="000000"/>
                <w:sz w:val="18"/>
                <w:szCs w:val="18"/>
                <w:lang w:val="pt-PT" w:eastAsia="pt-BR"/>
              </w:rPr>
              <w:t>426.191</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8E3C92" w14:textId="77777777" w:rsidR="00B17F23" w:rsidRPr="00955CB1" w:rsidRDefault="00B17F23" w:rsidP="0021468A">
            <w:pPr>
              <w:spacing w:after="0" w:line="240" w:lineRule="auto"/>
              <w:jc w:val="right"/>
              <w:rPr>
                <w:rFonts w:eastAsia="Times New Roman" w:cstheme="minorHAnsi"/>
                <w:b/>
                <w:bCs/>
                <w:color w:val="000000"/>
                <w:sz w:val="18"/>
                <w:szCs w:val="18"/>
                <w:lang w:eastAsia="pt-BR"/>
              </w:rPr>
            </w:pPr>
            <w:r w:rsidRPr="00955CB1">
              <w:rPr>
                <w:rFonts w:eastAsia="Times New Roman" w:cstheme="minorHAnsi"/>
                <w:b/>
                <w:bCs/>
                <w:color w:val="000000"/>
                <w:sz w:val="18"/>
                <w:szCs w:val="18"/>
                <w:lang w:val="pt-PT" w:eastAsia="pt-BR"/>
              </w:rPr>
              <w:t>426.267</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1B68023" w14:textId="77777777" w:rsidR="00B17F23" w:rsidRPr="00955CB1" w:rsidRDefault="00B17F23" w:rsidP="0021468A">
            <w:pPr>
              <w:spacing w:after="0" w:line="240" w:lineRule="auto"/>
              <w:jc w:val="right"/>
              <w:rPr>
                <w:rFonts w:eastAsia="Times New Roman" w:cstheme="minorHAnsi"/>
                <w:b/>
                <w:bCs/>
                <w:color w:val="000000"/>
                <w:sz w:val="18"/>
                <w:szCs w:val="18"/>
                <w:lang w:eastAsia="pt-BR"/>
              </w:rPr>
            </w:pPr>
            <w:r w:rsidRPr="00955CB1">
              <w:rPr>
                <w:rFonts w:eastAsia="Times New Roman" w:cstheme="minorHAnsi"/>
                <w:b/>
                <w:bCs/>
                <w:color w:val="000000"/>
                <w:sz w:val="18"/>
                <w:szCs w:val="18"/>
                <w:lang w:val="pt-PT" w:eastAsia="pt-BR"/>
              </w:rPr>
              <w:t>392.526</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5E8E84" w14:textId="77777777" w:rsidR="00B17F23" w:rsidRPr="00955CB1" w:rsidRDefault="00B17F23" w:rsidP="0021468A">
            <w:pPr>
              <w:spacing w:after="0" w:line="240" w:lineRule="auto"/>
              <w:jc w:val="right"/>
              <w:rPr>
                <w:rFonts w:eastAsia="Times New Roman" w:cstheme="minorHAnsi"/>
                <w:b/>
                <w:bCs/>
                <w:color w:val="000000"/>
                <w:sz w:val="18"/>
                <w:szCs w:val="18"/>
                <w:lang w:eastAsia="pt-BR"/>
              </w:rPr>
            </w:pPr>
            <w:r w:rsidRPr="00955CB1">
              <w:rPr>
                <w:rFonts w:eastAsia="Times New Roman" w:cstheme="minorHAnsi"/>
                <w:b/>
                <w:bCs/>
                <w:color w:val="000000"/>
                <w:sz w:val="18"/>
                <w:szCs w:val="18"/>
                <w:lang w:val="pt-PT" w:eastAsia="pt-BR"/>
              </w:rPr>
              <w:t>391.605</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38E2296" w14:textId="77777777" w:rsidR="00B17F23" w:rsidRPr="00955CB1" w:rsidRDefault="00B17F23" w:rsidP="0021468A">
            <w:pPr>
              <w:spacing w:after="0" w:line="240" w:lineRule="auto"/>
              <w:jc w:val="right"/>
              <w:rPr>
                <w:rFonts w:eastAsia="Times New Roman" w:cstheme="minorHAnsi"/>
                <w:b/>
                <w:bCs/>
                <w:color w:val="000000"/>
                <w:sz w:val="18"/>
                <w:szCs w:val="18"/>
                <w:lang w:eastAsia="pt-BR"/>
              </w:rPr>
            </w:pPr>
            <w:r w:rsidRPr="00955CB1">
              <w:rPr>
                <w:rFonts w:eastAsia="Times New Roman" w:cstheme="minorHAnsi"/>
                <w:b/>
                <w:bCs/>
                <w:color w:val="000000"/>
                <w:sz w:val="18"/>
                <w:szCs w:val="18"/>
                <w:lang w:val="pt-PT" w:eastAsia="pt-BR"/>
              </w:rPr>
              <w:t>389.148</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ED1BD05" w14:textId="77777777" w:rsidR="00B17F23" w:rsidRPr="00955CB1" w:rsidRDefault="00B17F23" w:rsidP="0021468A">
            <w:pPr>
              <w:spacing w:after="0" w:line="240" w:lineRule="auto"/>
              <w:jc w:val="right"/>
              <w:rPr>
                <w:rFonts w:eastAsia="Times New Roman" w:cstheme="minorHAnsi"/>
                <w:b/>
                <w:bCs/>
                <w:color w:val="000000"/>
                <w:sz w:val="18"/>
                <w:szCs w:val="18"/>
                <w:lang w:eastAsia="pt-BR"/>
              </w:rPr>
            </w:pPr>
            <w:r w:rsidRPr="00955CB1">
              <w:rPr>
                <w:rFonts w:eastAsia="Times New Roman" w:cstheme="minorHAnsi"/>
                <w:b/>
                <w:bCs/>
                <w:color w:val="000000"/>
                <w:sz w:val="18"/>
                <w:szCs w:val="18"/>
                <w:lang w:val="pt-PT" w:eastAsia="pt-BR"/>
              </w:rPr>
              <w:t>393.367</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F4D2B47" w14:textId="77777777" w:rsidR="00B17F23" w:rsidRPr="00955CB1" w:rsidRDefault="00B17F23" w:rsidP="0021468A">
            <w:pPr>
              <w:spacing w:after="0" w:line="240" w:lineRule="auto"/>
              <w:jc w:val="right"/>
              <w:rPr>
                <w:rFonts w:eastAsia="Times New Roman" w:cstheme="minorHAnsi"/>
                <w:b/>
                <w:bCs/>
                <w:color w:val="000000"/>
                <w:sz w:val="18"/>
                <w:szCs w:val="18"/>
                <w:lang w:eastAsia="pt-BR"/>
              </w:rPr>
            </w:pPr>
            <w:r w:rsidRPr="00955CB1">
              <w:rPr>
                <w:rFonts w:eastAsia="Times New Roman" w:cstheme="minorHAnsi"/>
                <w:b/>
                <w:bCs/>
                <w:color w:val="000000"/>
                <w:sz w:val="18"/>
                <w:szCs w:val="18"/>
                <w:lang w:val="pt-PT" w:eastAsia="pt-BR"/>
              </w:rPr>
              <w:t>395.365</w:t>
            </w:r>
          </w:p>
        </w:tc>
      </w:tr>
      <w:tr w:rsidR="00F54184" w:rsidRPr="00955CB1" w14:paraId="621E551E" w14:textId="77777777" w:rsidTr="00F54184">
        <w:trPr>
          <w:trHeight w:val="227"/>
        </w:trPr>
        <w:tc>
          <w:tcPr>
            <w:tcW w:w="3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3177352E" w14:textId="77777777" w:rsidR="00F54184" w:rsidRPr="00955CB1" w:rsidRDefault="00F54184" w:rsidP="0021468A">
            <w:pPr>
              <w:spacing w:after="0" w:line="240" w:lineRule="auto"/>
              <w:rPr>
                <w:rFonts w:eastAsia="Times New Roman" w:cstheme="minorHAnsi"/>
                <w:b/>
                <w:bCs/>
                <w:color w:val="FFFFFF"/>
                <w:sz w:val="18"/>
                <w:szCs w:val="18"/>
                <w:lang w:eastAsia="pt-BR"/>
              </w:rPr>
            </w:pPr>
            <w:r w:rsidRPr="00955CB1">
              <w:rPr>
                <w:rFonts w:eastAsia="Times New Roman" w:cstheme="minorHAnsi"/>
                <w:b/>
                <w:bCs/>
                <w:color w:val="FFFFFF"/>
                <w:sz w:val="18"/>
                <w:szCs w:val="18"/>
                <w:lang w:eastAsia="pt-BR"/>
              </w:rPr>
              <w:t>Total (a)+(b)</w:t>
            </w:r>
          </w:p>
        </w:tc>
        <w:tc>
          <w:tcPr>
            <w:tcW w:w="9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453FE8FF" w14:textId="77777777" w:rsidR="00F54184" w:rsidRPr="00955CB1" w:rsidRDefault="00F54184"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1.429.201</w:t>
            </w:r>
          </w:p>
        </w:tc>
        <w:tc>
          <w:tcPr>
            <w:tcW w:w="9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3FDA5CD2" w14:textId="77777777" w:rsidR="00F54184" w:rsidRPr="00955CB1" w:rsidRDefault="00F54184"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1.424.053</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3727CA7E" w14:textId="77777777" w:rsidR="00F54184" w:rsidRPr="00955CB1" w:rsidRDefault="00F54184"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1.307.004</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0C901453" w14:textId="77777777" w:rsidR="00F54184" w:rsidRPr="00955CB1" w:rsidRDefault="00F54184"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1.283.041</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0E6871BF" w14:textId="77777777" w:rsidR="00F54184" w:rsidRPr="00955CB1" w:rsidRDefault="00F54184"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1.274.230</w:t>
            </w:r>
          </w:p>
        </w:tc>
        <w:tc>
          <w:tcPr>
            <w:tcW w:w="9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57E06BB3" w14:textId="77777777" w:rsidR="00F54184" w:rsidRPr="00955CB1" w:rsidRDefault="00F54184"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1.288.313</w:t>
            </w:r>
          </w:p>
        </w:tc>
        <w:tc>
          <w:tcPr>
            <w:tcW w:w="1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7F7F"/>
            <w:noWrap/>
            <w:vAlign w:val="center"/>
            <w:hideMark/>
          </w:tcPr>
          <w:p w14:paraId="57909E86" w14:textId="77777777" w:rsidR="00F54184" w:rsidRPr="00955CB1" w:rsidRDefault="00F54184" w:rsidP="0021468A">
            <w:pPr>
              <w:spacing w:after="0" w:line="240" w:lineRule="auto"/>
              <w:jc w:val="right"/>
              <w:rPr>
                <w:rFonts w:eastAsia="Times New Roman" w:cstheme="minorHAnsi"/>
                <w:b/>
                <w:bCs/>
                <w:color w:val="FFFFFF"/>
                <w:sz w:val="18"/>
                <w:szCs w:val="18"/>
                <w:lang w:eastAsia="pt-BR"/>
              </w:rPr>
            </w:pPr>
            <w:r w:rsidRPr="00955CB1">
              <w:rPr>
                <w:rFonts w:eastAsia="Times New Roman" w:cstheme="minorHAnsi"/>
                <w:b/>
                <w:bCs/>
                <w:color w:val="FFFFFF"/>
                <w:sz w:val="18"/>
                <w:szCs w:val="18"/>
                <w:lang w:val="pt-PT" w:eastAsia="pt-BR"/>
              </w:rPr>
              <w:t>1.294.888</w:t>
            </w:r>
          </w:p>
        </w:tc>
      </w:tr>
      <w:tr w:rsidR="00F54184" w:rsidRPr="0022645B" w14:paraId="0D53740F" w14:textId="77777777" w:rsidTr="00F54184">
        <w:tblPrEx>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6" w:type="dxa"/>
          <w:trHeight w:val="20"/>
          <w:jc w:val="center"/>
        </w:trPr>
        <w:tc>
          <w:tcPr>
            <w:tcW w:w="9923" w:type="dxa"/>
            <w:gridSpan w:val="8"/>
            <w:tcBorders>
              <w:top w:val="single" w:sz="4" w:space="0" w:color="BFBFBF" w:themeColor="background1" w:themeShade="BF"/>
              <w:left w:val="nil"/>
              <w:bottom w:val="nil"/>
              <w:right w:val="nil"/>
            </w:tcBorders>
            <w:shd w:val="clear" w:color="auto" w:fill="auto"/>
            <w:noWrap/>
            <w:vAlign w:val="center"/>
            <w:hideMark/>
          </w:tcPr>
          <w:p w14:paraId="51D902F6" w14:textId="77777777" w:rsidR="00F54184" w:rsidRPr="00D63FA0" w:rsidRDefault="00F54184" w:rsidP="0021468A">
            <w:pPr>
              <w:spacing w:after="0" w:line="240" w:lineRule="auto"/>
              <w:rPr>
                <w:rFonts w:eastAsia="Times New Roman" w:cstheme="minorHAnsi"/>
                <w:i/>
                <w:sz w:val="16"/>
                <w:szCs w:val="16"/>
                <w:lang w:eastAsia="pt-BR"/>
              </w:rPr>
            </w:pPr>
            <w:r w:rsidRPr="00D63FA0">
              <w:rPr>
                <w:rFonts w:eastAsia="Times New Roman" w:cstheme="minorHAnsi"/>
                <w:b/>
                <w:i/>
                <w:color w:val="000000"/>
                <w:sz w:val="16"/>
                <w:szCs w:val="16"/>
                <w:lang w:eastAsia="pt-BR"/>
              </w:rPr>
              <w:t>Fonte e Elaboração</w:t>
            </w:r>
            <w:r w:rsidRPr="00D63FA0">
              <w:rPr>
                <w:rFonts w:eastAsia="Times New Roman" w:cstheme="minorHAnsi"/>
                <w:i/>
                <w:color w:val="000000"/>
                <w:sz w:val="16"/>
                <w:szCs w:val="16"/>
                <w:lang w:eastAsia="pt-BR"/>
              </w:rPr>
              <w:t>: RFB/ME</w:t>
            </w:r>
            <w:r w:rsidRPr="00D63FA0">
              <w:rPr>
                <w:rFonts w:eastAsia="Times New Roman" w:cstheme="minorHAnsi"/>
                <w:i/>
                <w:iCs/>
                <w:color w:val="000000"/>
                <w:sz w:val="16"/>
                <w:szCs w:val="16"/>
                <w:lang w:eastAsia="pt-BR"/>
              </w:rPr>
              <w:t>.</w:t>
            </w:r>
          </w:p>
        </w:tc>
      </w:tr>
    </w:tbl>
    <w:p w14:paraId="1CF64056" w14:textId="77777777" w:rsidR="00DC4F17" w:rsidRDefault="00DC4F17" w:rsidP="0019448C">
      <w:pPr>
        <w:pStyle w:val="Corpodetexto2"/>
        <w:spacing w:after="120"/>
        <w:rPr>
          <w:rFonts w:asciiTheme="minorHAnsi" w:eastAsiaTheme="minorHAnsi" w:hAnsiTheme="minorHAnsi" w:cstheme="minorBidi"/>
          <w:lang w:eastAsia="en-US"/>
        </w:rPr>
      </w:pPr>
    </w:p>
    <w:p w14:paraId="530B2C8C" w14:textId="086D68BE" w:rsidR="009B20E8" w:rsidRPr="0005635F" w:rsidRDefault="009B20E8" w:rsidP="009B20E8">
      <w:pPr>
        <w:pStyle w:val="Corpodetexto2"/>
        <w:spacing w:after="120"/>
        <w:ind w:firstLine="1418"/>
        <w:rPr>
          <w:rFonts w:asciiTheme="minorHAnsi" w:eastAsiaTheme="minorHAnsi" w:hAnsiTheme="minorHAnsi" w:cstheme="minorBidi"/>
          <w:lang w:eastAsia="en-US"/>
        </w:rPr>
      </w:pPr>
      <w:bookmarkStart w:id="42" w:name="_Ref4767173"/>
      <w:bookmarkStart w:id="43" w:name="_Toc5027582"/>
      <w:r w:rsidRPr="0005635F">
        <w:rPr>
          <w:rFonts w:asciiTheme="minorHAnsi" w:eastAsiaTheme="minorHAnsi" w:hAnsiTheme="minorHAnsi" w:cstheme="minorBidi"/>
          <w:lang w:eastAsia="en-US"/>
        </w:rPr>
        <w:t>Ainda tomando como exemplo a arrecadação federal para o ano de 20</w:t>
      </w:r>
      <w:r>
        <w:rPr>
          <w:rFonts w:asciiTheme="minorHAnsi" w:eastAsiaTheme="minorHAnsi" w:hAnsiTheme="minorHAnsi" w:cstheme="minorBidi"/>
          <w:lang w:eastAsia="en-US"/>
        </w:rPr>
        <w:t>20</w:t>
      </w:r>
      <w:r w:rsidRPr="0005635F">
        <w:rPr>
          <w:rFonts w:asciiTheme="minorHAnsi" w:eastAsiaTheme="minorHAnsi" w:hAnsiTheme="minorHAnsi" w:cstheme="minorBidi"/>
          <w:lang w:eastAsia="en-US"/>
        </w:rPr>
        <w:t xml:space="preserve">, </w:t>
      </w:r>
      <w:r w:rsidR="008418AA">
        <w:rPr>
          <w:rFonts w:asciiTheme="minorHAnsi" w:eastAsiaTheme="minorHAnsi" w:hAnsiTheme="minorHAnsi" w:cstheme="minorBidi"/>
          <w:lang w:eastAsia="en-US"/>
        </w:rPr>
        <w:t xml:space="preserve">a </w:t>
      </w:r>
      <w:r w:rsidR="008418AA">
        <w:rPr>
          <w:rFonts w:asciiTheme="minorHAnsi" w:eastAsiaTheme="minorHAnsi" w:hAnsiTheme="minorHAnsi" w:cstheme="minorBidi"/>
          <w:lang w:eastAsia="en-US"/>
        </w:rPr>
        <w:fldChar w:fldCharType="begin"/>
      </w:r>
      <w:r w:rsidR="008418AA">
        <w:rPr>
          <w:rFonts w:asciiTheme="minorHAnsi" w:eastAsiaTheme="minorHAnsi" w:hAnsiTheme="minorHAnsi" w:cstheme="minorBidi"/>
          <w:lang w:eastAsia="en-US"/>
        </w:rPr>
        <w:instrText xml:space="preserve"> REF _Ref68692667  \* MERGEFORMAT </w:instrText>
      </w:r>
      <w:r w:rsidR="008418AA">
        <w:rPr>
          <w:rFonts w:asciiTheme="minorHAnsi" w:eastAsiaTheme="minorHAnsi" w:hAnsiTheme="minorHAnsi" w:cstheme="minorBidi"/>
          <w:lang w:eastAsia="en-US"/>
        </w:rPr>
        <w:fldChar w:fldCharType="separate"/>
      </w:r>
      <w:r w:rsidR="00304F5F" w:rsidRPr="00304F5F">
        <w:rPr>
          <w:rFonts w:asciiTheme="minorHAnsi" w:eastAsiaTheme="minorHAnsi" w:hAnsiTheme="minorHAnsi" w:cstheme="minorBidi"/>
          <w:lang w:eastAsia="en-US"/>
        </w:rPr>
        <w:t>Tabela 3</w:t>
      </w:r>
      <w:r w:rsidR="008418AA">
        <w:rPr>
          <w:rFonts w:asciiTheme="minorHAnsi" w:eastAsiaTheme="minorHAnsi" w:hAnsiTheme="minorHAnsi" w:cstheme="minorBidi"/>
          <w:lang w:eastAsia="en-US"/>
        </w:rPr>
        <w:fldChar w:fldCharType="end"/>
      </w:r>
      <w:r w:rsidR="008418AA">
        <w:rPr>
          <w:rFonts w:asciiTheme="minorHAnsi" w:eastAsiaTheme="minorHAnsi" w:hAnsiTheme="minorHAnsi" w:cstheme="minorBidi"/>
          <w:lang w:eastAsia="en-US"/>
        </w:rPr>
        <w:t xml:space="preserve"> </w:t>
      </w:r>
      <w:r w:rsidRPr="0005635F">
        <w:rPr>
          <w:rFonts w:asciiTheme="minorHAnsi" w:eastAsiaTheme="minorHAnsi" w:hAnsiTheme="minorHAnsi" w:cstheme="minorBidi"/>
          <w:lang w:eastAsia="en-US"/>
        </w:rPr>
        <w:t xml:space="preserve">elenca eventos e riscos de caráter não macroeconômico que </w:t>
      </w:r>
      <w:r>
        <w:rPr>
          <w:rFonts w:asciiTheme="minorHAnsi" w:eastAsiaTheme="minorHAnsi" w:hAnsiTheme="minorHAnsi" w:cstheme="minorBidi"/>
          <w:lang w:eastAsia="en-US"/>
        </w:rPr>
        <w:t>afetaram</w:t>
      </w:r>
      <w:r w:rsidRPr="0005635F">
        <w:rPr>
          <w:rFonts w:asciiTheme="minorHAnsi" w:eastAsiaTheme="minorHAnsi" w:hAnsiTheme="minorHAnsi" w:cstheme="minorBidi"/>
          <w:lang w:eastAsia="en-US"/>
        </w:rPr>
        <w:t xml:space="preserve"> as receitas, sem os quais seu valor teria sido </w:t>
      </w:r>
      <w:r w:rsidRPr="00925BBF">
        <w:rPr>
          <w:rFonts w:asciiTheme="minorHAnsi" w:eastAsiaTheme="minorHAnsi" w:hAnsiTheme="minorHAnsi" w:cstheme="minorBidi"/>
          <w:lang w:eastAsia="en-US"/>
        </w:rPr>
        <w:t>R$ 1</w:t>
      </w:r>
      <w:r w:rsidRPr="002A1A90">
        <w:rPr>
          <w:rFonts w:asciiTheme="minorHAnsi" w:eastAsiaTheme="minorHAnsi" w:hAnsiTheme="minorHAnsi" w:cstheme="minorBidi"/>
          <w:lang w:eastAsia="en-US"/>
        </w:rPr>
        <w:t>3</w:t>
      </w:r>
      <w:r w:rsidRPr="00925BBF">
        <w:rPr>
          <w:rFonts w:asciiTheme="minorHAnsi" w:eastAsiaTheme="minorHAnsi" w:hAnsiTheme="minorHAnsi" w:cstheme="minorBidi"/>
          <w:lang w:eastAsia="en-US"/>
        </w:rPr>
        <w:t>,</w:t>
      </w:r>
      <w:r w:rsidRPr="002A1A90">
        <w:rPr>
          <w:rFonts w:asciiTheme="minorHAnsi" w:eastAsiaTheme="minorHAnsi" w:hAnsiTheme="minorHAnsi" w:cstheme="minorBidi"/>
          <w:lang w:eastAsia="en-US"/>
        </w:rPr>
        <w:t>1</w:t>
      </w:r>
      <w:r w:rsidRPr="00925BBF">
        <w:rPr>
          <w:rFonts w:asciiTheme="minorHAnsi" w:eastAsiaTheme="minorHAnsi" w:hAnsiTheme="minorHAnsi" w:cstheme="minorBidi"/>
          <w:lang w:eastAsia="en-US"/>
        </w:rPr>
        <w:t xml:space="preserve"> bilhões menor.</w:t>
      </w:r>
    </w:p>
    <w:p w14:paraId="36F5FCEA" w14:textId="77777777" w:rsidR="009B20E8" w:rsidRPr="0005635F" w:rsidRDefault="009B20E8" w:rsidP="009B20E8">
      <w:pPr>
        <w:pStyle w:val="Corpodetexto2"/>
        <w:spacing w:after="120"/>
        <w:ind w:firstLine="1418"/>
        <w:rPr>
          <w:rFonts w:asciiTheme="minorHAnsi" w:eastAsiaTheme="minorHAnsi" w:hAnsiTheme="minorHAnsi" w:cstheme="minorBidi"/>
          <w:lang w:eastAsia="en-US"/>
        </w:rPr>
      </w:pPr>
    </w:p>
    <w:p w14:paraId="301672BB" w14:textId="4777351E" w:rsidR="000D17A6" w:rsidRPr="0022645B" w:rsidRDefault="000D17A6" w:rsidP="00CE7799">
      <w:pPr>
        <w:pStyle w:val="Legenda"/>
        <w:spacing w:before="240" w:after="120"/>
        <w:jc w:val="center"/>
        <w:rPr>
          <w:rFonts w:asciiTheme="minorHAnsi" w:hAnsiTheme="minorHAnsi"/>
          <w:i w:val="0"/>
          <w:noProof/>
          <w:color w:val="auto"/>
          <w:sz w:val="22"/>
          <w:szCs w:val="22"/>
        </w:rPr>
      </w:pPr>
      <w:bookmarkStart w:id="44" w:name="_Ref68692667"/>
      <w:bookmarkStart w:id="45" w:name="_Toc69121349"/>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w:t>
      </w:r>
      <w:r w:rsidRPr="0022645B">
        <w:rPr>
          <w:rFonts w:asciiTheme="minorHAnsi" w:hAnsiTheme="minorHAnsi"/>
          <w:i w:val="0"/>
          <w:color w:val="auto"/>
          <w:sz w:val="22"/>
          <w:szCs w:val="22"/>
        </w:rPr>
        <w:fldChar w:fldCharType="end"/>
      </w:r>
      <w:bookmarkEnd w:id="42"/>
      <w:bookmarkEnd w:id="44"/>
      <w:r w:rsidR="00372349">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 Receitas Atípicas de </w:t>
      </w:r>
      <w:bookmarkEnd w:id="43"/>
      <w:r w:rsidRPr="0022645B">
        <w:rPr>
          <w:rFonts w:asciiTheme="minorHAnsi" w:hAnsiTheme="minorHAnsi"/>
          <w:i w:val="0"/>
          <w:color w:val="auto"/>
          <w:sz w:val="22"/>
          <w:szCs w:val="22"/>
        </w:rPr>
        <w:t>20</w:t>
      </w:r>
      <w:r w:rsidR="006D390E">
        <w:rPr>
          <w:rFonts w:asciiTheme="minorHAnsi" w:hAnsiTheme="minorHAnsi"/>
          <w:i w:val="0"/>
          <w:color w:val="auto"/>
          <w:sz w:val="22"/>
          <w:szCs w:val="22"/>
        </w:rPr>
        <w:t>20</w:t>
      </w:r>
      <w:bookmarkEnd w:id="45"/>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969"/>
        <w:gridCol w:w="851"/>
        <w:gridCol w:w="3964"/>
      </w:tblGrid>
      <w:tr w:rsidR="00A55EE8" w:rsidRPr="0022645B" w14:paraId="6A4ED4F7" w14:textId="77777777" w:rsidTr="008D6BD7">
        <w:trPr>
          <w:trHeight w:val="20"/>
          <w:tblHeader/>
          <w:jc w:val="center"/>
        </w:trPr>
        <w:tc>
          <w:tcPr>
            <w:tcW w:w="8784" w:type="dxa"/>
            <w:gridSpan w:val="3"/>
            <w:tcBorders>
              <w:top w:val="nil"/>
              <w:left w:val="nil"/>
              <w:bottom w:val="single" w:sz="4" w:space="0" w:color="BFBFBF" w:themeColor="background1" w:themeShade="BF"/>
              <w:right w:val="nil"/>
            </w:tcBorders>
            <w:shd w:val="clear" w:color="auto" w:fill="auto"/>
            <w:noWrap/>
            <w:vAlign w:val="bottom"/>
            <w:hideMark/>
          </w:tcPr>
          <w:p w14:paraId="683C3F21" w14:textId="1FA2CD13" w:rsidR="00A55EE8" w:rsidRPr="00D63FA0" w:rsidRDefault="00A55EE8" w:rsidP="00A55EE8">
            <w:pPr>
              <w:spacing w:after="0" w:line="240" w:lineRule="auto"/>
              <w:jc w:val="right"/>
              <w:rPr>
                <w:rFonts w:eastAsia="Times New Roman" w:cs="Times New Roman"/>
                <w:i/>
                <w:color w:val="000000"/>
                <w:sz w:val="16"/>
                <w:szCs w:val="16"/>
                <w:lang w:eastAsia="pt-BR"/>
              </w:rPr>
            </w:pPr>
            <w:r w:rsidRPr="00D63FA0">
              <w:rPr>
                <w:rFonts w:eastAsia="Times New Roman" w:cs="Times New Roman"/>
                <w:i/>
                <w:color w:val="000000"/>
                <w:sz w:val="16"/>
                <w:szCs w:val="16"/>
                <w:lang w:eastAsia="pt-BR"/>
              </w:rPr>
              <w:t xml:space="preserve">Em R$ </w:t>
            </w:r>
            <w:r w:rsidR="00686EE7" w:rsidRPr="00D63FA0">
              <w:rPr>
                <w:rFonts w:eastAsia="Times New Roman" w:cs="Times New Roman"/>
                <w:i/>
                <w:color w:val="000000"/>
                <w:sz w:val="16"/>
                <w:szCs w:val="16"/>
                <w:lang w:eastAsia="pt-BR"/>
              </w:rPr>
              <w:t>m</w:t>
            </w:r>
            <w:r w:rsidRPr="00D63FA0">
              <w:rPr>
                <w:rFonts w:eastAsia="Times New Roman" w:cs="Times New Roman"/>
                <w:i/>
                <w:color w:val="000000"/>
                <w:sz w:val="16"/>
                <w:szCs w:val="16"/>
                <w:lang w:eastAsia="pt-BR"/>
              </w:rPr>
              <w:t>ilhões</w:t>
            </w:r>
          </w:p>
        </w:tc>
      </w:tr>
      <w:tr w:rsidR="00A55EE8" w:rsidRPr="00BB4D2B" w14:paraId="653A4C56" w14:textId="77777777" w:rsidTr="008D6BD7">
        <w:trPr>
          <w:trHeight w:val="20"/>
          <w:tblHeader/>
          <w:jc w:val="center"/>
        </w:trPr>
        <w:tc>
          <w:tcPr>
            <w:tcW w:w="3969" w:type="dxa"/>
            <w:tcBorders>
              <w:top w:val="single" w:sz="4" w:space="0" w:color="BFBFBF" w:themeColor="background1" w:themeShade="BF"/>
            </w:tcBorders>
            <w:shd w:val="clear" w:color="auto" w:fill="404040" w:themeFill="text1" w:themeFillTint="BF"/>
            <w:noWrap/>
            <w:vAlign w:val="center"/>
            <w:hideMark/>
          </w:tcPr>
          <w:p w14:paraId="6D4CEADC" w14:textId="77777777" w:rsidR="00A55EE8" w:rsidRPr="00BB4D2B" w:rsidRDefault="00A55EE8" w:rsidP="00A55EE8">
            <w:pPr>
              <w:spacing w:after="0" w:line="240" w:lineRule="auto"/>
              <w:jc w:val="center"/>
              <w:rPr>
                <w:rFonts w:eastAsia="Times New Roman" w:cs="Times New Roman"/>
                <w:b/>
                <w:bCs/>
                <w:color w:val="FFFFFF" w:themeColor="background1"/>
                <w:sz w:val="20"/>
                <w:szCs w:val="20"/>
                <w:lang w:eastAsia="pt-BR"/>
              </w:rPr>
            </w:pPr>
            <w:r w:rsidRPr="00BB4D2B">
              <w:rPr>
                <w:rFonts w:eastAsia="Times New Roman" w:cs="Times New Roman"/>
                <w:b/>
                <w:bCs/>
                <w:color w:val="FFFFFF" w:themeColor="background1"/>
                <w:sz w:val="20"/>
                <w:szCs w:val="20"/>
                <w:lang w:eastAsia="pt-BR"/>
              </w:rPr>
              <w:t>Receitas</w:t>
            </w:r>
          </w:p>
        </w:tc>
        <w:tc>
          <w:tcPr>
            <w:tcW w:w="851" w:type="dxa"/>
            <w:tcBorders>
              <w:top w:val="single" w:sz="4" w:space="0" w:color="BFBFBF" w:themeColor="background1" w:themeShade="BF"/>
            </w:tcBorders>
            <w:shd w:val="clear" w:color="auto" w:fill="404040" w:themeFill="text1" w:themeFillTint="BF"/>
            <w:noWrap/>
            <w:vAlign w:val="center"/>
            <w:hideMark/>
          </w:tcPr>
          <w:p w14:paraId="3ADADFAD" w14:textId="77777777" w:rsidR="00A55EE8" w:rsidRPr="00BB4D2B" w:rsidRDefault="00A55EE8" w:rsidP="00A55EE8">
            <w:pPr>
              <w:spacing w:after="0" w:line="240" w:lineRule="auto"/>
              <w:jc w:val="center"/>
              <w:rPr>
                <w:rFonts w:eastAsia="Times New Roman" w:cs="Times New Roman"/>
                <w:b/>
                <w:bCs/>
                <w:color w:val="FFFFFF" w:themeColor="background1"/>
                <w:sz w:val="20"/>
                <w:szCs w:val="20"/>
                <w:lang w:eastAsia="pt-BR"/>
              </w:rPr>
            </w:pPr>
            <w:r w:rsidRPr="00BB4D2B">
              <w:rPr>
                <w:rFonts w:eastAsia="Times New Roman" w:cs="Times New Roman"/>
                <w:b/>
                <w:bCs/>
                <w:color w:val="FFFFFF" w:themeColor="background1"/>
                <w:sz w:val="20"/>
                <w:szCs w:val="20"/>
                <w:lang w:eastAsia="pt-BR"/>
              </w:rPr>
              <w:t>Valor</w:t>
            </w:r>
          </w:p>
        </w:tc>
        <w:tc>
          <w:tcPr>
            <w:tcW w:w="3964" w:type="dxa"/>
            <w:tcBorders>
              <w:top w:val="single" w:sz="4" w:space="0" w:color="BFBFBF" w:themeColor="background1" w:themeShade="BF"/>
            </w:tcBorders>
            <w:shd w:val="clear" w:color="auto" w:fill="404040" w:themeFill="text1" w:themeFillTint="BF"/>
            <w:noWrap/>
            <w:vAlign w:val="center"/>
            <w:hideMark/>
          </w:tcPr>
          <w:p w14:paraId="79C3BD18" w14:textId="77777777" w:rsidR="00A55EE8" w:rsidRPr="00BB4D2B" w:rsidRDefault="00A55EE8" w:rsidP="00A55EE8">
            <w:pPr>
              <w:spacing w:after="0" w:line="240" w:lineRule="auto"/>
              <w:jc w:val="center"/>
              <w:rPr>
                <w:rFonts w:eastAsia="Times New Roman" w:cs="Times New Roman"/>
                <w:b/>
                <w:bCs/>
                <w:color w:val="FFFFFF" w:themeColor="background1"/>
                <w:sz w:val="20"/>
                <w:szCs w:val="20"/>
                <w:lang w:eastAsia="pt-BR"/>
              </w:rPr>
            </w:pPr>
            <w:r w:rsidRPr="00BB4D2B">
              <w:rPr>
                <w:rFonts w:eastAsia="Times New Roman" w:cs="Times New Roman"/>
                <w:b/>
                <w:bCs/>
                <w:color w:val="FFFFFF" w:themeColor="background1"/>
                <w:sz w:val="20"/>
                <w:szCs w:val="20"/>
                <w:lang w:eastAsia="pt-BR"/>
              </w:rPr>
              <w:t>Principais Fatores Originários</w:t>
            </w:r>
          </w:p>
        </w:tc>
      </w:tr>
      <w:tr w:rsidR="00A55EE8" w:rsidRPr="0022645B" w14:paraId="28D7A524" w14:textId="77777777" w:rsidTr="00EC3BCC">
        <w:trPr>
          <w:trHeight w:val="20"/>
          <w:jc w:val="center"/>
        </w:trPr>
        <w:tc>
          <w:tcPr>
            <w:tcW w:w="3969" w:type="dxa"/>
            <w:shd w:val="clear" w:color="auto" w:fill="F2F2F2" w:themeFill="background1" w:themeFillShade="F2"/>
            <w:vAlign w:val="center"/>
          </w:tcPr>
          <w:p w14:paraId="088F5A95" w14:textId="6ED0701E" w:rsidR="00A55EE8" w:rsidRPr="00B70D28" w:rsidRDefault="00CF6B47" w:rsidP="00A55EE8">
            <w:pPr>
              <w:spacing w:after="0" w:line="240" w:lineRule="auto"/>
              <w:rPr>
                <w:rFonts w:eastAsia="Times New Roman" w:cs="Times New Roman"/>
                <w:color w:val="000000"/>
                <w:sz w:val="18"/>
                <w:szCs w:val="18"/>
                <w:lang w:eastAsia="pt-BR"/>
              </w:rPr>
            </w:pPr>
            <w:r w:rsidRPr="00B70D28">
              <w:rPr>
                <w:rFonts w:eastAsia="Times New Roman" w:cs="Times New Roman"/>
                <w:color w:val="000000"/>
                <w:sz w:val="18"/>
                <w:szCs w:val="18"/>
                <w:lang w:eastAsia="pt-BR"/>
              </w:rPr>
              <w:t>I.R. - PESSOA FÍSICA</w:t>
            </w:r>
          </w:p>
        </w:tc>
        <w:tc>
          <w:tcPr>
            <w:tcW w:w="851" w:type="dxa"/>
            <w:shd w:val="clear" w:color="auto" w:fill="F2F2F2" w:themeFill="background1" w:themeFillShade="F2"/>
            <w:noWrap/>
            <w:vAlign w:val="center"/>
          </w:tcPr>
          <w:p w14:paraId="7E92C9B6" w14:textId="5F4BE964" w:rsidR="00A55EE8" w:rsidRPr="00F47147" w:rsidRDefault="00CF6B47" w:rsidP="00A55EE8">
            <w:pPr>
              <w:spacing w:after="0" w:line="240" w:lineRule="auto"/>
              <w:jc w:val="right"/>
              <w:rPr>
                <w:rFonts w:eastAsia="Times New Roman" w:cs="Times New Roman"/>
                <w:color w:val="000000"/>
                <w:sz w:val="18"/>
                <w:szCs w:val="18"/>
                <w:lang w:eastAsia="pt-BR"/>
              </w:rPr>
            </w:pPr>
            <w:r w:rsidRPr="00F47147">
              <w:rPr>
                <w:rFonts w:eastAsia="Times New Roman" w:cs="Times New Roman"/>
                <w:color w:val="000000"/>
                <w:sz w:val="18"/>
                <w:szCs w:val="18"/>
                <w:lang w:eastAsia="pt-BR"/>
              </w:rPr>
              <w:t>2.</w:t>
            </w:r>
            <w:r w:rsidR="006D390E">
              <w:rPr>
                <w:rFonts w:eastAsia="Times New Roman" w:cs="Times New Roman"/>
                <w:color w:val="000000"/>
                <w:sz w:val="18"/>
                <w:szCs w:val="18"/>
                <w:lang w:eastAsia="pt-BR"/>
              </w:rPr>
              <w:t>327</w:t>
            </w:r>
          </w:p>
        </w:tc>
        <w:tc>
          <w:tcPr>
            <w:tcW w:w="3964" w:type="dxa"/>
            <w:shd w:val="clear" w:color="auto" w:fill="F2F2F2" w:themeFill="background1" w:themeFillShade="F2"/>
            <w:vAlign w:val="center"/>
          </w:tcPr>
          <w:p w14:paraId="6051452C" w14:textId="375A5A54" w:rsidR="00A55EE8" w:rsidRPr="00F47147" w:rsidRDefault="00CF6B47" w:rsidP="00220F05">
            <w:pPr>
              <w:spacing w:after="0" w:line="240" w:lineRule="auto"/>
              <w:rPr>
                <w:rFonts w:eastAsia="Times New Roman" w:cs="Times New Roman"/>
                <w:color w:val="000000"/>
                <w:sz w:val="18"/>
                <w:szCs w:val="18"/>
                <w:lang w:eastAsia="pt-BR"/>
              </w:rPr>
            </w:pPr>
            <w:r w:rsidRPr="00F47147">
              <w:rPr>
                <w:rFonts w:eastAsia="Times New Roman" w:cs="Times New Roman"/>
                <w:color w:val="000000"/>
                <w:sz w:val="18"/>
                <w:szCs w:val="18"/>
                <w:lang w:eastAsia="pt-BR"/>
              </w:rPr>
              <w:t>Arrecadação atípica em ganhos de capital na alienação de bens e ganhos líquidos em bolsa.</w:t>
            </w:r>
          </w:p>
        </w:tc>
      </w:tr>
      <w:tr w:rsidR="00730E6B" w:rsidRPr="0022645B" w14:paraId="158D30D5" w14:textId="77777777" w:rsidTr="00EC3BCC">
        <w:trPr>
          <w:trHeight w:val="20"/>
          <w:jc w:val="center"/>
        </w:trPr>
        <w:tc>
          <w:tcPr>
            <w:tcW w:w="3969" w:type="dxa"/>
            <w:shd w:val="clear" w:color="auto" w:fill="auto"/>
            <w:vAlign w:val="center"/>
          </w:tcPr>
          <w:p w14:paraId="73E72F17" w14:textId="3931DD44" w:rsidR="00A55EE8" w:rsidRPr="00B70D28" w:rsidRDefault="00085F67" w:rsidP="00A55EE8">
            <w:pPr>
              <w:spacing w:after="0" w:line="240" w:lineRule="auto"/>
              <w:rPr>
                <w:rFonts w:eastAsia="Times New Roman" w:cs="Times New Roman"/>
                <w:color w:val="000000"/>
                <w:sz w:val="18"/>
                <w:szCs w:val="18"/>
                <w:lang w:eastAsia="pt-BR"/>
              </w:rPr>
            </w:pPr>
            <w:r w:rsidRPr="00B70D28">
              <w:rPr>
                <w:rFonts w:eastAsia="Times New Roman" w:cs="Times New Roman"/>
                <w:color w:val="000000"/>
                <w:sz w:val="18"/>
                <w:szCs w:val="18"/>
                <w:lang w:eastAsia="pt-BR"/>
              </w:rPr>
              <w:t>I.R. - PESSOA JURÍDICA</w:t>
            </w:r>
          </w:p>
        </w:tc>
        <w:tc>
          <w:tcPr>
            <w:tcW w:w="851" w:type="dxa"/>
            <w:shd w:val="clear" w:color="auto" w:fill="auto"/>
            <w:noWrap/>
            <w:vAlign w:val="center"/>
          </w:tcPr>
          <w:p w14:paraId="07067D78" w14:textId="493EBF0B" w:rsidR="00A55EE8" w:rsidRPr="00F47147" w:rsidRDefault="009C74CC" w:rsidP="00A55EE8">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5</w:t>
            </w:r>
            <w:r w:rsidR="00085F67">
              <w:rPr>
                <w:rFonts w:eastAsia="Times New Roman" w:cs="Times New Roman"/>
                <w:color w:val="000000"/>
                <w:sz w:val="18"/>
                <w:szCs w:val="18"/>
                <w:lang w:eastAsia="pt-BR"/>
              </w:rPr>
              <w:t>.</w:t>
            </w:r>
            <w:r>
              <w:rPr>
                <w:rFonts w:eastAsia="Times New Roman" w:cs="Times New Roman"/>
                <w:color w:val="000000"/>
                <w:sz w:val="18"/>
                <w:szCs w:val="18"/>
                <w:lang w:eastAsia="pt-BR"/>
              </w:rPr>
              <w:t>545</w:t>
            </w:r>
          </w:p>
        </w:tc>
        <w:tc>
          <w:tcPr>
            <w:tcW w:w="3964" w:type="dxa"/>
            <w:shd w:val="clear" w:color="auto" w:fill="auto"/>
            <w:vAlign w:val="center"/>
          </w:tcPr>
          <w:p w14:paraId="1F081EAA" w14:textId="397BE52F" w:rsidR="00A55EE8" w:rsidRPr="00F47147" w:rsidRDefault="00085F67" w:rsidP="00220F05">
            <w:pPr>
              <w:spacing w:after="0" w:line="240" w:lineRule="auto"/>
              <w:rPr>
                <w:rFonts w:eastAsia="Times New Roman" w:cs="Times New Roman"/>
                <w:color w:val="000000"/>
                <w:sz w:val="18"/>
                <w:szCs w:val="18"/>
                <w:lang w:eastAsia="pt-BR"/>
              </w:rPr>
            </w:pPr>
            <w:r w:rsidRPr="00085F67">
              <w:rPr>
                <w:rFonts w:eastAsia="Times New Roman" w:cs="Times New Roman"/>
                <w:color w:val="000000"/>
                <w:sz w:val="18"/>
                <w:szCs w:val="18"/>
                <w:lang w:eastAsia="pt-BR"/>
              </w:rPr>
              <w:t>Crescimento da arrecadação em razão de reorganizações societárias e aberturas de capital.</w:t>
            </w:r>
          </w:p>
        </w:tc>
      </w:tr>
      <w:tr w:rsidR="00A55EE8" w:rsidRPr="0022645B" w14:paraId="5AEA756F" w14:textId="77777777" w:rsidTr="00EC3BCC">
        <w:trPr>
          <w:trHeight w:val="20"/>
          <w:jc w:val="center"/>
        </w:trPr>
        <w:tc>
          <w:tcPr>
            <w:tcW w:w="3969" w:type="dxa"/>
            <w:shd w:val="clear" w:color="auto" w:fill="F2F2F2" w:themeFill="background1" w:themeFillShade="F2"/>
            <w:vAlign w:val="center"/>
          </w:tcPr>
          <w:p w14:paraId="64972362" w14:textId="74C6F5A1" w:rsidR="00A55EE8" w:rsidRPr="00B70D28" w:rsidRDefault="00273C06" w:rsidP="00A55EE8">
            <w:pPr>
              <w:spacing w:after="0" w:line="240" w:lineRule="auto"/>
              <w:rPr>
                <w:rFonts w:eastAsia="Times New Roman" w:cs="Times New Roman"/>
                <w:color w:val="000000"/>
                <w:sz w:val="18"/>
                <w:szCs w:val="18"/>
                <w:lang w:eastAsia="pt-BR"/>
              </w:rPr>
            </w:pPr>
            <w:r w:rsidRPr="00B70D28">
              <w:rPr>
                <w:rFonts w:eastAsia="Times New Roman" w:cs="Times New Roman"/>
                <w:color w:val="000000"/>
                <w:sz w:val="18"/>
                <w:szCs w:val="18"/>
                <w:lang w:eastAsia="pt-BR"/>
              </w:rPr>
              <w:t xml:space="preserve">I.R.R.F. - RENDIMENTOS DO </w:t>
            </w:r>
            <w:proofErr w:type="gramStart"/>
            <w:r w:rsidRPr="00B70D28">
              <w:rPr>
                <w:rFonts w:eastAsia="Times New Roman" w:cs="Times New Roman"/>
                <w:color w:val="000000"/>
                <w:sz w:val="18"/>
                <w:szCs w:val="18"/>
                <w:lang w:eastAsia="pt-BR"/>
              </w:rPr>
              <w:t>CAPITAL</w:t>
            </w:r>
            <w:proofErr w:type="gramEnd"/>
          </w:p>
        </w:tc>
        <w:tc>
          <w:tcPr>
            <w:tcW w:w="851" w:type="dxa"/>
            <w:shd w:val="clear" w:color="auto" w:fill="F2F2F2" w:themeFill="background1" w:themeFillShade="F2"/>
            <w:noWrap/>
            <w:vAlign w:val="center"/>
          </w:tcPr>
          <w:p w14:paraId="153555CC" w14:textId="6C34824F" w:rsidR="00A55EE8" w:rsidRPr="00F47147" w:rsidRDefault="009C74CC" w:rsidP="00A55EE8">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2.800</w:t>
            </w:r>
          </w:p>
        </w:tc>
        <w:tc>
          <w:tcPr>
            <w:tcW w:w="3964" w:type="dxa"/>
            <w:shd w:val="clear" w:color="auto" w:fill="F2F2F2" w:themeFill="background1" w:themeFillShade="F2"/>
            <w:vAlign w:val="center"/>
          </w:tcPr>
          <w:p w14:paraId="3A293BDE" w14:textId="5CC8F44C" w:rsidR="00A55EE8" w:rsidRPr="00F47147" w:rsidRDefault="008023E3" w:rsidP="00220F05">
            <w:pPr>
              <w:spacing w:after="0" w:line="240" w:lineRule="auto"/>
              <w:rPr>
                <w:rFonts w:eastAsia="Times New Roman" w:cs="Times New Roman"/>
                <w:color w:val="000000"/>
                <w:sz w:val="18"/>
                <w:szCs w:val="18"/>
                <w:lang w:eastAsia="pt-BR"/>
              </w:rPr>
            </w:pPr>
            <w:r w:rsidRPr="008023E3">
              <w:rPr>
                <w:rFonts w:eastAsia="Times New Roman" w:cs="Times New Roman"/>
                <w:color w:val="000000"/>
                <w:sz w:val="18"/>
                <w:szCs w:val="18"/>
                <w:lang w:eastAsia="pt-BR"/>
              </w:rPr>
              <w:t>Atípicos decorrentes, principalmente, do crescimento das</w:t>
            </w:r>
            <w:r w:rsidR="00182BD4">
              <w:rPr>
                <w:rFonts w:eastAsia="Times New Roman" w:cs="Times New Roman"/>
                <w:color w:val="000000"/>
                <w:sz w:val="18"/>
                <w:szCs w:val="18"/>
                <w:lang w:eastAsia="pt-BR"/>
              </w:rPr>
              <w:t xml:space="preserve"> </w:t>
            </w:r>
            <w:r w:rsidR="00182BD4" w:rsidRPr="00182BD4">
              <w:rPr>
                <w:rFonts w:eastAsia="Times New Roman" w:cs="Times New Roman"/>
                <w:color w:val="000000"/>
                <w:sz w:val="18"/>
                <w:szCs w:val="18"/>
                <w:lang w:eastAsia="pt-BR"/>
              </w:rPr>
              <w:t>arrecadações de SWAP</w:t>
            </w:r>
            <w:r w:rsidR="00182BD4">
              <w:rPr>
                <w:rFonts w:eastAsia="Times New Roman" w:cs="Times New Roman"/>
                <w:color w:val="000000"/>
                <w:sz w:val="18"/>
                <w:szCs w:val="18"/>
                <w:lang w:eastAsia="pt-BR"/>
              </w:rPr>
              <w:t>.</w:t>
            </w:r>
          </w:p>
        </w:tc>
      </w:tr>
      <w:tr w:rsidR="00730E6B" w:rsidRPr="0022645B" w14:paraId="0F310F4E" w14:textId="77777777" w:rsidTr="00EC3BCC">
        <w:trPr>
          <w:trHeight w:val="20"/>
          <w:jc w:val="center"/>
        </w:trPr>
        <w:tc>
          <w:tcPr>
            <w:tcW w:w="3969" w:type="dxa"/>
            <w:shd w:val="clear" w:color="auto" w:fill="auto"/>
            <w:vAlign w:val="center"/>
          </w:tcPr>
          <w:p w14:paraId="6FA80F98" w14:textId="31C68815" w:rsidR="00A55EE8" w:rsidRPr="00B70D28" w:rsidRDefault="00CB3708" w:rsidP="00A55EE8">
            <w:pPr>
              <w:spacing w:after="0" w:line="240" w:lineRule="auto"/>
              <w:rPr>
                <w:rFonts w:eastAsia="Times New Roman" w:cs="Times New Roman"/>
                <w:color w:val="000000"/>
                <w:sz w:val="18"/>
                <w:szCs w:val="18"/>
                <w:lang w:eastAsia="pt-BR"/>
              </w:rPr>
            </w:pPr>
            <w:r w:rsidRPr="00B70D28">
              <w:rPr>
                <w:rFonts w:eastAsia="Times New Roman" w:cs="Times New Roman"/>
                <w:color w:val="000000"/>
                <w:sz w:val="18"/>
                <w:szCs w:val="18"/>
                <w:lang w:eastAsia="pt-BR"/>
              </w:rPr>
              <w:t>CSLL - CONTRIBUIÇÃO SOCIAL S/ LUCRO LÍQUIDO</w:t>
            </w:r>
          </w:p>
        </w:tc>
        <w:tc>
          <w:tcPr>
            <w:tcW w:w="851" w:type="dxa"/>
            <w:shd w:val="clear" w:color="auto" w:fill="auto"/>
            <w:noWrap/>
            <w:vAlign w:val="center"/>
          </w:tcPr>
          <w:p w14:paraId="1D6B261E" w14:textId="38EE3EFE" w:rsidR="00A55EE8" w:rsidRPr="00F47147" w:rsidRDefault="00182BD4" w:rsidP="00A55EE8">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2</w:t>
            </w:r>
            <w:r w:rsidR="00CB3708">
              <w:rPr>
                <w:rFonts w:eastAsia="Times New Roman" w:cs="Times New Roman"/>
                <w:color w:val="000000"/>
                <w:sz w:val="18"/>
                <w:szCs w:val="18"/>
                <w:lang w:eastAsia="pt-BR"/>
              </w:rPr>
              <w:t>.</w:t>
            </w:r>
            <w:r>
              <w:rPr>
                <w:rFonts w:eastAsia="Times New Roman" w:cs="Times New Roman"/>
                <w:color w:val="000000"/>
                <w:sz w:val="18"/>
                <w:szCs w:val="18"/>
                <w:lang w:eastAsia="pt-BR"/>
              </w:rPr>
              <w:t>456</w:t>
            </w:r>
          </w:p>
        </w:tc>
        <w:tc>
          <w:tcPr>
            <w:tcW w:w="3964" w:type="dxa"/>
            <w:shd w:val="clear" w:color="auto" w:fill="auto"/>
            <w:vAlign w:val="center"/>
          </w:tcPr>
          <w:p w14:paraId="32A215F4" w14:textId="28CB7DE0" w:rsidR="00A55EE8" w:rsidRPr="00F47147" w:rsidRDefault="00CB3708" w:rsidP="00220F05">
            <w:pPr>
              <w:spacing w:after="0" w:line="240" w:lineRule="auto"/>
              <w:rPr>
                <w:rFonts w:eastAsia="Times New Roman" w:cs="Times New Roman"/>
                <w:color w:val="000000"/>
                <w:sz w:val="18"/>
                <w:szCs w:val="18"/>
                <w:lang w:eastAsia="pt-BR"/>
              </w:rPr>
            </w:pPr>
            <w:r w:rsidRPr="00CB3708">
              <w:rPr>
                <w:rFonts w:eastAsia="Times New Roman" w:cs="Times New Roman"/>
                <w:color w:val="000000"/>
                <w:sz w:val="18"/>
                <w:szCs w:val="18"/>
                <w:lang w:eastAsia="pt-BR"/>
              </w:rPr>
              <w:t>Crescimento da arrecadação em razão de reorganizações societárias e aberturas de capital.</w:t>
            </w:r>
          </w:p>
        </w:tc>
      </w:tr>
      <w:tr w:rsidR="00A55EE8" w:rsidRPr="00BB4D2B" w14:paraId="174C0225" w14:textId="77777777" w:rsidTr="00D52F17">
        <w:trPr>
          <w:trHeight w:val="20"/>
          <w:jc w:val="center"/>
        </w:trPr>
        <w:tc>
          <w:tcPr>
            <w:tcW w:w="3969" w:type="dxa"/>
            <w:tcBorders>
              <w:bottom w:val="single" w:sz="4" w:space="0" w:color="BFBFBF" w:themeColor="background1" w:themeShade="BF"/>
            </w:tcBorders>
            <w:shd w:val="clear" w:color="auto" w:fill="7F7F7F" w:themeFill="text1" w:themeFillTint="80"/>
            <w:noWrap/>
            <w:vAlign w:val="center"/>
            <w:hideMark/>
          </w:tcPr>
          <w:p w14:paraId="69C75C0F" w14:textId="77777777" w:rsidR="00A55EE8" w:rsidRPr="00BB4D2B" w:rsidRDefault="00A55EE8" w:rsidP="00A55EE8">
            <w:pPr>
              <w:spacing w:after="0" w:line="240" w:lineRule="auto"/>
              <w:rPr>
                <w:rFonts w:eastAsia="Times New Roman" w:cs="Times New Roman"/>
                <w:b/>
                <w:bCs/>
                <w:color w:val="FFFFFF" w:themeColor="background1"/>
                <w:sz w:val="18"/>
                <w:szCs w:val="18"/>
                <w:lang w:eastAsia="pt-BR"/>
              </w:rPr>
            </w:pPr>
            <w:r w:rsidRPr="00BB4D2B">
              <w:rPr>
                <w:rFonts w:eastAsia="Times New Roman" w:cs="Times New Roman"/>
                <w:b/>
                <w:bCs/>
                <w:color w:val="FFFFFF" w:themeColor="background1"/>
                <w:sz w:val="18"/>
                <w:szCs w:val="18"/>
                <w:lang w:eastAsia="pt-BR"/>
              </w:rPr>
              <w:t>Total</w:t>
            </w:r>
          </w:p>
        </w:tc>
        <w:tc>
          <w:tcPr>
            <w:tcW w:w="851" w:type="dxa"/>
            <w:tcBorders>
              <w:bottom w:val="single" w:sz="4" w:space="0" w:color="BFBFBF" w:themeColor="background1" w:themeShade="BF"/>
            </w:tcBorders>
            <w:shd w:val="clear" w:color="auto" w:fill="7F7F7F" w:themeFill="text1" w:themeFillTint="80"/>
            <w:noWrap/>
            <w:vAlign w:val="center"/>
            <w:hideMark/>
          </w:tcPr>
          <w:p w14:paraId="202395A0" w14:textId="302D9EBC" w:rsidR="00A55EE8" w:rsidRPr="00BB4D2B" w:rsidRDefault="00031C88" w:rsidP="00A55EE8">
            <w:pPr>
              <w:spacing w:after="0" w:line="240" w:lineRule="auto"/>
              <w:jc w:val="right"/>
              <w:rPr>
                <w:rFonts w:eastAsia="Times New Roman" w:cs="Times New Roman"/>
                <w:b/>
                <w:bCs/>
                <w:color w:val="FFFFFF" w:themeColor="background1"/>
                <w:sz w:val="18"/>
                <w:szCs w:val="18"/>
                <w:lang w:eastAsia="pt-BR"/>
              </w:rPr>
            </w:pPr>
            <w:r w:rsidRPr="00BB4D2B">
              <w:rPr>
                <w:rFonts w:eastAsia="Times New Roman" w:cs="Times New Roman"/>
                <w:b/>
                <w:bCs/>
                <w:color w:val="FFFFFF" w:themeColor="background1"/>
                <w:sz w:val="18"/>
                <w:szCs w:val="18"/>
                <w:lang w:eastAsia="pt-BR"/>
              </w:rPr>
              <w:t>1</w:t>
            </w:r>
            <w:r w:rsidR="00327194" w:rsidRPr="00BB4D2B">
              <w:rPr>
                <w:rFonts w:eastAsia="Times New Roman" w:cs="Times New Roman"/>
                <w:b/>
                <w:bCs/>
                <w:color w:val="FFFFFF" w:themeColor="background1"/>
                <w:sz w:val="18"/>
                <w:szCs w:val="18"/>
                <w:lang w:eastAsia="pt-BR"/>
              </w:rPr>
              <w:t>3</w:t>
            </w:r>
            <w:r w:rsidRPr="00BB4D2B">
              <w:rPr>
                <w:rFonts w:eastAsia="Times New Roman" w:cs="Times New Roman"/>
                <w:b/>
                <w:bCs/>
                <w:color w:val="FFFFFF" w:themeColor="background1"/>
                <w:sz w:val="18"/>
                <w:szCs w:val="18"/>
                <w:lang w:eastAsia="pt-BR"/>
              </w:rPr>
              <w:t>.</w:t>
            </w:r>
            <w:r w:rsidR="00327194" w:rsidRPr="00BB4D2B">
              <w:rPr>
                <w:rFonts w:eastAsia="Times New Roman" w:cs="Times New Roman"/>
                <w:b/>
                <w:bCs/>
                <w:color w:val="FFFFFF" w:themeColor="background1"/>
                <w:sz w:val="18"/>
                <w:szCs w:val="18"/>
                <w:lang w:eastAsia="pt-BR"/>
              </w:rPr>
              <w:t>12</w:t>
            </w:r>
            <w:r w:rsidR="00CA774A" w:rsidRPr="00BB4D2B">
              <w:rPr>
                <w:rFonts w:eastAsia="Times New Roman" w:cs="Times New Roman"/>
                <w:b/>
                <w:bCs/>
                <w:color w:val="FFFFFF" w:themeColor="background1"/>
                <w:sz w:val="18"/>
                <w:szCs w:val="18"/>
                <w:lang w:eastAsia="pt-BR"/>
              </w:rPr>
              <w:t>8</w:t>
            </w:r>
          </w:p>
        </w:tc>
        <w:tc>
          <w:tcPr>
            <w:tcW w:w="3964" w:type="dxa"/>
            <w:tcBorders>
              <w:bottom w:val="single" w:sz="4" w:space="0" w:color="BFBFBF" w:themeColor="background1" w:themeShade="BF"/>
            </w:tcBorders>
            <w:shd w:val="clear" w:color="auto" w:fill="7F7F7F" w:themeFill="text1" w:themeFillTint="80"/>
            <w:noWrap/>
            <w:vAlign w:val="center"/>
            <w:hideMark/>
          </w:tcPr>
          <w:p w14:paraId="102FDD5D" w14:textId="4D7BCCB6" w:rsidR="00A55EE8" w:rsidRPr="00BB4D2B" w:rsidRDefault="00A55EE8" w:rsidP="00A55EE8">
            <w:pPr>
              <w:spacing w:after="0" w:line="240" w:lineRule="auto"/>
              <w:jc w:val="center"/>
              <w:rPr>
                <w:rFonts w:eastAsia="Times New Roman" w:cs="Times New Roman"/>
                <w:b/>
                <w:bCs/>
                <w:color w:val="FFFFFF" w:themeColor="background1"/>
                <w:sz w:val="18"/>
                <w:szCs w:val="18"/>
                <w:lang w:eastAsia="pt-BR"/>
              </w:rPr>
            </w:pPr>
          </w:p>
        </w:tc>
      </w:tr>
      <w:tr w:rsidR="00A55EE8" w:rsidRPr="0022645B" w14:paraId="0B2C4C8E" w14:textId="77777777" w:rsidTr="00D52F17">
        <w:trPr>
          <w:trHeight w:val="20"/>
          <w:jc w:val="center"/>
        </w:trPr>
        <w:tc>
          <w:tcPr>
            <w:tcW w:w="8784" w:type="dxa"/>
            <w:gridSpan w:val="3"/>
            <w:tcBorders>
              <w:top w:val="single" w:sz="4" w:space="0" w:color="BFBFBF" w:themeColor="background1" w:themeShade="BF"/>
              <w:left w:val="nil"/>
              <w:bottom w:val="nil"/>
              <w:right w:val="nil"/>
            </w:tcBorders>
            <w:shd w:val="clear" w:color="auto" w:fill="auto"/>
            <w:noWrap/>
            <w:vAlign w:val="bottom"/>
            <w:hideMark/>
          </w:tcPr>
          <w:p w14:paraId="59FAF23F" w14:textId="788BE742" w:rsidR="00A55EE8" w:rsidRPr="00D63FA0" w:rsidRDefault="00A55EE8" w:rsidP="00A55EE8">
            <w:pPr>
              <w:spacing w:after="0" w:line="240" w:lineRule="auto"/>
              <w:rPr>
                <w:rFonts w:eastAsia="Times New Roman" w:cs="Times New Roman"/>
                <w:i/>
                <w:sz w:val="16"/>
                <w:szCs w:val="16"/>
                <w:lang w:eastAsia="pt-BR"/>
              </w:rPr>
            </w:pPr>
            <w:r w:rsidRPr="00D63FA0">
              <w:rPr>
                <w:rFonts w:eastAsia="Times New Roman" w:cs="Times New Roman"/>
                <w:b/>
                <w:i/>
                <w:color w:val="000000"/>
                <w:sz w:val="16"/>
                <w:szCs w:val="16"/>
                <w:lang w:eastAsia="pt-BR"/>
              </w:rPr>
              <w:t>Fonte</w:t>
            </w:r>
            <w:r w:rsidR="000662D8" w:rsidRPr="00D63FA0">
              <w:rPr>
                <w:rFonts w:eastAsia="Times New Roman" w:cs="Times New Roman"/>
                <w:b/>
                <w:i/>
                <w:color w:val="000000"/>
                <w:sz w:val="16"/>
                <w:szCs w:val="16"/>
                <w:lang w:eastAsia="pt-BR"/>
              </w:rPr>
              <w:t xml:space="preserve"> e elaboração</w:t>
            </w:r>
            <w:r w:rsidRPr="00D63FA0">
              <w:rPr>
                <w:rFonts w:eastAsia="Times New Roman" w:cs="Times New Roman"/>
                <w:i/>
                <w:color w:val="000000"/>
                <w:sz w:val="16"/>
                <w:szCs w:val="16"/>
                <w:lang w:eastAsia="pt-BR"/>
              </w:rPr>
              <w:t>: RFB/ME.</w:t>
            </w:r>
          </w:p>
        </w:tc>
      </w:tr>
    </w:tbl>
    <w:p w14:paraId="3D81AC1E" w14:textId="77777777" w:rsidR="009466AA" w:rsidRPr="0022645B" w:rsidRDefault="009466AA" w:rsidP="00A55EE8">
      <w:pPr>
        <w:pStyle w:val="Corpodetexto2"/>
        <w:spacing w:after="120"/>
        <w:rPr>
          <w:rFonts w:asciiTheme="minorHAnsi" w:eastAsiaTheme="minorHAnsi" w:hAnsiTheme="minorHAnsi" w:cstheme="minorBidi"/>
          <w:lang w:eastAsia="en-US"/>
        </w:rPr>
      </w:pPr>
    </w:p>
    <w:p w14:paraId="32B4CE25" w14:textId="0630CA1B" w:rsidR="000D17A6" w:rsidRPr="00A24CFC" w:rsidRDefault="000D17A6" w:rsidP="00507A38">
      <w:pPr>
        <w:pStyle w:val="Ttulo3"/>
        <w:keepNext w:val="0"/>
        <w:numPr>
          <w:ilvl w:val="2"/>
          <w:numId w:val="36"/>
        </w:numPr>
        <w:spacing w:before="240" w:after="120"/>
        <w:ind w:left="720" w:hanging="720"/>
        <w:rPr>
          <w:rFonts w:asciiTheme="minorHAnsi" w:hAnsiTheme="minorHAnsi"/>
          <w:b/>
          <w:smallCaps w:val="0"/>
        </w:rPr>
      </w:pPr>
      <w:r w:rsidRPr="00A24CFC">
        <w:rPr>
          <w:rFonts w:asciiTheme="minorHAnsi" w:hAnsiTheme="minorHAnsi"/>
          <w:b/>
          <w:smallCaps w:val="0"/>
        </w:rPr>
        <w:t xml:space="preserve"> </w:t>
      </w:r>
      <w:bookmarkStart w:id="46" w:name="_Toc5012223"/>
      <w:bookmarkStart w:id="47" w:name="_Toc5030469"/>
      <w:bookmarkStart w:id="48" w:name="_Toc5180273"/>
      <w:bookmarkStart w:id="49" w:name="_Ref5713313"/>
      <w:bookmarkStart w:id="50" w:name="_Toc67317972"/>
      <w:bookmarkStart w:id="51" w:name="_Toc67929626"/>
      <w:bookmarkStart w:id="52" w:name="_Toc69121213"/>
      <w:r w:rsidRPr="00A24CFC">
        <w:rPr>
          <w:rFonts w:asciiTheme="minorHAnsi" w:hAnsiTheme="minorHAnsi"/>
          <w:b/>
          <w:smallCaps w:val="0"/>
        </w:rPr>
        <w:t>Sensibilidade da Receita</w:t>
      </w:r>
      <w:bookmarkEnd w:id="23"/>
      <w:bookmarkEnd w:id="24"/>
      <w:r w:rsidRPr="00A24CFC">
        <w:rPr>
          <w:rFonts w:asciiTheme="minorHAnsi" w:hAnsiTheme="minorHAnsi"/>
          <w:b/>
          <w:smallCaps w:val="0"/>
        </w:rPr>
        <w:t xml:space="preserve"> Administrada pela RFB </w:t>
      </w:r>
      <w:r w:rsidR="001A3A7B" w:rsidRPr="00A24CFC">
        <w:rPr>
          <w:rFonts w:asciiTheme="minorHAnsi" w:hAnsiTheme="minorHAnsi"/>
          <w:b/>
          <w:smallCaps w:val="0"/>
        </w:rPr>
        <w:t>a</w:t>
      </w:r>
      <w:r w:rsidRPr="00A24CFC">
        <w:rPr>
          <w:rFonts w:asciiTheme="minorHAnsi" w:hAnsiTheme="minorHAnsi"/>
          <w:b/>
          <w:smallCaps w:val="0"/>
        </w:rPr>
        <w:t>os Parâmetros Macroeconômicos</w:t>
      </w:r>
      <w:bookmarkEnd w:id="25"/>
      <w:bookmarkEnd w:id="46"/>
      <w:bookmarkEnd w:id="47"/>
      <w:bookmarkEnd w:id="48"/>
      <w:bookmarkEnd w:id="49"/>
      <w:bookmarkEnd w:id="50"/>
      <w:bookmarkEnd w:id="51"/>
      <w:bookmarkEnd w:id="52"/>
    </w:p>
    <w:p w14:paraId="7BAC768B" w14:textId="1038F0C9" w:rsidR="00974BE5" w:rsidRDefault="00974BE5" w:rsidP="00974BE5">
      <w:pPr>
        <w:pStyle w:val="Recuodecorpodetexto"/>
        <w:spacing w:line="240" w:lineRule="auto"/>
        <w:ind w:left="0" w:firstLine="1418"/>
        <w:jc w:val="both"/>
        <w:rPr>
          <w:rFonts w:eastAsia="Times New Roman" w:cs="Times New Roman"/>
          <w:sz w:val="24"/>
          <w:szCs w:val="24"/>
          <w:lang w:eastAsia="pt-BR"/>
        </w:rPr>
      </w:pPr>
      <w:bookmarkStart w:id="53" w:name="_Hlk5202691"/>
      <w:r w:rsidRPr="00E20485">
        <w:rPr>
          <w:rFonts w:eastAsia="Times New Roman" w:cs="Times New Roman"/>
          <w:sz w:val="24"/>
          <w:szCs w:val="24"/>
          <w:lang w:eastAsia="pt-BR"/>
        </w:rPr>
        <w:t xml:space="preserve">A avaliação da sensibilidade da receita compreende, inicialmente, a identificação das linhas que possuem alguma relação com os ciclos econômicos. No âmbito do orçamento, as receitas </w:t>
      </w:r>
      <w:r>
        <w:rPr>
          <w:rFonts w:eastAsia="Times New Roman" w:cs="Times New Roman"/>
          <w:sz w:val="24"/>
          <w:szCs w:val="24"/>
          <w:lang w:eastAsia="pt-BR"/>
        </w:rPr>
        <w:t>são apresentadas</w:t>
      </w:r>
      <w:r w:rsidRPr="00E20485">
        <w:rPr>
          <w:rFonts w:eastAsia="Times New Roman" w:cs="Times New Roman"/>
          <w:sz w:val="24"/>
          <w:szCs w:val="24"/>
          <w:lang w:eastAsia="pt-BR"/>
        </w:rPr>
        <w:t xml:space="preserve"> em três grandes grupos: Receitas Administradas pela RFB, líquidas de restituições; Arrecadação Líquida para o RGPS; e Receitas não administradas pela RFB. A </w:t>
      </w:r>
      <w:r w:rsidRPr="00E20485">
        <w:rPr>
          <w:rFonts w:eastAsia="Times New Roman" w:cs="Times New Roman"/>
          <w:sz w:val="24"/>
          <w:szCs w:val="24"/>
          <w:lang w:eastAsia="pt-BR"/>
        </w:rPr>
        <w:fldChar w:fldCharType="begin"/>
      </w:r>
      <w:r w:rsidRPr="00E20485">
        <w:rPr>
          <w:rFonts w:eastAsia="Times New Roman" w:cs="Times New Roman"/>
          <w:sz w:val="24"/>
          <w:szCs w:val="24"/>
          <w:lang w:eastAsia="pt-BR"/>
        </w:rPr>
        <w:instrText xml:space="preserve"> REF _Ref5265196 \h  \* MERGEFORMAT </w:instrText>
      </w:r>
      <w:r w:rsidRPr="00E20485">
        <w:rPr>
          <w:rFonts w:eastAsia="Times New Roman" w:cs="Times New Roman"/>
          <w:sz w:val="24"/>
          <w:szCs w:val="24"/>
          <w:lang w:eastAsia="pt-BR"/>
        </w:rPr>
      </w:r>
      <w:r w:rsidRPr="00E20485">
        <w:rPr>
          <w:rFonts w:eastAsia="Times New Roman" w:cs="Times New Roman"/>
          <w:sz w:val="24"/>
          <w:szCs w:val="24"/>
          <w:lang w:eastAsia="pt-BR"/>
        </w:rPr>
        <w:fldChar w:fldCharType="separate"/>
      </w:r>
      <w:r w:rsidR="00304F5F" w:rsidRPr="00304F5F">
        <w:rPr>
          <w:rFonts w:eastAsia="Times New Roman" w:cs="Times New Roman"/>
          <w:sz w:val="24"/>
          <w:szCs w:val="24"/>
          <w:lang w:eastAsia="pt-BR"/>
        </w:rPr>
        <w:t>Tabela 4</w:t>
      </w:r>
      <w:r w:rsidRPr="00E20485">
        <w:rPr>
          <w:rFonts w:eastAsia="Times New Roman" w:cs="Times New Roman"/>
          <w:sz w:val="24"/>
          <w:szCs w:val="24"/>
          <w:lang w:eastAsia="pt-BR"/>
        </w:rPr>
        <w:fldChar w:fldCharType="end"/>
      </w:r>
      <w:r w:rsidRPr="00E20485">
        <w:rPr>
          <w:rFonts w:eastAsia="Times New Roman" w:cs="Times New Roman"/>
          <w:sz w:val="24"/>
          <w:szCs w:val="24"/>
          <w:lang w:eastAsia="pt-BR"/>
        </w:rPr>
        <w:t xml:space="preserve"> mostra a participação de cada grupo na receita primária total de 20</w:t>
      </w:r>
      <w:r>
        <w:rPr>
          <w:rFonts w:eastAsia="Times New Roman" w:cs="Times New Roman"/>
          <w:sz w:val="24"/>
          <w:szCs w:val="24"/>
          <w:lang w:eastAsia="pt-BR"/>
        </w:rPr>
        <w:t>20</w:t>
      </w:r>
      <w:r w:rsidRPr="00E20485">
        <w:rPr>
          <w:rFonts w:eastAsia="Times New Roman" w:cs="Times New Roman"/>
          <w:sz w:val="24"/>
          <w:szCs w:val="24"/>
          <w:lang w:eastAsia="pt-BR"/>
        </w:rPr>
        <w:t>.</w:t>
      </w:r>
    </w:p>
    <w:p w14:paraId="4D4EB436" w14:textId="638C3E14" w:rsidR="00084FEB" w:rsidRPr="003F37F7" w:rsidRDefault="00084FEB" w:rsidP="00A133BB">
      <w:pPr>
        <w:pStyle w:val="Legenda"/>
        <w:spacing w:before="240" w:after="120"/>
        <w:jc w:val="center"/>
        <w:rPr>
          <w:rFonts w:asciiTheme="minorHAnsi" w:hAnsiTheme="minorHAnsi"/>
          <w:i w:val="0"/>
          <w:color w:val="auto"/>
          <w:sz w:val="22"/>
          <w:szCs w:val="22"/>
        </w:rPr>
      </w:pPr>
      <w:bookmarkStart w:id="54" w:name="_Ref5265196"/>
      <w:bookmarkStart w:id="55" w:name="_Toc69121350"/>
      <w:r w:rsidRPr="003F37F7">
        <w:rPr>
          <w:rFonts w:asciiTheme="minorHAnsi" w:hAnsiTheme="minorHAnsi"/>
          <w:i w:val="0"/>
          <w:color w:val="auto"/>
          <w:sz w:val="22"/>
          <w:szCs w:val="22"/>
        </w:rPr>
        <w:t xml:space="preserve">Tabela </w:t>
      </w:r>
      <w:r w:rsidRPr="003F37F7">
        <w:rPr>
          <w:rFonts w:asciiTheme="minorHAnsi" w:hAnsiTheme="minorHAnsi"/>
          <w:i w:val="0"/>
          <w:color w:val="auto"/>
          <w:sz w:val="22"/>
          <w:szCs w:val="22"/>
        </w:rPr>
        <w:fldChar w:fldCharType="begin"/>
      </w:r>
      <w:r w:rsidRPr="003F37F7">
        <w:rPr>
          <w:rFonts w:asciiTheme="minorHAnsi" w:hAnsiTheme="minorHAnsi"/>
          <w:i w:val="0"/>
          <w:color w:val="auto"/>
          <w:sz w:val="22"/>
          <w:szCs w:val="22"/>
        </w:rPr>
        <w:instrText xml:space="preserve"> SEQ Tabela \* ARABIC </w:instrText>
      </w:r>
      <w:r w:rsidRPr="003F37F7">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4</w:t>
      </w:r>
      <w:r w:rsidRPr="003F37F7">
        <w:rPr>
          <w:rFonts w:asciiTheme="minorHAnsi" w:hAnsiTheme="minorHAnsi"/>
          <w:i w:val="0"/>
          <w:color w:val="auto"/>
          <w:sz w:val="22"/>
          <w:szCs w:val="22"/>
        </w:rPr>
        <w:fldChar w:fldCharType="end"/>
      </w:r>
      <w:bookmarkEnd w:id="54"/>
      <w:r w:rsidR="000B4D56" w:rsidRPr="003F37F7">
        <w:rPr>
          <w:rFonts w:asciiTheme="minorHAnsi" w:hAnsiTheme="minorHAnsi"/>
          <w:i w:val="0"/>
          <w:color w:val="auto"/>
          <w:sz w:val="22"/>
          <w:szCs w:val="22"/>
        </w:rPr>
        <w:t xml:space="preserve"> -</w:t>
      </w:r>
      <w:r w:rsidRPr="003F37F7">
        <w:rPr>
          <w:rFonts w:asciiTheme="minorHAnsi" w:hAnsiTheme="minorHAnsi"/>
          <w:i w:val="0"/>
          <w:color w:val="auto"/>
          <w:sz w:val="22"/>
          <w:szCs w:val="22"/>
        </w:rPr>
        <w:t xml:space="preserve"> Receitas Primárias do Governo Central Indexadas </w:t>
      </w:r>
      <w:r w:rsidR="00CF357F">
        <w:rPr>
          <w:rFonts w:asciiTheme="minorHAnsi" w:hAnsiTheme="minorHAnsi"/>
          <w:i w:val="0"/>
          <w:color w:val="auto"/>
          <w:sz w:val="22"/>
          <w:szCs w:val="22"/>
        </w:rPr>
        <w:t>a</w:t>
      </w:r>
      <w:r w:rsidRPr="003F37F7">
        <w:rPr>
          <w:rFonts w:asciiTheme="minorHAnsi" w:hAnsiTheme="minorHAnsi"/>
          <w:i w:val="0"/>
          <w:color w:val="auto"/>
          <w:sz w:val="22"/>
          <w:szCs w:val="22"/>
        </w:rPr>
        <w:t xml:space="preserve"> Parâmetros Macroeconômicos</w:t>
      </w:r>
      <w:bookmarkEnd w:id="55"/>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66"/>
        <w:gridCol w:w="1181"/>
        <w:gridCol w:w="1977"/>
        <w:gridCol w:w="3774"/>
      </w:tblGrid>
      <w:tr w:rsidR="00BB1A30" w:rsidRPr="00BB1A30" w14:paraId="6FE02ABB" w14:textId="77777777" w:rsidTr="00582E14">
        <w:trPr>
          <w:trHeight w:val="20"/>
          <w:tblHeader/>
          <w:jc w:val="center"/>
        </w:trPr>
        <w:tc>
          <w:tcPr>
            <w:tcW w:w="0" w:type="auto"/>
            <w:shd w:val="clear" w:color="auto" w:fill="404040" w:themeFill="text1" w:themeFillTint="BF"/>
            <w:vAlign w:val="center"/>
            <w:hideMark/>
          </w:tcPr>
          <w:p w14:paraId="5F64511C" w14:textId="77777777" w:rsidR="00833B4D" w:rsidRPr="00582E14" w:rsidRDefault="00833B4D" w:rsidP="0065674D">
            <w:pPr>
              <w:spacing w:after="0" w:line="240" w:lineRule="auto"/>
              <w:jc w:val="center"/>
              <w:rPr>
                <w:rFonts w:eastAsia="Times New Roman" w:cs="Times New Roman"/>
                <w:b/>
                <w:color w:val="FFFFFF" w:themeColor="background1"/>
                <w:sz w:val="20"/>
                <w:szCs w:val="20"/>
                <w:lang w:eastAsia="pt-BR"/>
              </w:rPr>
            </w:pPr>
            <w:r w:rsidRPr="00582E14">
              <w:rPr>
                <w:rFonts w:eastAsia="Times New Roman" w:cs="Times New Roman"/>
                <w:b/>
                <w:color w:val="FFFFFF" w:themeColor="background1"/>
                <w:sz w:val="20"/>
                <w:szCs w:val="20"/>
                <w:lang w:eastAsia="pt-BR"/>
              </w:rPr>
              <w:t>Itens de Receitas relacionados</w:t>
            </w:r>
          </w:p>
          <w:p w14:paraId="268882AE" w14:textId="77777777" w:rsidR="00833B4D" w:rsidRPr="00582E14" w:rsidRDefault="00833B4D" w:rsidP="0065674D">
            <w:pPr>
              <w:spacing w:after="0" w:line="240" w:lineRule="auto"/>
              <w:jc w:val="center"/>
              <w:rPr>
                <w:rFonts w:eastAsia="Times New Roman" w:cs="Times New Roman"/>
                <w:b/>
                <w:color w:val="FFFFFF" w:themeColor="background1"/>
                <w:sz w:val="20"/>
                <w:szCs w:val="20"/>
                <w:lang w:eastAsia="pt-BR"/>
              </w:rPr>
            </w:pPr>
            <w:proofErr w:type="gramStart"/>
            <w:r w:rsidRPr="00582E14">
              <w:rPr>
                <w:rFonts w:eastAsia="Times New Roman" w:cs="Times New Roman"/>
                <w:b/>
                <w:color w:val="FFFFFF" w:themeColor="background1"/>
                <w:sz w:val="20"/>
                <w:szCs w:val="20"/>
                <w:lang w:eastAsia="pt-BR"/>
              </w:rPr>
              <w:t>a</w:t>
            </w:r>
            <w:proofErr w:type="gramEnd"/>
            <w:r w:rsidRPr="00582E14">
              <w:rPr>
                <w:rFonts w:eastAsia="Times New Roman" w:cs="Times New Roman"/>
                <w:b/>
                <w:color w:val="FFFFFF" w:themeColor="background1"/>
                <w:sz w:val="20"/>
                <w:szCs w:val="20"/>
                <w:lang w:eastAsia="pt-BR"/>
              </w:rPr>
              <w:t xml:space="preserve"> parâmetros macroeconômicos</w:t>
            </w:r>
          </w:p>
        </w:tc>
        <w:tc>
          <w:tcPr>
            <w:tcW w:w="0" w:type="auto"/>
            <w:shd w:val="clear" w:color="auto" w:fill="404040" w:themeFill="text1" w:themeFillTint="BF"/>
            <w:vAlign w:val="center"/>
            <w:hideMark/>
          </w:tcPr>
          <w:p w14:paraId="5E0A0914" w14:textId="77777777" w:rsidR="00833B4D" w:rsidRPr="00582E14" w:rsidRDefault="00833B4D" w:rsidP="0065674D">
            <w:pPr>
              <w:spacing w:after="0" w:line="240" w:lineRule="auto"/>
              <w:jc w:val="center"/>
              <w:rPr>
                <w:rFonts w:eastAsia="Times New Roman" w:cs="Times New Roman"/>
                <w:b/>
                <w:color w:val="FFFFFF" w:themeColor="background1"/>
                <w:sz w:val="20"/>
                <w:szCs w:val="20"/>
                <w:lang w:eastAsia="pt-BR"/>
              </w:rPr>
            </w:pPr>
            <w:r w:rsidRPr="00582E14">
              <w:rPr>
                <w:rFonts w:eastAsia="Times New Roman" w:cs="Times New Roman"/>
                <w:b/>
                <w:color w:val="FFFFFF" w:themeColor="background1"/>
                <w:sz w:val="20"/>
                <w:szCs w:val="20"/>
                <w:lang w:eastAsia="pt-BR"/>
              </w:rPr>
              <w:t>Receita</w:t>
            </w:r>
          </w:p>
          <w:p w14:paraId="420B2320" w14:textId="4F72371F" w:rsidR="00833B4D" w:rsidRPr="00582E14" w:rsidRDefault="00833B4D" w:rsidP="0065674D">
            <w:pPr>
              <w:spacing w:after="0" w:line="240" w:lineRule="auto"/>
              <w:jc w:val="center"/>
              <w:rPr>
                <w:rFonts w:eastAsia="Times New Roman" w:cs="Times New Roman"/>
                <w:b/>
                <w:color w:val="FFFFFF" w:themeColor="background1"/>
                <w:sz w:val="20"/>
                <w:szCs w:val="20"/>
                <w:lang w:eastAsia="pt-BR"/>
              </w:rPr>
            </w:pPr>
            <w:proofErr w:type="gramStart"/>
            <w:r w:rsidRPr="00582E14">
              <w:rPr>
                <w:rFonts w:eastAsia="Times New Roman" w:cs="Times New Roman"/>
                <w:b/>
                <w:color w:val="FFFFFF" w:themeColor="background1"/>
                <w:sz w:val="20"/>
                <w:szCs w:val="20"/>
                <w:lang w:eastAsia="pt-BR"/>
              </w:rPr>
              <w:t>em</w:t>
            </w:r>
            <w:proofErr w:type="gramEnd"/>
            <w:r w:rsidRPr="00582E14">
              <w:rPr>
                <w:rFonts w:eastAsia="Times New Roman" w:cs="Times New Roman"/>
                <w:b/>
                <w:color w:val="FFFFFF" w:themeColor="background1"/>
                <w:sz w:val="20"/>
                <w:szCs w:val="20"/>
                <w:lang w:eastAsia="pt-BR"/>
              </w:rPr>
              <w:t xml:space="preserve"> 20</w:t>
            </w:r>
            <w:r w:rsidR="001A50B7" w:rsidRPr="00582E14">
              <w:rPr>
                <w:rFonts w:eastAsia="Times New Roman" w:cs="Times New Roman"/>
                <w:b/>
                <w:color w:val="FFFFFF" w:themeColor="background1"/>
                <w:sz w:val="20"/>
                <w:szCs w:val="20"/>
                <w:lang w:eastAsia="pt-BR"/>
              </w:rPr>
              <w:t>20</w:t>
            </w:r>
          </w:p>
          <w:p w14:paraId="404F5AD1" w14:textId="77777777" w:rsidR="00833B4D" w:rsidRPr="00582E14" w:rsidRDefault="00833B4D" w:rsidP="0065674D">
            <w:pPr>
              <w:spacing w:after="0" w:line="240" w:lineRule="auto"/>
              <w:jc w:val="center"/>
              <w:rPr>
                <w:rFonts w:eastAsia="Times New Roman" w:cs="Times New Roman"/>
                <w:b/>
                <w:color w:val="FFFFFF" w:themeColor="background1"/>
                <w:sz w:val="20"/>
                <w:szCs w:val="20"/>
                <w:lang w:eastAsia="pt-BR"/>
              </w:rPr>
            </w:pPr>
            <w:r w:rsidRPr="00582E14">
              <w:rPr>
                <w:rFonts w:eastAsia="Times New Roman" w:cs="Times New Roman"/>
                <w:b/>
                <w:color w:val="FFFFFF" w:themeColor="background1"/>
                <w:sz w:val="20"/>
                <w:szCs w:val="20"/>
                <w:lang w:eastAsia="pt-BR"/>
              </w:rPr>
              <w:t>(R$ milhões)</w:t>
            </w:r>
          </w:p>
        </w:tc>
        <w:tc>
          <w:tcPr>
            <w:tcW w:w="0" w:type="auto"/>
            <w:shd w:val="clear" w:color="auto" w:fill="404040" w:themeFill="text1" w:themeFillTint="BF"/>
            <w:vAlign w:val="center"/>
            <w:hideMark/>
          </w:tcPr>
          <w:p w14:paraId="3F5BD5BF" w14:textId="77777777" w:rsidR="008A596C" w:rsidRPr="00582E14" w:rsidRDefault="00833B4D" w:rsidP="0065674D">
            <w:pPr>
              <w:spacing w:after="0" w:line="240" w:lineRule="auto"/>
              <w:jc w:val="center"/>
              <w:rPr>
                <w:rFonts w:eastAsia="Times New Roman" w:cs="Times New Roman"/>
                <w:b/>
                <w:color w:val="FFFFFF" w:themeColor="background1"/>
                <w:sz w:val="20"/>
                <w:szCs w:val="20"/>
                <w:lang w:eastAsia="pt-BR"/>
              </w:rPr>
            </w:pPr>
            <w:r w:rsidRPr="00582E14">
              <w:rPr>
                <w:rFonts w:eastAsia="Times New Roman" w:cs="Times New Roman"/>
                <w:b/>
                <w:color w:val="FFFFFF" w:themeColor="background1"/>
                <w:sz w:val="20"/>
                <w:szCs w:val="20"/>
                <w:lang w:eastAsia="pt-BR"/>
              </w:rPr>
              <w:t>Participação na</w:t>
            </w:r>
          </w:p>
          <w:p w14:paraId="4123E7B7" w14:textId="77777777" w:rsidR="00833B4D" w:rsidRPr="00582E14" w:rsidRDefault="00833B4D" w:rsidP="008A596C">
            <w:pPr>
              <w:spacing w:after="0" w:line="240" w:lineRule="auto"/>
              <w:jc w:val="center"/>
              <w:rPr>
                <w:rFonts w:eastAsia="Times New Roman" w:cs="Times New Roman"/>
                <w:b/>
                <w:color w:val="FFFFFF" w:themeColor="background1"/>
                <w:sz w:val="20"/>
                <w:szCs w:val="20"/>
                <w:lang w:eastAsia="pt-BR"/>
              </w:rPr>
            </w:pPr>
            <w:r w:rsidRPr="00582E14">
              <w:rPr>
                <w:rFonts w:eastAsia="Times New Roman" w:cs="Times New Roman"/>
                <w:b/>
                <w:color w:val="FFFFFF" w:themeColor="background1"/>
                <w:sz w:val="20"/>
                <w:szCs w:val="20"/>
                <w:lang w:eastAsia="pt-BR"/>
              </w:rPr>
              <w:t>Receita</w:t>
            </w:r>
            <w:r w:rsidR="008A596C" w:rsidRPr="00582E14">
              <w:rPr>
                <w:rFonts w:eastAsia="Times New Roman" w:cs="Times New Roman"/>
                <w:b/>
                <w:color w:val="FFFFFF" w:themeColor="background1"/>
                <w:sz w:val="20"/>
                <w:szCs w:val="20"/>
                <w:lang w:eastAsia="pt-BR"/>
              </w:rPr>
              <w:t xml:space="preserve"> </w:t>
            </w:r>
            <w:r w:rsidRPr="00582E14">
              <w:rPr>
                <w:rFonts w:eastAsia="Times New Roman" w:cs="Times New Roman"/>
                <w:b/>
                <w:color w:val="FFFFFF" w:themeColor="background1"/>
                <w:sz w:val="20"/>
                <w:szCs w:val="20"/>
                <w:lang w:eastAsia="pt-BR"/>
              </w:rPr>
              <w:t>Primária Total</w:t>
            </w:r>
          </w:p>
        </w:tc>
        <w:tc>
          <w:tcPr>
            <w:tcW w:w="0" w:type="auto"/>
            <w:shd w:val="clear" w:color="auto" w:fill="404040" w:themeFill="text1" w:themeFillTint="BF"/>
            <w:vAlign w:val="center"/>
            <w:hideMark/>
          </w:tcPr>
          <w:p w14:paraId="197D1D77" w14:textId="77777777" w:rsidR="00833B4D" w:rsidRPr="00582E14" w:rsidRDefault="00833B4D" w:rsidP="0065674D">
            <w:pPr>
              <w:spacing w:after="0" w:line="240" w:lineRule="auto"/>
              <w:jc w:val="center"/>
              <w:rPr>
                <w:rFonts w:eastAsia="Times New Roman" w:cs="Times New Roman"/>
                <w:b/>
                <w:color w:val="FFFFFF" w:themeColor="background1"/>
                <w:sz w:val="20"/>
                <w:szCs w:val="20"/>
                <w:lang w:eastAsia="pt-BR"/>
              </w:rPr>
            </w:pPr>
            <w:r w:rsidRPr="00582E14">
              <w:rPr>
                <w:rFonts w:eastAsia="Times New Roman" w:cs="Times New Roman"/>
                <w:b/>
                <w:color w:val="FFFFFF" w:themeColor="background1"/>
                <w:sz w:val="20"/>
                <w:szCs w:val="20"/>
                <w:lang w:eastAsia="pt-BR"/>
              </w:rPr>
              <w:t>Indexadores</w:t>
            </w:r>
          </w:p>
        </w:tc>
      </w:tr>
      <w:tr w:rsidR="0047096F" w:rsidRPr="00BB1A30" w14:paraId="703E9065" w14:textId="77777777" w:rsidTr="00582E14">
        <w:trPr>
          <w:trHeight w:val="20"/>
          <w:jc w:val="center"/>
        </w:trPr>
        <w:tc>
          <w:tcPr>
            <w:tcW w:w="0" w:type="auto"/>
            <w:shd w:val="clear" w:color="auto" w:fill="F2F2F2" w:themeFill="background1" w:themeFillShade="F2"/>
            <w:noWrap/>
            <w:hideMark/>
          </w:tcPr>
          <w:p w14:paraId="05D4333C" w14:textId="77777777" w:rsidR="0047096F" w:rsidRPr="0047096F" w:rsidRDefault="0047096F" w:rsidP="0047096F">
            <w:pPr>
              <w:spacing w:after="0" w:line="240" w:lineRule="auto"/>
              <w:rPr>
                <w:rFonts w:eastAsia="Times New Roman" w:cs="Times New Roman"/>
                <w:sz w:val="18"/>
                <w:szCs w:val="18"/>
                <w:lang w:eastAsia="pt-BR"/>
              </w:rPr>
            </w:pPr>
            <w:r w:rsidRPr="0047096F">
              <w:rPr>
                <w:rFonts w:eastAsia="Times New Roman" w:cs="Times New Roman"/>
                <w:sz w:val="18"/>
                <w:szCs w:val="18"/>
                <w:lang w:eastAsia="pt-BR"/>
              </w:rPr>
              <w:t>Receitas Administradas pela RFB</w:t>
            </w:r>
          </w:p>
        </w:tc>
        <w:tc>
          <w:tcPr>
            <w:tcW w:w="0" w:type="auto"/>
            <w:shd w:val="clear" w:color="auto" w:fill="F2F2F2" w:themeFill="background1" w:themeFillShade="F2"/>
            <w:noWrap/>
            <w:hideMark/>
          </w:tcPr>
          <w:p w14:paraId="38BE3C78" w14:textId="5FCCFD3C"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899.523</w:t>
            </w:r>
          </w:p>
        </w:tc>
        <w:tc>
          <w:tcPr>
            <w:tcW w:w="0" w:type="auto"/>
            <w:shd w:val="clear" w:color="auto" w:fill="F2F2F2" w:themeFill="background1" w:themeFillShade="F2"/>
            <w:noWrap/>
            <w:hideMark/>
          </w:tcPr>
          <w:p w14:paraId="75229FDB" w14:textId="74683133"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61,3%</w:t>
            </w:r>
          </w:p>
        </w:tc>
        <w:tc>
          <w:tcPr>
            <w:tcW w:w="0" w:type="auto"/>
            <w:shd w:val="clear" w:color="auto" w:fill="F2F2F2" w:themeFill="background1" w:themeFillShade="F2"/>
            <w:hideMark/>
          </w:tcPr>
          <w:p w14:paraId="4C5B93B6" w14:textId="77777777" w:rsidR="0047096F" w:rsidRPr="0047096F" w:rsidRDefault="0047096F" w:rsidP="0047096F">
            <w:pPr>
              <w:spacing w:after="0" w:line="240" w:lineRule="auto"/>
              <w:rPr>
                <w:rFonts w:eastAsia="Times New Roman" w:cs="Times New Roman"/>
                <w:sz w:val="18"/>
                <w:szCs w:val="18"/>
                <w:lang w:eastAsia="pt-BR"/>
              </w:rPr>
            </w:pPr>
            <w:r w:rsidRPr="0047096F">
              <w:rPr>
                <w:rFonts w:eastAsia="Times New Roman" w:cs="Times New Roman"/>
                <w:sz w:val="18"/>
                <w:szCs w:val="18"/>
                <w:lang w:eastAsia="pt-BR"/>
              </w:rPr>
              <w:t>PIB, Inflação, Câmbio, Massa Salarial, Juros (Over</w:t>
            </w:r>
            <w:proofErr w:type="gramStart"/>
            <w:r w:rsidRPr="0047096F">
              <w:rPr>
                <w:rFonts w:eastAsia="Times New Roman" w:cs="Times New Roman"/>
                <w:sz w:val="18"/>
                <w:szCs w:val="18"/>
                <w:lang w:eastAsia="pt-BR"/>
              </w:rPr>
              <w:t>)</w:t>
            </w:r>
            <w:proofErr w:type="gramEnd"/>
          </w:p>
        </w:tc>
      </w:tr>
      <w:tr w:rsidR="0047096F" w:rsidRPr="00BB1A30" w14:paraId="4435C008" w14:textId="77777777" w:rsidTr="00582E14">
        <w:trPr>
          <w:trHeight w:val="20"/>
          <w:jc w:val="center"/>
        </w:trPr>
        <w:tc>
          <w:tcPr>
            <w:tcW w:w="0" w:type="auto"/>
            <w:shd w:val="clear" w:color="auto" w:fill="auto"/>
            <w:noWrap/>
            <w:hideMark/>
          </w:tcPr>
          <w:p w14:paraId="2B366662" w14:textId="77777777" w:rsidR="0047096F" w:rsidRPr="0047096F" w:rsidRDefault="0047096F" w:rsidP="0047096F">
            <w:pPr>
              <w:spacing w:after="0" w:line="240" w:lineRule="auto"/>
              <w:rPr>
                <w:rFonts w:eastAsia="Times New Roman" w:cs="Times New Roman"/>
                <w:sz w:val="18"/>
                <w:szCs w:val="18"/>
                <w:lang w:eastAsia="pt-BR"/>
              </w:rPr>
            </w:pPr>
            <w:r w:rsidRPr="0047096F">
              <w:rPr>
                <w:rFonts w:eastAsia="Times New Roman" w:cs="Times New Roman"/>
                <w:sz w:val="18"/>
                <w:szCs w:val="18"/>
                <w:lang w:eastAsia="pt-BR"/>
              </w:rPr>
              <w:t>Receitas Previdenciárias</w:t>
            </w:r>
          </w:p>
        </w:tc>
        <w:tc>
          <w:tcPr>
            <w:tcW w:w="0" w:type="auto"/>
            <w:shd w:val="clear" w:color="auto" w:fill="auto"/>
            <w:noWrap/>
            <w:hideMark/>
          </w:tcPr>
          <w:p w14:paraId="61028275" w14:textId="0329EE56"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404.773</w:t>
            </w:r>
          </w:p>
        </w:tc>
        <w:tc>
          <w:tcPr>
            <w:tcW w:w="0" w:type="auto"/>
            <w:shd w:val="clear" w:color="auto" w:fill="auto"/>
            <w:noWrap/>
            <w:hideMark/>
          </w:tcPr>
          <w:p w14:paraId="3853BFEF" w14:textId="605B42F1"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27,6%</w:t>
            </w:r>
          </w:p>
        </w:tc>
        <w:tc>
          <w:tcPr>
            <w:tcW w:w="0" w:type="auto"/>
            <w:shd w:val="clear" w:color="auto" w:fill="auto"/>
            <w:hideMark/>
          </w:tcPr>
          <w:p w14:paraId="7FF71035" w14:textId="77777777" w:rsidR="0047096F" w:rsidRPr="0047096F" w:rsidRDefault="0047096F" w:rsidP="0047096F">
            <w:pPr>
              <w:spacing w:after="0" w:line="240" w:lineRule="auto"/>
              <w:rPr>
                <w:rFonts w:eastAsia="Times New Roman" w:cs="Times New Roman"/>
                <w:sz w:val="18"/>
                <w:szCs w:val="18"/>
                <w:lang w:eastAsia="pt-BR"/>
              </w:rPr>
            </w:pPr>
            <w:r w:rsidRPr="0047096F">
              <w:rPr>
                <w:rFonts w:eastAsia="Times New Roman" w:cs="Times New Roman"/>
                <w:sz w:val="18"/>
                <w:szCs w:val="18"/>
                <w:lang w:eastAsia="pt-BR"/>
              </w:rPr>
              <w:t xml:space="preserve">PIB, Inflação, Massa </w:t>
            </w:r>
            <w:proofErr w:type="gramStart"/>
            <w:r w:rsidRPr="0047096F">
              <w:rPr>
                <w:rFonts w:eastAsia="Times New Roman" w:cs="Times New Roman"/>
                <w:sz w:val="18"/>
                <w:szCs w:val="18"/>
                <w:lang w:eastAsia="pt-BR"/>
              </w:rPr>
              <w:t>Salarial</w:t>
            </w:r>
            <w:proofErr w:type="gramEnd"/>
          </w:p>
        </w:tc>
      </w:tr>
      <w:tr w:rsidR="0047096F" w:rsidRPr="00BB1A30" w14:paraId="50210319" w14:textId="77777777" w:rsidTr="00582E14">
        <w:trPr>
          <w:trHeight w:val="20"/>
          <w:jc w:val="center"/>
        </w:trPr>
        <w:tc>
          <w:tcPr>
            <w:tcW w:w="0" w:type="auto"/>
            <w:shd w:val="clear" w:color="auto" w:fill="F2F2F2" w:themeFill="background1" w:themeFillShade="F2"/>
            <w:noWrap/>
            <w:hideMark/>
          </w:tcPr>
          <w:p w14:paraId="5D14D9A2" w14:textId="77777777" w:rsidR="0047096F" w:rsidRPr="0047096F" w:rsidRDefault="0047096F" w:rsidP="0047096F">
            <w:pPr>
              <w:spacing w:after="0" w:line="240" w:lineRule="auto"/>
              <w:rPr>
                <w:rFonts w:eastAsia="Times New Roman" w:cs="Times New Roman"/>
                <w:sz w:val="18"/>
                <w:szCs w:val="18"/>
                <w:lang w:eastAsia="pt-BR"/>
              </w:rPr>
            </w:pPr>
            <w:proofErr w:type="gramStart"/>
            <w:r w:rsidRPr="0047096F">
              <w:rPr>
                <w:rFonts w:eastAsia="Times New Roman" w:cs="Times New Roman"/>
                <w:sz w:val="18"/>
                <w:szCs w:val="18"/>
                <w:lang w:eastAsia="pt-BR"/>
              </w:rPr>
              <w:t>Receitas Não Administradas</w:t>
            </w:r>
            <w:proofErr w:type="gramEnd"/>
            <w:r w:rsidRPr="0047096F">
              <w:rPr>
                <w:rFonts w:eastAsia="Times New Roman" w:cs="Times New Roman"/>
                <w:sz w:val="18"/>
                <w:szCs w:val="18"/>
                <w:lang w:eastAsia="pt-BR"/>
              </w:rPr>
              <w:t xml:space="preserve"> pela RFB</w:t>
            </w:r>
          </w:p>
        </w:tc>
        <w:tc>
          <w:tcPr>
            <w:tcW w:w="0" w:type="auto"/>
            <w:shd w:val="clear" w:color="auto" w:fill="F2F2F2" w:themeFill="background1" w:themeFillShade="F2"/>
            <w:noWrap/>
            <w:hideMark/>
          </w:tcPr>
          <w:p w14:paraId="03EDF6D2" w14:textId="16DD8E27" w:rsidR="0047096F" w:rsidRPr="0047096F" w:rsidRDefault="0047096F" w:rsidP="00582E14">
            <w:pPr>
              <w:spacing w:after="0" w:line="240" w:lineRule="auto"/>
              <w:jc w:val="right"/>
              <w:rPr>
                <w:rFonts w:eastAsia="Times New Roman" w:cs="Times New Roman"/>
                <w:sz w:val="18"/>
                <w:szCs w:val="18"/>
                <w:lang w:eastAsia="pt-BR"/>
              </w:rPr>
            </w:pPr>
          </w:p>
        </w:tc>
        <w:tc>
          <w:tcPr>
            <w:tcW w:w="0" w:type="auto"/>
            <w:shd w:val="clear" w:color="auto" w:fill="F2F2F2" w:themeFill="background1" w:themeFillShade="F2"/>
            <w:noWrap/>
            <w:hideMark/>
          </w:tcPr>
          <w:p w14:paraId="5B227708" w14:textId="122E5773" w:rsidR="0047096F" w:rsidRPr="0047096F" w:rsidRDefault="0047096F" w:rsidP="00582E14">
            <w:pPr>
              <w:spacing w:after="0" w:line="240" w:lineRule="auto"/>
              <w:jc w:val="right"/>
              <w:rPr>
                <w:rFonts w:eastAsia="Times New Roman" w:cs="Times New Roman"/>
                <w:sz w:val="18"/>
                <w:szCs w:val="18"/>
                <w:lang w:eastAsia="pt-BR"/>
              </w:rPr>
            </w:pPr>
          </w:p>
        </w:tc>
        <w:tc>
          <w:tcPr>
            <w:tcW w:w="0" w:type="auto"/>
            <w:shd w:val="clear" w:color="auto" w:fill="F2F2F2" w:themeFill="background1" w:themeFillShade="F2"/>
            <w:hideMark/>
          </w:tcPr>
          <w:p w14:paraId="543D5635" w14:textId="77777777" w:rsidR="0047096F" w:rsidRPr="0047096F" w:rsidRDefault="0047096F" w:rsidP="0047096F">
            <w:pPr>
              <w:spacing w:after="0" w:line="240" w:lineRule="auto"/>
              <w:rPr>
                <w:rFonts w:eastAsia="Times New Roman" w:cs="Times New Roman"/>
                <w:sz w:val="18"/>
                <w:szCs w:val="18"/>
                <w:lang w:eastAsia="pt-BR"/>
              </w:rPr>
            </w:pPr>
          </w:p>
        </w:tc>
      </w:tr>
      <w:tr w:rsidR="0047096F" w:rsidRPr="00BB1A30" w14:paraId="74FA17B5" w14:textId="77777777" w:rsidTr="00582E14">
        <w:trPr>
          <w:trHeight w:val="20"/>
          <w:jc w:val="center"/>
        </w:trPr>
        <w:tc>
          <w:tcPr>
            <w:tcW w:w="0" w:type="auto"/>
            <w:shd w:val="clear" w:color="auto" w:fill="F2F2F2" w:themeFill="background1" w:themeFillShade="F2"/>
            <w:noWrap/>
            <w:hideMark/>
          </w:tcPr>
          <w:p w14:paraId="1D80B9BD" w14:textId="77777777" w:rsidR="0047096F" w:rsidRPr="0047096F" w:rsidRDefault="0047096F" w:rsidP="0047096F">
            <w:pPr>
              <w:spacing w:after="0" w:line="240" w:lineRule="auto"/>
              <w:ind w:left="284"/>
              <w:rPr>
                <w:rFonts w:eastAsia="Times New Roman" w:cs="Times New Roman"/>
                <w:sz w:val="18"/>
                <w:szCs w:val="18"/>
                <w:lang w:eastAsia="pt-BR"/>
              </w:rPr>
            </w:pPr>
            <w:r w:rsidRPr="0047096F">
              <w:rPr>
                <w:rFonts w:eastAsia="Times New Roman" w:cs="Times New Roman"/>
                <w:sz w:val="18"/>
                <w:szCs w:val="18"/>
                <w:lang w:eastAsia="pt-BR"/>
              </w:rPr>
              <w:t>Contribuição do Salário Educação</w:t>
            </w:r>
          </w:p>
        </w:tc>
        <w:tc>
          <w:tcPr>
            <w:tcW w:w="0" w:type="auto"/>
            <w:shd w:val="clear" w:color="auto" w:fill="F2F2F2" w:themeFill="background1" w:themeFillShade="F2"/>
            <w:noWrap/>
            <w:hideMark/>
          </w:tcPr>
          <w:p w14:paraId="6E625176" w14:textId="15C9EF16"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21.261</w:t>
            </w:r>
          </w:p>
        </w:tc>
        <w:tc>
          <w:tcPr>
            <w:tcW w:w="0" w:type="auto"/>
            <w:shd w:val="clear" w:color="auto" w:fill="F2F2F2" w:themeFill="background1" w:themeFillShade="F2"/>
            <w:noWrap/>
            <w:hideMark/>
          </w:tcPr>
          <w:p w14:paraId="4CDC18D9" w14:textId="120ED93A"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1,4%</w:t>
            </w:r>
          </w:p>
        </w:tc>
        <w:tc>
          <w:tcPr>
            <w:tcW w:w="0" w:type="auto"/>
            <w:shd w:val="clear" w:color="auto" w:fill="F2F2F2" w:themeFill="background1" w:themeFillShade="F2"/>
            <w:hideMark/>
          </w:tcPr>
          <w:p w14:paraId="32B215C6" w14:textId="77777777" w:rsidR="0047096F" w:rsidRPr="0047096F" w:rsidRDefault="0047096F" w:rsidP="0047096F">
            <w:pPr>
              <w:spacing w:after="0" w:line="240" w:lineRule="auto"/>
              <w:rPr>
                <w:rFonts w:eastAsia="Times New Roman" w:cs="Times New Roman"/>
                <w:sz w:val="18"/>
                <w:szCs w:val="18"/>
                <w:lang w:eastAsia="pt-BR"/>
              </w:rPr>
            </w:pPr>
            <w:r w:rsidRPr="0047096F">
              <w:rPr>
                <w:rFonts w:eastAsia="Times New Roman" w:cs="Times New Roman"/>
                <w:sz w:val="18"/>
                <w:szCs w:val="18"/>
                <w:lang w:eastAsia="pt-BR"/>
              </w:rPr>
              <w:t>PIB, Inflação</w:t>
            </w:r>
          </w:p>
        </w:tc>
      </w:tr>
      <w:tr w:rsidR="0047096F" w:rsidRPr="00BB1A30" w14:paraId="67524D64" w14:textId="77777777" w:rsidTr="00582E14">
        <w:trPr>
          <w:trHeight w:val="20"/>
          <w:jc w:val="center"/>
        </w:trPr>
        <w:tc>
          <w:tcPr>
            <w:tcW w:w="0" w:type="auto"/>
            <w:shd w:val="clear" w:color="auto" w:fill="F2F2F2" w:themeFill="background1" w:themeFillShade="F2"/>
            <w:noWrap/>
            <w:hideMark/>
          </w:tcPr>
          <w:p w14:paraId="396C5F3C" w14:textId="77777777" w:rsidR="0047096F" w:rsidRPr="0047096F" w:rsidRDefault="0047096F" w:rsidP="0047096F">
            <w:pPr>
              <w:spacing w:after="0" w:line="240" w:lineRule="auto"/>
              <w:ind w:left="284"/>
              <w:rPr>
                <w:rFonts w:eastAsia="Times New Roman" w:cs="Times New Roman"/>
                <w:sz w:val="18"/>
                <w:szCs w:val="18"/>
                <w:lang w:eastAsia="pt-BR"/>
              </w:rPr>
            </w:pPr>
            <w:r w:rsidRPr="0047096F">
              <w:rPr>
                <w:rFonts w:eastAsia="Times New Roman" w:cs="Times New Roman"/>
                <w:sz w:val="18"/>
                <w:szCs w:val="18"/>
                <w:lang w:eastAsia="pt-BR"/>
              </w:rPr>
              <w:t>Exploração de Recursos Naturais</w:t>
            </w:r>
          </w:p>
        </w:tc>
        <w:tc>
          <w:tcPr>
            <w:tcW w:w="0" w:type="auto"/>
            <w:shd w:val="clear" w:color="auto" w:fill="F2F2F2" w:themeFill="background1" w:themeFillShade="F2"/>
            <w:noWrap/>
            <w:hideMark/>
          </w:tcPr>
          <w:p w14:paraId="0D8E4A9B" w14:textId="50D3C242"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64.681</w:t>
            </w:r>
          </w:p>
        </w:tc>
        <w:tc>
          <w:tcPr>
            <w:tcW w:w="0" w:type="auto"/>
            <w:shd w:val="clear" w:color="auto" w:fill="F2F2F2" w:themeFill="background1" w:themeFillShade="F2"/>
            <w:noWrap/>
            <w:hideMark/>
          </w:tcPr>
          <w:p w14:paraId="26D0CC90" w14:textId="2AEFB246" w:rsidR="0047096F" w:rsidRPr="0047096F" w:rsidRDefault="0047096F" w:rsidP="00582E14">
            <w:pPr>
              <w:spacing w:after="0" w:line="240" w:lineRule="auto"/>
              <w:jc w:val="right"/>
              <w:rPr>
                <w:rFonts w:eastAsia="Times New Roman" w:cs="Times New Roman"/>
                <w:sz w:val="18"/>
                <w:szCs w:val="18"/>
                <w:lang w:eastAsia="pt-BR"/>
              </w:rPr>
            </w:pPr>
            <w:r w:rsidRPr="0047096F">
              <w:rPr>
                <w:rFonts w:ascii="Calibri" w:eastAsia="Times New Roman" w:hAnsi="Calibri" w:cs="Times New Roman"/>
                <w:color w:val="000000"/>
                <w:sz w:val="18"/>
                <w:szCs w:val="18"/>
                <w:lang w:eastAsia="pt-BR"/>
              </w:rPr>
              <w:t>4,4%</w:t>
            </w:r>
          </w:p>
        </w:tc>
        <w:tc>
          <w:tcPr>
            <w:tcW w:w="0" w:type="auto"/>
            <w:shd w:val="clear" w:color="auto" w:fill="F2F2F2" w:themeFill="background1" w:themeFillShade="F2"/>
            <w:hideMark/>
          </w:tcPr>
          <w:p w14:paraId="33448941" w14:textId="77777777" w:rsidR="0047096F" w:rsidRPr="0047096F" w:rsidRDefault="0047096F" w:rsidP="0047096F">
            <w:pPr>
              <w:spacing w:after="0" w:line="240" w:lineRule="auto"/>
              <w:rPr>
                <w:rFonts w:eastAsia="Times New Roman" w:cs="Times New Roman"/>
                <w:sz w:val="18"/>
                <w:szCs w:val="18"/>
                <w:lang w:eastAsia="pt-BR"/>
              </w:rPr>
            </w:pPr>
            <w:r w:rsidRPr="0047096F">
              <w:rPr>
                <w:rFonts w:eastAsia="Times New Roman" w:cs="Times New Roman"/>
                <w:sz w:val="18"/>
                <w:szCs w:val="18"/>
                <w:lang w:eastAsia="pt-BR"/>
              </w:rPr>
              <w:t xml:space="preserve">Preços de Petróleo, Minério de Ferro, </w:t>
            </w:r>
            <w:proofErr w:type="gramStart"/>
            <w:r w:rsidRPr="0047096F">
              <w:rPr>
                <w:rFonts w:eastAsia="Times New Roman" w:cs="Times New Roman"/>
                <w:sz w:val="18"/>
                <w:szCs w:val="18"/>
                <w:lang w:eastAsia="pt-BR"/>
              </w:rPr>
              <w:t>Câmbio</w:t>
            </w:r>
            <w:proofErr w:type="gramEnd"/>
          </w:p>
        </w:tc>
      </w:tr>
      <w:tr w:rsidR="00B41152" w:rsidRPr="00BB1A30" w14:paraId="73111412" w14:textId="77777777" w:rsidTr="00582E14">
        <w:trPr>
          <w:trHeight w:val="20"/>
          <w:jc w:val="center"/>
        </w:trPr>
        <w:tc>
          <w:tcPr>
            <w:tcW w:w="0" w:type="auto"/>
            <w:tcBorders>
              <w:bottom w:val="single" w:sz="4" w:space="0" w:color="BFBFBF" w:themeColor="background1" w:themeShade="BF"/>
            </w:tcBorders>
            <w:shd w:val="clear" w:color="auto" w:fill="7F7F7F" w:themeFill="text1" w:themeFillTint="80"/>
            <w:noWrap/>
            <w:hideMark/>
          </w:tcPr>
          <w:p w14:paraId="5B6FD9CE" w14:textId="77777777" w:rsidR="0047096F" w:rsidRPr="00B41152" w:rsidRDefault="0047096F" w:rsidP="0047096F">
            <w:pPr>
              <w:spacing w:after="0" w:line="240" w:lineRule="auto"/>
              <w:rPr>
                <w:rFonts w:eastAsia="Times New Roman" w:cs="Times New Roman"/>
                <w:b/>
                <w:color w:val="FFFFFF" w:themeColor="background1"/>
                <w:sz w:val="18"/>
                <w:szCs w:val="18"/>
                <w:lang w:eastAsia="pt-BR"/>
              </w:rPr>
            </w:pPr>
            <w:r w:rsidRPr="00B41152">
              <w:rPr>
                <w:rFonts w:eastAsia="Times New Roman" w:cs="Times New Roman"/>
                <w:b/>
                <w:color w:val="FFFFFF" w:themeColor="background1"/>
                <w:sz w:val="18"/>
                <w:szCs w:val="18"/>
                <w:lang w:eastAsia="pt-BR"/>
              </w:rPr>
              <w:t>Total dos Itens</w:t>
            </w:r>
          </w:p>
        </w:tc>
        <w:tc>
          <w:tcPr>
            <w:tcW w:w="0" w:type="auto"/>
            <w:tcBorders>
              <w:bottom w:val="single" w:sz="4" w:space="0" w:color="BFBFBF" w:themeColor="background1" w:themeShade="BF"/>
            </w:tcBorders>
            <w:shd w:val="clear" w:color="auto" w:fill="7F7F7F" w:themeFill="text1" w:themeFillTint="80"/>
            <w:noWrap/>
            <w:hideMark/>
          </w:tcPr>
          <w:p w14:paraId="6D03A3ED" w14:textId="5829DACE" w:rsidR="0047096F" w:rsidRPr="00B41152" w:rsidRDefault="0047096F" w:rsidP="00582E14">
            <w:pPr>
              <w:spacing w:after="0" w:line="240" w:lineRule="auto"/>
              <w:jc w:val="right"/>
              <w:rPr>
                <w:rFonts w:eastAsia="Times New Roman" w:cs="Times New Roman"/>
                <w:b/>
                <w:color w:val="FFFFFF" w:themeColor="background1"/>
                <w:sz w:val="18"/>
                <w:szCs w:val="18"/>
                <w:lang w:eastAsia="pt-BR"/>
              </w:rPr>
            </w:pPr>
            <w:r w:rsidRPr="00B41152">
              <w:rPr>
                <w:rFonts w:ascii="Calibri" w:eastAsia="Times New Roman" w:hAnsi="Calibri" w:cs="Times New Roman"/>
                <w:b/>
                <w:color w:val="FFFFFF" w:themeColor="background1"/>
                <w:sz w:val="18"/>
                <w:szCs w:val="18"/>
                <w:lang w:eastAsia="pt-BR"/>
              </w:rPr>
              <w:t>1.390.238</w:t>
            </w:r>
          </w:p>
        </w:tc>
        <w:tc>
          <w:tcPr>
            <w:tcW w:w="0" w:type="auto"/>
            <w:tcBorders>
              <w:bottom w:val="single" w:sz="4" w:space="0" w:color="BFBFBF" w:themeColor="background1" w:themeShade="BF"/>
            </w:tcBorders>
            <w:shd w:val="clear" w:color="auto" w:fill="7F7F7F" w:themeFill="text1" w:themeFillTint="80"/>
            <w:noWrap/>
            <w:hideMark/>
          </w:tcPr>
          <w:p w14:paraId="3FB4B11C" w14:textId="6024B342" w:rsidR="0047096F" w:rsidRPr="00B41152" w:rsidRDefault="0047096F" w:rsidP="00582E14">
            <w:pPr>
              <w:spacing w:after="0" w:line="240" w:lineRule="auto"/>
              <w:jc w:val="right"/>
              <w:rPr>
                <w:rFonts w:eastAsia="Times New Roman" w:cs="Times New Roman"/>
                <w:b/>
                <w:color w:val="FFFFFF" w:themeColor="background1"/>
                <w:sz w:val="18"/>
                <w:szCs w:val="18"/>
                <w:lang w:eastAsia="pt-BR"/>
              </w:rPr>
            </w:pPr>
            <w:r w:rsidRPr="00B41152">
              <w:rPr>
                <w:rFonts w:ascii="Calibri" w:eastAsia="Times New Roman" w:hAnsi="Calibri" w:cs="Times New Roman"/>
                <w:b/>
                <w:color w:val="FFFFFF" w:themeColor="background1"/>
                <w:sz w:val="18"/>
                <w:szCs w:val="18"/>
                <w:lang w:eastAsia="pt-BR"/>
              </w:rPr>
              <w:t>94,7%</w:t>
            </w:r>
          </w:p>
        </w:tc>
        <w:tc>
          <w:tcPr>
            <w:tcW w:w="0" w:type="auto"/>
            <w:tcBorders>
              <w:bottom w:val="single" w:sz="4" w:space="0" w:color="BFBFBF" w:themeColor="background1" w:themeShade="BF"/>
            </w:tcBorders>
            <w:shd w:val="clear" w:color="auto" w:fill="7F7F7F" w:themeFill="text1" w:themeFillTint="80"/>
            <w:vAlign w:val="bottom"/>
            <w:hideMark/>
          </w:tcPr>
          <w:p w14:paraId="11FB5C50" w14:textId="77777777" w:rsidR="0047096F" w:rsidRPr="00B41152" w:rsidRDefault="0047096F" w:rsidP="0047096F">
            <w:pPr>
              <w:spacing w:after="0" w:line="240" w:lineRule="auto"/>
              <w:jc w:val="center"/>
              <w:rPr>
                <w:rFonts w:eastAsia="Times New Roman" w:cs="Times New Roman"/>
                <w:b/>
                <w:color w:val="FFFFFF" w:themeColor="background1"/>
                <w:sz w:val="18"/>
                <w:szCs w:val="18"/>
                <w:lang w:eastAsia="pt-BR"/>
              </w:rPr>
            </w:pPr>
          </w:p>
        </w:tc>
      </w:tr>
      <w:tr w:rsidR="008A596C" w:rsidRPr="00BB1A30" w14:paraId="203719A8" w14:textId="77777777" w:rsidTr="00582E14">
        <w:trPr>
          <w:trHeight w:val="20"/>
          <w:jc w:val="center"/>
        </w:trPr>
        <w:tc>
          <w:tcPr>
            <w:tcW w:w="0" w:type="auto"/>
            <w:gridSpan w:val="4"/>
            <w:tcBorders>
              <w:left w:val="nil"/>
              <w:bottom w:val="nil"/>
              <w:right w:val="nil"/>
            </w:tcBorders>
            <w:shd w:val="clear" w:color="auto" w:fill="auto"/>
            <w:noWrap/>
            <w:vAlign w:val="center"/>
          </w:tcPr>
          <w:p w14:paraId="713BDA6A" w14:textId="77777777" w:rsidR="008A596C" w:rsidRPr="00582E14" w:rsidRDefault="004728DB" w:rsidP="008A596C">
            <w:pPr>
              <w:spacing w:after="0" w:line="240" w:lineRule="auto"/>
              <w:rPr>
                <w:rFonts w:eastAsia="Times New Roman" w:cs="Times New Roman"/>
                <w:i/>
                <w:iCs/>
                <w:sz w:val="16"/>
                <w:szCs w:val="16"/>
                <w:lang w:eastAsia="pt-BR"/>
              </w:rPr>
            </w:pPr>
            <w:r w:rsidRPr="00582E14">
              <w:rPr>
                <w:rFonts w:eastAsia="Times New Roman" w:cs="Times New Roman"/>
                <w:b/>
                <w:bCs/>
                <w:i/>
                <w:iCs/>
                <w:sz w:val="16"/>
                <w:szCs w:val="16"/>
                <w:lang w:eastAsia="pt-BR"/>
              </w:rPr>
              <w:t>Fonte</w:t>
            </w:r>
            <w:r w:rsidRPr="00582E14">
              <w:rPr>
                <w:rFonts w:eastAsia="Times New Roman" w:cs="Times New Roman"/>
                <w:i/>
                <w:iCs/>
                <w:sz w:val="16"/>
                <w:szCs w:val="16"/>
                <w:lang w:eastAsia="pt-BR"/>
              </w:rPr>
              <w:t xml:space="preserve">: RFB/ME. </w:t>
            </w:r>
            <w:r w:rsidRPr="00582E14">
              <w:rPr>
                <w:rFonts w:eastAsia="Times New Roman" w:cs="Times New Roman"/>
                <w:b/>
                <w:bCs/>
                <w:i/>
                <w:iCs/>
                <w:sz w:val="16"/>
                <w:szCs w:val="16"/>
                <w:lang w:eastAsia="pt-BR"/>
              </w:rPr>
              <w:t>Elaboração</w:t>
            </w:r>
            <w:r w:rsidRPr="00582E14">
              <w:rPr>
                <w:rFonts w:eastAsia="Times New Roman" w:cs="Times New Roman"/>
                <w:i/>
                <w:iCs/>
                <w:sz w:val="16"/>
                <w:szCs w:val="16"/>
                <w:lang w:eastAsia="pt-BR"/>
              </w:rPr>
              <w:t>: STN/ME</w:t>
            </w:r>
          </w:p>
        </w:tc>
      </w:tr>
    </w:tbl>
    <w:p w14:paraId="20B4198A" w14:textId="77777777" w:rsidR="00BE596C" w:rsidRDefault="00BE596C" w:rsidP="00084FEB">
      <w:pPr>
        <w:pStyle w:val="Recuodecorpodetexto"/>
        <w:spacing w:line="240" w:lineRule="auto"/>
        <w:ind w:left="0" w:firstLine="1418"/>
        <w:jc w:val="both"/>
        <w:rPr>
          <w:rFonts w:eastAsia="Times New Roman" w:cs="Times New Roman"/>
          <w:sz w:val="24"/>
          <w:szCs w:val="24"/>
          <w:lang w:eastAsia="pt-BR"/>
        </w:rPr>
      </w:pPr>
    </w:p>
    <w:p w14:paraId="3B525A6D" w14:textId="3D241CD5" w:rsidR="00084FEB" w:rsidRPr="00F27365" w:rsidRDefault="006102B5" w:rsidP="00084FEB">
      <w:pPr>
        <w:pStyle w:val="Recuodecorpodetexto"/>
        <w:spacing w:line="240" w:lineRule="auto"/>
        <w:ind w:left="0" w:firstLine="1418"/>
        <w:jc w:val="both"/>
        <w:rPr>
          <w:rFonts w:eastAsia="Times New Roman" w:cs="Times New Roman"/>
          <w:sz w:val="24"/>
          <w:szCs w:val="24"/>
          <w:lang w:eastAsia="pt-BR"/>
        </w:rPr>
      </w:pPr>
      <w:r w:rsidRPr="00F27365">
        <w:rPr>
          <w:rFonts w:eastAsia="Times New Roman" w:cs="Times New Roman"/>
          <w:sz w:val="24"/>
          <w:szCs w:val="24"/>
          <w:lang w:eastAsia="pt-BR"/>
        </w:rPr>
        <w:lastRenderedPageBreak/>
        <w:t>As Receitas Administradas pela RFB constituem o principal grupo dentro do conjunto de receitas (</w:t>
      </w:r>
      <w:r w:rsidR="00DE207A">
        <w:rPr>
          <w:rFonts w:eastAsia="Times New Roman" w:cs="Times New Roman"/>
          <w:sz w:val="24"/>
          <w:szCs w:val="24"/>
          <w:lang w:eastAsia="pt-BR"/>
        </w:rPr>
        <w:t>61</w:t>
      </w:r>
      <w:r w:rsidR="00DE207A" w:rsidRPr="00E20485">
        <w:rPr>
          <w:rFonts w:eastAsia="Times New Roman" w:cs="Times New Roman"/>
          <w:sz w:val="24"/>
          <w:szCs w:val="24"/>
          <w:lang w:eastAsia="pt-BR"/>
        </w:rPr>
        <w:t>,</w:t>
      </w:r>
      <w:r w:rsidR="00DE207A">
        <w:rPr>
          <w:rFonts w:eastAsia="Times New Roman" w:cs="Times New Roman"/>
          <w:sz w:val="24"/>
          <w:szCs w:val="24"/>
          <w:lang w:eastAsia="pt-BR"/>
        </w:rPr>
        <w:t>3</w:t>
      </w:r>
      <w:r w:rsidR="00DE207A" w:rsidRPr="00E20485">
        <w:rPr>
          <w:rFonts w:eastAsia="Times New Roman" w:cs="Times New Roman"/>
          <w:sz w:val="24"/>
          <w:szCs w:val="24"/>
          <w:lang w:eastAsia="pt-BR"/>
        </w:rPr>
        <w:t>%</w:t>
      </w:r>
      <w:r w:rsidRPr="00F27365">
        <w:rPr>
          <w:rFonts w:eastAsia="Times New Roman" w:cs="Times New Roman"/>
          <w:sz w:val="24"/>
          <w:szCs w:val="24"/>
          <w:lang w:eastAsia="pt-BR"/>
        </w:rPr>
        <w:t>), e incluem os principais impostos e contribuições do sistema tributário nacional. Pela natureza tributária de sua base é direto presumir a existência de uma alta correlação da arrecadação dessas receitas com o ciclo econômico.</w:t>
      </w:r>
    </w:p>
    <w:p w14:paraId="6163EA6D" w14:textId="70EC1955" w:rsidR="00084FEB" w:rsidRPr="00F27365" w:rsidRDefault="00E71238" w:rsidP="00084FEB">
      <w:pPr>
        <w:pStyle w:val="Recuodecorpodetexto"/>
        <w:spacing w:line="240" w:lineRule="auto"/>
        <w:ind w:left="0" w:firstLine="1418"/>
        <w:jc w:val="both"/>
        <w:rPr>
          <w:rFonts w:eastAsia="Times New Roman" w:cs="Times New Roman"/>
          <w:sz w:val="24"/>
          <w:szCs w:val="24"/>
          <w:lang w:eastAsia="pt-BR"/>
        </w:rPr>
      </w:pPr>
      <w:r w:rsidRPr="00F27365">
        <w:rPr>
          <w:rFonts w:eastAsia="Times New Roman" w:cs="Times New Roman"/>
          <w:sz w:val="24"/>
          <w:szCs w:val="24"/>
          <w:lang w:eastAsia="pt-BR"/>
        </w:rPr>
        <w:t xml:space="preserve">De forma semelhante, a base tributária das receitas previdenciárias é a folha salarial, sendo também ligada ao ciclo econômico na medida em que </w:t>
      </w:r>
      <w:proofErr w:type="gramStart"/>
      <w:r w:rsidRPr="00F27365">
        <w:rPr>
          <w:rFonts w:eastAsia="Times New Roman" w:cs="Times New Roman"/>
          <w:sz w:val="24"/>
          <w:szCs w:val="24"/>
          <w:lang w:eastAsia="pt-BR"/>
        </w:rPr>
        <w:t>a elevação dos salários e do nível de emprego tendem</w:t>
      </w:r>
      <w:proofErr w:type="gramEnd"/>
      <w:r w:rsidRPr="00F27365">
        <w:rPr>
          <w:rFonts w:eastAsia="Times New Roman" w:cs="Times New Roman"/>
          <w:sz w:val="24"/>
          <w:szCs w:val="24"/>
          <w:lang w:eastAsia="pt-BR"/>
        </w:rPr>
        <w:t xml:space="preserve"> a ocorrer nas expansões, e comportamento oposto nas recessões.</w:t>
      </w:r>
    </w:p>
    <w:p w14:paraId="512547D7" w14:textId="1A8D5CF8" w:rsidR="00084FEB" w:rsidRPr="00F27365" w:rsidRDefault="00E94CBB" w:rsidP="00084FEB">
      <w:pPr>
        <w:pStyle w:val="Recuodecorpodetexto"/>
        <w:spacing w:line="240" w:lineRule="auto"/>
        <w:ind w:left="0" w:firstLine="1418"/>
        <w:jc w:val="both"/>
        <w:rPr>
          <w:rFonts w:eastAsia="Times New Roman" w:cs="Times New Roman"/>
          <w:sz w:val="24"/>
          <w:szCs w:val="24"/>
          <w:lang w:eastAsia="pt-BR"/>
        </w:rPr>
      </w:pPr>
      <w:r w:rsidRPr="00F27365">
        <w:rPr>
          <w:rFonts w:eastAsia="Times New Roman" w:cs="Times New Roman"/>
          <w:sz w:val="24"/>
          <w:szCs w:val="24"/>
          <w:lang w:eastAsia="pt-BR"/>
        </w:rPr>
        <w:t>As Receitas não Administradas pela RFB, por outro lado, constituem um grupo bastante heterogêneo que inclui, por exemplo, receitas de Concessões e Permissões, Contribuição ao Plano de Seguridade do Servidor (CPSS), Receitas Próprias e de Convênios, entre outras. Na análise dos itens deste grupo que se relacionam ao ciclo econômico, apenas a Contribuição ao Salário Educação e a Exploração de Recursos Naturais se mostraram significativos, sendo que, neste último item, as variáveis explicativas estão mais relacionadas aos preços de commodities específicas (petróleo, minério de ferro) e à taxa de câmbio.</w:t>
      </w:r>
    </w:p>
    <w:bookmarkEnd w:id="53"/>
    <w:p w14:paraId="00C256B4" w14:textId="3A92C011" w:rsidR="001547B7" w:rsidRPr="00E20485" w:rsidRDefault="00084FEB" w:rsidP="001547B7">
      <w:pPr>
        <w:pStyle w:val="Recuodecorpodetexto"/>
        <w:spacing w:line="240" w:lineRule="auto"/>
        <w:ind w:left="0" w:firstLine="1418"/>
        <w:jc w:val="both"/>
        <w:rPr>
          <w:rFonts w:eastAsia="Times New Roman" w:cs="Times New Roman"/>
          <w:sz w:val="24"/>
          <w:szCs w:val="24"/>
          <w:lang w:eastAsia="pt-BR"/>
        </w:rPr>
      </w:pPr>
      <w:r w:rsidRPr="00F27365">
        <w:rPr>
          <w:rFonts w:eastAsia="Times New Roman" w:cs="Times New Roman"/>
          <w:sz w:val="24"/>
          <w:szCs w:val="24"/>
          <w:lang w:eastAsia="pt-BR"/>
        </w:rPr>
        <w:t xml:space="preserve">A </w:t>
      </w:r>
      <w:r w:rsidRPr="00F27365">
        <w:rPr>
          <w:rFonts w:eastAsia="Times New Roman" w:cs="Times New Roman"/>
          <w:sz w:val="24"/>
          <w:szCs w:val="24"/>
          <w:lang w:eastAsia="pt-BR"/>
        </w:rPr>
        <w:fldChar w:fldCharType="begin"/>
      </w:r>
      <w:r w:rsidRPr="00F27365">
        <w:rPr>
          <w:rFonts w:eastAsia="Times New Roman" w:cs="Times New Roman"/>
          <w:sz w:val="24"/>
          <w:szCs w:val="24"/>
          <w:lang w:eastAsia="pt-BR"/>
        </w:rPr>
        <w:instrText xml:space="preserve"> REF _Ref5207148 \h </w:instrText>
      </w:r>
      <w:r w:rsidR="00833B4D" w:rsidRPr="00F27365">
        <w:rPr>
          <w:rFonts w:eastAsia="Times New Roman" w:cs="Times New Roman"/>
          <w:sz w:val="24"/>
          <w:szCs w:val="24"/>
          <w:lang w:eastAsia="pt-BR"/>
        </w:rPr>
        <w:instrText xml:space="preserve"> \* MERGEFORMAT </w:instrText>
      </w:r>
      <w:r w:rsidRPr="00F27365">
        <w:rPr>
          <w:rFonts w:eastAsia="Times New Roman" w:cs="Times New Roman"/>
          <w:sz w:val="24"/>
          <w:szCs w:val="24"/>
          <w:lang w:eastAsia="pt-BR"/>
        </w:rPr>
      </w:r>
      <w:r w:rsidRPr="00F27365">
        <w:rPr>
          <w:rFonts w:eastAsia="Times New Roman" w:cs="Times New Roman"/>
          <w:sz w:val="24"/>
          <w:szCs w:val="24"/>
          <w:lang w:eastAsia="pt-BR"/>
        </w:rPr>
        <w:fldChar w:fldCharType="separate"/>
      </w:r>
      <w:r w:rsidR="00304F5F" w:rsidRPr="00304F5F">
        <w:rPr>
          <w:rFonts w:eastAsia="Times New Roman" w:cs="Times New Roman"/>
          <w:sz w:val="24"/>
          <w:szCs w:val="24"/>
          <w:lang w:eastAsia="pt-BR"/>
        </w:rPr>
        <w:t>Tabela 5</w:t>
      </w:r>
      <w:r w:rsidRPr="00F27365">
        <w:rPr>
          <w:rFonts w:eastAsia="Times New Roman" w:cs="Times New Roman"/>
          <w:sz w:val="24"/>
          <w:szCs w:val="24"/>
          <w:lang w:eastAsia="pt-BR"/>
        </w:rPr>
        <w:fldChar w:fldCharType="end"/>
      </w:r>
      <w:r w:rsidRPr="00F27365">
        <w:rPr>
          <w:rFonts w:eastAsia="Times New Roman" w:cs="Times New Roman"/>
          <w:sz w:val="24"/>
          <w:szCs w:val="24"/>
          <w:lang w:eastAsia="pt-BR"/>
        </w:rPr>
        <w:t xml:space="preserve"> </w:t>
      </w:r>
      <w:r w:rsidR="00F27365" w:rsidRPr="00F27365">
        <w:rPr>
          <w:rFonts w:eastAsia="Times New Roman" w:cs="Times New Roman"/>
          <w:sz w:val="24"/>
          <w:szCs w:val="24"/>
          <w:lang w:eastAsia="pt-BR"/>
        </w:rPr>
        <w:t xml:space="preserve">a seguir mostra o efeito individual da variação de </w:t>
      </w:r>
      <w:proofErr w:type="gramStart"/>
      <w:r w:rsidR="00F27365" w:rsidRPr="00F27365">
        <w:rPr>
          <w:rFonts w:eastAsia="Times New Roman" w:cs="Times New Roman"/>
          <w:sz w:val="24"/>
          <w:szCs w:val="24"/>
          <w:lang w:eastAsia="pt-BR"/>
        </w:rPr>
        <w:t>1</w:t>
      </w:r>
      <w:proofErr w:type="gramEnd"/>
      <w:r w:rsidR="00F27365" w:rsidRPr="00F27365">
        <w:rPr>
          <w:rFonts w:eastAsia="Times New Roman" w:cs="Times New Roman"/>
          <w:sz w:val="24"/>
          <w:szCs w:val="24"/>
          <w:lang w:eastAsia="pt-BR"/>
        </w:rPr>
        <w:t xml:space="preserve"> ponto percentual de cada um dos principais parâmetros sobre o conjunto de tributos que compõe as receitas administradas pela RFB</w:t>
      </w:r>
      <w:r w:rsidR="001547B7" w:rsidRPr="00E20485">
        <w:rPr>
          <w:rFonts w:eastAsia="Times New Roman" w:cs="Times New Roman"/>
          <w:sz w:val="24"/>
          <w:szCs w:val="24"/>
          <w:lang w:eastAsia="pt-BR"/>
        </w:rPr>
        <w:t xml:space="preserve">. </w:t>
      </w:r>
      <w:r w:rsidR="001547B7">
        <w:rPr>
          <w:rFonts w:eastAsia="Times New Roman" w:cs="Times New Roman"/>
          <w:sz w:val="24"/>
          <w:szCs w:val="24"/>
          <w:lang w:eastAsia="pt-BR"/>
        </w:rPr>
        <w:t>Essa</w:t>
      </w:r>
      <w:r w:rsidR="001547B7" w:rsidRPr="00E20485">
        <w:rPr>
          <w:rFonts w:eastAsia="Times New Roman" w:cs="Times New Roman"/>
          <w:sz w:val="24"/>
          <w:szCs w:val="24"/>
          <w:lang w:eastAsia="pt-BR"/>
        </w:rPr>
        <w:t xml:space="preserve"> análise de sensibilidade mostra que a taxa de crescimento econômico e de inflação são os parâmetros que mais afetam a receita total administrada pela RFB. </w:t>
      </w:r>
      <w:r w:rsidR="001547B7">
        <w:rPr>
          <w:rFonts w:eastAsia="Times New Roman" w:cs="Times New Roman"/>
          <w:sz w:val="24"/>
          <w:szCs w:val="24"/>
          <w:lang w:eastAsia="pt-BR"/>
        </w:rPr>
        <w:t>É importante destacar</w:t>
      </w:r>
      <w:r w:rsidR="001547B7" w:rsidRPr="00E20485">
        <w:rPr>
          <w:rFonts w:eastAsia="Times New Roman" w:cs="Times New Roman"/>
          <w:sz w:val="24"/>
          <w:szCs w:val="24"/>
          <w:lang w:eastAsia="pt-BR"/>
        </w:rPr>
        <w:t xml:space="preserve"> que os tributos são afetados ao mesmo tempo por mais de um parâmetro e, portanto, o efeito da variação desses parâmetros na receita é resultado da combinação de dois fatores: preço e quantidade.</w:t>
      </w:r>
    </w:p>
    <w:p w14:paraId="53F85F6A" w14:textId="6EB61F73" w:rsidR="00084FEB" w:rsidRPr="009668BC" w:rsidRDefault="00084FEB" w:rsidP="00970E4A">
      <w:pPr>
        <w:pStyle w:val="Legenda"/>
        <w:spacing w:before="240" w:after="120"/>
        <w:jc w:val="center"/>
        <w:rPr>
          <w:rFonts w:asciiTheme="minorHAnsi" w:hAnsiTheme="minorHAnsi"/>
          <w:i w:val="0"/>
          <w:color w:val="auto"/>
          <w:sz w:val="22"/>
          <w:szCs w:val="22"/>
        </w:rPr>
      </w:pPr>
      <w:bookmarkStart w:id="56" w:name="_Ref5207148"/>
      <w:bookmarkStart w:id="57" w:name="_Toc69121351"/>
      <w:r w:rsidRPr="009668BC">
        <w:rPr>
          <w:rFonts w:asciiTheme="minorHAnsi" w:hAnsiTheme="minorHAnsi"/>
          <w:i w:val="0"/>
          <w:color w:val="auto"/>
          <w:sz w:val="22"/>
          <w:szCs w:val="22"/>
        </w:rPr>
        <w:t xml:space="preserve">Tabela </w:t>
      </w:r>
      <w:r w:rsidRPr="009668BC">
        <w:rPr>
          <w:rFonts w:asciiTheme="minorHAnsi" w:hAnsiTheme="minorHAnsi"/>
          <w:i w:val="0"/>
          <w:color w:val="auto"/>
          <w:sz w:val="22"/>
          <w:szCs w:val="22"/>
        </w:rPr>
        <w:fldChar w:fldCharType="begin"/>
      </w:r>
      <w:r w:rsidRPr="009668BC">
        <w:rPr>
          <w:rFonts w:asciiTheme="minorHAnsi" w:hAnsiTheme="minorHAnsi"/>
          <w:i w:val="0"/>
          <w:color w:val="auto"/>
          <w:sz w:val="22"/>
          <w:szCs w:val="22"/>
        </w:rPr>
        <w:instrText xml:space="preserve"> SEQ Tabela \* ARABIC </w:instrText>
      </w:r>
      <w:r w:rsidRPr="009668BC">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5</w:t>
      </w:r>
      <w:r w:rsidRPr="009668BC">
        <w:rPr>
          <w:rFonts w:asciiTheme="minorHAnsi" w:hAnsiTheme="minorHAnsi"/>
          <w:i w:val="0"/>
          <w:color w:val="auto"/>
          <w:sz w:val="22"/>
          <w:szCs w:val="22"/>
        </w:rPr>
        <w:fldChar w:fldCharType="end"/>
      </w:r>
      <w:bookmarkEnd w:id="56"/>
      <w:r w:rsidR="000B4D56" w:rsidRPr="009668BC">
        <w:rPr>
          <w:rFonts w:asciiTheme="minorHAnsi" w:hAnsiTheme="minorHAnsi"/>
          <w:i w:val="0"/>
          <w:color w:val="auto"/>
          <w:sz w:val="22"/>
          <w:szCs w:val="22"/>
        </w:rPr>
        <w:t xml:space="preserve"> -</w:t>
      </w:r>
      <w:r w:rsidRPr="009668BC">
        <w:rPr>
          <w:rFonts w:asciiTheme="minorHAnsi" w:hAnsiTheme="minorHAnsi"/>
          <w:i w:val="0"/>
          <w:color w:val="auto"/>
          <w:sz w:val="22"/>
          <w:szCs w:val="22"/>
        </w:rPr>
        <w:t xml:space="preserve"> Receita Administrada pela RFB</w:t>
      </w:r>
      <w:r w:rsidR="00970E4A">
        <w:rPr>
          <w:rFonts w:asciiTheme="minorHAnsi" w:hAnsiTheme="minorHAnsi"/>
          <w:i w:val="0"/>
          <w:color w:val="auto"/>
          <w:sz w:val="22"/>
          <w:szCs w:val="22"/>
        </w:rPr>
        <w:t xml:space="preserve"> em 2021</w:t>
      </w:r>
      <w:r w:rsidR="00732C82" w:rsidRPr="009668BC">
        <w:rPr>
          <w:rFonts w:asciiTheme="minorHAnsi" w:hAnsiTheme="minorHAnsi"/>
          <w:i w:val="0"/>
          <w:color w:val="auto"/>
          <w:sz w:val="22"/>
          <w:szCs w:val="22"/>
        </w:rPr>
        <w:t xml:space="preserve"> – Impacto %</w:t>
      </w:r>
      <w:r w:rsidRPr="009668BC">
        <w:rPr>
          <w:rFonts w:asciiTheme="minorHAnsi" w:hAnsiTheme="minorHAnsi"/>
          <w:i w:val="0"/>
          <w:color w:val="auto"/>
          <w:sz w:val="22"/>
          <w:szCs w:val="22"/>
        </w:rPr>
        <w:t xml:space="preserve"> </w:t>
      </w:r>
      <w:r w:rsidR="00732C82" w:rsidRPr="009668BC">
        <w:rPr>
          <w:rFonts w:asciiTheme="minorHAnsi" w:hAnsiTheme="minorHAnsi"/>
          <w:i w:val="0"/>
          <w:color w:val="auto"/>
          <w:sz w:val="22"/>
          <w:szCs w:val="22"/>
        </w:rPr>
        <w:t>d</w:t>
      </w:r>
      <w:r w:rsidRPr="009668BC">
        <w:rPr>
          <w:rFonts w:asciiTheme="minorHAnsi" w:hAnsiTheme="minorHAnsi"/>
          <w:i w:val="0"/>
          <w:color w:val="auto"/>
          <w:sz w:val="22"/>
          <w:szCs w:val="22"/>
        </w:rPr>
        <w:t xml:space="preserve">a variação de </w:t>
      </w:r>
      <w:proofErr w:type="gramStart"/>
      <w:r w:rsidRPr="009668BC">
        <w:rPr>
          <w:rFonts w:asciiTheme="minorHAnsi" w:hAnsiTheme="minorHAnsi"/>
          <w:i w:val="0"/>
          <w:color w:val="auto"/>
          <w:sz w:val="22"/>
          <w:szCs w:val="22"/>
        </w:rPr>
        <w:t>1</w:t>
      </w:r>
      <w:proofErr w:type="gramEnd"/>
      <w:r w:rsidRPr="009668BC">
        <w:rPr>
          <w:rFonts w:asciiTheme="minorHAnsi" w:hAnsiTheme="minorHAnsi"/>
          <w:i w:val="0"/>
          <w:color w:val="auto"/>
          <w:sz w:val="22"/>
          <w:szCs w:val="22"/>
        </w:rPr>
        <w:t xml:space="preserve"> </w:t>
      </w:r>
      <w:proofErr w:type="spellStart"/>
      <w:r w:rsidRPr="009668BC">
        <w:rPr>
          <w:rFonts w:asciiTheme="minorHAnsi" w:hAnsiTheme="minorHAnsi"/>
          <w:i w:val="0"/>
          <w:color w:val="auto"/>
          <w:sz w:val="22"/>
          <w:szCs w:val="22"/>
        </w:rPr>
        <w:t>p.p</w:t>
      </w:r>
      <w:proofErr w:type="spellEnd"/>
      <w:r w:rsidRPr="009668BC">
        <w:rPr>
          <w:rFonts w:asciiTheme="minorHAnsi" w:hAnsiTheme="minorHAnsi"/>
          <w:i w:val="0"/>
          <w:color w:val="auto"/>
          <w:sz w:val="22"/>
          <w:szCs w:val="22"/>
        </w:rPr>
        <w:t>. em cada parâmetro</w:t>
      </w:r>
      <w:bookmarkEnd w:id="57"/>
    </w:p>
    <w:tbl>
      <w:tblPr>
        <w:tblW w:w="6804" w:type="dxa"/>
        <w:jc w:val="center"/>
        <w:tblCellMar>
          <w:left w:w="70" w:type="dxa"/>
          <w:right w:w="70" w:type="dxa"/>
        </w:tblCellMar>
        <w:tblLook w:val="04A0" w:firstRow="1" w:lastRow="0" w:firstColumn="1" w:lastColumn="0" w:noHBand="0" w:noVBand="1"/>
      </w:tblPr>
      <w:tblGrid>
        <w:gridCol w:w="1583"/>
        <w:gridCol w:w="3125"/>
        <w:gridCol w:w="2096"/>
      </w:tblGrid>
      <w:tr w:rsidR="00BB1A30" w:rsidRPr="00BB1A30" w14:paraId="010C4A72" w14:textId="77777777" w:rsidTr="004D52DA">
        <w:trPr>
          <w:trHeight w:val="20"/>
          <w:tblHeader/>
          <w:jc w:val="center"/>
        </w:trPr>
        <w:tc>
          <w:tcPr>
            <w:tcW w:w="15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7A714676" w14:textId="77777777" w:rsidR="004A1F63" w:rsidRPr="00A9404C" w:rsidRDefault="004A1F63" w:rsidP="0065674D">
            <w:pPr>
              <w:spacing w:after="0" w:line="240" w:lineRule="auto"/>
              <w:jc w:val="center"/>
              <w:rPr>
                <w:rFonts w:eastAsia="Times New Roman" w:cs="Times New Roman"/>
                <w:b/>
                <w:color w:val="FFFFFF" w:themeColor="background1"/>
                <w:sz w:val="20"/>
                <w:szCs w:val="20"/>
                <w:lang w:eastAsia="pt-BR"/>
              </w:rPr>
            </w:pPr>
            <w:r w:rsidRPr="00A9404C">
              <w:rPr>
                <w:rFonts w:eastAsia="Times New Roman" w:cs="Times New Roman"/>
                <w:b/>
                <w:color w:val="FFFFFF" w:themeColor="background1"/>
                <w:sz w:val="20"/>
                <w:szCs w:val="20"/>
                <w:lang w:eastAsia="pt-BR"/>
              </w:rPr>
              <w:t>Parâmetro</w:t>
            </w:r>
          </w:p>
        </w:tc>
        <w:tc>
          <w:tcPr>
            <w:tcW w:w="52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66A91EB7" w14:textId="77777777" w:rsidR="004A1F63" w:rsidRPr="00A9404C" w:rsidRDefault="00440B6D" w:rsidP="0065674D">
            <w:pPr>
              <w:spacing w:after="0" w:line="240" w:lineRule="auto"/>
              <w:jc w:val="center"/>
              <w:rPr>
                <w:rFonts w:eastAsia="Times New Roman" w:cs="Times New Roman"/>
                <w:b/>
                <w:color w:val="FFFFFF" w:themeColor="background1"/>
                <w:sz w:val="20"/>
                <w:szCs w:val="20"/>
                <w:lang w:eastAsia="pt-BR"/>
              </w:rPr>
            </w:pPr>
            <w:r w:rsidRPr="00A9404C">
              <w:rPr>
                <w:rFonts w:eastAsia="Times New Roman" w:cs="Times New Roman"/>
                <w:b/>
                <w:color w:val="FFFFFF" w:themeColor="background1"/>
                <w:sz w:val="20"/>
                <w:szCs w:val="20"/>
                <w:lang w:eastAsia="pt-BR"/>
              </w:rPr>
              <w:t>Impacto</w:t>
            </w:r>
            <w:r w:rsidR="004A1F63" w:rsidRPr="00A9404C">
              <w:rPr>
                <w:rFonts w:eastAsia="Times New Roman" w:cs="Times New Roman"/>
                <w:b/>
                <w:color w:val="FFFFFF" w:themeColor="background1"/>
                <w:sz w:val="20"/>
                <w:szCs w:val="20"/>
                <w:lang w:eastAsia="pt-BR"/>
              </w:rPr>
              <w:t xml:space="preserve"> sobre a Receita Administrada pela RFB</w:t>
            </w:r>
          </w:p>
        </w:tc>
      </w:tr>
      <w:tr w:rsidR="00BB1A30" w:rsidRPr="00BB1A30" w14:paraId="2EA37A45" w14:textId="77777777" w:rsidTr="004D52DA">
        <w:trPr>
          <w:trHeight w:val="20"/>
          <w:tblHeader/>
          <w:jc w:val="center"/>
        </w:trPr>
        <w:tc>
          <w:tcPr>
            <w:tcW w:w="158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F90A379" w14:textId="77777777" w:rsidR="004A1F63" w:rsidRPr="00A9404C" w:rsidRDefault="004A1F63" w:rsidP="0065674D">
            <w:pPr>
              <w:spacing w:after="0" w:line="240" w:lineRule="auto"/>
              <w:rPr>
                <w:rFonts w:eastAsia="Times New Roman" w:cs="Times New Roman"/>
                <w:b/>
                <w:color w:val="FFFFFF" w:themeColor="background1"/>
                <w:sz w:val="20"/>
                <w:szCs w:val="20"/>
                <w:lang w:eastAsia="pt-BR"/>
              </w:rPr>
            </w:pP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7ADC2B4D" w14:textId="77777777" w:rsidR="004A1F63" w:rsidRPr="00A9404C" w:rsidRDefault="004A1F63" w:rsidP="0065674D">
            <w:pPr>
              <w:spacing w:after="0" w:line="240" w:lineRule="auto"/>
              <w:jc w:val="center"/>
              <w:rPr>
                <w:rFonts w:eastAsia="Times New Roman" w:cs="Times New Roman"/>
                <w:b/>
                <w:color w:val="FFFFFF" w:themeColor="background1"/>
                <w:sz w:val="20"/>
                <w:szCs w:val="20"/>
                <w:lang w:eastAsia="pt-BR"/>
              </w:rPr>
            </w:pPr>
            <w:r w:rsidRPr="00A9404C">
              <w:rPr>
                <w:rFonts w:eastAsia="Times New Roman" w:cs="Times New Roman"/>
                <w:b/>
                <w:color w:val="FFFFFF" w:themeColor="background1"/>
                <w:sz w:val="20"/>
                <w:szCs w:val="20"/>
                <w:lang w:eastAsia="pt-BR"/>
              </w:rPr>
              <w:t>Exceto Previdenciária</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6B76262D" w14:textId="77777777" w:rsidR="004A1F63" w:rsidRPr="00A9404C" w:rsidRDefault="004A1F63" w:rsidP="0065674D">
            <w:pPr>
              <w:spacing w:after="0" w:line="240" w:lineRule="auto"/>
              <w:jc w:val="center"/>
              <w:rPr>
                <w:rFonts w:eastAsia="Times New Roman" w:cs="Times New Roman"/>
                <w:b/>
                <w:color w:val="FFFFFF" w:themeColor="background1"/>
                <w:sz w:val="20"/>
                <w:szCs w:val="20"/>
                <w:lang w:eastAsia="pt-BR"/>
              </w:rPr>
            </w:pPr>
            <w:r w:rsidRPr="00A9404C">
              <w:rPr>
                <w:rFonts w:eastAsia="Times New Roman" w:cs="Times New Roman"/>
                <w:b/>
                <w:color w:val="FFFFFF" w:themeColor="background1"/>
                <w:sz w:val="20"/>
                <w:szCs w:val="20"/>
                <w:lang w:eastAsia="pt-BR"/>
              </w:rPr>
              <w:t>Previdenciária</w:t>
            </w:r>
          </w:p>
        </w:tc>
      </w:tr>
      <w:tr w:rsidR="00E2250C" w:rsidRPr="00BB1A30" w14:paraId="4385D2FB" w14:textId="77777777" w:rsidTr="004D52DA">
        <w:trPr>
          <w:trHeight w:val="20"/>
          <w:jc w:val="center"/>
        </w:trPr>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50966E86" w14:textId="77777777" w:rsidR="00E2250C" w:rsidRPr="00A9404C" w:rsidRDefault="00E2250C" w:rsidP="00E2250C">
            <w:pPr>
              <w:spacing w:after="0" w:line="240" w:lineRule="auto"/>
              <w:rPr>
                <w:rFonts w:eastAsia="Times New Roman" w:cs="Times New Roman"/>
                <w:bCs/>
                <w:sz w:val="18"/>
                <w:szCs w:val="18"/>
                <w:lang w:eastAsia="pt-BR"/>
              </w:rPr>
            </w:pPr>
            <w:r w:rsidRPr="00A9404C">
              <w:rPr>
                <w:rFonts w:eastAsia="Times New Roman" w:cs="Times New Roman"/>
                <w:bCs/>
                <w:sz w:val="18"/>
                <w:szCs w:val="18"/>
                <w:lang w:eastAsia="pt-BR"/>
              </w:rPr>
              <w:t>PIB</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61AF321" w14:textId="08F335E2"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w:t>
            </w:r>
            <w:r w:rsidR="00496828" w:rsidRPr="00A9404C">
              <w:rPr>
                <w:bCs/>
                <w:sz w:val="18"/>
                <w:szCs w:val="18"/>
              </w:rPr>
              <w:t>57</w:t>
            </w:r>
            <w:r w:rsidRPr="00A9404C">
              <w:rPr>
                <w:bCs/>
                <w:sz w:val="18"/>
                <w:szCs w:val="18"/>
              </w:rPr>
              <w: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2EE1AC5" w14:textId="5C0A764D"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0,14%</w:t>
            </w:r>
          </w:p>
        </w:tc>
      </w:tr>
      <w:tr w:rsidR="00E2250C" w:rsidRPr="00BB1A30" w14:paraId="440C872B" w14:textId="77777777" w:rsidTr="004D52DA">
        <w:trPr>
          <w:trHeight w:val="20"/>
          <w:jc w:val="center"/>
        </w:trPr>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FFBB1BC" w14:textId="4F6DB1FA" w:rsidR="00E2250C" w:rsidRPr="00A9404C" w:rsidRDefault="00E2250C" w:rsidP="00E2250C">
            <w:pPr>
              <w:spacing w:after="0" w:line="240" w:lineRule="auto"/>
              <w:rPr>
                <w:rFonts w:eastAsia="Times New Roman" w:cs="Times New Roman"/>
                <w:bCs/>
                <w:sz w:val="18"/>
                <w:szCs w:val="18"/>
                <w:lang w:eastAsia="pt-BR"/>
              </w:rPr>
            </w:pPr>
            <w:r w:rsidRPr="00A9404C">
              <w:rPr>
                <w:rFonts w:eastAsia="Times New Roman" w:cs="Times New Roman"/>
                <w:bCs/>
                <w:sz w:val="18"/>
                <w:szCs w:val="18"/>
                <w:lang w:eastAsia="pt-BR"/>
              </w:rPr>
              <w:t>Inflação (IER</w:t>
            </w:r>
            <w:r w:rsidR="00D41F1B" w:rsidRPr="00A9404C">
              <w:rPr>
                <w:rFonts w:eastAsia="Times New Roman" w:cs="Times New Roman"/>
                <w:bCs/>
                <w:sz w:val="18"/>
                <w:szCs w:val="18"/>
                <w:lang w:eastAsia="pt-BR"/>
              </w:rPr>
              <w:t>)</w:t>
            </w:r>
            <w:r w:rsidR="00D41F1B" w:rsidRPr="00A9404C">
              <w:rPr>
                <w:rFonts w:eastAsia="Times New Roman" w:cs="Times New Roman"/>
                <w:bCs/>
                <w:sz w:val="18"/>
                <w:szCs w:val="18"/>
                <w:vertAlign w:val="superscript"/>
                <w:lang w:eastAsia="pt-BR"/>
              </w:rPr>
              <w:t xml:space="preserve"> </w:t>
            </w:r>
            <w:r w:rsidR="00994522">
              <w:rPr>
                <w:rFonts w:eastAsia="Times New Roman" w:cs="Times New Roman"/>
                <w:bCs/>
                <w:sz w:val="18"/>
                <w:szCs w:val="18"/>
                <w:vertAlign w:val="superscript"/>
                <w:lang w:eastAsia="pt-BR"/>
              </w:rPr>
              <w:t>(</w:t>
            </w:r>
            <w:r w:rsidRPr="00A9404C">
              <w:rPr>
                <w:rFonts w:eastAsia="Times New Roman" w:cs="Times New Roman"/>
                <w:bCs/>
                <w:sz w:val="18"/>
                <w:szCs w:val="18"/>
                <w:vertAlign w:val="superscript"/>
                <w:lang w:eastAsia="pt-BR"/>
              </w:rPr>
              <w:t>1</w:t>
            </w:r>
            <w:r w:rsidR="00994522">
              <w:rPr>
                <w:rFonts w:eastAsia="Times New Roman" w:cs="Times New Roman"/>
                <w:bCs/>
                <w:sz w:val="18"/>
                <w:szCs w:val="18"/>
                <w:vertAlign w:val="superscript"/>
                <w:lang w:eastAsia="pt-BR"/>
              </w:rPr>
              <w:t>)</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5DE6F3B" w14:textId="02EBBD7D"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0,5</w:t>
            </w:r>
            <w:r w:rsidR="00496828" w:rsidRPr="00A9404C">
              <w:rPr>
                <w:bCs/>
                <w:sz w:val="18"/>
                <w:szCs w:val="18"/>
              </w:rPr>
              <w:t>3</w:t>
            </w:r>
            <w:r w:rsidRPr="00A9404C">
              <w:rPr>
                <w:bCs/>
                <w:sz w:val="18"/>
                <w:szCs w:val="18"/>
              </w:rPr>
              <w: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15E2709" w14:textId="1D2D8AC6"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0,14%</w:t>
            </w:r>
          </w:p>
        </w:tc>
      </w:tr>
      <w:tr w:rsidR="00E2250C" w:rsidRPr="00BB1A30" w14:paraId="4D63BDF8" w14:textId="77777777" w:rsidTr="004D52DA">
        <w:trPr>
          <w:trHeight w:val="20"/>
          <w:jc w:val="center"/>
        </w:trPr>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2FAA630D" w14:textId="77777777" w:rsidR="00E2250C" w:rsidRPr="00A9404C" w:rsidRDefault="00E2250C" w:rsidP="00E2250C">
            <w:pPr>
              <w:spacing w:after="0" w:line="240" w:lineRule="auto"/>
              <w:rPr>
                <w:rFonts w:eastAsia="Times New Roman" w:cs="Times New Roman"/>
                <w:bCs/>
                <w:sz w:val="18"/>
                <w:szCs w:val="18"/>
                <w:lang w:eastAsia="pt-BR"/>
              </w:rPr>
            </w:pPr>
            <w:r w:rsidRPr="00A9404C">
              <w:rPr>
                <w:rFonts w:eastAsia="Times New Roman" w:cs="Times New Roman"/>
                <w:bCs/>
                <w:sz w:val="18"/>
                <w:szCs w:val="18"/>
                <w:lang w:eastAsia="pt-BR"/>
              </w:rPr>
              <w:t>Câmbio</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6A6A8D0" w14:textId="767D48EF"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0,1</w:t>
            </w:r>
            <w:r w:rsidR="00496828" w:rsidRPr="00A9404C">
              <w:rPr>
                <w:bCs/>
                <w:sz w:val="18"/>
                <w:szCs w:val="18"/>
              </w:rPr>
              <w:t>3</w:t>
            </w:r>
            <w:r w:rsidRPr="00A9404C">
              <w:rPr>
                <w:bCs/>
                <w:sz w:val="18"/>
                <w:szCs w:val="18"/>
              </w:rPr>
              <w: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2A70B28" w14:textId="447CFF14"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w:t>
            </w:r>
          </w:p>
        </w:tc>
      </w:tr>
      <w:tr w:rsidR="00E2250C" w:rsidRPr="00BB1A30" w14:paraId="36E12A2B" w14:textId="77777777" w:rsidTr="004D52DA">
        <w:trPr>
          <w:trHeight w:val="87"/>
          <w:jc w:val="center"/>
        </w:trPr>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7BB507" w14:textId="77777777" w:rsidR="00E2250C" w:rsidRPr="00A9404C" w:rsidRDefault="00E2250C" w:rsidP="00E2250C">
            <w:pPr>
              <w:spacing w:after="0" w:line="240" w:lineRule="auto"/>
              <w:rPr>
                <w:rFonts w:eastAsia="Times New Roman" w:cs="Times New Roman"/>
                <w:bCs/>
                <w:sz w:val="18"/>
                <w:szCs w:val="18"/>
                <w:lang w:eastAsia="pt-BR"/>
              </w:rPr>
            </w:pPr>
            <w:r w:rsidRPr="00A9404C">
              <w:rPr>
                <w:rFonts w:eastAsia="Times New Roman" w:cs="Times New Roman"/>
                <w:bCs/>
                <w:sz w:val="18"/>
                <w:szCs w:val="18"/>
                <w:lang w:eastAsia="pt-BR"/>
              </w:rPr>
              <w:t>Massa Salarial</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2DC9087" w14:textId="79F120D1"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0,07%</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2A173B7" w14:textId="191F6D1B"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0,81%</w:t>
            </w:r>
          </w:p>
        </w:tc>
      </w:tr>
      <w:tr w:rsidR="00E2250C" w:rsidRPr="00BB1A30" w14:paraId="7595D185" w14:textId="77777777" w:rsidTr="004D52DA">
        <w:trPr>
          <w:trHeight w:val="20"/>
          <w:jc w:val="center"/>
        </w:trPr>
        <w:tc>
          <w:tcPr>
            <w:tcW w:w="15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hideMark/>
          </w:tcPr>
          <w:p w14:paraId="771B82AB" w14:textId="77777777" w:rsidR="00E2250C" w:rsidRPr="00A9404C" w:rsidRDefault="00E2250C" w:rsidP="00E2250C">
            <w:pPr>
              <w:spacing w:after="0" w:line="240" w:lineRule="auto"/>
              <w:rPr>
                <w:rFonts w:eastAsia="Times New Roman" w:cs="Times New Roman"/>
                <w:bCs/>
                <w:sz w:val="18"/>
                <w:szCs w:val="18"/>
                <w:lang w:eastAsia="pt-BR"/>
              </w:rPr>
            </w:pPr>
            <w:r w:rsidRPr="00A9404C">
              <w:rPr>
                <w:rFonts w:eastAsia="Times New Roman" w:cs="Times New Roman"/>
                <w:bCs/>
                <w:sz w:val="18"/>
                <w:szCs w:val="18"/>
                <w:lang w:eastAsia="pt-BR"/>
              </w:rPr>
              <w:t>Juros (Over)</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570CC29" w14:textId="2DB1D71F"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0,03%</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3552C6C" w14:textId="2CA6FA74" w:rsidR="00E2250C" w:rsidRPr="00A9404C" w:rsidRDefault="00E2250C" w:rsidP="00E2250C">
            <w:pPr>
              <w:spacing w:after="0" w:line="240" w:lineRule="auto"/>
              <w:jc w:val="center"/>
              <w:rPr>
                <w:rFonts w:eastAsia="Times New Roman" w:cs="Times New Roman"/>
                <w:bCs/>
                <w:sz w:val="18"/>
                <w:szCs w:val="18"/>
                <w:lang w:eastAsia="pt-BR"/>
              </w:rPr>
            </w:pPr>
            <w:r w:rsidRPr="00A9404C">
              <w:rPr>
                <w:bCs/>
                <w:sz w:val="18"/>
                <w:szCs w:val="18"/>
              </w:rPr>
              <w:t>-</w:t>
            </w:r>
          </w:p>
        </w:tc>
      </w:tr>
      <w:tr w:rsidR="004A1F63" w:rsidRPr="00BB1A30" w14:paraId="0F18F9A4" w14:textId="77777777" w:rsidTr="004D52DA">
        <w:trPr>
          <w:trHeight w:val="20"/>
          <w:jc w:val="center"/>
        </w:trPr>
        <w:tc>
          <w:tcPr>
            <w:tcW w:w="6804" w:type="dxa"/>
            <w:gridSpan w:val="3"/>
            <w:tcBorders>
              <w:top w:val="single" w:sz="4" w:space="0" w:color="BFBFBF" w:themeColor="background1" w:themeShade="BF"/>
              <w:left w:val="nil"/>
              <w:bottom w:val="nil"/>
              <w:right w:val="nil"/>
            </w:tcBorders>
            <w:shd w:val="clear" w:color="auto" w:fill="auto"/>
            <w:noWrap/>
            <w:vAlign w:val="bottom"/>
            <w:hideMark/>
          </w:tcPr>
          <w:p w14:paraId="0F93D48E" w14:textId="04249116" w:rsidR="004A1F63" w:rsidRPr="000258C5" w:rsidRDefault="004A1F63" w:rsidP="0065674D">
            <w:pPr>
              <w:spacing w:after="0" w:line="240" w:lineRule="auto"/>
              <w:rPr>
                <w:rFonts w:eastAsia="Times New Roman" w:cs="Times New Roman"/>
                <w:bCs/>
                <w:i/>
                <w:iCs/>
                <w:sz w:val="16"/>
                <w:szCs w:val="16"/>
                <w:lang w:eastAsia="pt-BR"/>
              </w:rPr>
            </w:pPr>
            <w:proofErr w:type="gramStart"/>
            <w:r w:rsidRPr="000258C5">
              <w:rPr>
                <w:rFonts w:eastAsia="Times New Roman" w:cs="Times New Roman"/>
                <w:bCs/>
                <w:i/>
                <w:iCs/>
                <w:sz w:val="16"/>
                <w:szCs w:val="16"/>
                <w:vertAlign w:val="superscript"/>
                <w:lang w:eastAsia="pt-BR"/>
              </w:rPr>
              <w:t>1</w:t>
            </w:r>
            <w:proofErr w:type="gramEnd"/>
            <w:r w:rsidRPr="000258C5">
              <w:rPr>
                <w:rFonts w:eastAsia="Times New Roman" w:cs="Times New Roman"/>
                <w:bCs/>
                <w:i/>
                <w:iCs/>
                <w:sz w:val="16"/>
                <w:szCs w:val="16"/>
                <w:lang w:eastAsia="pt-BR"/>
              </w:rPr>
              <w:t xml:space="preserve"> O Índice de Estimativa da Receita (IER) é composto por uma média ponderada que atribui 55% à taxa média do IPCA e 45% à taxa média do IGP-DI</w:t>
            </w:r>
          </w:p>
          <w:p w14:paraId="354E1218" w14:textId="77777777" w:rsidR="004A1F63" w:rsidRPr="009668BC" w:rsidRDefault="004A1F63" w:rsidP="0065674D">
            <w:pPr>
              <w:spacing w:after="0" w:line="240" w:lineRule="auto"/>
              <w:rPr>
                <w:rFonts w:eastAsia="Times New Roman" w:cs="Times New Roman"/>
                <w:bCs/>
                <w:sz w:val="20"/>
                <w:szCs w:val="20"/>
                <w:lang w:eastAsia="pt-BR"/>
              </w:rPr>
            </w:pPr>
            <w:r w:rsidRPr="000258C5">
              <w:rPr>
                <w:rFonts w:eastAsia="Times New Roman" w:cs="Times New Roman"/>
                <w:b/>
                <w:i/>
                <w:iCs/>
                <w:sz w:val="16"/>
                <w:szCs w:val="16"/>
                <w:lang w:eastAsia="pt-BR"/>
              </w:rPr>
              <w:t>Fonte</w:t>
            </w:r>
            <w:r w:rsidRPr="000258C5">
              <w:rPr>
                <w:rFonts w:eastAsia="Times New Roman" w:cs="Times New Roman"/>
                <w:bCs/>
                <w:i/>
                <w:iCs/>
                <w:sz w:val="16"/>
                <w:szCs w:val="16"/>
                <w:lang w:eastAsia="pt-BR"/>
              </w:rPr>
              <w:t>: RFB/ME</w:t>
            </w:r>
          </w:p>
        </w:tc>
      </w:tr>
    </w:tbl>
    <w:p w14:paraId="4CC904CA" w14:textId="77777777" w:rsidR="004D52DA" w:rsidRDefault="004D52DA" w:rsidP="004F6CA2">
      <w:pPr>
        <w:spacing w:after="120" w:line="240" w:lineRule="auto"/>
        <w:ind w:firstLine="1418"/>
        <w:jc w:val="both"/>
        <w:rPr>
          <w:rFonts w:eastAsia="Times New Roman" w:cs="Times New Roman"/>
          <w:sz w:val="24"/>
          <w:szCs w:val="24"/>
          <w:lang w:eastAsia="pt-BR"/>
        </w:rPr>
      </w:pPr>
    </w:p>
    <w:p w14:paraId="7A02F7BA" w14:textId="49549445" w:rsidR="004F6CA2" w:rsidRPr="00E739A5" w:rsidRDefault="004F6CA2" w:rsidP="004F6CA2">
      <w:pPr>
        <w:spacing w:after="120" w:line="240" w:lineRule="auto"/>
        <w:ind w:firstLine="1418"/>
        <w:jc w:val="both"/>
        <w:rPr>
          <w:rFonts w:eastAsia="Times New Roman" w:cs="Times New Roman"/>
          <w:sz w:val="24"/>
          <w:szCs w:val="24"/>
          <w:lang w:eastAsia="pt-BR"/>
        </w:rPr>
      </w:pPr>
      <w:r w:rsidRPr="00E739A5">
        <w:rPr>
          <w:rFonts w:eastAsia="Times New Roman" w:cs="Times New Roman"/>
          <w:sz w:val="24"/>
          <w:szCs w:val="24"/>
          <w:lang w:eastAsia="pt-BR"/>
        </w:rPr>
        <w:t>Como se nota, as Receitas Administradas pela RFB, exceto previdenciárias, são mais afetadas pela taxa de crescimento real do PIB e pela inflação, que incidem sobre os principais tributos arrecadados, como a Contribuição para o Financiamento da Seguridade Social (COFINS), Contribuição para o Programa de Integração Social (PIS), Contribuição para o Programa de Formação do Patrimônio do Servidor Público (PASEP) e Imposto sobre a Renda e Proventos de Qualquer Natureza (IR), particularmente o Imposto de Renda das Pessoas Jurídicas (IRPJ).</w:t>
      </w:r>
    </w:p>
    <w:p w14:paraId="5EE6A004" w14:textId="3A250A38" w:rsidR="004F6CA2" w:rsidRPr="00E739A5" w:rsidRDefault="004F6CA2" w:rsidP="004F6CA2">
      <w:pPr>
        <w:spacing w:after="120" w:line="240" w:lineRule="auto"/>
        <w:ind w:firstLine="1418"/>
        <w:jc w:val="both"/>
        <w:rPr>
          <w:rFonts w:eastAsia="Times New Roman" w:cs="Times New Roman"/>
          <w:sz w:val="24"/>
          <w:szCs w:val="24"/>
          <w:lang w:eastAsia="pt-BR"/>
        </w:rPr>
      </w:pPr>
      <w:r w:rsidRPr="00E739A5">
        <w:rPr>
          <w:rFonts w:eastAsia="Times New Roman" w:cs="Times New Roman"/>
          <w:sz w:val="24"/>
          <w:szCs w:val="24"/>
          <w:lang w:eastAsia="pt-BR"/>
        </w:rPr>
        <w:t xml:space="preserve">Por outro lado, a taxa de câmbio tem impacto menor, pois a sua variação influencia mais diretamente apenas o Imposto de Importação </w:t>
      </w:r>
      <w:r w:rsidR="009C5853">
        <w:rPr>
          <w:rFonts w:eastAsia="Times New Roman" w:cs="Times New Roman"/>
          <w:sz w:val="24"/>
          <w:szCs w:val="24"/>
          <w:lang w:eastAsia="pt-BR"/>
        </w:rPr>
        <w:t>(</w:t>
      </w:r>
      <w:r w:rsidRPr="00E739A5">
        <w:rPr>
          <w:rFonts w:eastAsia="Times New Roman" w:cs="Times New Roman"/>
          <w:sz w:val="24"/>
          <w:szCs w:val="24"/>
          <w:lang w:eastAsia="pt-BR"/>
        </w:rPr>
        <w:t>II</w:t>
      </w:r>
      <w:r w:rsidR="009C5853">
        <w:rPr>
          <w:rFonts w:eastAsia="Times New Roman" w:cs="Times New Roman"/>
          <w:sz w:val="24"/>
          <w:szCs w:val="24"/>
          <w:lang w:eastAsia="pt-BR"/>
        </w:rPr>
        <w:t>)</w:t>
      </w:r>
      <w:r w:rsidRPr="00E739A5">
        <w:rPr>
          <w:rFonts w:eastAsia="Times New Roman" w:cs="Times New Roman"/>
          <w:sz w:val="24"/>
          <w:szCs w:val="24"/>
          <w:lang w:eastAsia="pt-BR"/>
        </w:rPr>
        <w:t xml:space="preserve">, o Imposto Sobre Produtos </w:t>
      </w:r>
      <w:proofErr w:type="gramStart"/>
      <w:r w:rsidRPr="00E739A5">
        <w:rPr>
          <w:rFonts w:eastAsia="Times New Roman" w:cs="Times New Roman"/>
          <w:sz w:val="24"/>
          <w:szCs w:val="24"/>
          <w:lang w:eastAsia="pt-BR"/>
        </w:rPr>
        <w:t>Industrializados (IPI) vinculado</w:t>
      </w:r>
      <w:proofErr w:type="gramEnd"/>
      <w:r w:rsidRPr="00E739A5">
        <w:rPr>
          <w:rFonts w:eastAsia="Times New Roman" w:cs="Times New Roman"/>
          <w:sz w:val="24"/>
          <w:szCs w:val="24"/>
          <w:lang w:eastAsia="pt-BR"/>
        </w:rPr>
        <w:t xml:space="preserve"> à </w:t>
      </w:r>
      <w:r w:rsidR="0011360E">
        <w:rPr>
          <w:rFonts w:eastAsia="Times New Roman" w:cs="Times New Roman"/>
          <w:sz w:val="24"/>
          <w:szCs w:val="24"/>
          <w:lang w:eastAsia="pt-BR"/>
        </w:rPr>
        <w:t>i</w:t>
      </w:r>
      <w:r w:rsidRPr="00E739A5">
        <w:rPr>
          <w:rFonts w:eastAsia="Times New Roman" w:cs="Times New Roman"/>
          <w:sz w:val="24"/>
          <w:szCs w:val="24"/>
          <w:lang w:eastAsia="pt-BR"/>
        </w:rPr>
        <w:t>mportação, e o IR incidente sobre as remessas ao exterior. Da mesma forma, a taxa de juros também tem impacto reduzido, pois afeta diretamente a arrecadação do IR sobre aplicações financeiras e os impostos arrecadados com atraso, sobre os quais incidem juros.</w:t>
      </w:r>
    </w:p>
    <w:p w14:paraId="4037390E" w14:textId="5095A69F" w:rsidR="00084FEB" w:rsidRPr="00E739A5" w:rsidRDefault="004F6CA2" w:rsidP="004F6CA2">
      <w:pPr>
        <w:spacing w:after="120" w:line="240" w:lineRule="auto"/>
        <w:ind w:firstLine="1418"/>
        <w:jc w:val="both"/>
        <w:rPr>
          <w:rFonts w:eastAsia="Times New Roman" w:cs="Times New Roman"/>
          <w:sz w:val="24"/>
          <w:szCs w:val="24"/>
          <w:lang w:eastAsia="pt-BR"/>
        </w:rPr>
      </w:pPr>
      <w:r w:rsidRPr="00E739A5">
        <w:rPr>
          <w:rFonts w:eastAsia="Times New Roman" w:cs="Times New Roman"/>
          <w:sz w:val="24"/>
          <w:szCs w:val="24"/>
          <w:lang w:eastAsia="pt-BR"/>
        </w:rPr>
        <w:t>No tocante às receitas previdenciárias, há uma forte relação com a massa salarial, variável que compõe a maior parte da base tributária dessa contribuição.</w:t>
      </w:r>
    </w:p>
    <w:p w14:paraId="2194980B" w14:textId="4F19DFDF" w:rsidR="00036592" w:rsidRDefault="00CE7919" w:rsidP="00084FEB">
      <w:pPr>
        <w:spacing w:after="120" w:line="240" w:lineRule="auto"/>
        <w:ind w:firstLine="1418"/>
        <w:jc w:val="both"/>
        <w:rPr>
          <w:rFonts w:eastAsia="Times New Roman" w:cs="Times New Roman"/>
          <w:sz w:val="24"/>
          <w:szCs w:val="24"/>
          <w:lang w:eastAsia="pt-BR"/>
        </w:rPr>
      </w:pPr>
      <w:r w:rsidRPr="00363106">
        <w:rPr>
          <w:rFonts w:eastAsia="Times New Roman" w:cs="Times New Roman"/>
          <w:sz w:val="24"/>
          <w:szCs w:val="24"/>
          <w:lang w:eastAsia="pt-BR"/>
        </w:rPr>
        <w:lastRenderedPageBreak/>
        <w:t xml:space="preserve">Em termos nominais, o PIB é a variável que produz o maior impacto nas receitas primárias. Uma elevação de </w:t>
      </w:r>
      <w:proofErr w:type="gramStart"/>
      <w:r w:rsidRPr="00363106">
        <w:rPr>
          <w:rFonts w:eastAsia="Times New Roman" w:cs="Times New Roman"/>
          <w:sz w:val="24"/>
          <w:szCs w:val="24"/>
          <w:lang w:eastAsia="pt-BR"/>
        </w:rPr>
        <w:t>1</w:t>
      </w:r>
      <w:proofErr w:type="gramEnd"/>
      <w:r w:rsidRPr="00363106">
        <w:rPr>
          <w:rFonts w:eastAsia="Times New Roman" w:cs="Times New Roman"/>
          <w:sz w:val="24"/>
          <w:szCs w:val="24"/>
          <w:lang w:eastAsia="pt-BR"/>
        </w:rPr>
        <w:t xml:space="preserve"> </w:t>
      </w:r>
      <w:proofErr w:type="spellStart"/>
      <w:r w:rsidRPr="00363106">
        <w:rPr>
          <w:rFonts w:eastAsia="Times New Roman" w:cs="Times New Roman"/>
          <w:sz w:val="24"/>
          <w:szCs w:val="24"/>
          <w:lang w:eastAsia="pt-BR"/>
        </w:rPr>
        <w:t>p.p</w:t>
      </w:r>
      <w:proofErr w:type="spellEnd"/>
      <w:r w:rsidRPr="00363106">
        <w:rPr>
          <w:rFonts w:eastAsia="Times New Roman" w:cs="Times New Roman"/>
          <w:sz w:val="24"/>
          <w:szCs w:val="24"/>
          <w:lang w:eastAsia="pt-BR"/>
        </w:rPr>
        <w:t xml:space="preserve">. do PIB provoca, </w:t>
      </w:r>
      <w:proofErr w:type="spellStart"/>
      <w:r w:rsidRPr="00363106">
        <w:rPr>
          <w:rFonts w:eastAsia="Times New Roman" w:cs="Times New Roman"/>
          <w:i/>
          <w:iCs/>
          <w:sz w:val="24"/>
          <w:szCs w:val="24"/>
          <w:lang w:eastAsia="pt-BR"/>
        </w:rPr>
        <w:t>ceteris</w:t>
      </w:r>
      <w:proofErr w:type="spellEnd"/>
      <w:r w:rsidRPr="00363106">
        <w:rPr>
          <w:rFonts w:eastAsia="Times New Roman" w:cs="Times New Roman"/>
          <w:i/>
          <w:iCs/>
          <w:sz w:val="24"/>
          <w:szCs w:val="24"/>
          <w:lang w:eastAsia="pt-BR"/>
        </w:rPr>
        <w:t xml:space="preserve"> </w:t>
      </w:r>
      <w:proofErr w:type="spellStart"/>
      <w:r w:rsidRPr="00363106">
        <w:rPr>
          <w:rFonts w:eastAsia="Times New Roman" w:cs="Times New Roman"/>
          <w:i/>
          <w:iCs/>
          <w:sz w:val="24"/>
          <w:szCs w:val="24"/>
          <w:lang w:eastAsia="pt-BR"/>
        </w:rPr>
        <w:t>paribus</w:t>
      </w:r>
      <w:proofErr w:type="spellEnd"/>
      <w:r w:rsidRPr="00363106">
        <w:rPr>
          <w:rFonts w:eastAsia="Times New Roman" w:cs="Times New Roman"/>
          <w:sz w:val="24"/>
          <w:szCs w:val="24"/>
          <w:lang w:eastAsia="pt-BR"/>
        </w:rPr>
        <w:t xml:space="preserve">, um aumento de R$ </w:t>
      </w:r>
      <w:r w:rsidR="001046F5">
        <w:rPr>
          <w:rFonts w:eastAsia="Times New Roman" w:cs="Times New Roman"/>
          <w:sz w:val="24"/>
          <w:szCs w:val="24"/>
          <w:lang w:eastAsia="pt-BR"/>
        </w:rPr>
        <w:t>7,0</w:t>
      </w:r>
      <w:r w:rsidRPr="00363106">
        <w:rPr>
          <w:rFonts w:eastAsia="Times New Roman" w:cs="Times New Roman"/>
          <w:sz w:val="24"/>
          <w:szCs w:val="24"/>
          <w:lang w:eastAsia="pt-BR"/>
        </w:rPr>
        <w:t xml:space="preserve"> bilhões na arrecadação, sendo a maior parte concentrada nas receitas administradas pela RFB (R$ 6,</w:t>
      </w:r>
      <w:r w:rsidR="00C437E8">
        <w:rPr>
          <w:rFonts w:eastAsia="Times New Roman" w:cs="Times New Roman"/>
          <w:sz w:val="24"/>
          <w:szCs w:val="24"/>
          <w:lang w:eastAsia="pt-BR"/>
        </w:rPr>
        <w:t>3</w:t>
      </w:r>
      <w:r w:rsidRPr="00363106">
        <w:rPr>
          <w:rFonts w:eastAsia="Times New Roman" w:cs="Times New Roman"/>
          <w:sz w:val="24"/>
          <w:szCs w:val="24"/>
          <w:lang w:eastAsia="pt-BR"/>
        </w:rPr>
        <w:t xml:space="preserve"> bilhões). Da mesma forma, uma alta na inflação, com tudo o mais constante, resulta em uma elevação de R$ 6,5 bilhões na receita total. No agregado, considerando-se uma elevação conjunta de todos as variáveis em </w:t>
      </w:r>
      <w:proofErr w:type="gramStart"/>
      <w:r w:rsidRPr="00363106">
        <w:rPr>
          <w:rFonts w:eastAsia="Times New Roman" w:cs="Times New Roman"/>
          <w:sz w:val="24"/>
          <w:szCs w:val="24"/>
          <w:lang w:eastAsia="pt-BR"/>
        </w:rPr>
        <w:t>1</w:t>
      </w:r>
      <w:proofErr w:type="gramEnd"/>
      <w:r w:rsidRPr="00363106">
        <w:rPr>
          <w:rFonts w:eastAsia="Times New Roman" w:cs="Times New Roman"/>
          <w:sz w:val="24"/>
          <w:szCs w:val="24"/>
          <w:lang w:eastAsia="pt-BR"/>
        </w:rPr>
        <w:t xml:space="preserve"> </w:t>
      </w:r>
      <w:proofErr w:type="spellStart"/>
      <w:r w:rsidRPr="00363106">
        <w:rPr>
          <w:rFonts w:eastAsia="Times New Roman" w:cs="Times New Roman"/>
          <w:sz w:val="24"/>
          <w:szCs w:val="24"/>
          <w:lang w:eastAsia="pt-BR"/>
        </w:rPr>
        <w:t>p.p</w:t>
      </w:r>
      <w:proofErr w:type="spellEnd"/>
      <w:r w:rsidRPr="00363106">
        <w:rPr>
          <w:rFonts w:eastAsia="Times New Roman" w:cs="Times New Roman"/>
          <w:sz w:val="24"/>
          <w:szCs w:val="24"/>
          <w:lang w:eastAsia="pt-BR"/>
        </w:rPr>
        <w:t>., ter-se-ia um aumento da receita de R$ 19,</w:t>
      </w:r>
      <w:r w:rsidR="00C1589F">
        <w:rPr>
          <w:rFonts w:eastAsia="Times New Roman" w:cs="Times New Roman"/>
          <w:sz w:val="24"/>
          <w:szCs w:val="24"/>
          <w:lang w:eastAsia="pt-BR"/>
        </w:rPr>
        <w:t>8</w:t>
      </w:r>
      <w:r w:rsidRPr="00363106">
        <w:rPr>
          <w:rFonts w:eastAsia="Times New Roman" w:cs="Times New Roman"/>
          <w:sz w:val="24"/>
          <w:szCs w:val="24"/>
          <w:lang w:eastAsia="pt-BR"/>
        </w:rPr>
        <w:t xml:space="preserve"> bilhões.</w:t>
      </w:r>
    </w:p>
    <w:p w14:paraId="0C09AE24" w14:textId="1BF232CE" w:rsidR="005D4C37" w:rsidRPr="0000632E" w:rsidRDefault="005D4C37" w:rsidP="008A59C0">
      <w:pPr>
        <w:pStyle w:val="Legenda"/>
        <w:spacing w:before="240" w:after="120"/>
        <w:jc w:val="center"/>
        <w:rPr>
          <w:rFonts w:asciiTheme="minorHAnsi" w:hAnsiTheme="minorHAnsi"/>
          <w:i w:val="0"/>
          <w:color w:val="auto"/>
          <w:sz w:val="22"/>
          <w:szCs w:val="22"/>
        </w:rPr>
      </w:pPr>
      <w:bookmarkStart w:id="58" w:name="_Toc69121352"/>
      <w:r w:rsidRPr="0000632E">
        <w:rPr>
          <w:rFonts w:asciiTheme="minorHAnsi" w:hAnsiTheme="minorHAnsi"/>
          <w:i w:val="0"/>
          <w:color w:val="auto"/>
          <w:sz w:val="22"/>
          <w:szCs w:val="22"/>
        </w:rPr>
        <w:t xml:space="preserve">Tabela </w:t>
      </w:r>
      <w:r w:rsidRPr="0000632E">
        <w:rPr>
          <w:rFonts w:asciiTheme="minorHAnsi" w:hAnsiTheme="minorHAnsi"/>
          <w:i w:val="0"/>
          <w:color w:val="auto"/>
          <w:sz w:val="22"/>
          <w:szCs w:val="22"/>
        </w:rPr>
        <w:fldChar w:fldCharType="begin"/>
      </w:r>
      <w:r w:rsidRPr="0000632E">
        <w:rPr>
          <w:rFonts w:asciiTheme="minorHAnsi" w:hAnsiTheme="minorHAnsi"/>
          <w:i w:val="0"/>
          <w:color w:val="auto"/>
          <w:sz w:val="22"/>
          <w:szCs w:val="22"/>
        </w:rPr>
        <w:instrText xml:space="preserve"> SEQ Tabela \* ARABIC </w:instrText>
      </w:r>
      <w:r w:rsidRPr="0000632E">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6</w:t>
      </w:r>
      <w:r w:rsidRPr="0000632E">
        <w:rPr>
          <w:rFonts w:asciiTheme="minorHAnsi" w:hAnsiTheme="minorHAnsi"/>
          <w:i w:val="0"/>
          <w:color w:val="auto"/>
          <w:sz w:val="22"/>
          <w:szCs w:val="22"/>
        </w:rPr>
        <w:fldChar w:fldCharType="end"/>
      </w:r>
      <w:r w:rsidR="00022679" w:rsidRPr="0000632E">
        <w:rPr>
          <w:rFonts w:asciiTheme="minorHAnsi" w:hAnsiTheme="minorHAnsi"/>
          <w:i w:val="0"/>
          <w:color w:val="auto"/>
          <w:sz w:val="22"/>
          <w:szCs w:val="22"/>
        </w:rPr>
        <w:t xml:space="preserve"> </w:t>
      </w:r>
      <w:r w:rsidR="002758A5" w:rsidRPr="0000632E">
        <w:rPr>
          <w:rFonts w:asciiTheme="minorHAnsi" w:hAnsiTheme="minorHAnsi"/>
          <w:i w:val="0"/>
          <w:color w:val="auto"/>
          <w:sz w:val="22"/>
          <w:szCs w:val="22"/>
        </w:rPr>
        <w:t xml:space="preserve">- </w:t>
      </w:r>
      <w:r w:rsidR="00022679" w:rsidRPr="0000632E">
        <w:rPr>
          <w:rFonts w:asciiTheme="minorHAnsi" w:hAnsiTheme="minorHAnsi"/>
          <w:i w:val="0"/>
          <w:color w:val="auto"/>
          <w:sz w:val="22"/>
          <w:szCs w:val="22"/>
        </w:rPr>
        <w:t xml:space="preserve">Receitas - </w:t>
      </w:r>
      <w:r w:rsidRPr="0000632E">
        <w:rPr>
          <w:rFonts w:asciiTheme="minorHAnsi" w:hAnsiTheme="minorHAnsi"/>
          <w:i w:val="0"/>
          <w:color w:val="auto"/>
          <w:sz w:val="22"/>
          <w:szCs w:val="22"/>
        </w:rPr>
        <w:t xml:space="preserve">Impacto da Variação de </w:t>
      </w:r>
      <w:proofErr w:type="gramStart"/>
      <w:r w:rsidRPr="0000632E">
        <w:rPr>
          <w:rFonts w:asciiTheme="minorHAnsi" w:hAnsiTheme="minorHAnsi"/>
          <w:i w:val="0"/>
          <w:color w:val="auto"/>
          <w:sz w:val="22"/>
          <w:szCs w:val="22"/>
        </w:rPr>
        <w:t>1</w:t>
      </w:r>
      <w:proofErr w:type="gramEnd"/>
      <w:r w:rsidRPr="0000632E">
        <w:rPr>
          <w:rFonts w:asciiTheme="minorHAnsi" w:hAnsiTheme="minorHAnsi"/>
          <w:i w:val="0"/>
          <w:color w:val="auto"/>
          <w:sz w:val="22"/>
          <w:szCs w:val="22"/>
        </w:rPr>
        <w:t xml:space="preserve"> </w:t>
      </w:r>
      <w:proofErr w:type="spellStart"/>
      <w:r w:rsidRPr="0000632E">
        <w:rPr>
          <w:rFonts w:asciiTheme="minorHAnsi" w:hAnsiTheme="minorHAnsi"/>
          <w:i w:val="0"/>
          <w:color w:val="auto"/>
          <w:sz w:val="22"/>
          <w:szCs w:val="22"/>
        </w:rPr>
        <w:t>p.p</w:t>
      </w:r>
      <w:proofErr w:type="spellEnd"/>
      <w:r w:rsidRPr="0000632E">
        <w:rPr>
          <w:rFonts w:asciiTheme="minorHAnsi" w:hAnsiTheme="minorHAnsi"/>
          <w:i w:val="0"/>
          <w:color w:val="auto"/>
          <w:sz w:val="22"/>
          <w:szCs w:val="22"/>
        </w:rPr>
        <w:t>. nas Variáveis Macroeconômicas</w:t>
      </w:r>
      <w:bookmarkEnd w:id="58"/>
    </w:p>
    <w:tbl>
      <w:tblPr>
        <w:tblW w:w="9540" w:type="dxa"/>
        <w:jc w:val="center"/>
        <w:tblCellMar>
          <w:left w:w="70" w:type="dxa"/>
          <w:right w:w="70" w:type="dxa"/>
        </w:tblCellMar>
        <w:tblLook w:val="04A0" w:firstRow="1" w:lastRow="0" w:firstColumn="1" w:lastColumn="0" w:noHBand="0" w:noVBand="1"/>
      </w:tblPr>
      <w:tblGrid>
        <w:gridCol w:w="3420"/>
        <w:gridCol w:w="700"/>
        <w:gridCol w:w="1540"/>
        <w:gridCol w:w="900"/>
        <w:gridCol w:w="1560"/>
        <w:gridCol w:w="1420"/>
      </w:tblGrid>
      <w:tr w:rsidR="0000632E" w:rsidRPr="0000632E" w14:paraId="092F67F6" w14:textId="77777777" w:rsidTr="007107F4">
        <w:trPr>
          <w:trHeight w:val="20"/>
          <w:tblHeader/>
          <w:jc w:val="center"/>
        </w:trPr>
        <w:tc>
          <w:tcPr>
            <w:tcW w:w="9540" w:type="dxa"/>
            <w:gridSpan w:val="6"/>
            <w:tcBorders>
              <w:top w:val="nil"/>
              <w:left w:val="nil"/>
              <w:bottom w:val="single" w:sz="4" w:space="0" w:color="BFBFBF" w:themeColor="background1" w:themeShade="BF"/>
              <w:right w:val="nil"/>
            </w:tcBorders>
            <w:shd w:val="clear" w:color="auto" w:fill="auto"/>
            <w:noWrap/>
            <w:vAlign w:val="bottom"/>
            <w:hideMark/>
          </w:tcPr>
          <w:p w14:paraId="6A6A403E" w14:textId="77777777" w:rsidR="00292530" w:rsidRPr="009C1E44" w:rsidRDefault="00292530" w:rsidP="00292530">
            <w:pPr>
              <w:spacing w:after="0" w:line="240" w:lineRule="auto"/>
              <w:jc w:val="right"/>
              <w:rPr>
                <w:rFonts w:eastAsia="Times New Roman" w:cs="Times New Roman"/>
                <w:i/>
                <w:iCs/>
                <w:sz w:val="16"/>
                <w:szCs w:val="16"/>
                <w:lang w:eastAsia="pt-BR"/>
              </w:rPr>
            </w:pPr>
            <w:r w:rsidRPr="009C1E44">
              <w:rPr>
                <w:rFonts w:eastAsia="Times New Roman" w:cs="Times New Roman"/>
                <w:i/>
                <w:iCs/>
                <w:sz w:val="16"/>
                <w:szCs w:val="16"/>
                <w:lang w:eastAsia="pt-BR"/>
              </w:rPr>
              <w:t>Em R$ Milhões</w:t>
            </w:r>
          </w:p>
        </w:tc>
      </w:tr>
      <w:tr w:rsidR="00BB1A30" w:rsidRPr="00BB1A30" w14:paraId="3D78E33A" w14:textId="77777777" w:rsidTr="007107F4">
        <w:trPr>
          <w:trHeight w:val="20"/>
          <w:tblHeader/>
          <w:jc w:val="center"/>
        </w:trPr>
        <w:tc>
          <w:tcPr>
            <w:tcW w:w="342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7AB40F3F" w14:textId="77777777" w:rsidR="00754C87" w:rsidRPr="00987852" w:rsidRDefault="00754C87" w:rsidP="00754C87">
            <w:pPr>
              <w:spacing w:after="0" w:line="240" w:lineRule="auto"/>
              <w:jc w:val="center"/>
              <w:rPr>
                <w:rFonts w:eastAsia="Times New Roman" w:cs="Times New Roman"/>
                <w:b/>
                <w:color w:val="FFFFFF" w:themeColor="background1"/>
                <w:sz w:val="20"/>
                <w:szCs w:val="20"/>
                <w:lang w:eastAsia="pt-BR"/>
              </w:rPr>
            </w:pPr>
            <w:r w:rsidRPr="00987852">
              <w:rPr>
                <w:rFonts w:eastAsia="Times New Roman" w:cs="Times New Roman"/>
                <w:b/>
                <w:color w:val="FFFFFF" w:themeColor="background1"/>
                <w:sz w:val="20"/>
                <w:szCs w:val="20"/>
                <w:lang w:eastAsia="pt-BR"/>
              </w:rPr>
              <w:t>Itens de receitas</w:t>
            </w:r>
          </w:p>
        </w:tc>
        <w:tc>
          <w:tcPr>
            <w:tcW w:w="612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68B9DDA5" w14:textId="77777777" w:rsidR="00754C87" w:rsidRPr="00987852" w:rsidRDefault="00754C87" w:rsidP="00754C87">
            <w:pPr>
              <w:spacing w:after="0" w:line="240" w:lineRule="auto"/>
              <w:jc w:val="center"/>
              <w:rPr>
                <w:rFonts w:eastAsia="Times New Roman" w:cs="Times New Roman"/>
                <w:b/>
                <w:color w:val="FFFFFF" w:themeColor="background1"/>
                <w:sz w:val="20"/>
                <w:szCs w:val="20"/>
                <w:lang w:eastAsia="pt-BR"/>
              </w:rPr>
            </w:pPr>
            <w:r w:rsidRPr="00987852">
              <w:rPr>
                <w:rFonts w:eastAsia="Times New Roman" w:cs="Times New Roman"/>
                <w:b/>
                <w:color w:val="FFFFFF" w:themeColor="background1"/>
                <w:sz w:val="20"/>
                <w:szCs w:val="20"/>
                <w:lang w:eastAsia="pt-BR"/>
              </w:rPr>
              <w:t>Variáveis</w:t>
            </w:r>
          </w:p>
        </w:tc>
      </w:tr>
      <w:tr w:rsidR="00BB1A30" w:rsidRPr="00BB1A30" w14:paraId="3C556279" w14:textId="77777777" w:rsidTr="007107F4">
        <w:trPr>
          <w:trHeight w:val="20"/>
          <w:tblHeader/>
          <w:jc w:val="center"/>
        </w:trPr>
        <w:tc>
          <w:tcPr>
            <w:tcW w:w="342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61B1EB34" w14:textId="77777777" w:rsidR="00754C87" w:rsidRPr="00987852" w:rsidRDefault="00754C87" w:rsidP="00754C87">
            <w:pPr>
              <w:spacing w:after="0" w:line="240" w:lineRule="auto"/>
              <w:rPr>
                <w:rFonts w:eastAsia="Times New Roman" w:cs="Times New Roman"/>
                <w:b/>
                <w:color w:val="FFFFFF" w:themeColor="background1"/>
                <w:sz w:val="20"/>
                <w:szCs w:val="20"/>
                <w:lang w:eastAsia="pt-BR"/>
              </w:rPr>
            </w:pPr>
          </w:p>
        </w:tc>
        <w:tc>
          <w:tcPr>
            <w:tcW w:w="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01992082" w14:textId="77777777" w:rsidR="00754C87" w:rsidRPr="00987852" w:rsidRDefault="00754C87" w:rsidP="00754C87">
            <w:pPr>
              <w:spacing w:after="0" w:line="240" w:lineRule="auto"/>
              <w:jc w:val="right"/>
              <w:rPr>
                <w:rFonts w:eastAsia="Times New Roman" w:cs="Times New Roman"/>
                <w:b/>
                <w:color w:val="FFFFFF" w:themeColor="background1"/>
                <w:sz w:val="20"/>
                <w:szCs w:val="20"/>
                <w:lang w:eastAsia="pt-BR"/>
              </w:rPr>
            </w:pPr>
            <w:r w:rsidRPr="00987852">
              <w:rPr>
                <w:rFonts w:eastAsia="Times New Roman" w:cs="Times New Roman"/>
                <w:b/>
                <w:color w:val="FFFFFF" w:themeColor="background1"/>
                <w:sz w:val="20"/>
                <w:szCs w:val="20"/>
                <w:lang w:eastAsia="pt-BR"/>
              </w:rPr>
              <w:t>PIB</w:t>
            </w:r>
          </w:p>
        </w:tc>
        <w:tc>
          <w:tcPr>
            <w:tcW w:w="1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6A80BCF1" w14:textId="6156CF0F" w:rsidR="00754C87" w:rsidRPr="00987852" w:rsidRDefault="00754C87" w:rsidP="00754C87">
            <w:pPr>
              <w:spacing w:after="0" w:line="240" w:lineRule="auto"/>
              <w:jc w:val="right"/>
              <w:rPr>
                <w:rFonts w:eastAsia="Times New Roman" w:cs="Times New Roman"/>
                <w:b/>
                <w:color w:val="FFFFFF" w:themeColor="background1"/>
                <w:sz w:val="20"/>
                <w:szCs w:val="20"/>
                <w:lang w:eastAsia="pt-BR"/>
              </w:rPr>
            </w:pPr>
            <w:r w:rsidRPr="00987852">
              <w:rPr>
                <w:rFonts w:eastAsia="Times New Roman" w:cs="Times New Roman"/>
                <w:b/>
                <w:color w:val="FFFFFF" w:themeColor="background1"/>
                <w:sz w:val="20"/>
                <w:szCs w:val="20"/>
                <w:lang w:eastAsia="pt-BR"/>
              </w:rPr>
              <w:t>Inflação (IER</w:t>
            </w:r>
            <w:r w:rsidR="00D41F1B" w:rsidRPr="00987852">
              <w:rPr>
                <w:rFonts w:eastAsia="Times New Roman" w:cs="Times New Roman"/>
                <w:b/>
                <w:color w:val="FFFFFF" w:themeColor="background1"/>
                <w:sz w:val="20"/>
                <w:szCs w:val="20"/>
                <w:lang w:eastAsia="pt-BR"/>
              </w:rPr>
              <w:t>)</w:t>
            </w:r>
            <w:r w:rsidR="00D41F1B" w:rsidRPr="00987852">
              <w:rPr>
                <w:rFonts w:eastAsia="Times New Roman" w:cs="Times New Roman"/>
                <w:b/>
                <w:color w:val="FFFFFF" w:themeColor="background1"/>
                <w:sz w:val="20"/>
                <w:szCs w:val="20"/>
                <w:vertAlign w:val="superscript"/>
                <w:lang w:eastAsia="pt-BR"/>
              </w:rPr>
              <w:t xml:space="preserve"> (</w:t>
            </w:r>
            <w:r w:rsidR="00292530" w:rsidRPr="00987852">
              <w:rPr>
                <w:rFonts w:eastAsia="Times New Roman" w:cs="Times New Roman"/>
                <w:b/>
                <w:color w:val="FFFFFF" w:themeColor="background1"/>
                <w:sz w:val="20"/>
                <w:szCs w:val="20"/>
                <w:vertAlign w:val="superscript"/>
                <w:lang w:eastAsia="pt-BR"/>
              </w:rPr>
              <w:t>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67DD5FB6" w14:textId="77777777" w:rsidR="00754C87" w:rsidRPr="00987852" w:rsidRDefault="00754C87" w:rsidP="00754C87">
            <w:pPr>
              <w:spacing w:after="0" w:line="240" w:lineRule="auto"/>
              <w:jc w:val="right"/>
              <w:rPr>
                <w:rFonts w:eastAsia="Times New Roman" w:cs="Times New Roman"/>
                <w:b/>
                <w:color w:val="FFFFFF" w:themeColor="background1"/>
                <w:sz w:val="20"/>
                <w:szCs w:val="20"/>
                <w:lang w:eastAsia="pt-BR"/>
              </w:rPr>
            </w:pPr>
            <w:r w:rsidRPr="00987852">
              <w:rPr>
                <w:rFonts w:eastAsia="Times New Roman" w:cs="Times New Roman"/>
                <w:b/>
                <w:color w:val="FFFFFF" w:themeColor="background1"/>
                <w:sz w:val="20"/>
                <w:szCs w:val="20"/>
                <w:lang w:eastAsia="pt-BR"/>
              </w:rPr>
              <w:t>Câmbio</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32ADBF94" w14:textId="77777777" w:rsidR="00754C87" w:rsidRPr="00987852" w:rsidRDefault="00754C87" w:rsidP="00754C87">
            <w:pPr>
              <w:spacing w:after="0" w:line="240" w:lineRule="auto"/>
              <w:jc w:val="right"/>
              <w:rPr>
                <w:rFonts w:eastAsia="Times New Roman" w:cs="Times New Roman"/>
                <w:b/>
                <w:color w:val="FFFFFF" w:themeColor="background1"/>
                <w:sz w:val="20"/>
                <w:szCs w:val="20"/>
                <w:lang w:eastAsia="pt-BR"/>
              </w:rPr>
            </w:pPr>
            <w:r w:rsidRPr="00987852">
              <w:rPr>
                <w:rFonts w:eastAsia="Times New Roman" w:cs="Times New Roman"/>
                <w:b/>
                <w:color w:val="FFFFFF" w:themeColor="background1"/>
                <w:sz w:val="20"/>
                <w:szCs w:val="20"/>
                <w:lang w:eastAsia="pt-BR"/>
              </w:rPr>
              <w:t>Massa Salarial</w:t>
            </w:r>
          </w:p>
        </w:tc>
        <w:tc>
          <w:tcPr>
            <w:tcW w:w="1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4E9B7146" w14:textId="77777777" w:rsidR="00754C87" w:rsidRPr="00987852" w:rsidRDefault="00754C87" w:rsidP="00754C87">
            <w:pPr>
              <w:spacing w:after="0" w:line="240" w:lineRule="auto"/>
              <w:jc w:val="right"/>
              <w:rPr>
                <w:rFonts w:eastAsia="Times New Roman" w:cs="Times New Roman"/>
                <w:b/>
                <w:color w:val="FFFFFF" w:themeColor="background1"/>
                <w:sz w:val="20"/>
                <w:szCs w:val="20"/>
                <w:lang w:eastAsia="pt-BR"/>
              </w:rPr>
            </w:pPr>
            <w:r w:rsidRPr="00987852">
              <w:rPr>
                <w:rFonts w:eastAsia="Times New Roman" w:cs="Times New Roman"/>
                <w:b/>
                <w:color w:val="FFFFFF" w:themeColor="background1"/>
                <w:sz w:val="20"/>
                <w:szCs w:val="20"/>
                <w:lang w:eastAsia="pt-BR"/>
              </w:rPr>
              <w:t>Juros (Over)</w:t>
            </w:r>
          </w:p>
        </w:tc>
      </w:tr>
      <w:tr w:rsidR="004E6533" w:rsidRPr="00BB1A30" w14:paraId="4CEA7BE9" w14:textId="77777777" w:rsidTr="007107F4">
        <w:trPr>
          <w:trHeight w:val="20"/>
          <w:jc w:val="center"/>
        </w:trPr>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2AF7FD8" w14:textId="77777777" w:rsidR="004E6533" w:rsidRPr="0000632E" w:rsidRDefault="004E6533" w:rsidP="004E6533">
            <w:pPr>
              <w:spacing w:after="0" w:line="240" w:lineRule="auto"/>
              <w:rPr>
                <w:rFonts w:eastAsia="Times New Roman" w:cs="Times New Roman"/>
                <w:bCs/>
                <w:sz w:val="18"/>
                <w:szCs w:val="18"/>
                <w:lang w:eastAsia="pt-BR"/>
              </w:rPr>
            </w:pPr>
            <w:r w:rsidRPr="0000632E">
              <w:rPr>
                <w:rFonts w:eastAsia="Times New Roman" w:cs="Times New Roman"/>
                <w:bCs/>
                <w:sz w:val="18"/>
                <w:szCs w:val="18"/>
                <w:lang w:eastAsia="pt-BR"/>
              </w:rPr>
              <w:t>Receitas Administradas pela RFB</w:t>
            </w:r>
          </w:p>
        </w:tc>
        <w:tc>
          <w:tcPr>
            <w:tcW w:w="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11C84AAD" w14:textId="5635DE97"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6.2</w:t>
            </w:r>
            <w:r w:rsidR="00C176DE">
              <w:rPr>
                <w:sz w:val="18"/>
                <w:szCs w:val="18"/>
              </w:rPr>
              <w:t>88</w:t>
            </w:r>
          </w:p>
        </w:tc>
        <w:tc>
          <w:tcPr>
            <w:tcW w:w="1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BE59415" w14:textId="40034CA7"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5.8</w:t>
            </w:r>
            <w:r w:rsidR="00755312">
              <w:rPr>
                <w:sz w:val="18"/>
                <w:szCs w:val="18"/>
              </w:rPr>
              <w:t>4</w:t>
            </w:r>
            <w:r w:rsidRPr="0000632E">
              <w:rPr>
                <w:sz w:val="18"/>
                <w:szCs w:val="18"/>
              </w:rPr>
              <w:t>6</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16EBD2D" w14:textId="340C92D3"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1.</w:t>
            </w:r>
            <w:r w:rsidR="00EA7832">
              <w:rPr>
                <w:sz w:val="18"/>
                <w:szCs w:val="18"/>
              </w:rPr>
              <w:t>434</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05C2F21" w14:textId="7413FC73"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7</w:t>
            </w:r>
            <w:r w:rsidR="00EA7832">
              <w:rPr>
                <w:sz w:val="18"/>
                <w:szCs w:val="18"/>
              </w:rPr>
              <w:t>72</w:t>
            </w:r>
          </w:p>
        </w:tc>
        <w:tc>
          <w:tcPr>
            <w:tcW w:w="1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B88DF46" w14:textId="2F183313" w:rsidR="004E6533" w:rsidRPr="0000632E" w:rsidRDefault="00EA7832" w:rsidP="009E7267">
            <w:pPr>
              <w:spacing w:after="0" w:line="240" w:lineRule="auto"/>
              <w:jc w:val="right"/>
              <w:rPr>
                <w:rFonts w:eastAsia="Times New Roman" w:cs="Times New Roman"/>
                <w:bCs/>
                <w:sz w:val="18"/>
                <w:szCs w:val="18"/>
                <w:lang w:eastAsia="pt-BR"/>
              </w:rPr>
            </w:pPr>
            <w:r>
              <w:rPr>
                <w:sz w:val="18"/>
                <w:szCs w:val="18"/>
              </w:rPr>
              <w:t>331</w:t>
            </w:r>
          </w:p>
        </w:tc>
      </w:tr>
      <w:tr w:rsidR="004E6533" w:rsidRPr="00BB1A30" w14:paraId="51032A8A" w14:textId="77777777" w:rsidTr="007107F4">
        <w:trPr>
          <w:trHeight w:val="20"/>
          <w:jc w:val="center"/>
        </w:trPr>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AA080AB" w14:textId="77777777" w:rsidR="004E6533" w:rsidRPr="0000632E" w:rsidRDefault="004E6533" w:rsidP="004E6533">
            <w:pPr>
              <w:spacing w:after="0" w:line="240" w:lineRule="auto"/>
              <w:rPr>
                <w:rFonts w:eastAsia="Times New Roman" w:cs="Times New Roman"/>
                <w:bCs/>
                <w:sz w:val="18"/>
                <w:szCs w:val="18"/>
                <w:lang w:eastAsia="pt-BR"/>
              </w:rPr>
            </w:pPr>
            <w:r w:rsidRPr="0000632E">
              <w:rPr>
                <w:rFonts w:eastAsia="Times New Roman" w:cs="Times New Roman"/>
                <w:bCs/>
                <w:sz w:val="18"/>
                <w:szCs w:val="18"/>
                <w:lang w:eastAsia="pt-BR"/>
              </w:rPr>
              <w:t>Receitas Previdenciárias</w:t>
            </w:r>
          </w:p>
        </w:tc>
        <w:tc>
          <w:tcPr>
            <w:tcW w:w="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A7516F5" w14:textId="50A5A529"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6</w:t>
            </w:r>
            <w:r w:rsidR="00C176DE">
              <w:rPr>
                <w:sz w:val="18"/>
                <w:szCs w:val="18"/>
              </w:rPr>
              <w:t>65</w:t>
            </w:r>
          </w:p>
        </w:tc>
        <w:tc>
          <w:tcPr>
            <w:tcW w:w="1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8FE91FD" w14:textId="131848C7"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6</w:t>
            </w:r>
            <w:r w:rsidR="00755312">
              <w:rPr>
                <w:sz w:val="18"/>
                <w:szCs w:val="18"/>
              </w:rPr>
              <w:t>65</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93380B6" w14:textId="7D2989F2"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7DD8BE1" w14:textId="7AEA897F"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3.</w:t>
            </w:r>
            <w:r w:rsidR="00EA7832">
              <w:rPr>
                <w:sz w:val="18"/>
                <w:szCs w:val="18"/>
              </w:rPr>
              <w:t>847</w:t>
            </w:r>
          </w:p>
        </w:tc>
        <w:tc>
          <w:tcPr>
            <w:tcW w:w="1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94BEE55" w14:textId="21494C20" w:rsidR="004E6533" w:rsidRPr="0000632E" w:rsidRDefault="004E6533" w:rsidP="009E7267">
            <w:pPr>
              <w:spacing w:after="0" w:line="240" w:lineRule="auto"/>
              <w:jc w:val="right"/>
              <w:rPr>
                <w:rFonts w:eastAsia="Times New Roman" w:cs="Times New Roman"/>
                <w:bCs/>
                <w:sz w:val="18"/>
                <w:szCs w:val="18"/>
                <w:lang w:eastAsia="pt-BR"/>
              </w:rPr>
            </w:pPr>
            <w:r w:rsidRPr="0000632E">
              <w:rPr>
                <w:sz w:val="18"/>
                <w:szCs w:val="18"/>
              </w:rPr>
              <w:t>-</w:t>
            </w:r>
          </w:p>
        </w:tc>
      </w:tr>
      <w:tr w:rsidR="004E6533" w:rsidRPr="00BB1A30" w14:paraId="6F1AA6C9" w14:textId="77777777" w:rsidTr="007107F4">
        <w:trPr>
          <w:trHeight w:val="20"/>
          <w:jc w:val="center"/>
        </w:trPr>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0183CD0C" w14:textId="77777777" w:rsidR="004E6533" w:rsidRPr="00987852" w:rsidRDefault="004E6533" w:rsidP="004E6533">
            <w:pPr>
              <w:spacing w:after="0" w:line="240" w:lineRule="auto"/>
              <w:rPr>
                <w:rFonts w:eastAsia="Times New Roman" w:cs="Times New Roman"/>
                <w:b/>
                <w:color w:val="FFFFFF" w:themeColor="background1"/>
                <w:sz w:val="18"/>
                <w:szCs w:val="18"/>
                <w:lang w:eastAsia="pt-BR"/>
              </w:rPr>
            </w:pPr>
            <w:r w:rsidRPr="00987852">
              <w:rPr>
                <w:rFonts w:eastAsia="Times New Roman" w:cs="Times New Roman"/>
                <w:b/>
                <w:color w:val="FFFFFF" w:themeColor="background1"/>
                <w:sz w:val="18"/>
                <w:szCs w:val="18"/>
                <w:lang w:eastAsia="pt-BR"/>
              </w:rPr>
              <w:t>Total</w:t>
            </w:r>
          </w:p>
        </w:tc>
        <w:tc>
          <w:tcPr>
            <w:tcW w:w="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385E01D4" w14:textId="06EF39EE" w:rsidR="004E6533" w:rsidRPr="00987852" w:rsidRDefault="004E6533" w:rsidP="009E7267">
            <w:pPr>
              <w:spacing w:after="0" w:line="240" w:lineRule="auto"/>
              <w:jc w:val="right"/>
              <w:rPr>
                <w:rFonts w:eastAsia="Times New Roman" w:cs="Times New Roman"/>
                <w:b/>
                <w:color w:val="FFFFFF" w:themeColor="background1"/>
                <w:sz w:val="18"/>
                <w:szCs w:val="18"/>
                <w:lang w:eastAsia="pt-BR"/>
              </w:rPr>
            </w:pPr>
            <w:r w:rsidRPr="00987852">
              <w:rPr>
                <w:b/>
                <w:color w:val="FFFFFF" w:themeColor="background1"/>
                <w:sz w:val="18"/>
                <w:szCs w:val="18"/>
              </w:rPr>
              <w:t>6.</w:t>
            </w:r>
            <w:r w:rsidR="00755312" w:rsidRPr="00987852">
              <w:rPr>
                <w:b/>
                <w:color w:val="FFFFFF" w:themeColor="background1"/>
                <w:sz w:val="18"/>
                <w:szCs w:val="18"/>
              </w:rPr>
              <w:t>953</w:t>
            </w:r>
          </w:p>
        </w:tc>
        <w:tc>
          <w:tcPr>
            <w:tcW w:w="1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0978EBE6" w14:textId="57BC5F6C" w:rsidR="004E6533" w:rsidRPr="00987852" w:rsidRDefault="004E6533" w:rsidP="009E7267">
            <w:pPr>
              <w:spacing w:after="0" w:line="240" w:lineRule="auto"/>
              <w:jc w:val="right"/>
              <w:rPr>
                <w:rFonts w:eastAsia="Times New Roman" w:cs="Times New Roman"/>
                <w:b/>
                <w:color w:val="FFFFFF" w:themeColor="background1"/>
                <w:sz w:val="18"/>
                <w:szCs w:val="18"/>
                <w:lang w:eastAsia="pt-BR"/>
              </w:rPr>
            </w:pPr>
            <w:r w:rsidRPr="00987852">
              <w:rPr>
                <w:b/>
                <w:color w:val="FFFFFF" w:themeColor="background1"/>
                <w:sz w:val="18"/>
                <w:szCs w:val="18"/>
              </w:rPr>
              <w:t>6.</w:t>
            </w:r>
            <w:r w:rsidR="00755312" w:rsidRPr="00987852">
              <w:rPr>
                <w:b/>
                <w:color w:val="FFFFFF" w:themeColor="background1"/>
                <w:sz w:val="18"/>
                <w:szCs w:val="18"/>
              </w:rPr>
              <w:t>511</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7EFE993D" w14:textId="0CD72D96" w:rsidR="004E6533" w:rsidRPr="00987852" w:rsidRDefault="004E6533" w:rsidP="009E7267">
            <w:pPr>
              <w:spacing w:after="0" w:line="240" w:lineRule="auto"/>
              <w:jc w:val="right"/>
              <w:rPr>
                <w:rFonts w:eastAsia="Times New Roman" w:cs="Times New Roman"/>
                <w:b/>
                <w:color w:val="FFFFFF" w:themeColor="background1"/>
                <w:sz w:val="18"/>
                <w:szCs w:val="18"/>
                <w:lang w:eastAsia="pt-BR"/>
              </w:rPr>
            </w:pPr>
            <w:r w:rsidRPr="00987852">
              <w:rPr>
                <w:b/>
                <w:color w:val="FFFFFF" w:themeColor="background1"/>
                <w:sz w:val="18"/>
                <w:szCs w:val="18"/>
              </w:rPr>
              <w:t>1</w:t>
            </w:r>
            <w:r w:rsidR="00EA7832" w:rsidRPr="00987852">
              <w:rPr>
                <w:b/>
                <w:color w:val="FFFFFF" w:themeColor="background1"/>
                <w:sz w:val="18"/>
                <w:szCs w:val="18"/>
              </w:rPr>
              <w:t>.434</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0849AC54" w14:textId="7846AC1D" w:rsidR="004E6533" w:rsidRPr="00987852" w:rsidRDefault="004E6533" w:rsidP="009E7267">
            <w:pPr>
              <w:spacing w:after="0" w:line="240" w:lineRule="auto"/>
              <w:jc w:val="right"/>
              <w:rPr>
                <w:rFonts w:eastAsia="Times New Roman" w:cs="Times New Roman"/>
                <w:b/>
                <w:color w:val="FFFFFF" w:themeColor="background1"/>
                <w:sz w:val="18"/>
                <w:szCs w:val="18"/>
                <w:lang w:eastAsia="pt-BR"/>
              </w:rPr>
            </w:pPr>
            <w:r w:rsidRPr="00987852">
              <w:rPr>
                <w:b/>
                <w:color w:val="FFFFFF" w:themeColor="background1"/>
                <w:sz w:val="18"/>
                <w:szCs w:val="18"/>
              </w:rPr>
              <w:t>4.</w:t>
            </w:r>
            <w:r w:rsidR="00987852" w:rsidRPr="00987852">
              <w:rPr>
                <w:b/>
                <w:color w:val="FFFFFF" w:themeColor="background1"/>
                <w:sz w:val="18"/>
                <w:szCs w:val="18"/>
              </w:rPr>
              <w:t>619</w:t>
            </w:r>
          </w:p>
        </w:tc>
        <w:tc>
          <w:tcPr>
            <w:tcW w:w="1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0D64CD0A" w14:textId="0765D417" w:rsidR="004E6533" w:rsidRPr="00987852" w:rsidRDefault="00987852" w:rsidP="009E7267">
            <w:pPr>
              <w:spacing w:after="0" w:line="240" w:lineRule="auto"/>
              <w:jc w:val="right"/>
              <w:rPr>
                <w:rFonts w:eastAsia="Times New Roman" w:cs="Times New Roman"/>
                <w:b/>
                <w:color w:val="FFFFFF" w:themeColor="background1"/>
                <w:sz w:val="18"/>
                <w:szCs w:val="18"/>
                <w:lang w:eastAsia="pt-BR"/>
              </w:rPr>
            </w:pPr>
            <w:r w:rsidRPr="00987852">
              <w:rPr>
                <w:b/>
                <w:color w:val="FFFFFF" w:themeColor="background1"/>
                <w:sz w:val="18"/>
                <w:szCs w:val="18"/>
              </w:rPr>
              <w:t>331</w:t>
            </w:r>
          </w:p>
        </w:tc>
      </w:tr>
      <w:tr w:rsidR="00994522" w:rsidRPr="00994522" w14:paraId="191519B3" w14:textId="77777777" w:rsidTr="007107F4">
        <w:trPr>
          <w:trHeight w:val="752"/>
          <w:jc w:val="center"/>
        </w:trPr>
        <w:tc>
          <w:tcPr>
            <w:tcW w:w="9540" w:type="dxa"/>
            <w:gridSpan w:val="6"/>
            <w:tcBorders>
              <w:top w:val="single" w:sz="4" w:space="0" w:color="BFBFBF" w:themeColor="background1" w:themeShade="BF"/>
              <w:left w:val="nil"/>
              <w:right w:val="nil"/>
            </w:tcBorders>
            <w:shd w:val="clear" w:color="auto" w:fill="auto"/>
            <w:hideMark/>
          </w:tcPr>
          <w:p w14:paraId="6C7D6906" w14:textId="4CC8C4D2" w:rsidR="00292530" w:rsidRPr="00994522" w:rsidRDefault="00292530" w:rsidP="00292530">
            <w:pPr>
              <w:spacing w:after="0" w:line="240" w:lineRule="auto"/>
              <w:jc w:val="both"/>
              <w:rPr>
                <w:rFonts w:eastAsia="Times New Roman" w:cs="Times New Roman"/>
                <w:bCs/>
                <w:i/>
                <w:iCs/>
                <w:sz w:val="16"/>
                <w:szCs w:val="16"/>
                <w:lang w:eastAsia="pt-BR"/>
              </w:rPr>
            </w:pPr>
            <w:proofErr w:type="gramStart"/>
            <w:r w:rsidRPr="00994522">
              <w:rPr>
                <w:rFonts w:eastAsia="Times New Roman" w:cs="Times New Roman"/>
                <w:bCs/>
                <w:i/>
                <w:iCs/>
                <w:sz w:val="16"/>
                <w:szCs w:val="16"/>
                <w:vertAlign w:val="superscript"/>
                <w:lang w:eastAsia="pt-BR"/>
              </w:rPr>
              <w:t>1</w:t>
            </w:r>
            <w:proofErr w:type="gramEnd"/>
            <w:r w:rsidRPr="00994522">
              <w:rPr>
                <w:rFonts w:eastAsia="Times New Roman" w:cs="Times New Roman"/>
                <w:bCs/>
                <w:i/>
                <w:iCs/>
                <w:sz w:val="16"/>
                <w:szCs w:val="16"/>
                <w:lang w:eastAsia="pt-BR"/>
              </w:rPr>
              <w:t xml:space="preserve"> O Índice de Estimativa da Receita (IER) é composto por uma média ponderada que atribui 55% à taxa média do IPCA e 45% à taxa média do IGP-DI.</w:t>
            </w:r>
          </w:p>
          <w:p w14:paraId="2232FCB3" w14:textId="77777777" w:rsidR="00292530" w:rsidRPr="00994522" w:rsidRDefault="00292530" w:rsidP="00292530">
            <w:pPr>
              <w:spacing w:after="0" w:line="240" w:lineRule="auto"/>
              <w:jc w:val="both"/>
              <w:rPr>
                <w:rFonts w:eastAsia="Times New Roman" w:cs="Times New Roman"/>
                <w:bCs/>
                <w:sz w:val="20"/>
                <w:szCs w:val="20"/>
                <w:lang w:eastAsia="pt-BR"/>
              </w:rPr>
            </w:pPr>
            <w:r w:rsidRPr="00994522">
              <w:rPr>
                <w:rFonts w:eastAsia="Times New Roman" w:cs="Times New Roman"/>
                <w:b/>
                <w:i/>
                <w:iCs/>
                <w:sz w:val="16"/>
                <w:szCs w:val="16"/>
                <w:lang w:eastAsia="pt-BR"/>
              </w:rPr>
              <w:t>Fonte</w:t>
            </w:r>
            <w:r w:rsidRPr="00994522">
              <w:rPr>
                <w:rFonts w:eastAsia="Times New Roman" w:cs="Times New Roman"/>
                <w:bCs/>
                <w:i/>
                <w:iCs/>
                <w:sz w:val="16"/>
                <w:szCs w:val="16"/>
                <w:lang w:eastAsia="pt-BR"/>
              </w:rPr>
              <w:t xml:space="preserve">: RFB/ME. </w:t>
            </w:r>
            <w:r w:rsidRPr="00994522">
              <w:rPr>
                <w:rFonts w:eastAsia="Times New Roman" w:cs="Times New Roman"/>
                <w:b/>
                <w:i/>
                <w:iCs/>
                <w:sz w:val="16"/>
                <w:szCs w:val="16"/>
                <w:lang w:eastAsia="pt-BR"/>
              </w:rPr>
              <w:t>Elaboração</w:t>
            </w:r>
            <w:r w:rsidRPr="00994522">
              <w:rPr>
                <w:rFonts w:eastAsia="Times New Roman" w:cs="Times New Roman"/>
                <w:bCs/>
                <w:i/>
                <w:iCs/>
                <w:sz w:val="16"/>
                <w:szCs w:val="16"/>
                <w:lang w:eastAsia="pt-BR"/>
              </w:rPr>
              <w:t>: STN/ME.</w:t>
            </w:r>
          </w:p>
        </w:tc>
      </w:tr>
    </w:tbl>
    <w:p w14:paraId="0FB591B2" w14:textId="77777777" w:rsidR="00C01B52" w:rsidRPr="00C01B52" w:rsidRDefault="00C01B52" w:rsidP="00C01B52">
      <w:pPr>
        <w:spacing w:after="120" w:line="240" w:lineRule="auto"/>
        <w:ind w:firstLine="1418"/>
        <w:jc w:val="both"/>
        <w:rPr>
          <w:rFonts w:eastAsia="Times New Roman" w:cs="Times New Roman"/>
          <w:sz w:val="24"/>
          <w:szCs w:val="24"/>
          <w:lang w:eastAsia="pt-BR"/>
        </w:rPr>
      </w:pPr>
      <w:r w:rsidRPr="00C01B52">
        <w:rPr>
          <w:rFonts w:eastAsia="Times New Roman" w:cs="Times New Roman"/>
          <w:sz w:val="24"/>
          <w:szCs w:val="24"/>
          <w:lang w:eastAsia="pt-BR"/>
        </w:rPr>
        <w:t>É necessário ponderar que as variáveis macroeconômicas possuem correlação entre si, de forma que supor que apenas uma variável se moverá, enquanto as outras permanecem estáticas, é uma simplificação necessária para a realização deste exercício hipotético. Adicionalmente, a metodologia utilizada pela RFB considera um conjunto maior de variáveis em sua projeção, de modo que pode haver divergência de valores entre o estimado neste exercício e os números oficiais.</w:t>
      </w:r>
    </w:p>
    <w:p w14:paraId="52FC7396" w14:textId="3B5F166B" w:rsidR="00084FEB" w:rsidRPr="00C01B52" w:rsidRDefault="00C01B52" w:rsidP="00C01B52">
      <w:pPr>
        <w:spacing w:after="120" w:line="240" w:lineRule="auto"/>
        <w:ind w:firstLine="1418"/>
        <w:jc w:val="both"/>
        <w:rPr>
          <w:rFonts w:eastAsia="Times New Roman" w:cs="Times New Roman"/>
          <w:sz w:val="24"/>
          <w:szCs w:val="24"/>
          <w:lang w:eastAsia="pt-BR"/>
        </w:rPr>
      </w:pPr>
      <w:r w:rsidRPr="00C01B52">
        <w:rPr>
          <w:rFonts w:eastAsia="Times New Roman" w:cs="Times New Roman"/>
          <w:sz w:val="24"/>
          <w:szCs w:val="24"/>
          <w:lang w:eastAsia="pt-BR"/>
        </w:rPr>
        <w:t>Além dos riscos relacionados a parâmetros macroeconômicos, existem riscos potenciais no médio e</w:t>
      </w:r>
      <w:r w:rsidR="009A28FD">
        <w:rPr>
          <w:rFonts w:eastAsia="Times New Roman" w:cs="Times New Roman"/>
          <w:sz w:val="24"/>
          <w:szCs w:val="24"/>
          <w:lang w:eastAsia="pt-BR"/>
        </w:rPr>
        <w:t xml:space="preserve"> no</w:t>
      </w:r>
      <w:r w:rsidRPr="00C01B52">
        <w:rPr>
          <w:rFonts w:eastAsia="Times New Roman" w:cs="Times New Roman"/>
          <w:sz w:val="24"/>
          <w:szCs w:val="24"/>
          <w:lang w:eastAsia="pt-BR"/>
        </w:rPr>
        <w:t xml:space="preserve"> longo prazo que podem afetar a relação receita/PIB, os quais não são plenamente quantificáveis:</w:t>
      </w:r>
    </w:p>
    <w:p w14:paraId="39EB1470" w14:textId="34315C26" w:rsidR="00084FEB" w:rsidRPr="00C65BCB" w:rsidRDefault="00AD7FA8" w:rsidP="003875DB">
      <w:pPr>
        <w:pStyle w:val="PargrafodaLista"/>
        <w:numPr>
          <w:ilvl w:val="0"/>
          <w:numId w:val="33"/>
        </w:numPr>
        <w:spacing w:after="120" w:line="240" w:lineRule="auto"/>
        <w:ind w:left="1775" w:hanging="357"/>
        <w:jc w:val="both"/>
        <w:rPr>
          <w:rFonts w:cs="Times New Roman"/>
          <w:sz w:val="24"/>
          <w:szCs w:val="24"/>
          <w:lang w:eastAsia="pt-BR"/>
        </w:rPr>
      </w:pPr>
      <w:r w:rsidRPr="00C65BCB">
        <w:rPr>
          <w:rFonts w:cs="Times New Roman"/>
          <w:sz w:val="24"/>
          <w:szCs w:val="24"/>
          <w:lang w:eastAsia="pt-BR"/>
        </w:rPr>
        <w:t>Mudanças na composição do PIB, que podem levar a que bases tributárias específicas cresçam mais ou menos rapidamente do que a economia como um todo;</w:t>
      </w:r>
    </w:p>
    <w:p w14:paraId="0A7BE974" w14:textId="03A1BFD6" w:rsidR="00084FEB" w:rsidRPr="00C65BCB" w:rsidRDefault="00256FB0" w:rsidP="003875DB">
      <w:pPr>
        <w:pStyle w:val="PargrafodaLista"/>
        <w:numPr>
          <w:ilvl w:val="0"/>
          <w:numId w:val="33"/>
        </w:numPr>
        <w:spacing w:after="120" w:line="240" w:lineRule="auto"/>
        <w:ind w:left="1775" w:hanging="357"/>
        <w:jc w:val="both"/>
        <w:rPr>
          <w:rFonts w:cs="Times New Roman"/>
          <w:sz w:val="24"/>
          <w:szCs w:val="24"/>
          <w:lang w:eastAsia="pt-BR"/>
        </w:rPr>
      </w:pPr>
      <w:r w:rsidRPr="00C65BCB">
        <w:rPr>
          <w:rFonts w:cs="Times New Roman"/>
          <w:sz w:val="24"/>
          <w:szCs w:val="24"/>
          <w:lang w:eastAsia="pt-BR"/>
        </w:rPr>
        <w:t>Alterações na alíquota de imposto efetiva paga em cada base de imposto devido a políticas públicas, gastos tributários ou outros fatores;</w:t>
      </w:r>
    </w:p>
    <w:p w14:paraId="4EB7B5AC" w14:textId="37DB81EB" w:rsidR="00084FEB" w:rsidRPr="00C65BCB" w:rsidRDefault="0069741D" w:rsidP="003875DB">
      <w:pPr>
        <w:pStyle w:val="PargrafodaLista"/>
        <w:numPr>
          <w:ilvl w:val="0"/>
          <w:numId w:val="33"/>
        </w:numPr>
        <w:spacing w:after="120" w:line="240" w:lineRule="auto"/>
        <w:ind w:left="1775" w:hanging="357"/>
        <w:jc w:val="both"/>
        <w:rPr>
          <w:rFonts w:cs="Times New Roman"/>
          <w:sz w:val="24"/>
          <w:szCs w:val="24"/>
          <w:lang w:eastAsia="pt-BR"/>
        </w:rPr>
      </w:pPr>
      <w:r w:rsidRPr="00C65BCB">
        <w:rPr>
          <w:rFonts w:cs="Times New Roman"/>
          <w:sz w:val="24"/>
          <w:szCs w:val="24"/>
          <w:lang w:eastAsia="pt-BR"/>
        </w:rPr>
        <w:t xml:space="preserve">Perda de receita proveniente de mudanças comportamentais e tecnológicas, como o aumento da eficiência de combustível, a substituição dos carros a combustão por carros elétricos, a tendência de queda do consumo de </w:t>
      </w:r>
      <w:r w:rsidR="009A28FD" w:rsidRPr="00C65BCB">
        <w:rPr>
          <w:rFonts w:cs="Times New Roman"/>
          <w:sz w:val="24"/>
          <w:szCs w:val="24"/>
          <w:lang w:eastAsia="pt-BR"/>
        </w:rPr>
        <w:t>tabaco</w:t>
      </w:r>
      <w:r w:rsidR="00770E00">
        <w:rPr>
          <w:rFonts w:cs="Times New Roman"/>
          <w:sz w:val="24"/>
          <w:szCs w:val="24"/>
          <w:lang w:eastAsia="pt-BR"/>
        </w:rPr>
        <w:t>,</w:t>
      </w:r>
      <w:r w:rsidR="009A28FD" w:rsidRPr="00C65BCB">
        <w:rPr>
          <w:rFonts w:cs="Times New Roman"/>
          <w:sz w:val="24"/>
          <w:szCs w:val="24"/>
          <w:lang w:eastAsia="pt-BR"/>
        </w:rPr>
        <w:t xml:space="preserve"> etc.</w:t>
      </w:r>
      <w:r w:rsidRPr="00C65BCB">
        <w:rPr>
          <w:rFonts w:cs="Times New Roman"/>
          <w:sz w:val="24"/>
          <w:szCs w:val="24"/>
          <w:lang w:eastAsia="pt-BR"/>
        </w:rPr>
        <w:t>;</w:t>
      </w:r>
    </w:p>
    <w:p w14:paraId="78C1599A" w14:textId="4ABDBAEF" w:rsidR="00084FEB" w:rsidRPr="00C65BCB" w:rsidRDefault="00C65BCB" w:rsidP="003875DB">
      <w:pPr>
        <w:pStyle w:val="PargrafodaLista"/>
        <w:numPr>
          <w:ilvl w:val="0"/>
          <w:numId w:val="33"/>
        </w:numPr>
        <w:spacing w:after="120" w:line="240" w:lineRule="auto"/>
        <w:ind w:left="1775" w:hanging="357"/>
        <w:jc w:val="both"/>
        <w:rPr>
          <w:rFonts w:cs="Times New Roman"/>
          <w:sz w:val="24"/>
          <w:szCs w:val="24"/>
          <w:lang w:eastAsia="pt-BR"/>
        </w:rPr>
      </w:pPr>
      <w:r w:rsidRPr="00C65BCB">
        <w:rPr>
          <w:rFonts w:cs="Times New Roman"/>
          <w:sz w:val="24"/>
          <w:szCs w:val="24"/>
          <w:lang w:eastAsia="pt-BR"/>
        </w:rPr>
        <w:t>Queda das taxas de imposto efetivas de mudanças nos padrões de emprego, em particular a mudança do status do emprego formal para o trabalho autônomo ou desses para emprego informal.</w:t>
      </w:r>
    </w:p>
    <w:p w14:paraId="36998F36" w14:textId="77777777" w:rsidR="00D34AC3" w:rsidRPr="0022645B" w:rsidRDefault="00D34AC3" w:rsidP="00084FEB">
      <w:pPr>
        <w:pStyle w:val="Default"/>
        <w:spacing w:after="120"/>
        <w:jc w:val="both"/>
        <w:rPr>
          <w:rFonts w:asciiTheme="minorHAnsi" w:hAnsiTheme="minorHAnsi" w:cstheme="minorBidi"/>
          <w:color w:val="auto"/>
        </w:rPr>
      </w:pPr>
    </w:p>
    <w:p w14:paraId="0DB49536" w14:textId="77777777" w:rsidR="000D17A6" w:rsidRPr="0022645B" w:rsidRDefault="000D17A6" w:rsidP="00AA0D31">
      <w:pPr>
        <w:pStyle w:val="Ttulo2"/>
        <w:keepLines/>
        <w:numPr>
          <w:ilvl w:val="1"/>
          <w:numId w:val="36"/>
        </w:numPr>
        <w:spacing w:after="120"/>
        <w:ind w:left="578" w:hanging="578"/>
        <w:jc w:val="left"/>
        <w:rPr>
          <w:rFonts w:asciiTheme="minorHAnsi" w:hAnsiTheme="minorHAnsi" w:cs="Times New Roman"/>
          <w:color w:val="auto"/>
          <w:sz w:val="24"/>
          <w:szCs w:val="24"/>
        </w:rPr>
      </w:pPr>
      <w:bookmarkStart w:id="59" w:name="_Toc479778047"/>
      <w:bookmarkStart w:id="60" w:name="_Toc479778107"/>
      <w:bookmarkStart w:id="61" w:name="_Toc5012224"/>
      <w:bookmarkStart w:id="62" w:name="_Toc5030470"/>
      <w:bookmarkStart w:id="63" w:name="_Toc2869865"/>
      <w:bookmarkStart w:id="64" w:name="_Toc5180274"/>
      <w:bookmarkStart w:id="65" w:name="_Toc67317973"/>
      <w:bookmarkStart w:id="66" w:name="_Toc67929627"/>
      <w:bookmarkStart w:id="67" w:name="_Toc69121214"/>
      <w:bookmarkEnd w:id="59"/>
      <w:bookmarkEnd w:id="60"/>
      <w:r w:rsidRPr="0022645B">
        <w:rPr>
          <w:rFonts w:asciiTheme="minorHAnsi" w:hAnsiTheme="minorHAnsi" w:cs="Times New Roman"/>
          <w:color w:val="auto"/>
          <w:sz w:val="24"/>
          <w:szCs w:val="24"/>
        </w:rPr>
        <w:t>SENSIBILIDADE DA DESPESA PRIMÁRIA</w:t>
      </w:r>
      <w:bookmarkEnd w:id="61"/>
      <w:bookmarkEnd w:id="62"/>
      <w:bookmarkEnd w:id="63"/>
      <w:bookmarkEnd w:id="64"/>
      <w:bookmarkEnd w:id="65"/>
      <w:bookmarkEnd w:id="66"/>
      <w:bookmarkEnd w:id="67"/>
    </w:p>
    <w:p w14:paraId="7A14F24E" w14:textId="057C5E39" w:rsidR="00981403" w:rsidRPr="0005635F" w:rsidRDefault="00981403" w:rsidP="00507A38">
      <w:pPr>
        <w:pStyle w:val="Ttulo3"/>
        <w:keepNext w:val="0"/>
        <w:numPr>
          <w:ilvl w:val="2"/>
          <w:numId w:val="36"/>
        </w:numPr>
        <w:spacing w:before="240" w:after="120"/>
        <w:ind w:left="720" w:hanging="720"/>
        <w:rPr>
          <w:rFonts w:asciiTheme="minorHAnsi" w:hAnsiTheme="minorHAnsi"/>
          <w:b/>
          <w:smallCaps w:val="0"/>
        </w:rPr>
      </w:pPr>
      <w:bookmarkStart w:id="68" w:name="_Toc67317974"/>
      <w:bookmarkStart w:id="69" w:name="_Toc67929628"/>
      <w:bookmarkStart w:id="70" w:name="_Toc69121215"/>
      <w:r w:rsidRPr="0005635F">
        <w:rPr>
          <w:rFonts w:asciiTheme="minorHAnsi" w:hAnsiTheme="minorHAnsi"/>
          <w:b/>
          <w:smallCaps w:val="0"/>
        </w:rPr>
        <w:t xml:space="preserve">Sensibilidade da Despesa </w:t>
      </w:r>
      <w:r w:rsidR="00876C73">
        <w:rPr>
          <w:rFonts w:asciiTheme="minorHAnsi" w:hAnsiTheme="minorHAnsi"/>
          <w:b/>
          <w:smallCaps w:val="0"/>
        </w:rPr>
        <w:t>Primária Geral</w:t>
      </w:r>
      <w:bookmarkEnd w:id="68"/>
      <w:bookmarkEnd w:id="69"/>
      <w:bookmarkEnd w:id="70"/>
    </w:p>
    <w:p w14:paraId="63CCEB57" w14:textId="51F19EE0" w:rsidR="000D17A6" w:rsidRPr="002219A4" w:rsidRDefault="0079370C" w:rsidP="00456623">
      <w:pPr>
        <w:pStyle w:val="Default"/>
        <w:spacing w:after="120"/>
        <w:ind w:firstLine="1418"/>
        <w:jc w:val="both"/>
        <w:rPr>
          <w:rStyle w:val="ilfuvd"/>
          <w:rFonts w:asciiTheme="minorHAnsi" w:hAnsiTheme="minorHAnsi"/>
          <w:color w:val="auto"/>
        </w:rPr>
      </w:pPr>
      <w:r w:rsidRPr="002219A4">
        <w:rPr>
          <w:rFonts w:asciiTheme="minorHAnsi" w:hAnsiTheme="minorHAnsi" w:cstheme="minorBidi"/>
          <w:color w:val="auto"/>
        </w:rPr>
        <w:t>Em relação às despesas, os riscos de previsão</w:t>
      </w:r>
      <w:r w:rsidR="0048068B" w:rsidRPr="002219A4">
        <w:rPr>
          <w:rStyle w:val="Refdenotaderodap"/>
          <w:rFonts w:asciiTheme="minorHAnsi" w:hAnsiTheme="minorHAnsi" w:cstheme="minorBidi"/>
          <w:color w:val="auto"/>
        </w:rPr>
        <w:footnoteReference w:id="3"/>
      </w:r>
      <w:r w:rsidR="0048068B" w:rsidRPr="002219A4">
        <w:rPr>
          <w:rFonts w:asciiTheme="minorHAnsi" w:hAnsiTheme="minorHAnsi" w:cstheme="minorBidi"/>
          <w:color w:val="auto"/>
        </w:rPr>
        <w:t xml:space="preserve"> </w:t>
      </w:r>
      <w:r w:rsidRPr="002219A4">
        <w:rPr>
          <w:rFonts w:asciiTheme="minorHAnsi" w:hAnsiTheme="minorHAnsi" w:cstheme="minorBidi"/>
          <w:color w:val="auto"/>
        </w:rPr>
        <w:t xml:space="preserve">decorrem, em geral, de variações nos parâmetros macroeconômicos e nos quantitativos estimados. Dessa forma, </w:t>
      </w:r>
      <w:r w:rsidR="000F68DE" w:rsidRPr="002219A4">
        <w:rPr>
          <w:rFonts w:asciiTheme="minorHAnsi" w:hAnsiTheme="minorHAnsi" w:cstheme="minorBidi"/>
          <w:color w:val="auto"/>
        </w:rPr>
        <w:t xml:space="preserve">é </w:t>
      </w:r>
      <w:r w:rsidRPr="002219A4">
        <w:rPr>
          <w:rFonts w:asciiTheme="minorHAnsi" w:hAnsiTheme="minorHAnsi" w:cstheme="minorBidi"/>
          <w:color w:val="auto"/>
        </w:rPr>
        <w:t>apresenta</w:t>
      </w:r>
      <w:r w:rsidR="0083206B" w:rsidRPr="002219A4">
        <w:rPr>
          <w:rFonts w:asciiTheme="minorHAnsi" w:hAnsiTheme="minorHAnsi" w:cstheme="minorBidi"/>
          <w:color w:val="auto"/>
        </w:rPr>
        <w:t>da a</w:t>
      </w:r>
      <w:r w:rsidRPr="002219A4">
        <w:rPr>
          <w:rFonts w:asciiTheme="minorHAnsi" w:hAnsiTheme="minorHAnsi" w:cstheme="minorBidi"/>
          <w:color w:val="auto"/>
        </w:rPr>
        <w:t xml:space="preserve"> análise </w:t>
      </w:r>
      <w:r w:rsidRPr="002219A4">
        <w:rPr>
          <w:rFonts w:asciiTheme="minorHAnsi" w:hAnsiTheme="minorHAnsi" w:cstheme="minorBidi"/>
          <w:color w:val="auto"/>
        </w:rPr>
        <w:lastRenderedPageBreak/>
        <w:t>de sensibilidade das despesas primárias do Governo Central em relação aos parâmetros macroeconômicos usados para a elaboração da Lei Orçamentária Anual.</w:t>
      </w:r>
    </w:p>
    <w:p w14:paraId="786D760A" w14:textId="6ECD1E30" w:rsidR="000D17A6" w:rsidRPr="002219A4" w:rsidRDefault="006B6D5F" w:rsidP="000D17A6">
      <w:pPr>
        <w:pStyle w:val="Default"/>
        <w:spacing w:after="120"/>
        <w:ind w:firstLine="1418"/>
        <w:jc w:val="both"/>
        <w:rPr>
          <w:rFonts w:asciiTheme="minorHAnsi" w:hAnsiTheme="minorHAnsi"/>
          <w:color w:val="auto"/>
        </w:rPr>
      </w:pPr>
      <w:r w:rsidRPr="002219A4">
        <w:rPr>
          <w:rFonts w:asciiTheme="minorHAnsi" w:hAnsiTheme="minorHAnsi"/>
          <w:color w:val="auto"/>
        </w:rPr>
        <w:t xml:space="preserve">A análise de sensibilidade nesta seção foi realizada com base nos agregados de despesa cuja variação está diretamente relacionada a dois dos principais parâmetros constantes do </w:t>
      </w:r>
      <w:proofErr w:type="gramStart"/>
      <w:r w:rsidRPr="002219A4">
        <w:rPr>
          <w:rFonts w:asciiTheme="minorHAnsi" w:hAnsiTheme="minorHAnsi"/>
          <w:color w:val="auto"/>
        </w:rPr>
        <w:t>cenário base</w:t>
      </w:r>
      <w:proofErr w:type="gramEnd"/>
      <w:r w:rsidRPr="002219A4">
        <w:rPr>
          <w:rFonts w:asciiTheme="minorHAnsi" w:hAnsiTheme="minorHAnsi"/>
          <w:color w:val="auto"/>
        </w:rPr>
        <w:t xml:space="preserve"> desta Lei de Diretrizes Orçamentárias, o Índice Nacional de Preços ao Consumidor (INPC) e o Salário-Mínimo (SM). As despesas</w:t>
      </w:r>
      <w:r w:rsidR="00B866DE">
        <w:rPr>
          <w:rFonts w:asciiTheme="minorHAnsi" w:hAnsiTheme="minorHAnsi"/>
          <w:color w:val="auto"/>
        </w:rPr>
        <w:t>,</w:t>
      </w:r>
      <w:r w:rsidRPr="002219A4">
        <w:rPr>
          <w:rFonts w:asciiTheme="minorHAnsi" w:hAnsiTheme="minorHAnsi"/>
          <w:color w:val="auto"/>
        </w:rPr>
        <w:t xml:space="preserve"> diretamente impactadas por esses parâmetros são os benefícios previdenciários e assistenciais, o abono salarial e o seguro-desemprego que juntos corresponderam a 5</w:t>
      </w:r>
      <w:r w:rsidR="00B866DE">
        <w:rPr>
          <w:rFonts w:asciiTheme="minorHAnsi" w:hAnsiTheme="minorHAnsi"/>
          <w:color w:val="auto"/>
        </w:rPr>
        <w:t>5</w:t>
      </w:r>
      <w:r w:rsidRPr="002219A4">
        <w:rPr>
          <w:rFonts w:asciiTheme="minorHAnsi" w:hAnsiTheme="minorHAnsi"/>
          <w:color w:val="auto"/>
        </w:rPr>
        <w:t>,</w:t>
      </w:r>
      <w:r w:rsidR="00B866DE">
        <w:rPr>
          <w:rFonts w:asciiTheme="minorHAnsi" w:hAnsiTheme="minorHAnsi"/>
          <w:color w:val="auto"/>
        </w:rPr>
        <w:t>1</w:t>
      </w:r>
      <w:r w:rsidRPr="002219A4">
        <w:rPr>
          <w:rFonts w:asciiTheme="minorHAnsi" w:hAnsiTheme="minorHAnsi"/>
          <w:color w:val="auto"/>
        </w:rPr>
        <w:t>% das despesas primárias do Governo Central em 20</w:t>
      </w:r>
      <w:r w:rsidR="00592E4D">
        <w:rPr>
          <w:rFonts w:asciiTheme="minorHAnsi" w:hAnsiTheme="minorHAnsi"/>
          <w:color w:val="auto"/>
        </w:rPr>
        <w:t>20</w:t>
      </w:r>
      <w:r w:rsidR="00D76CF6">
        <w:rPr>
          <w:rStyle w:val="Refdenotaderodap"/>
          <w:rFonts w:asciiTheme="minorHAnsi" w:hAnsiTheme="minorHAnsi"/>
          <w:color w:val="auto"/>
        </w:rPr>
        <w:footnoteReference w:id="4"/>
      </w:r>
      <w:r w:rsidRPr="002219A4">
        <w:rPr>
          <w:rFonts w:asciiTheme="minorHAnsi" w:hAnsiTheme="minorHAnsi"/>
          <w:color w:val="auto"/>
        </w:rPr>
        <w:t>.</w:t>
      </w:r>
    </w:p>
    <w:p w14:paraId="7BC58A3B" w14:textId="12BAED47" w:rsidR="000D17A6" w:rsidRPr="002C2A6A" w:rsidRDefault="000D17A6" w:rsidP="002C2A6A">
      <w:pPr>
        <w:pStyle w:val="TabelaARF"/>
        <w:spacing w:before="240" w:after="120"/>
        <w:jc w:val="center"/>
        <w:rPr>
          <w:szCs w:val="22"/>
        </w:rPr>
      </w:pPr>
      <w:bookmarkStart w:id="71" w:name="_Toc4754238"/>
      <w:bookmarkStart w:id="72" w:name="_Toc5027584"/>
      <w:bookmarkStart w:id="73" w:name="_Toc69121353"/>
      <w:r w:rsidRPr="002C2A6A">
        <w:rPr>
          <w:color w:val="000000" w:themeColor="text1"/>
        </w:rPr>
        <w:t xml:space="preserve">Tabela </w:t>
      </w:r>
      <w:r w:rsidRPr="002C2A6A">
        <w:rPr>
          <w:szCs w:val="22"/>
        </w:rPr>
        <w:fldChar w:fldCharType="begin"/>
      </w:r>
      <w:r w:rsidRPr="002C2A6A">
        <w:rPr>
          <w:szCs w:val="22"/>
        </w:rPr>
        <w:instrText xml:space="preserve"> SEQ Tabela \* ARABIC </w:instrText>
      </w:r>
      <w:r w:rsidRPr="002C2A6A">
        <w:rPr>
          <w:szCs w:val="22"/>
        </w:rPr>
        <w:fldChar w:fldCharType="separate"/>
      </w:r>
      <w:r w:rsidR="00304F5F">
        <w:rPr>
          <w:noProof/>
          <w:szCs w:val="22"/>
        </w:rPr>
        <w:t>7</w:t>
      </w:r>
      <w:r w:rsidRPr="002C2A6A">
        <w:rPr>
          <w:szCs w:val="22"/>
        </w:rPr>
        <w:fldChar w:fldCharType="end"/>
      </w:r>
      <w:r w:rsidR="000B4D56" w:rsidRPr="002C2A6A">
        <w:rPr>
          <w:szCs w:val="22"/>
        </w:rPr>
        <w:t xml:space="preserve"> -</w:t>
      </w:r>
      <w:r w:rsidRPr="002C2A6A">
        <w:rPr>
          <w:szCs w:val="22"/>
        </w:rPr>
        <w:t xml:space="preserve"> Despesas Primárias do Governo Central Indexadas </w:t>
      </w:r>
      <w:r w:rsidR="00EC50A6">
        <w:rPr>
          <w:szCs w:val="22"/>
        </w:rPr>
        <w:t>a</w:t>
      </w:r>
      <w:r w:rsidRPr="002C2A6A">
        <w:rPr>
          <w:szCs w:val="22"/>
        </w:rPr>
        <w:t xml:space="preserve"> Parâmetros Macroeconômicos</w:t>
      </w:r>
      <w:bookmarkEnd w:id="71"/>
      <w:bookmarkEnd w:id="72"/>
      <w:bookmarkEnd w:id="73"/>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6"/>
        <w:gridCol w:w="1649"/>
        <w:gridCol w:w="2550"/>
        <w:gridCol w:w="2408"/>
      </w:tblGrid>
      <w:tr w:rsidR="00F22CA0" w:rsidRPr="00BA714F" w14:paraId="2A449C09" w14:textId="77777777" w:rsidTr="00B533A3">
        <w:trPr>
          <w:trHeight w:val="20"/>
          <w:tblHeader/>
          <w:jc w:val="center"/>
        </w:trPr>
        <w:tc>
          <w:tcPr>
            <w:tcW w:w="0" w:type="auto"/>
            <w:gridSpan w:val="4"/>
            <w:tcBorders>
              <w:top w:val="nil"/>
              <w:left w:val="nil"/>
              <w:bottom w:val="single" w:sz="4" w:space="0" w:color="BFBFBF" w:themeColor="background1" w:themeShade="BF"/>
              <w:right w:val="nil"/>
            </w:tcBorders>
            <w:shd w:val="clear" w:color="000000" w:fill="FFFFFF"/>
            <w:noWrap/>
            <w:vAlign w:val="bottom"/>
            <w:hideMark/>
          </w:tcPr>
          <w:p w14:paraId="6454F4EA" w14:textId="77777777" w:rsidR="00F22CA0" w:rsidRPr="00BA714F" w:rsidRDefault="00F22CA0" w:rsidP="00E76780">
            <w:pPr>
              <w:spacing w:after="0" w:line="240" w:lineRule="auto"/>
              <w:jc w:val="right"/>
              <w:rPr>
                <w:rFonts w:eastAsia="Times New Roman" w:cs="Times New Roman"/>
                <w:i/>
                <w:color w:val="000000"/>
                <w:sz w:val="16"/>
                <w:szCs w:val="16"/>
                <w:lang w:eastAsia="pt-BR"/>
              </w:rPr>
            </w:pPr>
            <w:r w:rsidRPr="00BA714F">
              <w:rPr>
                <w:rFonts w:eastAsia="Times New Roman" w:cs="Times New Roman"/>
                <w:i/>
                <w:color w:val="000000"/>
                <w:sz w:val="16"/>
                <w:szCs w:val="16"/>
                <w:lang w:eastAsia="pt-BR"/>
              </w:rPr>
              <w:t>Em R$ milhões</w:t>
            </w:r>
          </w:p>
        </w:tc>
      </w:tr>
      <w:tr w:rsidR="000650B6" w:rsidRPr="005A5D8C" w14:paraId="0BFEAF51" w14:textId="77777777" w:rsidTr="00B533A3">
        <w:trPr>
          <w:trHeight w:val="20"/>
          <w:tblHeader/>
          <w:jc w:val="center"/>
        </w:trPr>
        <w:tc>
          <w:tcPr>
            <w:tcW w:w="0" w:type="auto"/>
            <w:tcBorders>
              <w:top w:val="single" w:sz="4" w:space="0" w:color="BFBFBF" w:themeColor="background1" w:themeShade="BF"/>
            </w:tcBorders>
            <w:shd w:val="clear" w:color="auto" w:fill="404040" w:themeFill="text1" w:themeFillTint="BF"/>
            <w:vAlign w:val="center"/>
            <w:hideMark/>
          </w:tcPr>
          <w:p w14:paraId="2522D5BF" w14:textId="77777777" w:rsidR="00F22CA0" w:rsidRPr="004F7EFC" w:rsidRDefault="00E76780" w:rsidP="00E76780">
            <w:pPr>
              <w:spacing w:after="0" w:line="240" w:lineRule="auto"/>
              <w:jc w:val="center"/>
              <w:rPr>
                <w:rFonts w:eastAsia="Times New Roman" w:cs="Times New Roman"/>
                <w:b/>
                <w:color w:val="FFFFFF" w:themeColor="background1"/>
                <w:sz w:val="20"/>
                <w:szCs w:val="20"/>
                <w:lang w:eastAsia="pt-BR"/>
              </w:rPr>
            </w:pPr>
            <w:r w:rsidRPr="004F7EFC">
              <w:rPr>
                <w:rFonts w:eastAsia="Times New Roman" w:cs="Times New Roman"/>
                <w:b/>
                <w:color w:val="FFFFFF" w:themeColor="background1"/>
                <w:sz w:val="20"/>
                <w:szCs w:val="20"/>
                <w:lang w:eastAsia="pt-BR"/>
              </w:rPr>
              <w:t>Itens de Despesa com Indexação</w:t>
            </w:r>
          </w:p>
          <w:p w14:paraId="446EB702" w14:textId="25B744E8" w:rsidR="00E76780" w:rsidRPr="004F7EFC" w:rsidRDefault="00D41F1B" w:rsidP="00E76780">
            <w:pPr>
              <w:spacing w:after="0" w:line="240" w:lineRule="auto"/>
              <w:jc w:val="center"/>
              <w:rPr>
                <w:rFonts w:eastAsia="Times New Roman" w:cs="Times New Roman"/>
                <w:b/>
                <w:color w:val="FFFFFF" w:themeColor="background1"/>
                <w:sz w:val="20"/>
                <w:szCs w:val="20"/>
                <w:lang w:eastAsia="pt-BR"/>
              </w:rPr>
            </w:pPr>
            <w:proofErr w:type="gramStart"/>
            <w:r w:rsidRPr="004F7EFC">
              <w:rPr>
                <w:rFonts w:eastAsia="Times New Roman" w:cs="Times New Roman"/>
                <w:b/>
                <w:color w:val="FFFFFF" w:themeColor="background1"/>
                <w:sz w:val="20"/>
                <w:szCs w:val="20"/>
                <w:lang w:eastAsia="pt-BR"/>
              </w:rPr>
              <w:t>a</w:t>
            </w:r>
            <w:proofErr w:type="gramEnd"/>
            <w:r w:rsidR="00E76780" w:rsidRPr="004F7EFC">
              <w:rPr>
                <w:rFonts w:eastAsia="Times New Roman" w:cs="Times New Roman"/>
                <w:b/>
                <w:color w:val="FFFFFF" w:themeColor="background1"/>
                <w:sz w:val="20"/>
                <w:szCs w:val="20"/>
                <w:lang w:eastAsia="pt-BR"/>
              </w:rPr>
              <w:t xml:space="preserve"> Parâmetros Macroeconômicos</w:t>
            </w:r>
          </w:p>
        </w:tc>
        <w:tc>
          <w:tcPr>
            <w:tcW w:w="0" w:type="auto"/>
            <w:tcBorders>
              <w:top w:val="single" w:sz="4" w:space="0" w:color="BFBFBF" w:themeColor="background1" w:themeShade="BF"/>
            </w:tcBorders>
            <w:shd w:val="clear" w:color="auto" w:fill="404040" w:themeFill="text1" w:themeFillTint="BF"/>
            <w:vAlign w:val="center"/>
            <w:hideMark/>
          </w:tcPr>
          <w:p w14:paraId="666FB186" w14:textId="77777777" w:rsidR="00F22CA0" w:rsidRPr="004F7EFC" w:rsidRDefault="00E76780" w:rsidP="00E76780">
            <w:pPr>
              <w:spacing w:after="0" w:line="240" w:lineRule="auto"/>
              <w:jc w:val="center"/>
              <w:rPr>
                <w:rFonts w:eastAsia="Times New Roman" w:cs="Times New Roman"/>
                <w:b/>
                <w:color w:val="FFFFFF" w:themeColor="background1"/>
                <w:sz w:val="20"/>
                <w:szCs w:val="20"/>
                <w:lang w:eastAsia="pt-BR"/>
              </w:rPr>
            </w:pPr>
            <w:r w:rsidRPr="004F7EFC">
              <w:rPr>
                <w:rFonts w:eastAsia="Times New Roman" w:cs="Times New Roman"/>
                <w:b/>
                <w:color w:val="FFFFFF" w:themeColor="background1"/>
                <w:sz w:val="20"/>
                <w:szCs w:val="20"/>
                <w:lang w:eastAsia="pt-BR"/>
              </w:rPr>
              <w:t>Despesa</w:t>
            </w:r>
          </w:p>
          <w:p w14:paraId="65FA4DCD" w14:textId="4F140A28" w:rsidR="00E76780" w:rsidRPr="004F7EFC" w:rsidRDefault="00E76780" w:rsidP="00E76780">
            <w:pPr>
              <w:spacing w:after="0" w:line="240" w:lineRule="auto"/>
              <w:jc w:val="center"/>
              <w:rPr>
                <w:rFonts w:eastAsia="Times New Roman" w:cs="Times New Roman"/>
                <w:b/>
                <w:color w:val="FFFFFF" w:themeColor="background1"/>
                <w:sz w:val="20"/>
                <w:szCs w:val="20"/>
                <w:lang w:eastAsia="pt-BR"/>
              </w:rPr>
            </w:pPr>
            <w:proofErr w:type="gramStart"/>
            <w:r w:rsidRPr="004F7EFC">
              <w:rPr>
                <w:rFonts w:eastAsia="Times New Roman" w:cs="Times New Roman"/>
                <w:b/>
                <w:color w:val="FFFFFF" w:themeColor="background1"/>
                <w:sz w:val="20"/>
                <w:szCs w:val="20"/>
                <w:lang w:eastAsia="pt-BR"/>
              </w:rPr>
              <w:t>em</w:t>
            </w:r>
            <w:proofErr w:type="gramEnd"/>
            <w:r w:rsidRPr="004F7EFC">
              <w:rPr>
                <w:rFonts w:eastAsia="Times New Roman" w:cs="Times New Roman"/>
                <w:b/>
                <w:color w:val="FFFFFF" w:themeColor="background1"/>
                <w:sz w:val="20"/>
                <w:szCs w:val="20"/>
                <w:lang w:eastAsia="pt-BR"/>
              </w:rPr>
              <w:t xml:space="preserve"> 20</w:t>
            </w:r>
            <w:r w:rsidR="00FA01E7" w:rsidRPr="004F7EFC">
              <w:rPr>
                <w:rFonts w:eastAsia="Times New Roman" w:cs="Times New Roman"/>
                <w:b/>
                <w:color w:val="FFFFFF" w:themeColor="background1"/>
                <w:sz w:val="20"/>
                <w:szCs w:val="20"/>
                <w:lang w:eastAsia="pt-BR"/>
              </w:rPr>
              <w:t>20</w:t>
            </w:r>
          </w:p>
        </w:tc>
        <w:tc>
          <w:tcPr>
            <w:tcW w:w="0" w:type="auto"/>
            <w:tcBorders>
              <w:top w:val="single" w:sz="4" w:space="0" w:color="BFBFBF" w:themeColor="background1" w:themeShade="BF"/>
            </w:tcBorders>
            <w:shd w:val="clear" w:color="auto" w:fill="404040" w:themeFill="text1" w:themeFillTint="BF"/>
            <w:vAlign w:val="center"/>
            <w:hideMark/>
          </w:tcPr>
          <w:p w14:paraId="4E878F6F" w14:textId="77777777" w:rsidR="00F22CA0" w:rsidRPr="004F7EFC" w:rsidRDefault="00E76780" w:rsidP="00E76780">
            <w:pPr>
              <w:spacing w:after="0" w:line="240" w:lineRule="auto"/>
              <w:jc w:val="center"/>
              <w:rPr>
                <w:rFonts w:eastAsia="Times New Roman" w:cs="Times New Roman"/>
                <w:b/>
                <w:color w:val="FFFFFF" w:themeColor="background1"/>
                <w:sz w:val="20"/>
                <w:szCs w:val="20"/>
                <w:lang w:eastAsia="pt-BR"/>
              </w:rPr>
            </w:pPr>
            <w:r w:rsidRPr="004F7EFC">
              <w:rPr>
                <w:rFonts w:eastAsia="Times New Roman" w:cs="Times New Roman"/>
                <w:b/>
                <w:color w:val="FFFFFF" w:themeColor="background1"/>
                <w:sz w:val="20"/>
                <w:szCs w:val="20"/>
                <w:lang w:eastAsia="pt-BR"/>
              </w:rPr>
              <w:t>Participação na</w:t>
            </w:r>
          </w:p>
          <w:p w14:paraId="4196669F" w14:textId="4E2FFB65" w:rsidR="00E76780" w:rsidRPr="004F7EFC" w:rsidRDefault="00E76780" w:rsidP="00E76780">
            <w:pPr>
              <w:spacing w:after="0" w:line="240" w:lineRule="auto"/>
              <w:jc w:val="center"/>
              <w:rPr>
                <w:rFonts w:eastAsia="Times New Roman" w:cs="Times New Roman"/>
                <w:b/>
                <w:color w:val="FFFFFF" w:themeColor="background1"/>
                <w:sz w:val="20"/>
                <w:szCs w:val="20"/>
                <w:lang w:eastAsia="pt-BR"/>
              </w:rPr>
            </w:pPr>
            <w:r w:rsidRPr="004F7EFC">
              <w:rPr>
                <w:rFonts w:eastAsia="Times New Roman" w:cs="Times New Roman"/>
                <w:b/>
                <w:color w:val="FFFFFF" w:themeColor="background1"/>
                <w:sz w:val="20"/>
                <w:szCs w:val="20"/>
                <w:lang w:eastAsia="pt-BR"/>
              </w:rPr>
              <w:t xml:space="preserve">Despesa Primária </w:t>
            </w:r>
            <w:proofErr w:type="gramStart"/>
            <w:r w:rsidRPr="004F7EFC">
              <w:rPr>
                <w:rFonts w:eastAsia="Times New Roman" w:cs="Times New Roman"/>
                <w:b/>
                <w:color w:val="FFFFFF" w:themeColor="background1"/>
                <w:sz w:val="20"/>
                <w:szCs w:val="20"/>
                <w:lang w:eastAsia="pt-BR"/>
              </w:rPr>
              <w:t>Total</w:t>
            </w:r>
            <w:r w:rsidR="00F03EAD">
              <w:rPr>
                <w:rFonts w:eastAsia="Times New Roman" w:cs="Times New Roman"/>
                <w:b/>
                <w:color w:val="FFFFFF" w:themeColor="background1"/>
                <w:sz w:val="20"/>
                <w:szCs w:val="20"/>
                <w:vertAlign w:val="superscript"/>
                <w:lang w:eastAsia="pt-BR"/>
              </w:rPr>
              <w:t>(</w:t>
            </w:r>
            <w:proofErr w:type="gramEnd"/>
            <w:r w:rsidR="00F03EAD">
              <w:rPr>
                <w:rFonts w:eastAsia="Times New Roman" w:cs="Times New Roman"/>
                <w:b/>
                <w:color w:val="FFFFFF" w:themeColor="background1"/>
                <w:sz w:val="20"/>
                <w:szCs w:val="20"/>
                <w:vertAlign w:val="superscript"/>
                <w:lang w:eastAsia="pt-BR"/>
              </w:rPr>
              <w:t>1)</w:t>
            </w:r>
          </w:p>
        </w:tc>
        <w:tc>
          <w:tcPr>
            <w:tcW w:w="0" w:type="auto"/>
            <w:tcBorders>
              <w:top w:val="single" w:sz="4" w:space="0" w:color="BFBFBF" w:themeColor="background1" w:themeShade="BF"/>
            </w:tcBorders>
            <w:shd w:val="clear" w:color="auto" w:fill="404040" w:themeFill="text1" w:themeFillTint="BF"/>
            <w:vAlign w:val="center"/>
            <w:hideMark/>
          </w:tcPr>
          <w:p w14:paraId="41EBBEAC" w14:textId="77777777" w:rsidR="00E76780" w:rsidRPr="004F7EFC" w:rsidRDefault="00E76780" w:rsidP="00E76780">
            <w:pPr>
              <w:spacing w:after="0" w:line="240" w:lineRule="auto"/>
              <w:jc w:val="center"/>
              <w:rPr>
                <w:rFonts w:eastAsia="Times New Roman" w:cs="Times New Roman"/>
                <w:b/>
                <w:color w:val="FFFFFF" w:themeColor="background1"/>
                <w:sz w:val="20"/>
                <w:szCs w:val="20"/>
                <w:lang w:eastAsia="pt-BR"/>
              </w:rPr>
            </w:pPr>
            <w:r w:rsidRPr="004F7EFC">
              <w:rPr>
                <w:rFonts w:eastAsia="Times New Roman" w:cs="Times New Roman"/>
                <w:b/>
                <w:color w:val="FFFFFF" w:themeColor="background1"/>
                <w:sz w:val="20"/>
                <w:szCs w:val="20"/>
                <w:lang w:eastAsia="pt-BR"/>
              </w:rPr>
              <w:t>Indexador</w:t>
            </w:r>
          </w:p>
        </w:tc>
      </w:tr>
      <w:tr w:rsidR="000650B6" w:rsidRPr="005A5D8C" w14:paraId="099A409F" w14:textId="77777777" w:rsidTr="0062333A">
        <w:trPr>
          <w:trHeight w:val="20"/>
          <w:jc w:val="center"/>
        </w:trPr>
        <w:tc>
          <w:tcPr>
            <w:tcW w:w="0" w:type="auto"/>
            <w:shd w:val="clear" w:color="000000" w:fill="FFFFFF"/>
            <w:hideMark/>
          </w:tcPr>
          <w:p w14:paraId="4498804E" w14:textId="331036AA" w:rsidR="00D62298" w:rsidRPr="004F7F75" w:rsidRDefault="00D62298" w:rsidP="00D62298">
            <w:pPr>
              <w:spacing w:after="0" w:line="240" w:lineRule="auto"/>
              <w:rPr>
                <w:rFonts w:eastAsia="Times New Roman" w:cs="Times New Roman"/>
                <w:bCs/>
                <w:color w:val="000000"/>
                <w:sz w:val="18"/>
                <w:szCs w:val="18"/>
                <w:lang w:eastAsia="pt-BR"/>
              </w:rPr>
            </w:pPr>
            <w:r w:rsidRPr="004F7F75">
              <w:rPr>
                <w:rFonts w:eastAsia="Times New Roman" w:cs="Times New Roman"/>
                <w:bCs/>
                <w:color w:val="000000"/>
                <w:sz w:val="18"/>
                <w:szCs w:val="18"/>
                <w:lang w:eastAsia="pt-BR"/>
              </w:rPr>
              <w:t>Pessoal e Encargos Sociais</w:t>
            </w:r>
            <w:r w:rsidR="00BA714F" w:rsidRPr="004F7F75">
              <w:rPr>
                <w:rFonts w:eastAsia="Times New Roman" w:cs="Times New Roman"/>
                <w:bCs/>
                <w:color w:val="000000"/>
                <w:sz w:val="18"/>
                <w:szCs w:val="18"/>
                <w:vertAlign w:val="superscript"/>
                <w:lang w:eastAsia="pt-BR"/>
              </w:rPr>
              <w:t xml:space="preserve"> </w:t>
            </w:r>
            <w:r w:rsidR="00F03EAD">
              <w:rPr>
                <w:rFonts w:eastAsia="Times New Roman" w:cs="Times New Roman"/>
                <w:bCs/>
                <w:color w:val="000000"/>
                <w:sz w:val="18"/>
                <w:szCs w:val="18"/>
                <w:vertAlign w:val="superscript"/>
                <w:lang w:eastAsia="pt-BR"/>
              </w:rPr>
              <w:t>(</w:t>
            </w:r>
            <w:r w:rsidR="00FE0B88">
              <w:rPr>
                <w:rFonts w:eastAsia="Times New Roman" w:cs="Times New Roman"/>
                <w:bCs/>
                <w:color w:val="000000"/>
                <w:sz w:val="18"/>
                <w:szCs w:val="18"/>
                <w:vertAlign w:val="superscript"/>
                <w:lang w:eastAsia="pt-BR"/>
              </w:rPr>
              <w:t>2</w:t>
            </w:r>
            <w:r w:rsidR="00F03EAD">
              <w:rPr>
                <w:rFonts w:eastAsia="Times New Roman" w:cs="Times New Roman"/>
                <w:bCs/>
                <w:color w:val="000000"/>
                <w:sz w:val="18"/>
                <w:szCs w:val="18"/>
                <w:vertAlign w:val="superscript"/>
                <w:lang w:eastAsia="pt-BR"/>
              </w:rPr>
              <w:t>)</w:t>
            </w:r>
          </w:p>
        </w:tc>
        <w:tc>
          <w:tcPr>
            <w:tcW w:w="0" w:type="auto"/>
            <w:shd w:val="clear" w:color="000000" w:fill="FFFFFF"/>
            <w:hideMark/>
          </w:tcPr>
          <w:p w14:paraId="297F0DEC" w14:textId="3ECE5BC9" w:rsidR="00D62298" w:rsidRPr="00883783" w:rsidRDefault="001B4A9F" w:rsidP="00D62298">
            <w:pPr>
              <w:spacing w:after="0" w:line="240" w:lineRule="auto"/>
              <w:jc w:val="right"/>
              <w:rPr>
                <w:rFonts w:eastAsia="Times New Roman" w:cs="Times New Roman"/>
                <w:color w:val="000000"/>
                <w:sz w:val="18"/>
                <w:szCs w:val="18"/>
                <w:lang w:eastAsia="pt-BR"/>
              </w:rPr>
            </w:pPr>
            <w:r w:rsidRPr="00FB071B">
              <w:rPr>
                <w:rFonts w:ascii="Calibri" w:eastAsia="Times New Roman" w:hAnsi="Calibri" w:cs="Times New Roman"/>
                <w:color w:val="000000"/>
                <w:sz w:val="18"/>
                <w:szCs w:val="18"/>
                <w:lang w:eastAsia="pt-BR"/>
              </w:rPr>
              <w:t>321.105,57</w:t>
            </w:r>
          </w:p>
        </w:tc>
        <w:tc>
          <w:tcPr>
            <w:tcW w:w="0" w:type="auto"/>
            <w:shd w:val="clear" w:color="000000" w:fill="FFFFFF"/>
            <w:hideMark/>
          </w:tcPr>
          <w:p w14:paraId="0A45EB8F" w14:textId="4D1F69D8" w:rsidR="00D62298" w:rsidRPr="00883783" w:rsidRDefault="00D62298" w:rsidP="00D62298">
            <w:pPr>
              <w:spacing w:after="0" w:line="240" w:lineRule="auto"/>
              <w:jc w:val="right"/>
              <w:rPr>
                <w:rFonts w:eastAsia="Times New Roman" w:cs="Times New Roman"/>
                <w:color w:val="000000"/>
                <w:sz w:val="18"/>
                <w:szCs w:val="18"/>
                <w:lang w:eastAsia="pt-BR"/>
              </w:rPr>
            </w:pPr>
            <w:r w:rsidRPr="00883783">
              <w:rPr>
                <w:sz w:val="18"/>
                <w:szCs w:val="18"/>
              </w:rPr>
              <w:t>2</w:t>
            </w:r>
            <w:r w:rsidR="00FB071B">
              <w:rPr>
                <w:sz w:val="18"/>
                <w:szCs w:val="18"/>
              </w:rPr>
              <w:t>2</w:t>
            </w:r>
            <w:r w:rsidRPr="00883783">
              <w:rPr>
                <w:sz w:val="18"/>
                <w:szCs w:val="18"/>
              </w:rPr>
              <w:t>,</w:t>
            </w:r>
            <w:r w:rsidR="00FB071B">
              <w:rPr>
                <w:sz w:val="18"/>
                <w:szCs w:val="18"/>
              </w:rPr>
              <w:t>5</w:t>
            </w:r>
            <w:r w:rsidRPr="00883783">
              <w:rPr>
                <w:sz w:val="18"/>
                <w:szCs w:val="18"/>
              </w:rPr>
              <w:t>%</w:t>
            </w:r>
          </w:p>
        </w:tc>
        <w:tc>
          <w:tcPr>
            <w:tcW w:w="0" w:type="auto"/>
            <w:shd w:val="clear" w:color="000000" w:fill="FFFFFF"/>
            <w:hideMark/>
          </w:tcPr>
          <w:p w14:paraId="376A71BD" w14:textId="77777777" w:rsidR="00D62298" w:rsidRPr="00883783" w:rsidRDefault="00D62298" w:rsidP="00D62298">
            <w:pPr>
              <w:spacing w:after="0" w:line="240" w:lineRule="auto"/>
              <w:rPr>
                <w:rFonts w:eastAsia="Times New Roman" w:cs="Times New Roman"/>
                <w:color w:val="000000"/>
                <w:sz w:val="18"/>
                <w:szCs w:val="18"/>
                <w:lang w:eastAsia="pt-BR"/>
              </w:rPr>
            </w:pPr>
            <w:r w:rsidRPr="00883783">
              <w:rPr>
                <w:rFonts w:eastAsia="Times New Roman" w:cs="Times New Roman"/>
                <w:color w:val="000000"/>
                <w:sz w:val="18"/>
                <w:szCs w:val="18"/>
                <w:lang w:eastAsia="pt-BR"/>
              </w:rPr>
              <w:t>Reajustes Acordados e INPC</w:t>
            </w:r>
          </w:p>
        </w:tc>
      </w:tr>
      <w:tr w:rsidR="000650B6" w:rsidRPr="005A5D8C" w14:paraId="7650049D" w14:textId="77777777" w:rsidTr="0062333A">
        <w:trPr>
          <w:trHeight w:val="20"/>
          <w:jc w:val="center"/>
        </w:trPr>
        <w:tc>
          <w:tcPr>
            <w:tcW w:w="0" w:type="auto"/>
            <w:shd w:val="clear" w:color="auto" w:fill="F2F2F2" w:themeFill="background1" w:themeFillShade="F2"/>
            <w:hideMark/>
          </w:tcPr>
          <w:p w14:paraId="7DADC8E2" w14:textId="77777777" w:rsidR="00D62298" w:rsidRPr="004F7F75" w:rsidRDefault="00D62298" w:rsidP="00D62298">
            <w:pPr>
              <w:spacing w:after="0" w:line="240" w:lineRule="auto"/>
              <w:rPr>
                <w:rFonts w:eastAsia="Times New Roman" w:cs="Times New Roman"/>
                <w:bCs/>
                <w:color w:val="000000"/>
                <w:sz w:val="18"/>
                <w:szCs w:val="18"/>
                <w:lang w:eastAsia="pt-BR"/>
              </w:rPr>
            </w:pPr>
            <w:r w:rsidRPr="004F7F75">
              <w:rPr>
                <w:rFonts w:eastAsia="Times New Roman" w:cs="Times New Roman"/>
                <w:bCs/>
                <w:color w:val="000000"/>
                <w:sz w:val="18"/>
                <w:szCs w:val="18"/>
                <w:lang w:eastAsia="pt-BR"/>
              </w:rPr>
              <w:t>Benefícios Previdenciários</w:t>
            </w:r>
          </w:p>
        </w:tc>
        <w:tc>
          <w:tcPr>
            <w:tcW w:w="0" w:type="auto"/>
            <w:shd w:val="clear" w:color="auto" w:fill="F2F2F2" w:themeFill="background1" w:themeFillShade="F2"/>
            <w:hideMark/>
          </w:tcPr>
          <w:p w14:paraId="0F007DFD" w14:textId="65B0F268" w:rsidR="00D62298" w:rsidRPr="00883783" w:rsidRDefault="00B3675A" w:rsidP="00D62298">
            <w:pPr>
              <w:spacing w:after="0" w:line="240" w:lineRule="auto"/>
              <w:jc w:val="right"/>
              <w:rPr>
                <w:rFonts w:eastAsia="Times New Roman" w:cs="Times New Roman"/>
                <w:color w:val="000000"/>
                <w:sz w:val="18"/>
                <w:szCs w:val="18"/>
                <w:lang w:eastAsia="pt-BR"/>
              </w:rPr>
            </w:pPr>
            <w:r w:rsidRPr="00FB071B">
              <w:rPr>
                <w:rFonts w:ascii="Calibri" w:eastAsia="Times New Roman" w:hAnsi="Calibri" w:cs="Times New Roman"/>
                <w:color w:val="000000"/>
                <w:sz w:val="18"/>
                <w:szCs w:val="18"/>
                <w:lang w:eastAsia="pt-BR"/>
              </w:rPr>
              <w:t>663.904,39</w:t>
            </w:r>
          </w:p>
        </w:tc>
        <w:tc>
          <w:tcPr>
            <w:tcW w:w="0" w:type="auto"/>
            <w:shd w:val="clear" w:color="auto" w:fill="F2F2F2" w:themeFill="background1" w:themeFillShade="F2"/>
            <w:hideMark/>
          </w:tcPr>
          <w:p w14:paraId="20EE1E5D" w14:textId="5F995BFC" w:rsidR="00D62298" w:rsidRPr="00883783" w:rsidRDefault="00D62298" w:rsidP="00D62298">
            <w:pPr>
              <w:spacing w:after="0" w:line="240" w:lineRule="auto"/>
              <w:jc w:val="right"/>
              <w:rPr>
                <w:rFonts w:eastAsia="Times New Roman" w:cs="Times New Roman"/>
                <w:color w:val="000000"/>
                <w:sz w:val="18"/>
                <w:szCs w:val="18"/>
                <w:lang w:eastAsia="pt-BR"/>
              </w:rPr>
            </w:pPr>
            <w:r w:rsidRPr="00883783">
              <w:rPr>
                <w:sz w:val="18"/>
                <w:szCs w:val="18"/>
              </w:rPr>
              <w:t>4</w:t>
            </w:r>
            <w:r w:rsidR="00FB071B">
              <w:rPr>
                <w:sz w:val="18"/>
                <w:szCs w:val="18"/>
              </w:rPr>
              <w:t>6</w:t>
            </w:r>
            <w:r w:rsidRPr="00883783">
              <w:rPr>
                <w:sz w:val="18"/>
                <w:szCs w:val="18"/>
              </w:rPr>
              <w:t>,</w:t>
            </w:r>
            <w:r w:rsidR="00FB071B">
              <w:rPr>
                <w:sz w:val="18"/>
                <w:szCs w:val="18"/>
              </w:rPr>
              <w:t>6</w:t>
            </w:r>
            <w:r w:rsidRPr="00883783">
              <w:rPr>
                <w:sz w:val="18"/>
                <w:szCs w:val="18"/>
              </w:rPr>
              <w:t>%</w:t>
            </w:r>
          </w:p>
        </w:tc>
        <w:tc>
          <w:tcPr>
            <w:tcW w:w="0" w:type="auto"/>
            <w:shd w:val="clear" w:color="auto" w:fill="F2F2F2" w:themeFill="background1" w:themeFillShade="F2"/>
            <w:hideMark/>
          </w:tcPr>
          <w:p w14:paraId="6A0FAC40" w14:textId="77777777" w:rsidR="00D62298" w:rsidRPr="00883783" w:rsidRDefault="00D62298" w:rsidP="00D62298">
            <w:pPr>
              <w:spacing w:after="0" w:line="240" w:lineRule="auto"/>
              <w:rPr>
                <w:rFonts w:eastAsia="Times New Roman" w:cs="Times New Roman"/>
                <w:color w:val="000000"/>
                <w:sz w:val="18"/>
                <w:szCs w:val="18"/>
                <w:lang w:eastAsia="pt-BR"/>
              </w:rPr>
            </w:pPr>
            <w:r w:rsidRPr="00883783">
              <w:rPr>
                <w:rFonts w:eastAsia="Times New Roman" w:cs="Times New Roman"/>
                <w:color w:val="000000"/>
                <w:sz w:val="18"/>
                <w:szCs w:val="18"/>
                <w:lang w:eastAsia="pt-BR"/>
              </w:rPr>
              <w:t>Salário Mínimo e INPC</w:t>
            </w:r>
          </w:p>
        </w:tc>
      </w:tr>
      <w:tr w:rsidR="000650B6" w:rsidRPr="005A5D8C" w14:paraId="4FCDD1CF" w14:textId="77777777" w:rsidTr="0062333A">
        <w:trPr>
          <w:trHeight w:val="20"/>
          <w:jc w:val="center"/>
        </w:trPr>
        <w:tc>
          <w:tcPr>
            <w:tcW w:w="0" w:type="auto"/>
            <w:shd w:val="clear" w:color="000000" w:fill="FFFFFF"/>
            <w:hideMark/>
          </w:tcPr>
          <w:p w14:paraId="76CDF46A" w14:textId="77777777" w:rsidR="00D62298" w:rsidRPr="004F7F75" w:rsidRDefault="00D62298" w:rsidP="00D62298">
            <w:pPr>
              <w:spacing w:after="0" w:line="240" w:lineRule="auto"/>
              <w:rPr>
                <w:rFonts w:eastAsia="Times New Roman" w:cs="Times New Roman"/>
                <w:bCs/>
                <w:color w:val="000000"/>
                <w:sz w:val="18"/>
                <w:szCs w:val="18"/>
                <w:lang w:eastAsia="pt-BR"/>
              </w:rPr>
            </w:pPr>
            <w:r w:rsidRPr="004F7F75">
              <w:rPr>
                <w:rFonts w:eastAsia="Times New Roman" w:cs="Times New Roman"/>
                <w:bCs/>
                <w:color w:val="000000"/>
                <w:sz w:val="18"/>
                <w:szCs w:val="18"/>
                <w:lang w:eastAsia="pt-BR"/>
              </w:rPr>
              <w:t>Benefícios Assistenciais (LOAS e RMV)</w:t>
            </w:r>
          </w:p>
        </w:tc>
        <w:tc>
          <w:tcPr>
            <w:tcW w:w="0" w:type="auto"/>
            <w:shd w:val="clear" w:color="000000" w:fill="FFFFFF"/>
            <w:hideMark/>
          </w:tcPr>
          <w:p w14:paraId="5626909A" w14:textId="4FA73A52" w:rsidR="00D62298" w:rsidRPr="00883783" w:rsidRDefault="00083C52" w:rsidP="00D62298">
            <w:pPr>
              <w:spacing w:after="0" w:line="240" w:lineRule="auto"/>
              <w:jc w:val="right"/>
              <w:rPr>
                <w:rFonts w:eastAsia="Times New Roman" w:cs="Times New Roman"/>
                <w:color w:val="000000"/>
                <w:sz w:val="18"/>
                <w:szCs w:val="18"/>
                <w:lang w:eastAsia="pt-BR"/>
              </w:rPr>
            </w:pPr>
            <w:r w:rsidRPr="00FB071B">
              <w:rPr>
                <w:rFonts w:ascii="Calibri" w:eastAsia="Times New Roman" w:hAnsi="Calibri" w:cs="Times New Roman"/>
                <w:color w:val="000000"/>
                <w:sz w:val="18"/>
                <w:szCs w:val="18"/>
                <w:lang w:eastAsia="pt-BR"/>
              </w:rPr>
              <w:t>62.667,56</w:t>
            </w:r>
          </w:p>
        </w:tc>
        <w:tc>
          <w:tcPr>
            <w:tcW w:w="0" w:type="auto"/>
            <w:shd w:val="clear" w:color="000000" w:fill="FFFFFF"/>
            <w:hideMark/>
          </w:tcPr>
          <w:p w14:paraId="208634CC" w14:textId="2F1EA436" w:rsidR="00D62298" w:rsidRPr="00883783" w:rsidRDefault="00D62298" w:rsidP="00D62298">
            <w:pPr>
              <w:spacing w:after="0" w:line="240" w:lineRule="auto"/>
              <w:jc w:val="right"/>
              <w:rPr>
                <w:rFonts w:eastAsia="Times New Roman" w:cs="Times New Roman"/>
                <w:color w:val="000000"/>
                <w:sz w:val="18"/>
                <w:szCs w:val="18"/>
                <w:lang w:eastAsia="pt-BR"/>
              </w:rPr>
            </w:pPr>
            <w:r w:rsidRPr="00883783">
              <w:rPr>
                <w:sz w:val="18"/>
                <w:szCs w:val="18"/>
              </w:rPr>
              <w:t>4,</w:t>
            </w:r>
            <w:r w:rsidR="00FB071B">
              <w:rPr>
                <w:sz w:val="18"/>
                <w:szCs w:val="18"/>
              </w:rPr>
              <w:t>4</w:t>
            </w:r>
            <w:r w:rsidRPr="00883783">
              <w:rPr>
                <w:sz w:val="18"/>
                <w:szCs w:val="18"/>
              </w:rPr>
              <w:t>%</w:t>
            </w:r>
          </w:p>
        </w:tc>
        <w:tc>
          <w:tcPr>
            <w:tcW w:w="0" w:type="auto"/>
            <w:shd w:val="clear" w:color="000000" w:fill="FFFFFF"/>
            <w:hideMark/>
          </w:tcPr>
          <w:p w14:paraId="57A42936" w14:textId="77777777" w:rsidR="00D62298" w:rsidRPr="00883783" w:rsidRDefault="00D62298" w:rsidP="00D62298">
            <w:pPr>
              <w:spacing w:after="0" w:line="240" w:lineRule="auto"/>
              <w:rPr>
                <w:rFonts w:eastAsia="Times New Roman" w:cs="Times New Roman"/>
                <w:color w:val="000000"/>
                <w:sz w:val="18"/>
                <w:szCs w:val="18"/>
                <w:lang w:eastAsia="pt-BR"/>
              </w:rPr>
            </w:pPr>
            <w:r w:rsidRPr="00883783">
              <w:rPr>
                <w:rFonts w:eastAsia="Times New Roman" w:cs="Times New Roman"/>
                <w:color w:val="000000"/>
                <w:sz w:val="18"/>
                <w:szCs w:val="18"/>
                <w:lang w:eastAsia="pt-BR"/>
              </w:rPr>
              <w:t>Salário Mínimo</w:t>
            </w:r>
          </w:p>
        </w:tc>
      </w:tr>
      <w:tr w:rsidR="000650B6" w:rsidRPr="005A5D8C" w14:paraId="582B371F" w14:textId="77777777" w:rsidTr="0062333A">
        <w:trPr>
          <w:trHeight w:val="20"/>
          <w:jc w:val="center"/>
        </w:trPr>
        <w:tc>
          <w:tcPr>
            <w:tcW w:w="0" w:type="auto"/>
            <w:shd w:val="clear" w:color="auto" w:fill="F2F2F2" w:themeFill="background1" w:themeFillShade="F2"/>
            <w:hideMark/>
          </w:tcPr>
          <w:p w14:paraId="25F6E032" w14:textId="77777777" w:rsidR="00D62298" w:rsidRPr="004F7F75" w:rsidRDefault="00D62298" w:rsidP="00D62298">
            <w:pPr>
              <w:spacing w:after="0" w:line="240" w:lineRule="auto"/>
              <w:rPr>
                <w:rFonts w:eastAsia="Times New Roman" w:cs="Times New Roman"/>
                <w:bCs/>
                <w:color w:val="000000"/>
                <w:sz w:val="18"/>
                <w:szCs w:val="18"/>
                <w:lang w:eastAsia="pt-BR"/>
              </w:rPr>
            </w:pPr>
            <w:r w:rsidRPr="004F7F75">
              <w:rPr>
                <w:rFonts w:eastAsia="Times New Roman" w:cs="Times New Roman"/>
                <w:bCs/>
                <w:color w:val="000000"/>
                <w:sz w:val="18"/>
                <w:szCs w:val="18"/>
                <w:lang w:eastAsia="pt-BR"/>
              </w:rPr>
              <w:t>Seguro Desemprego</w:t>
            </w:r>
          </w:p>
        </w:tc>
        <w:tc>
          <w:tcPr>
            <w:tcW w:w="0" w:type="auto"/>
            <w:shd w:val="clear" w:color="auto" w:fill="F2F2F2" w:themeFill="background1" w:themeFillShade="F2"/>
            <w:hideMark/>
          </w:tcPr>
          <w:p w14:paraId="0B03AA85" w14:textId="11E9226B" w:rsidR="00D62298" w:rsidRPr="00883783" w:rsidRDefault="000B7F6D" w:rsidP="00D62298">
            <w:pPr>
              <w:spacing w:after="0" w:line="240" w:lineRule="auto"/>
              <w:jc w:val="right"/>
              <w:rPr>
                <w:rFonts w:eastAsia="Times New Roman" w:cs="Times New Roman"/>
                <w:color w:val="000000"/>
                <w:sz w:val="18"/>
                <w:szCs w:val="18"/>
                <w:lang w:eastAsia="pt-BR"/>
              </w:rPr>
            </w:pPr>
            <w:r w:rsidRPr="00FB071B">
              <w:rPr>
                <w:rFonts w:ascii="Calibri" w:eastAsia="Times New Roman" w:hAnsi="Calibri" w:cs="Times New Roman"/>
                <w:color w:val="000000"/>
                <w:sz w:val="18"/>
                <w:szCs w:val="18"/>
                <w:lang w:eastAsia="pt-BR"/>
              </w:rPr>
              <w:t>39.990,99</w:t>
            </w:r>
          </w:p>
        </w:tc>
        <w:tc>
          <w:tcPr>
            <w:tcW w:w="0" w:type="auto"/>
            <w:shd w:val="clear" w:color="auto" w:fill="F2F2F2" w:themeFill="background1" w:themeFillShade="F2"/>
            <w:hideMark/>
          </w:tcPr>
          <w:p w14:paraId="26B16751" w14:textId="06F912CF" w:rsidR="00D62298" w:rsidRPr="00883783" w:rsidRDefault="00D62298" w:rsidP="00D62298">
            <w:pPr>
              <w:spacing w:after="0" w:line="240" w:lineRule="auto"/>
              <w:jc w:val="right"/>
              <w:rPr>
                <w:rFonts w:eastAsia="Times New Roman" w:cs="Times New Roman"/>
                <w:color w:val="000000"/>
                <w:sz w:val="18"/>
                <w:szCs w:val="18"/>
                <w:lang w:eastAsia="pt-BR"/>
              </w:rPr>
            </w:pPr>
            <w:r w:rsidRPr="00883783">
              <w:rPr>
                <w:sz w:val="18"/>
                <w:szCs w:val="18"/>
              </w:rPr>
              <w:t>2,</w:t>
            </w:r>
            <w:r w:rsidR="00FB071B">
              <w:rPr>
                <w:sz w:val="18"/>
                <w:szCs w:val="18"/>
              </w:rPr>
              <w:t>8</w:t>
            </w:r>
            <w:r w:rsidRPr="00883783">
              <w:rPr>
                <w:sz w:val="18"/>
                <w:szCs w:val="18"/>
              </w:rPr>
              <w:t>%</w:t>
            </w:r>
          </w:p>
        </w:tc>
        <w:tc>
          <w:tcPr>
            <w:tcW w:w="0" w:type="auto"/>
            <w:shd w:val="clear" w:color="auto" w:fill="F2F2F2" w:themeFill="background1" w:themeFillShade="F2"/>
            <w:hideMark/>
          </w:tcPr>
          <w:p w14:paraId="7ED54E56" w14:textId="77777777" w:rsidR="00D62298" w:rsidRPr="00883783" w:rsidRDefault="00D62298" w:rsidP="00D62298">
            <w:pPr>
              <w:spacing w:after="0" w:line="240" w:lineRule="auto"/>
              <w:rPr>
                <w:rFonts w:eastAsia="Times New Roman" w:cs="Times New Roman"/>
                <w:color w:val="000000"/>
                <w:sz w:val="18"/>
                <w:szCs w:val="18"/>
                <w:lang w:eastAsia="pt-BR"/>
              </w:rPr>
            </w:pPr>
            <w:r w:rsidRPr="00883783">
              <w:rPr>
                <w:rFonts w:eastAsia="Times New Roman" w:cs="Times New Roman"/>
                <w:color w:val="000000"/>
                <w:sz w:val="18"/>
                <w:szCs w:val="18"/>
                <w:lang w:eastAsia="pt-BR"/>
              </w:rPr>
              <w:t>Salário Mínimo e INPC</w:t>
            </w:r>
          </w:p>
        </w:tc>
      </w:tr>
      <w:tr w:rsidR="000650B6" w:rsidRPr="005A5D8C" w14:paraId="74A9C171" w14:textId="77777777" w:rsidTr="000B33EC">
        <w:trPr>
          <w:trHeight w:val="20"/>
          <w:jc w:val="center"/>
        </w:trPr>
        <w:tc>
          <w:tcPr>
            <w:tcW w:w="0" w:type="auto"/>
            <w:tcBorders>
              <w:bottom w:val="single" w:sz="4" w:space="0" w:color="BFBFBF" w:themeColor="background1" w:themeShade="BF"/>
            </w:tcBorders>
            <w:shd w:val="clear" w:color="000000" w:fill="FFFFFF"/>
            <w:hideMark/>
          </w:tcPr>
          <w:p w14:paraId="0CEE8019" w14:textId="77777777" w:rsidR="00D62298" w:rsidRPr="004F7F75" w:rsidRDefault="00D62298" w:rsidP="00D62298">
            <w:pPr>
              <w:spacing w:after="0" w:line="240" w:lineRule="auto"/>
              <w:rPr>
                <w:rFonts w:eastAsia="Times New Roman" w:cs="Times New Roman"/>
                <w:bCs/>
                <w:color w:val="000000"/>
                <w:sz w:val="18"/>
                <w:szCs w:val="18"/>
                <w:lang w:eastAsia="pt-BR"/>
              </w:rPr>
            </w:pPr>
            <w:r w:rsidRPr="004F7F75">
              <w:rPr>
                <w:rFonts w:eastAsia="Times New Roman" w:cs="Times New Roman"/>
                <w:bCs/>
                <w:color w:val="000000"/>
                <w:sz w:val="18"/>
                <w:szCs w:val="18"/>
                <w:lang w:eastAsia="pt-BR"/>
              </w:rPr>
              <w:t>Abono Salarial</w:t>
            </w:r>
          </w:p>
        </w:tc>
        <w:tc>
          <w:tcPr>
            <w:tcW w:w="0" w:type="auto"/>
            <w:tcBorders>
              <w:bottom w:val="single" w:sz="4" w:space="0" w:color="BFBFBF" w:themeColor="background1" w:themeShade="BF"/>
            </w:tcBorders>
            <w:shd w:val="clear" w:color="000000" w:fill="FFFFFF"/>
            <w:hideMark/>
          </w:tcPr>
          <w:p w14:paraId="34B4FEC6" w14:textId="70847220" w:rsidR="00D62298" w:rsidRPr="00883783" w:rsidRDefault="00262ACE" w:rsidP="00D62298">
            <w:pPr>
              <w:spacing w:after="0" w:line="240" w:lineRule="auto"/>
              <w:jc w:val="right"/>
              <w:rPr>
                <w:rFonts w:eastAsia="Times New Roman" w:cs="Times New Roman"/>
                <w:color w:val="000000"/>
                <w:sz w:val="18"/>
                <w:szCs w:val="18"/>
                <w:lang w:eastAsia="pt-BR"/>
              </w:rPr>
            </w:pPr>
            <w:r w:rsidRPr="00FB071B">
              <w:rPr>
                <w:rFonts w:ascii="Calibri" w:eastAsia="Times New Roman" w:hAnsi="Calibri" w:cs="Times New Roman"/>
                <w:color w:val="000000"/>
                <w:sz w:val="18"/>
                <w:szCs w:val="18"/>
                <w:lang w:eastAsia="pt-BR"/>
              </w:rPr>
              <w:t>19.579,78</w:t>
            </w:r>
          </w:p>
        </w:tc>
        <w:tc>
          <w:tcPr>
            <w:tcW w:w="0" w:type="auto"/>
            <w:tcBorders>
              <w:bottom w:val="single" w:sz="4" w:space="0" w:color="BFBFBF" w:themeColor="background1" w:themeShade="BF"/>
            </w:tcBorders>
            <w:shd w:val="clear" w:color="000000" w:fill="FFFFFF"/>
            <w:hideMark/>
          </w:tcPr>
          <w:p w14:paraId="1E9EB48B" w14:textId="4311C2EC" w:rsidR="00D62298" w:rsidRPr="00883783" w:rsidRDefault="00D62298" w:rsidP="00D62298">
            <w:pPr>
              <w:spacing w:after="0" w:line="240" w:lineRule="auto"/>
              <w:jc w:val="right"/>
              <w:rPr>
                <w:rFonts w:eastAsia="Times New Roman" w:cs="Times New Roman"/>
                <w:color w:val="000000"/>
                <w:sz w:val="18"/>
                <w:szCs w:val="18"/>
                <w:lang w:eastAsia="pt-BR"/>
              </w:rPr>
            </w:pPr>
            <w:r w:rsidRPr="00883783">
              <w:rPr>
                <w:sz w:val="18"/>
                <w:szCs w:val="18"/>
              </w:rPr>
              <w:t>1,</w:t>
            </w:r>
            <w:r w:rsidR="00FB071B">
              <w:rPr>
                <w:sz w:val="18"/>
                <w:szCs w:val="18"/>
              </w:rPr>
              <w:t>4</w:t>
            </w:r>
            <w:r w:rsidRPr="00883783">
              <w:rPr>
                <w:sz w:val="18"/>
                <w:szCs w:val="18"/>
              </w:rPr>
              <w:t>%</w:t>
            </w:r>
          </w:p>
        </w:tc>
        <w:tc>
          <w:tcPr>
            <w:tcW w:w="0" w:type="auto"/>
            <w:tcBorders>
              <w:bottom w:val="single" w:sz="4" w:space="0" w:color="BFBFBF" w:themeColor="background1" w:themeShade="BF"/>
            </w:tcBorders>
            <w:shd w:val="clear" w:color="000000" w:fill="FFFFFF"/>
            <w:hideMark/>
          </w:tcPr>
          <w:p w14:paraId="4980FE54" w14:textId="77777777" w:rsidR="00D62298" w:rsidRPr="00883783" w:rsidRDefault="00D62298" w:rsidP="00D62298">
            <w:pPr>
              <w:spacing w:after="0" w:line="240" w:lineRule="auto"/>
              <w:rPr>
                <w:rFonts w:eastAsia="Times New Roman" w:cs="Times New Roman"/>
                <w:color w:val="000000"/>
                <w:sz w:val="18"/>
                <w:szCs w:val="18"/>
                <w:lang w:eastAsia="pt-BR"/>
              </w:rPr>
            </w:pPr>
            <w:r w:rsidRPr="00883783">
              <w:rPr>
                <w:rFonts w:eastAsia="Times New Roman" w:cs="Times New Roman"/>
                <w:color w:val="000000"/>
                <w:sz w:val="18"/>
                <w:szCs w:val="18"/>
                <w:lang w:eastAsia="pt-BR"/>
              </w:rPr>
              <w:t>Salário Mínimo</w:t>
            </w:r>
          </w:p>
        </w:tc>
      </w:tr>
      <w:tr w:rsidR="000650B6" w:rsidRPr="006B1E4D" w14:paraId="6EF5E9CF" w14:textId="77777777" w:rsidTr="000B33EC">
        <w:trPr>
          <w:trHeight w:val="20"/>
          <w:jc w:val="center"/>
        </w:trPr>
        <w:tc>
          <w:tcPr>
            <w:tcW w:w="0" w:type="auto"/>
            <w:tcBorders>
              <w:bottom w:val="single" w:sz="4" w:space="0" w:color="BFBFBF" w:themeColor="background1" w:themeShade="BF"/>
            </w:tcBorders>
            <w:shd w:val="clear" w:color="auto" w:fill="7F7F7F" w:themeFill="text1" w:themeFillTint="80"/>
            <w:hideMark/>
          </w:tcPr>
          <w:p w14:paraId="2F6EFF97" w14:textId="77777777" w:rsidR="00D62298" w:rsidRPr="004F7EFC" w:rsidRDefault="00D62298" w:rsidP="00D62298">
            <w:pPr>
              <w:spacing w:after="0" w:line="240" w:lineRule="auto"/>
              <w:rPr>
                <w:rFonts w:eastAsia="Times New Roman" w:cs="Times New Roman"/>
                <w:b/>
                <w:color w:val="FFFFFF" w:themeColor="background1"/>
                <w:sz w:val="18"/>
                <w:szCs w:val="18"/>
                <w:lang w:eastAsia="pt-BR"/>
              </w:rPr>
            </w:pPr>
            <w:r w:rsidRPr="004F7EFC">
              <w:rPr>
                <w:rFonts w:eastAsia="Times New Roman" w:cs="Times New Roman"/>
                <w:b/>
                <w:color w:val="FFFFFF" w:themeColor="background1"/>
                <w:sz w:val="18"/>
                <w:szCs w:val="18"/>
                <w:lang w:eastAsia="pt-BR"/>
              </w:rPr>
              <w:t>Total dos itens selecionados</w:t>
            </w:r>
          </w:p>
        </w:tc>
        <w:tc>
          <w:tcPr>
            <w:tcW w:w="0" w:type="auto"/>
            <w:tcBorders>
              <w:bottom w:val="single" w:sz="4" w:space="0" w:color="BFBFBF" w:themeColor="background1" w:themeShade="BF"/>
            </w:tcBorders>
            <w:shd w:val="clear" w:color="auto" w:fill="7F7F7F" w:themeFill="text1" w:themeFillTint="80"/>
            <w:hideMark/>
          </w:tcPr>
          <w:p w14:paraId="5050214A" w14:textId="0B142315" w:rsidR="00D62298" w:rsidRPr="004F7EFC" w:rsidRDefault="00FB071B" w:rsidP="00D62298">
            <w:pPr>
              <w:spacing w:after="0" w:line="240" w:lineRule="auto"/>
              <w:jc w:val="right"/>
              <w:rPr>
                <w:rFonts w:eastAsia="Times New Roman" w:cs="Times New Roman"/>
                <w:b/>
                <w:color w:val="FFFFFF" w:themeColor="background1"/>
                <w:sz w:val="18"/>
                <w:szCs w:val="18"/>
                <w:lang w:eastAsia="pt-BR"/>
              </w:rPr>
            </w:pPr>
            <w:r w:rsidRPr="004F7EFC">
              <w:rPr>
                <w:b/>
                <w:color w:val="FFFFFF" w:themeColor="background1"/>
                <w:sz w:val="18"/>
                <w:szCs w:val="18"/>
              </w:rPr>
              <w:t>1.107.248,29</w:t>
            </w:r>
          </w:p>
        </w:tc>
        <w:tc>
          <w:tcPr>
            <w:tcW w:w="0" w:type="auto"/>
            <w:tcBorders>
              <w:bottom w:val="single" w:sz="4" w:space="0" w:color="BFBFBF" w:themeColor="background1" w:themeShade="BF"/>
            </w:tcBorders>
            <w:shd w:val="clear" w:color="auto" w:fill="7F7F7F" w:themeFill="text1" w:themeFillTint="80"/>
            <w:hideMark/>
          </w:tcPr>
          <w:p w14:paraId="2D1A0121" w14:textId="34B3608B" w:rsidR="00D62298" w:rsidRPr="004F7EFC" w:rsidRDefault="00D62298" w:rsidP="00D62298">
            <w:pPr>
              <w:spacing w:after="0" w:line="240" w:lineRule="auto"/>
              <w:jc w:val="right"/>
              <w:rPr>
                <w:rFonts w:eastAsia="Times New Roman" w:cs="Times New Roman"/>
                <w:b/>
                <w:color w:val="FFFFFF" w:themeColor="background1"/>
                <w:sz w:val="18"/>
                <w:szCs w:val="18"/>
                <w:lang w:eastAsia="pt-BR"/>
              </w:rPr>
            </w:pPr>
            <w:r w:rsidRPr="004F7EFC">
              <w:rPr>
                <w:b/>
                <w:color w:val="FFFFFF" w:themeColor="background1"/>
                <w:sz w:val="18"/>
                <w:szCs w:val="18"/>
              </w:rPr>
              <w:t>7</w:t>
            </w:r>
            <w:r w:rsidR="00FB071B" w:rsidRPr="004F7EFC">
              <w:rPr>
                <w:b/>
                <w:color w:val="FFFFFF" w:themeColor="background1"/>
                <w:sz w:val="18"/>
                <w:szCs w:val="18"/>
              </w:rPr>
              <w:t>7</w:t>
            </w:r>
            <w:r w:rsidRPr="004F7EFC">
              <w:rPr>
                <w:b/>
                <w:color w:val="FFFFFF" w:themeColor="background1"/>
                <w:sz w:val="18"/>
                <w:szCs w:val="18"/>
              </w:rPr>
              <w:t>,</w:t>
            </w:r>
            <w:r w:rsidR="00FB071B" w:rsidRPr="004F7EFC">
              <w:rPr>
                <w:b/>
                <w:color w:val="FFFFFF" w:themeColor="background1"/>
                <w:sz w:val="18"/>
                <w:szCs w:val="18"/>
              </w:rPr>
              <w:t>6</w:t>
            </w:r>
            <w:r w:rsidRPr="004F7EFC">
              <w:rPr>
                <w:b/>
                <w:color w:val="FFFFFF" w:themeColor="background1"/>
                <w:sz w:val="18"/>
                <w:szCs w:val="18"/>
              </w:rPr>
              <w:t>%</w:t>
            </w:r>
          </w:p>
        </w:tc>
        <w:tc>
          <w:tcPr>
            <w:tcW w:w="0" w:type="auto"/>
            <w:tcBorders>
              <w:bottom w:val="single" w:sz="4" w:space="0" w:color="BFBFBF" w:themeColor="background1" w:themeShade="BF"/>
            </w:tcBorders>
            <w:shd w:val="thinDiagStripe" w:color="auto" w:fill="7F7F7F" w:themeFill="text1" w:themeFillTint="80"/>
            <w:hideMark/>
          </w:tcPr>
          <w:p w14:paraId="59AA2262" w14:textId="77777777" w:rsidR="00D62298" w:rsidRPr="004F7EFC" w:rsidRDefault="00D62298" w:rsidP="00D62298">
            <w:pPr>
              <w:spacing w:after="0" w:line="240" w:lineRule="auto"/>
              <w:rPr>
                <w:rFonts w:eastAsia="Times New Roman" w:cs="Times New Roman"/>
                <w:b/>
                <w:color w:val="FFFFFF" w:themeColor="background1"/>
                <w:sz w:val="18"/>
                <w:szCs w:val="18"/>
                <w:lang w:eastAsia="pt-BR"/>
              </w:rPr>
            </w:pPr>
          </w:p>
        </w:tc>
      </w:tr>
      <w:tr w:rsidR="00F22CA0" w:rsidRPr="00BA714F" w14:paraId="752775FC" w14:textId="77777777" w:rsidTr="00D33BE4">
        <w:trPr>
          <w:trHeight w:val="20"/>
          <w:jc w:val="center"/>
        </w:trPr>
        <w:tc>
          <w:tcPr>
            <w:tcW w:w="0" w:type="auto"/>
            <w:gridSpan w:val="4"/>
            <w:tcBorders>
              <w:top w:val="single" w:sz="4" w:space="0" w:color="BFBFBF" w:themeColor="background1" w:themeShade="BF"/>
              <w:left w:val="nil"/>
              <w:bottom w:val="nil"/>
              <w:right w:val="nil"/>
            </w:tcBorders>
            <w:shd w:val="clear" w:color="000000" w:fill="FFFFFF"/>
            <w:vAlign w:val="center"/>
          </w:tcPr>
          <w:p w14:paraId="4CC2D9AD" w14:textId="2E085196" w:rsidR="00FE0B88" w:rsidRPr="007008F9" w:rsidRDefault="007008F9" w:rsidP="00F22CA0">
            <w:pPr>
              <w:spacing w:after="0" w:line="240" w:lineRule="auto"/>
              <w:jc w:val="both"/>
              <w:rPr>
                <w:rFonts w:eastAsia="Times New Roman" w:cs="Times New Roman"/>
                <w:i/>
                <w:color w:val="000000"/>
                <w:sz w:val="16"/>
                <w:szCs w:val="16"/>
                <w:lang w:eastAsia="pt-BR"/>
              </w:rPr>
            </w:pPr>
            <w:proofErr w:type="gramStart"/>
            <w:r>
              <w:rPr>
                <w:rFonts w:eastAsia="Times New Roman" w:cs="Times New Roman"/>
                <w:i/>
                <w:color w:val="000000"/>
                <w:sz w:val="16"/>
                <w:szCs w:val="16"/>
                <w:vertAlign w:val="superscript"/>
                <w:lang w:eastAsia="pt-BR"/>
              </w:rPr>
              <w:t>1</w:t>
            </w:r>
            <w:proofErr w:type="gramEnd"/>
            <w:r w:rsidR="008852AA">
              <w:t xml:space="preserve"> </w:t>
            </w:r>
            <w:r w:rsidR="008852AA" w:rsidRPr="008852AA">
              <w:rPr>
                <w:rFonts w:eastAsia="Times New Roman" w:cs="Times New Roman"/>
                <w:i/>
                <w:color w:val="000000"/>
                <w:sz w:val="16"/>
                <w:szCs w:val="16"/>
                <w:lang w:eastAsia="pt-BR"/>
              </w:rPr>
              <w:t>Desconsidera-se os gastos totais no valor de R$ 520,9 bilhões para combate à pandemia de COVID-19.</w:t>
            </w:r>
          </w:p>
          <w:p w14:paraId="6B178CBA" w14:textId="4433E3FD" w:rsidR="00F22CA0" w:rsidRPr="00BA714F" w:rsidRDefault="007008F9" w:rsidP="00F22CA0">
            <w:pPr>
              <w:spacing w:after="0" w:line="240" w:lineRule="auto"/>
              <w:jc w:val="both"/>
              <w:rPr>
                <w:rFonts w:eastAsia="Times New Roman" w:cs="Times New Roman"/>
                <w:i/>
                <w:color w:val="000000"/>
                <w:sz w:val="16"/>
                <w:szCs w:val="16"/>
                <w:lang w:eastAsia="pt-BR"/>
              </w:rPr>
            </w:pPr>
            <w:proofErr w:type="gramStart"/>
            <w:r>
              <w:rPr>
                <w:rFonts w:eastAsia="Times New Roman" w:cs="Times New Roman"/>
                <w:i/>
                <w:color w:val="000000"/>
                <w:sz w:val="16"/>
                <w:szCs w:val="16"/>
                <w:vertAlign w:val="superscript"/>
                <w:lang w:eastAsia="pt-BR"/>
              </w:rPr>
              <w:t>2</w:t>
            </w:r>
            <w:proofErr w:type="gramEnd"/>
            <w:r w:rsidR="00F22CA0" w:rsidRPr="00DF3720">
              <w:rPr>
                <w:rFonts w:eastAsia="Times New Roman" w:cs="Times New Roman"/>
                <w:i/>
                <w:color w:val="000000"/>
                <w:sz w:val="16"/>
                <w:szCs w:val="16"/>
                <w:vertAlign w:val="superscript"/>
                <w:lang w:eastAsia="pt-BR"/>
              </w:rPr>
              <w:t xml:space="preserve"> </w:t>
            </w:r>
            <w:r w:rsidR="003846A2" w:rsidRPr="00BA714F">
              <w:rPr>
                <w:rFonts w:eastAsia="Times New Roman" w:cs="Times New Roman"/>
                <w:i/>
                <w:color w:val="000000"/>
                <w:sz w:val="16"/>
                <w:szCs w:val="16"/>
                <w:lang w:eastAsia="pt-BR"/>
              </w:rPr>
              <w:t>Para as despesas de Pessoal e Encargos Sociais, o risco de índice de preço é mínimo, uma vez que este índice é parâmetro de correção apenas das aposentadorias e pensões dos servidores que migraram para a inatividade sem direito à paridade.</w:t>
            </w:r>
            <w:r w:rsidR="00166B72" w:rsidRPr="00166B72">
              <w:rPr>
                <w:rFonts w:eastAsia="Times New Roman" w:cs="Times New Roman"/>
                <w:i/>
                <w:color w:val="000000"/>
                <w:sz w:val="16"/>
                <w:szCs w:val="16"/>
                <w:lang w:eastAsia="pt-BR"/>
              </w:rPr>
              <w:t xml:space="preserve"> Desconsidera-se o valor de R$ 243,8 milhões gastos em Pessoal para combate à pandemia de COVID-19.</w:t>
            </w:r>
          </w:p>
          <w:p w14:paraId="017EB662" w14:textId="77777777" w:rsidR="00F22CA0" w:rsidRPr="00BA714F" w:rsidRDefault="00F22CA0" w:rsidP="00F22CA0">
            <w:pPr>
              <w:spacing w:after="0" w:line="240" w:lineRule="auto"/>
              <w:jc w:val="both"/>
              <w:rPr>
                <w:rFonts w:eastAsia="Times New Roman" w:cs="Times New Roman"/>
                <w:i/>
                <w:color w:val="000000"/>
                <w:sz w:val="16"/>
                <w:szCs w:val="16"/>
                <w:lang w:eastAsia="pt-BR"/>
              </w:rPr>
            </w:pPr>
            <w:r w:rsidRPr="00BA714F">
              <w:rPr>
                <w:rFonts w:eastAsia="Times New Roman" w:cs="Times New Roman"/>
                <w:b/>
                <w:i/>
                <w:color w:val="000000"/>
                <w:sz w:val="16"/>
                <w:szCs w:val="16"/>
                <w:lang w:eastAsia="pt-BR"/>
              </w:rPr>
              <w:t>Fonte e Elaboração:</w:t>
            </w:r>
            <w:r w:rsidRPr="00BA714F">
              <w:rPr>
                <w:rFonts w:eastAsia="Times New Roman" w:cs="Times New Roman"/>
                <w:i/>
                <w:color w:val="000000"/>
                <w:sz w:val="16"/>
                <w:szCs w:val="16"/>
                <w:lang w:eastAsia="pt-BR"/>
              </w:rPr>
              <w:t xml:space="preserve"> STN/ME.</w:t>
            </w:r>
          </w:p>
        </w:tc>
      </w:tr>
    </w:tbl>
    <w:p w14:paraId="05E64115" w14:textId="77777777" w:rsidR="00F22CA0" w:rsidRPr="009B1F99" w:rsidRDefault="00F22CA0" w:rsidP="00F22CA0">
      <w:pPr>
        <w:pStyle w:val="Default"/>
        <w:spacing w:after="120"/>
        <w:jc w:val="both"/>
        <w:rPr>
          <w:rFonts w:asciiTheme="minorHAnsi" w:hAnsiTheme="minorHAnsi"/>
          <w:color w:val="auto"/>
        </w:rPr>
      </w:pPr>
    </w:p>
    <w:p w14:paraId="2EE91EDB" w14:textId="3E9CF0A9" w:rsidR="00322190" w:rsidRDefault="000367C9" w:rsidP="00937F51">
      <w:pPr>
        <w:pStyle w:val="Default"/>
        <w:spacing w:after="120"/>
        <w:ind w:firstLine="1418"/>
        <w:jc w:val="both"/>
        <w:rPr>
          <w:rFonts w:asciiTheme="minorHAnsi" w:hAnsiTheme="minorHAnsi"/>
          <w:color w:val="auto"/>
        </w:rPr>
      </w:pPr>
      <w:r w:rsidRPr="000367C9">
        <w:rPr>
          <w:rFonts w:asciiTheme="minorHAnsi" w:hAnsiTheme="minorHAnsi"/>
          <w:color w:val="auto"/>
        </w:rPr>
        <w:t>As despesas e receitas previdenciárias são afetadas diretamente pelo INPC e SM, sendo este último, o piso dos benefícios previdenciários e da remuneração no mercado de trabalho formal. Por sua vez, a variação do INPC é o fator de reajuste dos benefícios previdenciários acima do salário-mínimo e das faixas de contribuição e, desta forma, seu valor impacta as despesas e as receitas previdenciárias. Os benefícios assistenciais (Renda Mensal Vitalícia – RMV e Benefício de Prestação Continuada – BPC) e o abono salarial são afetados diretamente pelo SM e indiretamente pelo INPC, uma vez que este índice compõe o índice de correção do salário-mínimo. Já o seguro-desemprego é afetado diretamente pelos dois índices, uma vez que o piso para o pagamento do benefício é definido no valor de um salário-mínimo e o teto reajustado pela variação do INPC.</w:t>
      </w:r>
    </w:p>
    <w:p w14:paraId="69E2AF10" w14:textId="73EDAE3C" w:rsidR="000D17A6" w:rsidRPr="009B1F99" w:rsidRDefault="000D17A6" w:rsidP="00937F51">
      <w:pPr>
        <w:pStyle w:val="Default"/>
        <w:spacing w:after="120"/>
        <w:ind w:firstLine="1418"/>
        <w:jc w:val="both"/>
        <w:rPr>
          <w:rFonts w:asciiTheme="minorHAnsi" w:hAnsiTheme="minorHAnsi"/>
          <w:color w:val="auto"/>
        </w:rPr>
      </w:pPr>
      <w:r w:rsidRPr="009B1F99">
        <w:rPr>
          <w:rFonts w:asciiTheme="minorHAnsi" w:hAnsiTheme="minorHAnsi"/>
          <w:color w:val="auto"/>
        </w:rPr>
        <w:t xml:space="preserve">A </w:t>
      </w:r>
      <w:r w:rsidR="000367C9">
        <w:rPr>
          <w:rFonts w:asciiTheme="minorHAnsi" w:hAnsiTheme="minorHAnsi"/>
          <w:color w:val="auto"/>
        </w:rPr>
        <w:fldChar w:fldCharType="begin"/>
      </w:r>
      <w:r w:rsidR="000367C9">
        <w:rPr>
          <w:rFonts w:asciiTheme="minorHAnsi" w:hAnsiTheme="minorHAnsi"/>
          <w:color w:val="auto"/>
        </w:rPr>
        <w:instrText xml:space="preserve"> REF _Ref68694186 </w:instrText>
      </w:r>
      <w:r w:rsidR="00E65FDE">
        <w:rPr>
          <w:rFonts w:asciiTheme="minorHAnsi" w:hAnsiTheme="minorHAnsi"/>
          <w:color w:val="auto"/>
        </w:rPr>
        <w:instrText xml:space="preserve"> \* MERGEFORMAT </w:instrText>
      </w:r>
      <w:r w:rsidR="000367C9">
        <w:rPr>
          <w:rFonts w:asciiTheme="minorHAnsi" w:hAnsiTheme="minorHAnsi"/>
          <w:color w:val="auto"/>
        </w:rPr>
        <w:fldChar w:fldCharType="separate"/>
      </w:r>
      <w:r w:rsidR="00304F5F" w:rsidRPr="00304F5F">
        <w:rPr>
          <w:rFonts w:asciiTheme="minorHAnsi" w:hAnsiTheme="minorHAnsi"/>
          <w:color w:val="auto"/>
        </w:rPr>
        <w:t>Tabela 8</w:t>
      </w:r>
      <w:r w:rsidR="000367C9">
        <w:rPr>
          <w:rFonts w:asciiTheme="minorHAnsi" w:hAnsiTheme="minorHAnsi"/>
          <w:color w:val="auto"/>
        </w:rPr>
        <w:fldChar w:fldCharType="end"/>
      </w:r>
      <w:r w:rsidR="000367C9">
        <w:rPr>
          <w:rFonts w:asciiTheme="minorHAnsi" w:hAnsiTheme="minorHAnsi"/>
          <w:color w:val="auto"/>
        </w:rPr>
        <w:t xml:space="preserve"> </w:t>
      </w:r>
      <w:r w:rsidR="008C0271" w:rsidRPr="009B1F99">
        <w:rPr>
          <w:rFonts w:asciiTheme="minorHAnsi" w:hAnsiTheme="minorHAnsi"/>
          <w:color w:val="auto"/>
        </w:rPr>
        <w:t>apresenta os impactos nas despesas primárias selecionadas decorrentes da variação no INPC. Em relação à quantidade, a análise considera o crescimento histórico dos benefícios, assim como as projeções populacionais do IBGE.</w:t>
      </w:r>
    </w:p>
    <w:p w14:paraId="46207556" w14:textId="1D6C1788" w:rsidR="000D17A6" w:rsidRPr="00137CD0" w:rsidRDefault="000D17A6" w:rsidP="00137CD0">
      <w:pPr>
        <w:pStyle w:val="TabelaARF"/>
        <w:spacing w:before="240" w:after="120"/>
        <w:jc w:val="center"/>
        <w:rPr>
          <w:szCs w:val="22"/>
        </w:rPr>
      </w:pPr>
      <w:bookmarkStart w:id="74" w:name="_Ref68694186"/>
      <w:bookmarkStart w:id="75" w:name="_Toc69121354"/>
      <w:r w:rsidRPr="00137CD0">
        <w:rPr>
          <w:color w:val="000000" w:themeColor="text1"/>
        </w:rPr>
        <w:t xml:space="preserve">Tabela </w:t>
      </w:r>
      <w:r w:rsidRPr="00137CD0">
        <w:rPr>
          <w:szCs w:val="22"/>
        </w:rPr>
        <w:fldChar w:fldCharType="begin"/>
      </w:r>
      <w:r w:rsidRPr="00137CD0">
        <w:rPr>
          <w:szCs w:val="22"/>
        </w:rPr>
        <w:instrText xml:space="preserve"> SEQ Tabela \* ARABIC </w:instrText>
      </w:r>
      <w:r w:rsidRPr="00137CD0">
        <w:rPr>
          <w:szCs w:val="22"/>
        </w:rPr>
        <w:fldChar w:fldCharType="separate"/>
      </w:r>
      <w:r w:rsidR="00304F5F">
        <w:rPr>
          <w:noProof/>
          <w:szCs w:val="22"/>
        </w:rPr>
        <w:t>8</w:t>
      </w:r>
      <w:r w:rsidRPr="00137CD0">
        <w:rPr>
          <w:szCs w:val="22"/>
        </w:rPr>
        <w:fldChar w:fldCharType="end"/>
      </w:r>
      <w:bookmarkEnd w:id="74"/>
      <w:r w:rsidR="000B4D56" w:rsidRPr="00137CD0">
        <w:rPr>
          <w:szCs w:val="22"/>
        </w:rPr>
        <w:t xml:space="preserve"> -</w:t>
      </w:r>
      <w:r w:rsidRPr="00137CD0">
        <w:rPr>
          <w:szCs w:val="22"/>
        </w:rPr>
        <w:t xml:space="preserve"> Despesas Primárias – Impacto % da variação de </w:t>
      </w:r>
      <w:proofErr w:type="gramStart"/>
      <w:r w:rsidRPr="00137CD0">
        <w:rPr>
          <w:szCs w:val="22"/>
        </w:rPr>
        <w:t>1</w:t>
      </w:r>
      <w:proofErr w:type="gramEnd"/>
      <w:r w:rsidRPr="00137CD0">
        <w:rPr>
          <w:szCs w:val="22"/>
        </w:rPr>
        <w:t xml:space="preserve"> </w:t>
      </w:r>
      <w:proofErr w:type="spellStart"/>
      <w:r w:rsidRPr="00137CD0">
        <w:rPr>
          <w:szCs w:val="22"/>
        </w:rPr>
        <w:t>p.p</w:t>
      </w:r>
      <w:proofErr w:type="spellEnd"/>
      <w:r w:rsidRPr="00137CD0">
        <w:rPr>
          <w:szCs w:val="22"/>
        </w:rPr>
        <w:t>. no INPC</w:t>
      </w:r>
      <w:bookmarkEnd w:id="75"/>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51"/>
        <w:gridCol w:w="2608"/>
      </w:tblGrid>
      <w:tr w:rsidR="000D17A6" w:rsidRPr="00584289" w14:paraId="2310910E" w14:textId="77777777" w:rsidTr="00B533A3">
        <w:trPr>
          <w:trHeight w:val="20"/>
          <w:tblHeader/>
          <w:jc w:val="center"/>
        </w:trPr>
        <w:tc>
          <w:tcPr>
            <w:tcW w:w="0" w:type="auto"/>
            <w:shd w:val="clear" w:color="auto" w:fill="404040" w:themeFill="text1" w:themeFillTint="BF"/>
            <w:noWrap/>
            <w:vAlign w:val="center"/>
            <w:hideMark/>
          </w:tcPr>
          <w:p w14:paraId="66422EF2" w14:textId="77777777" w:rsidR="000D17A6" w:rsidRPr="00E65FDE" w:rsidRDefault="000D17A6" w:rsidP="00A67C2B">
            <w:pPr>
              <w:spacing w:after="0" w:line="240" w:lineRule="auto"/>
              <w:jc w:val="center"/>
              <w:rPr>
                <w:rFonts w:eastAsia="Times New Roman" w:cs="Times New Roman"/>
                <w:b/>
                <w:color w:val="FFFFFF" w:themeColor="background1"/>
                <w:sz w:val="20"/>
                <w:szCs w:val="20"/>
                <w:lang w:eastAsia="pt-BR"/>
              </w:rPr>
            </w:pPr>
            <w:r w:rsidRPr="00E65FDE">
              <w:rPr>
                <w:rFonts w:eastAsia="Times New Roman" w:cs="Times New Roman"/>
                <w:b/>
                <w:color w:val="FFFFFF" w:themeColor="background1"/>
                <w:sz w:val="20"/>
                <w:szCs w:val="20"/>
                <w:lang w:eastAsia="pt-BR"/>
              </w:rPr>
              <w:t>Despesa Primária</w:t>
            </w:r>
          </w:p>
        </w:tc>
        <w:tc>
          <w:tcPr>
            <w:tcW w:w="0" w:type="auto"/>
            <w:shd w:val="clear" w:color="auto" w:fill="404040" w:themeFill="text1" w:themeFillTint="BF"/>
            <w:vAlign w:val="center"/>
            <w:hideMark/>
          </w:tcPr>
          <w:p w14:paraId="140FD76D" w14:textId="77777777" w:rsidR="00E6616C" w:rsidRPr="00E65FDE" w:rsidRDefault="000D17A6" w:rsidP="00A67C2B">
            <w:pPr>
              <w:spacing w:after="0" w:line="240" w:lineRule="auto"/>
              <w:jc w:val="center"/>
              <w:rPr>
                <w:rFonts w:eastAsia="Times New Roman" w:cs="Times New Roman"/>
                <w:b/>
                <w:color w:val="FFFFFF" w:themeColor="background1"/>
                <w:sz w:val="20"/>
                <w:szCs w:val="20"/>
                <w:lang w:eastAsia="pt-BR"/>
              </w:rPr>
            </w:pPr>
            <w:r w:rsidRPr="00E65FDE">
              <w:rPr>
                <w:rFonts w:eastAsia="Times New Roman" w:cs="Times New Roman"/>
                <w:b/>
                <w:color w:val="FFFFFF" w:themeColor="background1"/>
                <w:sz w:val="20"/>
                <w:szCs w:val="20"/>
                <w:lang w:eastAsia="pt-BR"/>
              </w:rPr>
              <w:t>Impacto decorrente</w:t>
            </w:r>
          </w:p>
          <w:p w14:paraId="3EC83E73" w14:textId="77777777" w:rsidR="000D17A6" w:rsidRPr="00E65FDE" w:rsidRDefault="000D17A6" w:rsidP="00A67C2B">
            <w:pPr>
              <w:spacing w:after="0" w:line="240" w:lineRule="auto"/>
              <w:jc w:val="center"/>
              <w:rPr>
                <w:rFonts w:eastAsia="Times New Roman" w:cs="Times New Roman"/>
                <w:b/>
                <w:color w:val="FFFFFF" w:themeColor="background1"/>
                <w:sz w:val="20"/>
                <w:szCs w:val="20"/>
                <w:lang w:eastAsia="pt-BR"/>
              </w:rPr>
            </w:pPr>
            <w:proofErr w:type="gramStart"/>
            <w:r w:rsidRPr="00E65FDE">
              <w:rPr>
                <w:rFonts w:eastAsia="Times New Roman" w:cs="Times New Roman"/>
                <w:b/>
                <w:color w:val="FFFFFF" w:themeColor="background1"/>
                <w:sz w:val="20"/>
                <w:szCs w:val="20"/>
                <w:lang w:eastAsia="pt-BR"/>
              </w:rPr>
              <w:t>da</w:t>
            </w:r>
            <w:proofErr w:type="gramEnd"/>
            <w:r w:rsidRPr="00E65FDE">
              <w:rPr>
                <w:rFonts w:eastAsia="Times New Roman" w:cs="Times New Roman"/>
                <w:b/>
                <w:color w:val="FFFFFF" w:themeColor="background1"/>
                <w:sz w:val="20"/>
                <w:szCs w:val="20"/>
                <w:lang w:eastAsia="pt-BR"/>
              </w:rPr>
              <w:t xml:space="preserve"> variação de 1 p. p. no INPC</w:t>
            </w:r>
          </w:p>
        </w:tc>
      </w:tr>
      <w:tr w:rsidR="000D17A6" w:rsidRPr="00584289" w14:paraId="59458918" w14:textId="77777777" w:rsidTr="00AB3488">
        <w:trPr>
          <w:trHeight w:val="20"/>
          <w:jc w:val="center"/>
        </w:trPr>
        <w:tc>
          <w:tcPr>
            <w:tcW w:w="0" w:type="auto"/>
            <w:shd w:val="clear" w:color="auto" w:fill="F2F2F2" w:themeFill="background1" w:themeFillShade="F2"/>
            <w:noWrap/>
            <w:vAlign w:val="center"/>
            <w:hideMark/>
          </w:tcPr>
          <w:p w14:paraId="4D99804E" w14:textId="77777777" w:rsidR="000D17A6" w:rsidRPr="00EF7470" w:rsidRDefault="000D17A6" w:rsidP="00A67C2B">
            <w:pPr>
              <w:spacing w:after="0" w:line="240" w:lineRule="auto"/>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Benefícios Previdenciários</w:t>
            </w:r>
          </w:p>
        </w:tc>
        <w:tc>
          <w:tcPr>
            <w:tcW w:w="0" w:type="auto"/>
            <w:shd w:val="clear" w:color="auto" w:fill="F2F2F2" w:themeFill="background1" w:themeFillShade="F2"/>
            <w:noWrap/>
            <w:vAlign w:val="center"/>
            <w:hideMark/>
          </w:tcPr>
          <w:p w14:paraId="14DC0F59" w14:textId="77777777" w:rsidR="000D17A6" w:rsidRPr="00EF7470" w:rsidRDefault="000D17A6" w:rsidP="00A67C2B">
            <w:pPr>
              <w:spacing w:after="0" w:line="240" w:lineRule="auto"/>
              <w:jc w:val="center"/>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1,00%</w:t>
            </w:r>
          </w:p>
        </w:tc>
      </w:tr>
      <w:tr w:rsidR="000D17A6" w:rsidRPr="00584289" w14:paraId="0D8AC4E6" w14:textId="77777777" w:rsidTr="00AB3488">
        <w:trPr>
          <w:trHeight w:val="20"/>
          <w:jc w:val="center"/>
        </w:trPr>
        <w:tc>
          <w:tcPr>
            <w:tcW w:w="0" w:type="auto"/>
            <w:shd w:val="clear" w:color="auto" w:fill="auto"/>
            <w:noWrap/>
            <w:vAlign w:val="center"/>
            <w:hideMark/>
          </w:tcPr>
          <w:p w14:paraId="5BA94DA9" w14:textId="77777777" w:rsidR="000D17A6" w:rsidRPr="00EF7470" w:rsidRDefault="000D17A6" w:rsidP="00A67C2B">
            <w:pPr>
              <w:spacing w:after="0" w:line="240" w:lineRule="auto"/>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RMV</w:t>
            </w:r>
          </w:p>
        </w:tc>
        <w:tc>
          <w:tcPr>
            <w:tcW w:w="0" w:type="auto"/>
            <w:shd w:val="clear" w:color="auto" w:fill="auto"/>
            <w:noWrap/>
            <w:vAlign w:val="center"/>
            <w:hideMark/>
          </w:tcPr>
          <w:p w14:paraId="09153479" w14:textId="77777777" w:rsidR="000D17A6" w:rsidRPr="00EF7470" w:rsidRDefault="000D17A6" w:rsidP="00A67C2B">
            <w:pPr>
              <w:spacing w:after="0" w:line="240" w:lineRule="auto"/>
              <w:jc w:val="center"/>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1,00%</w:t>
            </w:r>
          </w:p>
        </w:tc>
      </w:tr>
      <w:tr w:rsidR="000D17A6" w:rsidRPr="00584289" w14:paraId="7DDA81CA" w14:textId="77777777" w:rsidTr="00AB3488">
        <w:trPr>
          <w:trHeight w:val="20"/>
          <w:jc w:val="center"/>
        </w:trPr>
        <w:tc>
          <w:tcPr>
            <w:tcW w:w="0" w:type="auto"/>
            <w:shd w:val="clear" w:color="auto" w:fill="F2F2F2" w:themeFill="background1" w:themeFillShade="F2"/>
            <w:noWrap/>
            <w:vAlign w:val="center"/>
            <w:hideMark/>
          </w:tcPr>
          <w:p w14:paraId="1FB07536" w14:textId="77777777" w:rsidR="000D17A6" w:rsidRPr="00EF7470" w:rsidRDefault="000D17A6" w:rsidP="00A67C2B">
            <w:pPr>
              <w:spacing w:after="0" w:line="240" w:lineRule="auto"/>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BPC/LOAS</w:t>
            </w:r>
          </w:p>
        </w:tc>
        <w:tc>
          <w:tcPr>
            <w:tcW w:w="0" w:type="auto"/>
            <w:shd w:val="clear" w:color="auto" w:fill="F2F2F2" w:themeFill="background1" w:themeFillShade="F2"/>
            <w:noWrap/>
            <w:vAlign w:val="center"/>
            <w:hideMark/>
          </w:tcPr>
          <w:p w14:paraId="4F8D614C" w14:textId="77777777" w:rsidR="000D17A6" w:rsidRPr="00EF7470" w:rsidRDefault="000D17A6" w:rsidP="00A67C2B">
            <w:pPr>
              <w:spacing w:after="0" w:line="240" w:lineRule="auto"/>
              <w:jc w:val="center"/>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1,00%</w:t>
            </w:r>
          </w:p>
        </w:tc>
      </w:tr>
      <w:tr w:rsidR="000D17A6" w:rsidRPr="00584289" w14:paraId="0F1B2BB8" w14:textId="77777777" w:rsidTr="00AB3488">
        <w:trPr>
          <w:trHeight w:val="20"/>
          <w:jc w:val="center"/>
        </w:trPr>
        <w:tc>
          <w:tcPr>
            <w:tcW w:w="0" w:type="auto"/>
            <w:shd w:val="clear" w:color="auto" w:fill="auto"/>
            <w:noWrap/>
            <w:vAlign w:val="center"/>
            <w:hideMark/>
          </w:tcPr>
          <w:p w14:paraId="42B212C7" w14:textId="77777777" w:rsidR="000D17A6" w:rsidRPr="00EF7470" w:rsidRDefault="000D17A6" w:rsidP="00A67C2B">
            <w:pPr>
              <w:spacing w:after="0" w:line="240" w:lineRule="auto"/>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Abono Salarial</w:t>
            </w:r>
          </w:p>
        </w:tc>
        <w:tc>
          <w:tcPr>
            <w:tcW w:w="0" w:type="auto"/>
            <w:shd w:val="clear" w:color="auto" w:fill="auto"/>
            <w:noWrap/>
            <w:vAlign w:val="center"/>
            <w:hideMark/>
          </w:tcPr>
          <w:p w14:paraId="44872174" w14:textId="77777777" w:rsidR="000D17A6" w:rsidRPr="00EF7470" w:rsidRDefault="000D17A6" w:rsidP="00A67C2B">
            <w:pPr>
              <w:spacing w:after="0" w:line="240" w:lineRule="auto"/>
              <w:jc w:val="center"/>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1,00%</w:t>
            </w:r>
          </w:p>
        </w:tc>
      </w:tr>
      <w:tr w:rsidR="000D17A6" w:rsidRPr="00584289" w14:paraId="5956FC9D" w14:textId="77777777" w:rsidTr="00AB3488">
        <w:trPr>
          <w:trHeight w:val="20"/>
          <w:jc w:val="center"/>
        </w:trPr>
        <w:tc>
          <w:tcPr>
            <w:tcW w:w="0" w:type="auto"/>
            <w:tcBorders>
              <w:bottom w:val="single" w:sz="4" w:space="0" w:color="BFBFBF" w:themeColor="background1" w:themeShade="BF"/>
            </w:tcBorders>
            <w:shd w:val="clear" w:color="auto" w:fill="F2F2F2" w:themeFill="background1" w:themeFillShade="F2"/>
            <w:noWrap/>
            <w:vAlign w:val="center"/>
            <w:hideMark/>
          </w:tcPr>
          <w:p w14:paraId="2068FDC0" w14:textId="77777777" w:rsidR="000D17A6" w:rsidRPr="00EF7470" w:rsidRDefault="000D17A6" w:rsidP="00A67C2B">
            <w:pPr>
              <w:spacing w:after="0" w:line="240" w:lineRule="auto"/>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Seguro-Desemprego</w:t>
            </w:r>
          </w:p>
        </w:tc>
        <w:tc>
          <w:tcPr>
            <w:tcW w:w="0" w:type="auto"/>
            <w:tcBorders>
              <w:bottom w:val="single" w:sz="4" w:space="0" w:color="BFBFBF" w:themeColor="background1" w:themeShade="BF"/>
            </w:tcBorders>
            <w:shd w:val="clear" w:color="auto" w:fill="F2F2F2" w:themeFill="background1" w:themeFillShade="F2"/>
            <w:noWrap/>
            <w:vAlign w:val="center"/>
            <w:hideMark/>
          </w:tcPr>
          <w:p w14:paraId="76DB624C" w14:textId="2500D5B6" w:rsidR="000D17A6" w:rsidRPr="00EF7470" w:rsidRDefault="000D17A6" w:rsidP="00A67C2B">
            <w:pPr>
              <w:spacing w:after="0" w:line="240" w:lineRule="auto"/>
              <w:jc w:val="center"/>
              <w:rPr>
                <w:rFonts w:eastAsia="Times New Roman" w:cs="Times New Roman"/>
                <w:bCs/>
                <w:color w:val="000000"/>
                <w:sz w:val="18"/>
                <w:szCs w:val="18"/>
                <w:lang w:eastAsia="pt-BR"/>
              </w:rPr>
            </w:pPr>
            <w:r w:rsidRPr="00EF7470">
              <w:rPr>
                <w:rFonts w:eastAsia="Times New Roman" w:cs="Times New Roman"/>
                <w:bCs/>
                <w:color w:val="000000"/>
                <w:sz w:val="18"/>
                <w:szCs w:val="18"/>
                <w:lang w:eastAsia="pt-BR"/>
              </w:rPr>
              <w:t>0,</w:t>
            </w:r>
            <w:r w:rsidR="008C6786">
              <w:rPr>
                <w:rFonts w:eastAsia="Times New Roman" w:cs="Times New Roman"/>
                <w:bCs/>
                <w:color w:val="000000"/>
                <w:sz w:val="18"/>
                <w:szCs w:val="18"/>
                <w:lang w:eastAsia="pt-BR"/>
              </w:rPr>
              <w:t>59</w:t>
            </w:r>
            <w:r w:rsidRPr="00EF7470">
              <w:rPr>
                <w:rFonts w:eastAsia="Times New Roman" w:cs="Times New Roman"/>
                <w:bCs/>
                <w:color w:val="000000"/>
                <w:sz w:val="18"/>
                <w:szCs w:val="18"/>
                <w:lang w:eastAsia="pt-BR"/>
              </w:rPr>
              <w:t>%</w:t>
            </w:r>
          </w:p>
        </w:tc>
      </w:tr>
      <w:tr w:rsidR="001C2062" w:rsidRPr="00BA048F" w14:paraId="3E50A6CF" w14:textId="77777777" w:rsidTr="00AB3488">
        <w:trPr>
          <w:trHeight w:val="20"/>
          <w:jc w:val="center"/>
        </w:trPr>
        <w:tc>
          <w:tcPr>
            <w:tcW w:w="0" w:type="auto"/>
            <w:gridSpan w:val="2"/>
            <w:tcBorders>
              <w:top w:val="single" w:sz="4" w:space="0" w:color="BFBFBF" w:themeColor="background1" w:themeShade="BF"/>
              <w:left w:val="nil"/>
              <w:bottom w:val="nil"/>
              <w:right w:val="nil"/>
            </w:tcBorders>
            <w:shd w:val="clear" w:color="auto" w:fill="auto"/>
            <w:noWrap/>
            <w:vAlign w:val="center"/>
            <w:hideMark/>
          </w:tcPr>
          <w:p w14:paraId="7925E860" w14:textId="77777777" w:rsidR="001C2062" w:rsidRPr="00BA048F" w:rsidRDefault="001C2062" w:rsidP="00A67C2B">
            <w:pPr>
              <w:spacing w:after="0" w:line="240" w:lineRule="auto"/>
              <w:rPr>
                <w:rFonts w:eastAsia="Times New Roman" w:cs="Times New Roman"/>
                <w:i/>
                <w:color w:val="000000"/>
                <w:sz w:val="16"/>
                <w:szCs w:val="16"/>
                <w:lang w:eastAsia="pt-BR"/>
              </w:rPr>
            </w:pPr>
            <w:r w:rsidRPr="00BA048F">
              <w:rPr>
                <w:rFonts w:eastAsia="Times New Roman" w:cs="Times New Roman"/>
                <w:b/>
                <w:i/>
                <w:color w:val="000000"/>
                <w:sz w:val="16"/>
                <w:szCs w:val="16"/>
                <w:lang w:eastAsia="pt-BR"/>
              </w:rPr>
              <w:t>Fonte e elaboração:</w:t>
            </w:r>
            <w:r w:rsidRPr="00BA048F">
              <w:rPr>
                <w:rFonts w:eastAsia="Times New Roman" w:cs="Times New Roman"/>
                <w:i/>
                <w:color w:val="000000"/>
                <w:sz w:val="16"/>
                <w:szCs w:val="16"/>
                <w:lang w:eastAsia="pt-BR"/>
              </w:rPr>
              <w:t xml:space="preserve"> STN/ME.</w:t>
            </w:r>
          </w:p>
        </w:tc>
      </w:tr>
    </w:tbl>
    <w:p w14:paraId="371C1776" w14:textId="77777777" w:rsidR="000D17A6" w:rsidRPr="0022645B" w:rsidRDefault="000D17A6" w:rsidP="00937F51">
      <w:pPr>
        <w:pStyle w:val="Recuodecorpodetexto"/>
        <w:spacing w:line="240" w:lineRule="auto"/>
        <w:ind w:left="0"/>
        <w:jc w:val="both"/>
        <w:rPr>
          <w:sz w:val="24"/>
          <w:szCs w:val="24"/>
        </w:rPr>
      </w:pPr>
    </w:p>
    <w:p w14:paraId="40CDB4BB" w14:textId="6D1E2EB7" w:rsidR="001E5568" w:rsidRDefault="000D17A6" w:rsidP="00252E3F">
      <w:pPr>
        <w:spacing w:after="120" w:line="240" w:lineRule="auto"/>
        <w:ind w:firstLine="1418"/>
        <w:jc w:val="both"/>
        <w:rPr>
          <w:sz w:val="24"/>
          <w:szCs w:val="24"/>
        </w:rPr>
      </w:pPr>
      <w:r w:rsidRPr="009B1F99">
        <w:rPr>
          <w:sz w:val="24"/>
          <w:szCs w:val="24"/>
        </w:rPr>
        <w:lastRenderedPageBreak/>
        <w:t xml:space="preserve">Na </w:t>
      </w:r>
      <w:r w:rsidR="00E3355E" w:rsidRPr="009B1F99">
        <w:rPr>
          <w:sz w:val="24"/>
          <w:szCs w:val="24"/>
        </w:rPr>
        <w:fldChar w:fldCharType="begin"/>
      </w:r>
      <w:r w:rsidR="00E3355E" w:rsidRPr="009B1F99">
        <w:rPr>
          <w:sz w:val="24"/>
          <w:szCs w:val="24"/>
        </w:rPr>
        <w:instrText xml:space="preserve"> REF _Ref36547011  \* MERGEFORMAT </w:instrText>
      </w:r>
      <w:r w:rsidR="00E3355E" w:rsidRPr="009B1F99">
        <w:rPr>
          <w:sz w:val="24"/>
          <w:szCs w:val="24"/>
        </w:rPr>
        <w:fldChar w:fldCharType="separate"/>
      </w:r>
      <w:r w:rsidR="00304F5F" w:rsidRPr="00304F5F">
        <w:rPr>
          <w:sz w:val="24"/>
          <w:szCs w:val="24"/>
        </w:rPr>
        <w:t>Tabela 9</w:t>
      </w:r>
      <w:r w:rsidR="00E3355E" w:rsidRPr="009B1F99">
        <w:rPr>
          <w:sz w:val="24"/>
          <w:szCs w:val="24"/>
        </w:rPr>
        <w:fldChar w:fldCharType="end"/>
      </w:r>
      <w:r w:rsidR="004B7FAC" w:rsidRPr="009B1F99">
        <w:rPr>
          <w:sz w:val="24"/>
          <w:szCs w:val="24"/>
        </w:rPr>
        <w:t>,</w:t>
      </w:r>
      <w:r w:rsidRPr="009B1F99">
        <w:rPr>
          <w:sz w:val="24"/>
          <w:szCs w:val="24"/>
        </w:rPr>
        <w:t xml:space="preserve"> </w:t>
      </w:r>
      <w:bookmarkStart w:id="76" w:name="_Hlk4147940"/>
      <w:r w:rsidR="004B75F4" w:rsidRPr="004B75F4">
        <w:rPr>
          <w:sz w:val="24"/>
          <w:szCs w:val="24"/>
        </w:rPr>
        <w:t xml:space="preserve">a sensibilidade das despesas é mostrada em resposta à variação de R$ 1,00 no salário-mínimo ou de 0,1 </w:t>
      </w:r>
      <w:proofErr w:type="spellStart"/>
      <w:r w:rsidR="004B75F4" w:rsidRPr="004B75F4">
        <w:rPr>
          <w:sz w:val="24"/>
          <w:szCs w:val="24"/>
        </w:rPr>
        <w:t>p.p</w:t>
      </w:r>
      <w:proofErr w:type="spellEnd"/>
      <w:r w:rsidR="004B75F4" w:rsidRPr="004B75F4">
        <w:rPr>
          <w:sz w:val="24"/>
          <w:szCs w:val="24"/>
        </w:rPr>
        <w:t>. no INPC</w:t>
      </w:r>
      <w:r w:rsidR="006B34E9" w:rsidRPr="006B34E9">
        <w:rPr>
          <w:rFonts w:cs="Calibri"/>
          <w:sz w:val="24"/>
          <w:szCs w:val="24"/>
          <w:vertAlign w:val="superscript"/>
        </w:rPr>
        <w:footnoteReference w:id="5"/>
      </w:r>
      <w:r w:rsidR="006B34E9" w:rsidRPr="002A1A90">
        <w:rPr>
          <w:rFonts w:cs="Calibri"/>
          <w:sz w:val="24"/>
          <w:szCs w:val="24"/>
        </w:rPr>
        <w:t>.</w:t>
      </w:r>
      <w:r w:rsidR="004B75F4" w:rsidRPr="004B75F4">
        <w:rPr>
          <w:sz w:val="24"/>
          <w:szCs w:val="24"/>
        </w:rPr>
        <w:t xml:space="preserve"> Conforme se pode observar, cada um real de aumento no salário-mínimo gera um incremento, em 2022, de R$ 356,9 milhões nas despesas do Governo Central e um aumento de R$ 15,5 milhões na arrecadação previdenciária, resultando em redução líquida de R$ 341,4 milhões no resultado do Governo Central de 2022. Por seu turno, a inflação medida pelo INPC afeta o reajuste de um número maior de beneficiários, gerando um acréscimo, em 2022, de R$ 790,1 milhões nas despesas do Governo Central e um acréscimo de R$ 18,3 milhões na arrecadação previdenciária, resultando em diminuição líquida de R$ 771,9 milhões no resultado do Governo Central de 2022. Para avaliar o impacto sobre o espaço para as Despesas Discricionárias e cumprimento do Teto de Gastos, deve-se observar a linha “Total de Despesas”, enquanto para avaliar o impacto para cumprimento da meta de resultado primário observa-se a linha “Total de Resultado”.</w:t>
      </w:r>
    </w:p>
    <w:p w14:paraId="026606CB" w14:textId="3EBBC66D" w:rsidR="00DF31CF" w:rsidRPr="00A06F10" w:rsidRDefault="00F532A2" w:rsidP="00A06F10">
      <w:pPr>
        <w:spacing w:before="240" w:after="120" w:line="240" w:lineRule="auto"/>
        <w:jc w:val="center"/>
        <w:rPr>
          <w:sz w:val="24"/>
          <w:szCs w:val="24"/>
        </w:rPr>
      </w:pPr>
      <w:bookmarkStart w:id="77" w:name="_Ref36547011"/>
      <w:bookmarkStart w:id="78" w:name="_Toc69121355"/>
      <w:r w:rsidRPr="00A06F10">
        <w:rPr>
          <w:iCs/>
        </w:rPr>
        <w:t xml:space="preserve">Tabela </w:t>
      </w:r>
      <w:r w:rsidRPr="00A06F10">
        <w:rPr>
          <w:iCs/>
        </w:rPr>
        <w:fldChar w:fldCharType="begin"/>
      </w:r>
      <w:r w:rsidRPr="00A06F10">
        <w:rPr>
          <w:iCs/>
        </w:rPr>
        <w:instrText xml:space="preserve"> SEQ Tabela \* ARABIC </w:instrText>
      </w:r>
      <w:r w:rsidRPr="00A06F10">
        <w:rPr>
          <w:iCs/>
        </w:rPr>
        <w:fldChar w:fldCharType="separate"/>
      </w:r>
      <w:r w:rsidR="00304F5F">
        <w:rPr>
          <w:iCs/>
          <w:noProof/>
        </w:rPr>
        <w:t>9</w:t>
      </w:r>
      <w:r w:rsidRPr="00A06F10">
        <w:rPr>
          <w:iCs/>
        </w:rPr>
        <w:fldChar w:fldCharType="end"/>
      </w:r>
      <w:bookmarkEnd w:id="77"/>
      <w:r w:rsidRPr="00A06F10">
        <w:rPr>
          <w:iCs/>
        </w:rPr>
        <w:t xml:space="preserve"> - Despesas Primárias Selecionadas – Efeito do </w:t>
      </w:r>
      <w:r w:rsidR="00CB18E6" w:rsidRPr="00A06F10">
        <w:rPr>
          <w:iCs/>
        </w:rPr>
        <w:t xml:space="preserve">INPC e do </w:t>
      </w:r>
      <w:r w:rsidRPr="00A06F10">
        <w:rPr>
          <w:iCs/>
        </w:rPr>
        <w:t>Salário</w:t>
      </w:r>
      <w:r w:rsidR="004B75F4" w:rsidRPr="00A06F10">
        <w:rPr>
          <w:iCs/>
        </w:rPr>
        <w:t>-</w:t>
      </w:r>
      <w:r w:rsidRPr="00A06F10">
        <w:rPr>
          <w:iCs/>
        </w:rPr>
        <w:t>Mínimo</w:t>
      </w:r>
      <w:bookmarkEnd w:id="78"/>
    </w:p>
    <w:tbl>
      <w:tblPr>
        <w:tblStyle w:val="Tabelacomgrade"/>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1385"/>
        <w:gridCol w:w="1345"/>
        <w:gridCol w:w="1418"/>
        <w:gridCol w:w="1274"/>
      </w:tblGrid>
      <w:tr w:rsidR="00E67314" w:rsidRPr="00E67314" w14:paraId="2D47778A" w14:textId="77777777" w:rsidTr="008F0A03">
        <w:trPr>
          <w:tblHeader/>
          <w:jc w:val="center"/>
        </w:trPr>
        <w:tc>
          <w:tcPr>
            <w:tcW w:w="7937" w:type="dxa"/>
            <w:gridSpan w:val="5"/>
            <w:tcBorders>
              <w:top w:val="nil"/>
              <w:left w:val="nil"/>
              <w:bottom w:val="single" w:sz="4" w:space="0" w:color="BFBFBF" w:themeColor="background1" w:themeShade="BF"/>
              <w:right w:val="nil"/>
            </w:tcBorders>
            <w:vAlign w:val="center"/>
          </w:tcPr>
          <w:p w14:paraId="669CED46" w14:textId="66DD2DE5" w:rsidR="00E67314" w:rsidRPr="00E67314" w:rsidRDefault="00CC0FC0" w:rsidP="00CC0FC0">
            <w:pPr>
              <w:jc w:val="right"/>
              <w:rPr>
                <w:sz w:val="18"/>
                <w:szCs w:val="18"/>
              </w:rPr>
            </w:pPr>
            <w:r w:rsidRPr="005138BE">
              <w:rPr>
                <w:rFonts w:eastAsia="Times New Roman" w:cs="Times New Roman"/>
                <w:i/>
                <w:color w:val="000000"/>
                <w:sz w:val="16"/>
                <w:szCs w:val="16"/>
                <w:lang w:eastAsia="pt-BR"/>
              </w:rPr>
              <w:t>Em R$ milhões</w:t>
            </w:r>
          </w:p>
        </w:tc>
      </w:tr>
      <w:tr w:rsidR="0094787E" w:rsidRPr="00E67314" w14:paraId="3A4D7329" w14:textId="77777777" w:rsidTr="008F0A03">
        <w:trPr>
          <w:tblHeader/>
          <w:jc w:val="center"/>
        </w:trPr>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F223796" w14:textId="0DDBE373" w:rsidR="00DF31CF" w:rsidRPr="000D5D61" w:rsidRDefault="00E67314" w:rsidP="00E67314">
            <w:pPr>
              <w:jc w:val="center"/>
              <w:rPr>
                <w:b/>
                <w:color w:val="FFFFFF" w:themeColor="background1"/>
                <w:sz w:val="20"/>
                <w:szCs w:val="20"/>
              </w:rPr>
            </w:pPr>
            <w:r w:rsidRPr="000D5D61">
              <w:rPr>
                <w:rFonts w:eastAsia="Times New Roman" w:cs="Times New Roman"/>
                <w:b/>
                <w:color w:val="FFFFFF" w:themeColor="background1"/>
                <w:sz w:val="20"/>
                <w:szCs w:val="20"/>
                <w:lang w:eastAsia="pt-BR"/>
              </w:rPr>
              <w:t>Despesa Primária</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DA0C89A" w14:textId="77777777" w:rsidR="00E67314" w:rsidRPr="000D5D61" w:rsidRDefault="00E67314" w:rsidP="00E67314">
            <w:pPr>
              <w:jc w:val="center"/>
              <w:rPr>
                <w:rFonts w:eastAsia="Times New Roman" w:cs="Times New Roman"/>
                <w:b/>
                <w:color w:val="FFFFFF" w:themeColor="background1"/>
                <w:sz w:val="20"/>
                <w:szCs w:val="20"/>
                <w:lang w:eastAsia="pt-BR"/>
              </w:rPr>
            </w:pPr>
            <w:r w:rsidRPr="000D5D61">
              <w:rPr>
                <w:rFonts w:eastAsia="Times New Roman" w:cs="Times New Roman"/>
                <w:b/>
                <w:color w:val="FFFFFF" w:themeColor="background1"/>
                <w:sz w:val="20"/>
                <w:szCs w:val="20"/>
                <w:lang w:eastAsia="pt-BR"/>
              </w:rPr>
              <w:t>Aumento</w:t>
            </w:r>
          </w:p>
          <w:p w14:paraId="4C3CB853" w14:textId="77777777" w:rsidR="00E67314" w:rsidRPr="000D5D61" w:rsidRDefault="00E67314" w:rsidP="00E67314">
            <w:pPr>
              <w:jc w:val="center"/>
              <w:rPr>
                <w:rFonts w:eastAsia="Times New Roman" w:cs="Times New Roman"/>
                <w:b/>
                <w:color w:val="FFFFFF" w:themeColor="background1"/>
                <w:sz w:val="20"/>
                <w:szCs w:val="20"/>
                <w:lang w:eastAsia="pt-BR"/>
              </w:rPr>
            </w:pPr>
            <w:proofErr w:type="gramStart"/>
            <w:r w:rsidRPr="000D5D61">
              <w:rPr>
                <w:rFonts w:eastAsia="Times New Roman" w:cs="Times New Roman"/>
                <w:b/>
                <w:color w:val="FFFFFF" w:themeColor="background1"/>
                <w:sz w:val="20"/>
                <w:szCs w:val="20"/>
                <w:lang w:eastAsia="pt-BR"/>
              </w:rPr>
              <w:t>de</w:t>
            </w:r>
            <w:proofErr w:type="gramEnd"/>
            <w:r w:rsidRPr="000D5D61">
              <w:rPr>
                <w:rFonts w:eastAsia="Times New Roman" w:cs="Times New Roman"/>
                <w:b/>
                <w:color w:val="FFFFFF" w:themeColor="background1"/>
                <w:sz w:val="20"/>
                <w:szCs w:val="20"/>
                <w:lang w:eastAsia="pt-BR"/>
              </w:rPr>
              <w:t xml:space="preserve"> R$ 1,00</w:t>
            </w:r>
          </w:p>
          <w:p w14:paraId="6EBB51CD" w14:textId="50783612" w:rsidR="00DF31CF" w:rsidRPr="000D5D61" w:rsidRDefault="00E67314" w:rsidP="00E67314">
            <w:pPr>
              <w:jc w:val="center"/>
              <w:rPr>
                <w:b/>
                <w:color w:val="FFFFFF" w:themeColor="background1"/>
                <w:sz w:val="20"/>
                <w:szCs w:val="20"/>
              </w:rPr>
            </w:pPr>
            <w:proofErr w:type="gramStart"/>
            <w:r w:rsidRPr="000D5D61">
              <w:rPr>
                <w:rFonts w:eastAsia="Times New Roman" w:cs="Times New Roman"/>
                <w:b/>
                <w:color w:val="FFFFFF" w:themeColor="background1"/>
                <w:sz w:val="20"/>
                <w:szCs w:val="20"/>
                <w:lang w:eastAsia="pt-BR"/>
              </w:rPr>
              <w:t>no</w:t>
            </w:r>
            <w:proofErr w:type="gramEnd"/>
            <w:r w:rsidRPr="000D5D61">
              <w:rPr>
                <w:rFonts w:eastAsia="Times New Roman" w:cs="Times New Roman"/>
                <w:b/>
                <w:color w:val="FFFFFF" w:themeColor="background1"/>
                <w:sz w:val="20"/>
                <w:szCs w:val="20"/>
                <w:lang w:eastAsia="pt-BR"/>
              </w:rPr>
              <w:t xml:space="preserve"> SM</w:t>
            </w:r>
          </w:p>
        </w:tc>
        <w:tc>
          <w:tcPr>
            <w:tcW w:w="403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5BFDCE01" w14:textId="77777777" w:rsidR="00E67314" w:rsidRPr="000D5D61" w:rsidRDefault="00E67314" w:rsidP="00E67314">
            <w:pPr>
              <w:jc w:val="center"/>
              <w:rPr>
                <w:rFonts w:eastAsia="Times New Roman" w:cs="Times New Roman"/>
                <w:b/>
                <w:color w:val="FFFFFF" w:themeColor="background1"/>
                <w:sz w:val="20"/>
                <w:szCs w:val="20"/>
                <w:lang w:eastAsia="pt-BR"/>
              </w:rPr>
            </w:pPr>
            <w:r w:rsidRPr="000D5D61">
              <w:rPr>
                <w:rFonts w:eastAsia="Times New Roman" w:cs="Times New Roman"/>
                <w:b/>
                <w:color w:val="FFFFFF" w:themeColor="background1"/>
                <w:sz w:val="20"/>
                <w:szCs w:val="20"/>
                <w:lang w:eastAsia="pt-BR"/>
              </w:rPr>
              <w:t>Aumento</w:t>
            </w:r>
          </w:p>
          <w:p w14:paraId="21B866D3" w14:textId="44605527" w:rsidR="00DF31CF" w:rsidRPr="000D5D61" w:rsidRDefault="00E67314" w:rsidP="00E67314">
            <w:pPr>
              <w:jc w:val="center"/>
              <w:rPr>
                <w:b/>
                <w:color w:val="FFFFFF" w:themeColor="background1"/>
                <w:sz w:val="20"/>
                <w:szCs w:val="20"/>
              </w:rPr>
            </w:pPr>
            <w:proofErr w:type="gramStart"/>
            <w:r w:rsidRPr="000D5D61">
              <w:rPr>
                <w:rFonts w:eastAsia="Times New Roman" w:cs="Times New Roman"/>
                <w:b/>
                <w:color w:val="FFFFFF" w:themeColor="background1"/>
                <w:sz w:val="20"/>
                <w:szCs w:val="20"/>
                <w:lang w:eastAsia="pt-BR"/>
              </w:rPr>
              <w:t>de</w:t>
            </w:r>
            <w:proofErr w:type="gramEnd"/>
            <w:r w:rsidRPr="000D5D61">
              <w:rPr>
                <w:rFonts w:eastAsia="Times New Roman" w:cs="Times New Roman"/>
                <w:b/>
                <w:color w:val="FFFFFF" w:themeColor="background1"/>
                <w:sz w:val="20"/>
                <w:szCs w:val="20"/>
                <w:lang w:eastAsia="pt-BR"/>
              </w:rPr>
              <w:t xml:space="preserve"> 0,1 </w:t>
            </w:r>
            <w:proofErr w:type="spellStart"/>
            <w:r w:rsidRPr="000D5D61">
              <w:rPr>
                <w:rFonts w:eastAsia="Times New Roman" w:cs="Times New Roman"/>
                <w:b/>
                <w:color w:val="FFFFFF" w:themeColor="background1"/>
                <w:sz w:val="20"/>
                <w:szCs w:val="20"/>
                <w:lang w:eastAsia="pt-BR"/>
              </w:rPr>
              <w:t>p.p</w:t>
            </w:r>
            <w:proofErr w:type="spellEnd"/>
            <w:r w:rsidRPr="000D5D61">
              <w:rPr>
                <w:rFonts w:eastAsia="Times New Roman" w:cs="Times New Roman"/>
                <w:b/>
                <w:color w:val="FFFFFF" w:themeColor="background1"/>
                <w:sz w:val="20"/>
                <w:szCs w:val="20"/>
                <w:lang w:eastAsia="pt-BR"/>
              </w:rPr>
              <w:t>. no INPC</w:t>
            </w:r>
            <w:r w:rsidRPr="000D5D61">
              <w:rPr>
                <w:rFonts w:eastAsia="Times New Roman" w:cs="Times New Roman"/>
                <w:b/>
                <w:color w:val="FFFFFF" w:themeColor="background1"/>
                <w:sz w:val="20"/>
                <w:szCs w:val="20"/>
                <w:vertAlign w:val="superscript"/>
                <w:lang w:eastAsia="pt-BR"/>
              </w:rPr>
              <w:t xml:space="preserve"> </w:t>
            </w:r>
            <w:r w:rsidR="00B92A77">
              <w:rPr>
                <w:rFonts w:eastAsia="Times New Roman" w:cs="Times New Roman"/>
                <w:b/>
                <w:color w:val="FFFFFF" w:themeColor="background1"/>
                <w:sz w:val="20"/>
                <w:szCs w:val="20"/>
                <w:vertAlign w:val="superscript"/>
                <w:lang w:eastAsia="pt-BR"/>
              </w:rPr>
              <w:t>(</w:t>
            </w:r>
            <w:r w:rsidRPr="000D5D61">
              <w:rPr>
                <w:rFonts w:eastAsia="Times New Roman" w:cs="Times New Roman"/>
                <w:b/>
                <w:color w:val="FFFFFF" w:themeColor="background1"/>
                <w:sz w:val="20"/>
                <w:szCs w:val="20"/>
                <w:vertAlign w:val="superscript"/>
                <w:lang w:eastAsia="pt-BR"/>
              </w:rPr>
              <w:t>1</w:t>
            </w:r>
            <w:r w:rsidR="00B92A77">
              <w:rPr>
                <w:rFonts w:eastAsia="Times New Roman" w:cs="Times New Roman"/>
                <w:b/>
                <w:color w:val="FFFFFF" w:themeColor="background1"/>
                <w:sz w:val="20"/>
                <w:szCs w:val="20"/>
                <w:vertAlign w:val="superscript"/>
                <w:lang w:eastAsia="pt-BR"/>
              </w:rPr>
              <w:t>)</w:t>
            </w:r>
          </w:p>
        </w:tc>
      </w:tr>
      <w:tr w:rsidR="00DC14C9" w:rsidRPr="00E67314" w14:paraId="3A7618BD" w14:textId="77777777" w:rsidTr="008F0A03">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26874649" w14:textId="77777777" w:rsidR="00760305" w:rsidRPr="00DC14C9" w:rsidRDefault="00760305" w:rsidP="007E79CA">
            <w:pPr>
              <w:jc w:val="both"/>
              <w:rPr>
                <w:bCs/>
                <w:color w:val="FFFFFF" w:themeColor="background1"/>
                <w:sz w:val="20"/>
                <w:szCs w:val="20"/>
              </w:rPr>
            </w:pP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279DF3FB" w14:textId="77777777" w:rsidR="00E67314" w:rsidRPr="000D5D61" w:rsidRDefault="00E67314" w:rsidP="00E67314">
            <w:pPr>
              <w:jc w:val="center"/>
              <w:rPr>
                <w:rFonts w:eastAsia="Times New Roman" w:cs="Times New Roman"/>
                <w:b/>
                <w:color w:val="FFFFFF" w:themeColor="background1"/>
                <w:sz w:val="20"/>
                <w:szCs w:val="20"/>
                <w:lang w:eastAsia="pt-BR"/>
              </w:rPr>
            </w:pPr>
            <w:r w:rsidRPr="000D5D61">
              <w:rPr>
                <w:rFonts w:eastAsia="Times New Roman" w:cs="Times New Roman"/>
                <w:b/>
                <w:color w:val="FFFFFF" w:themeColor="background1"/>
                <w:sz w:val="20"/>
                <w:szCs w:val="20"/>
                <w:lang w:eastAsia="pt-BR"/>
              </w:rPr>
              <w:t>Benefícios</w:t>
            </w:r>
          </w:p>
          <w:p w14:paraId="2EA0361D" w14:textId="71A5B148" w:rsidR="00760305" w:rsidRPr="000D5D61" w:rsidRDefault="00E67314" w:rsidP="00E67314">
            <w:pPr>
              <w:jc w:val="center"/>
              <w:rPr>
                <w:b/>
                <w:color w:val="FFFFFF" w:themeColor="background1"/>
                <w:sz w:val="20"/>
                <w:szCs w:val="20"/>
              </w:rPr>
            </w:pPr>
            <w:proofErr w:type="gramStart"/>
            <w:r w:rsidRPr="000D5D61">
              <w:rPr>
                <w:rFonts w:eastAsia="Times New Roman" w:cs="Times New Roman"/>
                <w:b/>
                <w:color w:val="FFFFFF" w:themeColor="background1"/>
                <w:sz w:val="20"/>
                <w:szCs w:val="20"/>
                <w:lang w:eastAsia="pt-BR"/>
              </w:rPr>
              <w:t>de</w:t>
            </w:r>
            <w:proofErr w:type="gramEnd"/>
            <w:r w:rsidRPr="000D5D61">
              <w:rPr>
                <w:rFonts w:eastAsia="Times New Roman" w:cs="Times New Roman"/>
                <w:b/>
                <w:color w:val="FFFFFF" w:themeColor="background1"/>
                <w:sz w:val="20"/>
                <w:szCs w:val="20"/>
                <w:lang w:eastAsia="pt-BR"/>
              </w:rPr>
              <w:t xml:space="preserve"> 1 SM</w:t>
            </w:r>
          </w:p>
        </w:tc>
        <w:tc>
          <w:tcPr>
            <w:tcW w:w="1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2154109C" w14:textId="77777777" w:rsidR="00E67314" w:rsidRPr="000D5D61" w:rsidRDefault="00E67314" w:rsidP="00E67314">
            <w:pPr>
              <w:jc w:val="center"/>
              <w:rPr>
                <w:rFonts w:eastAsia="Times New Roman" w:cs="Times New Roman"/>
                <w:b/>
                <w:color w:val="FFFFFF" w:themeColor="background1"/>
                <w:sz w:val="20"/>
                <w:szCs w:val="20"/>
                <w:lang w:eastAsia="pt-BR"/>
              </w:rPr>
            </w:pPr>
            <w:r w:rsidRPr="000D5D61">
              <w:rPr>
                <w:rFonts w:eastAsia="Times New Roman" w:cs="Times New Roman"/>
                <w:b/>
                <w:color w:val="FFFFFF" w:themeColor="background1"/>
                <w:sz w:val="20"/>
                <w:szCs w:val="20"/>
                <w:lang w:eastAsia="pt-BR"/>
              </w:rPr>
              <w:t>Benefícios</w:t>
            </w:r>
          </w:p>
          <w:p w14:paraId="5348B6F9" w14:textId="4D5D1213" w:rsidR="00760305" w:rsidRPr="000D5D61" w:rsidRDefault="00A7192D" w:rsidP="00E67314">
            <w:pPr>
              <w:jc w:val="center"/>
              <w:rPr>
                <w:b/>
                <w:color w:val="FFFFFF" w:themeColor="background1"/>
                <w:sz w:val="20"/>
                <w:szCs w:val="20"/>
              </w:rPr>
            </w:pPr>
            <w:r w:rsidRPr="000D5D61">
              <w:rPr>
                <w:rFonts w:eastAsia="Times New Roman" w:cs="Times New Roman"/>
                <w:b/>
                <w:color w:val="FFFFFF" w:themeColor="background1"/>
                <w:sz w:val="20"/>
                <w:szCs w:val="20"/>
                <w:lang w:eastAsia="pt-BR"/>
              </w:rPr>
              <w:t>D</w:t>
            </w:r>
            <w:r w:rsidR="00E67314" w:rsidRPr="000D5D61">
              <w:rPr>
                <w:rFonts w:eastAsia="Times New Roman" w:cs="Times New Roman"/>
                <w:b/>
                <w:color w:val="FFFFFF" w:themeColor="background1"/>
                <w:sz w:val="20"/>
                <w:szCs w:val="20"/>
                <w:lang w:eastAsia="pt-BR"/>
              </w:rPr>
              <w:t>e</w:t>
            </w:r>
            <w:r w:rsidRPr="000D5D61">
              <w:rPr>
                <w:rFonts w:eastAsia="Times New Roman" w:cs="Times New Roman"/>
                <w:b/>
                <w:color w:val="FFFFFF" w:themeColor="background1"/>
                <w:sz w:val="20"/>
                <w:szCs w:val="20"/>
                <w:lang w:eastAsia="pt-BR"/>
              </w:rPr>
              <w:t xml:space="preserve"> até</w:t>
            </w:r>
            <w:r w:rsidR="00E67314" w:rsidRPr="000D5D61">
              <w:rPr>
                <w:rFonts w:eastAsia="Times New Roman" w:cs="Times New Roman"/>
                <w:b/>
                <w:color w:val="FFFFFF" w:themeColor="background1"/>
                <w:sz w:val="20"/>
                <w:szCs w:val="20"/>
                <w:lang w:eastAsia="pt-BR"/>
              </w:rPr>
              <w:t xml:space="preserve"> </w:t>
            </w:r>
            <w:proofErr w:type="gramStart"/>
            <w:r w:rsidR="00E67314" w:rsidRPr="000D5D61">
              <w:rPr>
                <w:rFonts w:eastAsia="Times New Roman" w:cs="Times New Roman"/>
                <w:b/>
                <w:color w:val="FFFFFF" w:themeColor="background1"/>
                <w:sz w:val="20"/>
                <w:szCs w:val="20"/>
                <w:lang w:eastAsia="pt-BR"/>
              </w:rPr>
              <w:t>1</w:t>
            </w:r>
            <w:proofErr w:type="gramEnd"/>
            <w:r w:rsidR="00E67314" w:rsidRPr="000D5D61">
              <w:rPr>
                <w:rFonts w:eastAsia="Times New Roman" w:cs="Times New Roman"/>
                <w:b/>
                <w:color w:val="FFFFFF" w:themeColor="background1"/>
                <w:sz w:val="20"/>
                <w:szCs w:val="20"/>
                <w:lang w:eastAsia="pt-BR"/>
              </w:rPr>
              <w:t xml:space="preserve"> SM</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02123CA3" w14:textId="77777777" w:rsidR="00E67314" w:rsidRPr="000D5D61" w:rsidRDefault="00E67314" w:rsidP="00E67314">
            <w:pPr>
              <w:jc w:val="center"/>
              <w:rPr>
                <w:rFonts w:eastAsia="Times New Roman" w:cs="Times New Roman"/>
                <w:b/>
                <w:color w:val="FFFFFF" w:themeColor="background1"/>
                <w:sz w:val="20"/>
                <w:szCs w:val="20"/>
                <w:lang w:eastAsia="pt-BR"/>
              </w:rPr>
            </w:pPr>
            <w:r w:rsidRPr="000D5D61">
              <w:rPr>
                <w:rFonts w:eastAsia="Times New Roman" w:cs="Times New Roman"/>
                <w:b/>
                <w:color w:val="FFFFFF" w:themeColor="background1"/>
                <w:sz w:val="20"/>
                <w:szCs w:val="20"/>
                <w:lang w:eastAsia="pt-BR"/>
              </w:rPr>
              <w:t>Benefícios</w:t>
            </w:r>
          </w:p>
          <w:p w14:paraId="10ACF0F7" w14:textId="77777777" w:rsidR="00E67314" w:rsidRPr="000D5D61" w:rsidRDefault="00E67314" w:rsidP="00E67314">
            <w:pPr>
              <w:jc w:val="center"/>
              <w:rPr>
                <w:rFonts w:eastAsia="Times New Roman" w:cs="Times New Roman"/>
                <w:b/>
                <w:color w:val="FFFFFF" w:themeColor="background1"/>
                <w:sz w:val="20"/>
                <w:szCs w:val="20"/>
                <w:lang w:eastAsia="pt-BR"/>
              </w:rPr>
            </w:pPr>
            <w:proofErr w:type="gramStart"/>
            <w:r w:rsidRPr="000D5D61">
              <w:rPr>
                <w:rFonts w:eastAsia="Times New Roman" w:cs="Times New Roman"/>
                <w:b/>
                <w:color w:val="FFFFFF" w:themeColor="background1"/>
                <w:sz w:val="20"/>
                <w:szCs w:val="20"/>
                <w:lang w:eastAsia="pt-BR"/>
              </w:rPr>
              <w:t>acima</w:t>
            </w:r>
            <w:proofErr w:type="gramEnd"/>
          </w:p>
          <w:p w14:paraId="27A05064" w14:textId="55A4EC9A" w:rsidR="00760305" w:rsidRPr="000D5D61" w:rsidRDefault="00E67314" w:rsidP="00E67314">
            <w:pPr>
              <w:jc w:val="center"/>
              <w:rPr>
                <w:b/>
                <w:color w:val="FFFFFF" w:themeColor="background1"/>
                <w:sz w:val="20"/>
                <w:szCs w:val="20"/>
              </w:rPr>
            </w:pPr>
            <w:proofErr w:type="gramStart"/>
            <w:r w:rsidRPr="000D5D61">
              <w:rPr>
                <w:rFonts w:eastAsia="Times New Roman" w:cs="Times New Roman"/>
                <w:b/>
                <w:color w:val="FFFFFF" w:themeColor="background1"/>
                <w:sz w:val="20"/>
                <w:szCs w:val="20"/>
                <w:lang w:eastAsia="pt-BR"/>
              </w:rPr>
              <w:t>de</w:t>
            </w:r>
            <w:proofErr w:type="gramEnd"/>
            <w:r w:rsidRPr="000D5D61">
              <w:rPr>
                <w:rFonts w:eastAsia="Times New Roman" w:cs="Times New Roman"/>
                <w:b/>
                <w:color w:val="FFFFFF" w:themeColor="background1"/>
                <w:sz w:val="20"/>
                <w:szCs w:val="20"/>
                <w:lang w:eastAsia="pt-BR"/>
              </w:rPr>
              <w:t xml:space="preserve"> 1 SM</w:t>
            </w:r>
          </w:p>
        </w:tc>
        <w:tc>
          <w:tcPr>
            <w:tcW w:w="12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C38CF50" w14:textId="3315BB9E" w:rsidR="00760305" w:rsidRPr="000D5D61" w:rsidRDefault="00E67314" w:rsidP="00E67314">
            <w:pPr>
              <w:jc w:val="center"/>
              <w:rPr>
                <w:b/>
                <w:color w:val="FFFFFF" w:themeColor="background1"/>
                <w:sz w:val="20"/>
                <w:szCs w:val="20"/>
              </w:rPr>
            </w:pPr>
            <w:r w:rsidRPr="000D5D61">
              <w:rPr>
                <w:rFonts w:eastAsia="Times New Roman" w:cs="Times New Roman"/>
                <w:b/>
                <w:color w:val="FFFFFF" w:themeColor="background1"/>
                <w:sz w:val="20"/>
                <w:szCs w:val="20"/>
                <w:lang w:eastAsia="pt-BR"/>
              </w:rPr>
              <w:t>Total</w:t>
            </w:r>
          </w:p>
        </w:tc>
      </w:tr>
      <w:tr w:rsidR="00760305" w:rsidRPr="00DF31CF" w14:paraId="34754E63" w14:textId="77777777" w:rsidTr="008F0A03">
        <w:trPr>
          <w:jc w:val="center"/>
        </w:trPr>
        <w:tc>
          <w:tcPr>
            <w:tcW w:w="0" w:type="auto"/>
            <w:tcBorders>
              <w:top w:val="single" w:sz="4" w:space="0" w:color="BFBFBF" w:themeColor="background1" w:themeShade="BF"/>
            </w:tcBorders>
          </w:tcPr>
          <w:p w14:paraId="5F9FDAFB" w14:textId="21E1AEF5" w:rsidR="00760305" w:rsidRPr="00DC14C9" w:rsidRDefault="00760305" w:rsidP="00760305">
            <w:pPr>
              <w:jc w:val="both"/>
              <w:rPr>
                <w:bCs/>
                <w:sz w:val="18"/>
                <w:szCs w:val="18"/>
              </w:rPr>
            </w:pPr>
            <w:r w:rsidRPr="00DC14C9">
              <w:rPr>
                <w:rFonts w:eastAsia="Times New Roman" w:cs="Times New Roman"/>
                <w:bCs/>
                <w:color w:val="000000"/>
                <w:sz w:val="18"/>
                <w:szCs w:val="18"/>
                <w:lang w:eastAsia="pt-BR"/>
              </w:rPr>
              <w:t>I.    Arrecadação do RGPS</w:t>
            </w:r>
          </w:p>
        </w:tc>
        <w:tc>
          <w:tcPr>
            <w:tcW w:w="1385" w:type="dxa"/>
            <w:tcBorders>
              <w:top w:val="single" w:sz="4" w:space="0" w:color="BFBFBF" w:themeColor="background1" w:themeShade="BF"/>
            </w:tcBorders>
            <w:vAlign w:val="center"/>
          </w:tcPr>
          <w:p w14:paraId="12A0C499" w14:textId="21856FA2" w:rsidR="00760305" w:rsidRPr="00DF31CF" w:rsidRDefault="00C039E1" w:rsidP="00760305">
            <w:pPr>
              <w:jc w:val="right"/>
              <w:rPr>
                <w:sz w:val="18"/>
                <w:szCs w:val="18"/>
              </w:rPr>
            </w:pPr>
            <w:r>
              <w:rPr>
                <w:sz w:val="18"/>
                <w:szCs w:val="18"/>
              </w:rPr>
              <w:t>15</w:t>
            </w:r>
            <w:r w:rsidR="00760305" w:rsidRPr="001A4CC1">
              <w:rPr>
                <w:sz w:val="18"/>
                <w:szCs w:val="18"/>
              </w:rPr>
              <w:t>,</w:t>
            </w:r>
            <w:r>
              <w:rPr>
                <w:sz w:val="18"/>
                <w:szCs w:val="18"/>
              </w:rPr>
              <w:t>5</w:t>
            </w:r>
          </w:p>
        </w:tc>
        <w:tc>
          <w:tcPr>
            <w:tcW w:w="1345" w:type="dxa"/>
            <w:tcBorders>
              <w:top w:val="single" w:sz="4" w:space="0" w:color="BFBFBF" w:themeColor="background1" w:themeShade="BF"/>
            </w:tcBorders>
            <w:vAlign w:val="center"/>
          </w:tcPr>
          <w:p w14:paraId="3CA2ED43" w14:textId="6FAB0C3A" w:rsidR="00760305" w:rsidRPr="00DF31CF" w:rsidRDefault="00C039E1" w:rsidP="00760305">
            <w:pPr>
              <w:jc w:val="right"/>
              <w:rPr>
                <w:sz w:val="18"/>
                <w:szCs w:val="18"/>
              </w:rPr>
            </w:pPr>
            <w:r>
              <w:rPr>
                <w:sz w:val="18"/>
                <w:szCs w:val="18"/>
              </w:rPr>
              <w:t>16</w:t>
            </w:r>
            <w:r w:rsidR="00760305" w:rsidRPr="00970856">
              <w:rPr>
                <w:sz w:val="18"/>
                <w:szCs w:val="18"/>
              </w:rPr>
              <w:t>,</w:t>
            </w:r>
            <w:r>
              <w:rPr>
                <w:sz w:val="18"/>
                <w:szCs w:val="18"/>
              </w:rPr>
              <w:t>7</w:t>
            </w:r>
          </w:p>
        </w:tc>
        <w:tc>
          <w:tcPr>
            <w:tcW w:w="1418" w:type="dxa"/>
            <w:tcBorders>
              <w:top w:val="single" w:sz="4" w:space="0" w:color="BFBFBF" w:themeColor="background1" w:themeShade="BF"/>
            </w:tcBorders>
            <w:vAlign w:val="center"/>
          </w:tcPr>
          <w:p w14:paraId="5174E859" w14:textId="6D68A43F" w:rsidR="00760305" w:rsidRPr="00DF31CF" w:rsidRDefault="00C039E1" w:rsidP="00760305">
            <w:pPr>
              <w:jc w:val="right"/>
              <w:rPr>
                <w:sz w:val="18"/>
                <w:szCs w:val="18"/>
              </w:rPr>
            </w:pPr>
            <w:r>
              <w:rPr>
                <w:sz w:val="18"/>
                <w:szCs w:val="18"/>
              </w:rPr>
              <w:t>1</w:t>
            </w:r>
            <w:r w:rsidR="00760305" w:rsidRPr="00970856">
              <w:rPr>
                <w:sz w:val="18"/>
                <w:szCs w:val="18"/>
              </w:rPr>
              <w:t>,</w:t>
            </w:r>
            <w:r>
              <w:rPr>
                <w:sz w:val="18"/>
                <w:szCs w:val="18"/>
              </w:rPr>
              <w:t>6</w:t>
            </w:r>
          </w:p>
        </w:tc>
        <w:tc>
          <w:tcPr>
            <w:tcW w:w="1274" w:type="dxa"/>
            <w:tcBorders>
              <w:top w:val="single" w:sz="4" w:space="0" w:color="BFBFBF" w:themeColor="background1" w:themeShade="BF"/>
            </w:tcBorders>
            <w:vAlign w:val="center"/>
          </w:tcPr>
          <w:p w14:paraId="0D028357" w14:textId="75AC6123" w:rsidR="00760305" w:rsidRPr="00DF31CF" w:rsidRDefault="00C039E1" w:rsidP="00760305">
            <w:pPr>
              <w:jc w:val="right"/>
              <w:rPr>
                <w:sz w:val="18"/>
                <w:szCs w:val="18"/>
              </w:rPr>
            </w:pPr>
            <w:r>
              <w:rPr>
                <w:sz w:val="18"/>
                <w:szCs w:val="18"/>
              </w:rPr>
              <w:t>18</w:t>
            </w:r>
            <w:r w:rsidR="00760305" w:rsidRPr="00970856">
              <w:rPr>
                <w:sz w:val="18"/>
                <w:szCs w:val="18"/>
              </w:rPr>
              <w:t>,</w:t>
            </w:r>
            <w:r>
              <w:rPr>
                <w:sz w:val="18"/>
                <w:szCs w:val="18"/>
              </w:rPr>
              <w:t>3</w:t>
            </w:r>
          </w:p>
        </w:tc>
      </w:tr>
      <w:tr w:rsidR="00760305" w:rsidRPr="00DF31CF" w14:paraId="00594290" w14:textId="77777777" w:rsidTr="001A0390">
        <w:trPr>
          <w:jc w:val="center"/>
        </w:trPr>
        <w:tc>
          <w:tcPr>
            <w:tcW w:w="0" w:type="auto"/>
            <w:shd w:val="clear" w:color="auto" w:fill="F2F2F2" w:themeFill="background1" w:themeFillShade="F2"/>
          </w:tcPr>
          <w:p w14:paraId="134D0522" w14:textId="6A01A7E5" w:rsidR="00760305" w:rsidRPr="00DC14C9" w:rsidRDefault="00760305" w:rsidP="00760305">
            <w:pPr>
              <w:jc w:val="both"/>
              <w:rPr>
                <w:bCs/>
                <w:sz w:val="18"/>
                <w:szCs w:val="18"/>
              </w:rPr>
            </w:pPr>
            <w:r w:rsidRPr="00DC14C9">
              <w:rPr>
                <w:rFonts w:eastAsia="Times New Roman" w:cs="Times New Roman"/>
                <w:bCs/>
                <w:color w:val="000000"/>
                <w:sz w:val="18"/>
                <w:szCs w:val="18"/>
                <w:lang w:eastAsia="pt-BR"/>
              </w:rPr>
              <w:t>II.   Benefícios Previdenciários</w:t>
            </w:r>
          </w:p>
        </w:tc>
        <w:tc>
          <w:tcPr>
            <w:tcW w:w="1385" w:type="dxa"/>
            <w:shd w:val="clear" w:color="auto" w:fill="F2F2F2" w:themeFill="background1" w:themeFillShade="F2"/>
            <w:vAlign w:val="center"/>
          </w:tcPr>
          <w:p w14:paraId="0CCAA2AD" w14:textId="1049CCFB" w:rsidR="00760305" w:rsidRPr="00DF31CF" w:rsidRDefault="00760305" w:rsidP="00760305">
            <w:pPr>
              <w:jc w:val="right"/>
              <w:rPr>
                <w:sz w:val="18"/>
                <w:szCs w:val="18"/>
              </w:rPr>
            </w:pPr>
            <w:r w:rsidRPr="001A4CC1">
              <w:rPr>
                <w:sz w:val="18"/>
                <w:szCs w:val="18"/>
              </w:rPr>
              <w:t>2</w:t>
            </w:r>
            <w:r w:rsidR="00C039E1">
              <w:rPr>
                <w:sz w:val="18"/>
                <w:szCs w:val="18"/>
              </w:rPr>
              <w:t>62</w:t>
            </w:r>
            <w:r w:rsidRPr="001A4CC1">
              <w:rPr>
                <w:sz w:val="18"/>
                <w:szCs w:val="18"/>
              </w:rPr>
              <w:t>,</w:t>
            </w:r>
            <w:r w:rsidR="00C039E1">
              <w:rPr>
                <w:sz w:val="18"/>
                <w:szCs w:val="18"/>
              </w:rPr>
              <w:t>0</w:t>
            </w:r>
          </w:p>
        </w:tc>
        <w:tc>
          <w:tcPr>
            <w:tcW w:w="1345" w:type="dxa"/>
            <w:shd w:val="clear" w:color="auto" w:fill="F2F2F2" w:themeFill="background1" w:themeFillShade="F2"/>
            <w:vAlign w:val="center"/>
          </w:tcPr>
          <w:p w14:paraId="54CF7899" w14:textId="2343C6D7" w:rsidR="00760305" w:rsidRPr="00DF31CF" w:rsidRDefault="00760305" w:rsidP="00760305">
            <w:pPr>
              <w:jc w:val="right"/>
              <w:rPr>
                <w:sz w:val="18"/>
                <w:szCs w:val="18"/>
              </w:rPr>
            </w:pPr>
            <w:r w:rsidRPr="00970856">
              <w:rPr>
                <w:sz w:val="18"/>
                <w:szCs w:val="18"/>
              </w:rPr>
              <w:t>2</w:t>
            </w:r>
            <w:r w:rsidR="00C039E1">
              <w:rPr>
                <w:sz w:val="18"/>
                <w:szCs w:val="18"/>
              </w:rPr>
              <w:t>82</w:t>
            </w:r>
            <w:r w:rsidRPr="00970856">
              <w:rPr>
                <w:sz w:val="18"/>
                <w:szCs w:val="18"/>
              </w:rPr>
              <w:t>,</w:t>
            </w:r>
            <w:r w:rsidR="00C039E1">
              <w:rPr>
                <w:sz w:val="18"/>
                <w:szCs w:val="18"/>
              </w:rPr>
              <w:t>9</w:t>
            </w:r>
          </w:p>
        </w:tc>
        <w:tc>
          <w:tcPr>
            <w:tcW w:w="1418" w:type="dxa"/>
            <w:shd w:val="clear" w:color="auto" w:fill="F2F2F2" w:themeFill="background1" w:themeFillShade="F2"/>
            <w:vAlign w:val="center"/>
          </w:tcPr>
          <w:p w14:paraId="365276CD" w14:textId="66F57C9E" w:rsidR="00760305" w:rsidRPr="00DF31CF" w:rsidRDefault="00760305" w:rsidP="00760305">
            <w:pPr>
              <w:jc w:val="right"/>
              <w:rPr>
                <w:sz w:val="18"/>
                <w:szCs w:val="18"/>
              </w:rPr>
            </w:pPr>
            <w:r w:rsidRPr="00970856">
              <w:rPr>
                <w:sz w:val="18"/>
                <w:szCs w:val="18"/>
              </w:rPr>
              <w:t>39</w:t>
            </w:r>
            <w:r w:rsidR="00C039E1">
              <w:rPr>
                <w:sz w:val="18"/>
                <w:szCs w:val="18"/>
              </w:rPr>
              <w:t>3</w:t>
            </w:r>
            <w:r w:rsidRPr="00970856">
              <w:rPr>
                <w:sz w:val="18"/>
                <w:szCs w:val="18"/>
              </w:rPr>
              <w:t>,</w:t>
            </w:r>
            <w:r w:rsidR="00C039E1">
              <w:rPr>
                <w:sz w:val="18"/>
                <w:szCs w:val="18"/>
              </w:rPr>
              <w:t>4</w:t>
            </w:r>
          </w:p>
        </w:tc>
        <w:tc>
          <w:tcPr>
            <w:tcW w:w="1274" w:type="dxa"/>
            <w:shd w:val="clear" w:color="auto" w:fill="F2F2F2" w:themeFill="background1" w:themeFillShade="F2"/>
            <w:vAlign w:val="center"/>
          </w:tcPr>
          <w:p w14:paraId="14A45B8F" w14:textId="22B8E9F4" w:rsidR="00760305" w:rsidRPr="00DF31CF" w:rsidRDefault="00760305" w:rsidP="00760305">
            <w:pPr>
              <w:jc w:val="right"/>
              <w:rPr>
                <w:sz w:val="18"/>
                <w:szCs w:val="18"/>
              </w:rPr>
            </w:pPr>
            <w:r w:rsidRPr="00970856">
              <w:rPr>
                <w:sz w:val="18"/>
                <w:szCs w:val="18"/>
              </w:rPr>
              <w:t>6</w:t>
            </w:r>
            <w:r w:rsidR="00C039E1">
              <w:rPr>
                <w:sz w:val="18"/>
                <w:szCs w:val="18"/>
              </w:rPr>
              <w:t>76</w:t>
            </w:r>
            <w:r w:rsidRPr="00970856">
              <w:rPr>
                <w:sz w:val="18"/>
                <w:szCs w:val="18"/>
              </w:rPr>
              <w:t>,</w:t>
            </w:r>
            <w:r w:rsidR="00C039E1">
              <w:rPr>
                <w:sz w:val="18"/>
                <w:szCs w:val="18"/>
              </w:rPr>
              <w:t>3</w:t>
            </w:r>
          </w:p>
        </w:tc>
      </w:tr>
      <w:tr w:rsidR="00760305" w:rsidRPr="00DF31CF" w14:paraId="74EED94A" w14:textId="77777777" w:rsidTr="00075913">
        <w:trPr>
          <w:jc w:val="center"/>
        </w:trPr>
        <w:tc>
          <w:tcPr>
            <w:tcW w:w="0" w:type="auto"/>
          </w:tcPr>
          <w:p w14:paraId="7B5B37F8" w14:textId="5C92F38D" w:rsidR="00760305" w:rsidRPr="00DC14C9" w:rsidRDefault="00760305" w:rsidP="00760305">
            <w:pPr>
              <w:jc w:val="both"/>
              <w:rPr>
                <w:bCs/>
                <w:sz w:val="18"/>
                <w:szCs w:val="18"/>
              </w:rPr>
            </w:pPr>
            <w:r w:rsidRPr="00DC14C9">
              <w:rPr>
                <w:rFonts w:eastAsia="Times New Roman" w:cs="Times New Roman"/>
                <w:bCs/>
                <w:color w:val="000000"/>
                <w:sz w:val="18"/>
                <w:szCs w:val="18"/>
                <w:lang w:eastAsia="pt-BR"/>
              </w:rPr>
              <w:t>III.  Déficit do RGPS (II – I)</w:t>
            </w:r>
          </w:p>
        </w:tc>
        <w:tc>
          <w:tcPr>
            <w:tcW w:w="1385" w:type="dxa"/>
            <w:vAlign w:val="center"/>
          </w:tcPr>
          <w:p w14:paraId="757F24FF" w14:textId="698B427B" w:rsidR="00760305" w:rsidRPr="00DF31CF" w:rsidRDefault="00760305" w:rsidP="00760305">
            <w:pPr>
              <w:jc w:val="right"/>
              <w:rPr>
                <w:sz w:val="18"/>
                <w:szCs w:val="18"/>
              </w:rPr>
            </w:pPr>
            <w:r w:rsidRPr="001A4CC1">
              <w:rPr>
                <w:sz w:val="18"/>
                <w:szCs w:val="18"/>
              </w:rPr>
              <w:t>2</w:t>
            </w:r>
            <w:r w:rsidR="00C039E1">
              <w:rPr>
                <w:sz w:val="18"/>
                <w:szCs w:val="18"/>
              </w:rPr>
              <w:t>46</w:t>
            </w:r>
            <w:r w:rsidRPr="001A4CC1">
              <w:rPr>
                <w:sz w:val="18"/>
                <w:szCs w:val="18"/>
              </w:rPr>
              <w:t>,</w:t>
            </w:r>
            <w:r w:rsidR="00C039E1">
              <w:rPr>
                <w:sz w:val="18"/>
                <w:szCs w:val="18"/>
              </w:rPr>
              <w:t>6</w:t>
            </w:r>
          </w:p>
        </w:tc>
        <w:tc>
          <w:tcPr>
            <w:tcW w:w="1345" w:type="dxa"/>
            <w:vAlign w:val="center"/>
          </w:tcPr>
          <w:p w14:paraId="29BB3543" w14:textId="773CA22D" w:rsidR="00760305" w:rsidRPr="00DF31CF" w:rsidRDefault="00760305" w:rsidP="00760305">
            <w:pPr>
              <w:jc w:val="right"/>
              <w:rPr>
                <w:sz w:val="18"/>
                <w:szCs w:val="18"/>
              </w:rPr>
            </w:pPr>
            <w:r w:rsidRPr="00970856">
              <w:rPr>
                <w:sz w:val="18"/>
                <w:szCs w:val="18"/>
              </w:rPr>
              <w:t>2</w:t>
            </w:r>
            <w:r w:rsidR="00C039E1">
              <w:rPr>
                <w:sz w:val="18"/>
                <w:szCs w:val="18"/>
              </w:rPr>
              <w:t>66</w:t>
            </w:r>
            <w:r w:rsidRPr="00970856">
              <w:rPr>
                <w:sz w:val="18"/>
                <w:szCs w:val="18"/>
              </w:rPr>
              <w:t>,</w:t>
            </w:r>
            <w:r w:rsidR="00C039E1">
              <w:rPr>
                <w:sz w:val="18"/>
                <w:szCs w:val="18"/>
              </w:rPr>
              <w:t>2</w:t>
            </w:r>
          </w:p>
        </w:tc>
        <w:tc>
          <w:tcPr>
            <w:tcW w:w="1418" w:type="dxa"/>
            <w:vAlign w:val="center"/>
          </w:tcPr>
          <w:p w14:paraId="0DF7111A" w14:textId="082B3B3E" w:rsidR="00760305" w:rsidRPr="00DF31CF" w:rsidRDefault="00760305" w:rsidP="00760305">
            <w:pPr>
              <w:jc w:val="right"/>
              <w:rPr>
                <w:sz w:val="18"/>
                <w:szCs w:val="18"/>
              </w:rPr>
            </w:pPr>
            <w:r w:rsidRPr="00970856">
              <w:rPr>
                <w:sz w:val="18"/>
                <w:szCs w:val="18"/>
              </w:rPr>
              <w:t>3</w:t>
            </w:r>
            <w:r w:rsidR="005D01B2">
              <w:rPr>
                <w:sz w:val="18"/>
                <w:szCs w:val="18"/>
              </w:rPr>
              <w:t>9</w:t>
            </w:r>
            <w:r w:rsidR="00C039E1">
              <w:rPr>
                <w:sz w:val="18"/>
                <w:szCs w:val="18"/>
              </w:rPr>
              <w:t>1</w:t>
            </w:r>
            <w:r w:rsidRPr="00970856">
              <w:rPr>
                <w:sz w:val="18"/>
                <w:szCs w:val="18"/>
              </w:rPr>
              <w:t>,</w:t>
            </w:r>
            <w:r w:rsidR="00C039E1">
              <w:rPr>
                <w:sz w:val="18"/>
                <w:szCs w:val="18"/>
              </w:rPr>
              <w:t>9</w:t>
            </w:r>
          </w:p>
        </w:tc>
        <w:tc>
          <w:tcPr>
            <w:tcW w:w="1274" w:type="dxa"/>
            <w:vAlign w:val="center"/>
          </w:tcPr>
          <w:p w14:paraId="5A57CA0A" w14:textId="6EF19FA4" w:rsidR="00760305" w:rsidRPr="00DF31CF" w:rsidRDefault="00760305" w:rsidP="00760305">
            <w:pPr>
              <w:jc w:val="right"/>
              <w:rPr>
                <w:sz w:val="18"/>
                <w:szCs w:val="18"/>
              </w:rPr>
            </w:pPr>
            <w:r w:rsidRPr="00970856">
              <w:rPr>
                <w:sz w:val="18"/>
                <w:szCs w:val="18"/>
              </w:rPr>
              <w:t>6</w:t>
            </w:r>
            <w:r w:rsidR="00987317">
              <w:rPr>
                <w:sz w:val="18"/>
                <w:szCs w:val="18"/>
              </w:rPr>
              <w:t>5</w:t>
            </w:r>
            <w:r w:rsidR="00C039E1">
              <w:rPr>
                <w:sz w:val="18"/>
                <w:szCs w:val="18"/>
              </w:rPr>
              <w:t>8</w:t>
            </w:r>
            <w:r w:rsidRPr="00970856">
              <w:rPr>
                <w:sz w:val="18"/>
                <w:szCs w:val="18"/>
              </w:rPr>
              <w:t>,</w:t>
            </w:r>
            <w:r w:rsidR="00987317">
              <w:rPr>
                <w:sz w:val="18"/>
                <w:szCs w:val="18"/>
              </w:rPr>
              <w:t>0</w:t>
            </w:r>
          </w:p>
        </w:tc>
      </w:tr>
      <w:tr w:rsidR="00760305" w:rsidRPr="00DF31CF" w14:paraId="3B98447B" w14:textId="77777777" w:rsidTr="001A0390">
        <w:trPr>
          <w:jc w:val="center"/>
        </w:trPr>
        <w:tc>
          <w:tcPr>
            <w:tcW w:w="0" w:type="auto"/>
            <w:shd w:val="clear" w:color="auto" w:fill="F2F2F2" w:themeFill="background1" w:themeFillShade="F2"/>
          </w:tcPr>
          <w:p w14:paraId="0A12EF29" w14:textId="0C964FA1" w:rsidR="00760305" w:rsidRPr="00DC14C9" w:rsidRDefault="00760305" w:rsidP="00760305">
            <w:pPr>
              <w:jc w:val="both"/>
              <w:rPr>
                <w:bCs/>
                <w:sz w:val="18"/>
                <w:szCs w:val="18"/>
              </w:rPr>
            </w:pPr>
            <w:r w:rsidRPr="00DC14C9">
              <w:rPr>
                <w:rFonts w:eastAsia="Times New Roman" w:cs="Times New Roman"/>
                <w:bCs/>
                <w:color w:val="000000"/>
                <w:sz w:val="18"/>
                <w:szCs w:val="18"/>
                <w:lang w:eastAsia="pt-BR"/>
              </w:rPr>
              <w:t>IV.  Benefícios Assistenciais</w:t>
            </w:r>
          </w:p>
        </w:tc>
        <w:tc>
          <w:tcPr>
            <w:tcW w:w="1385" w:type="dxa"/>
            <w:shd w:val="clear" w:color="auto" w:fill="F2F2F2" w:themeFill="background1" w:themeFillShade="F2"/>
            <w:vAlign w:val="center"/>
          </w:tcPr>
          <w:p w14:paraId="136DB45D" w14:textId="029DD5A6" w:rsidR="00760305" w:rsidRPr="00DF31CF" w:rsidRDefault="00C039E1" w:rsidP="00760305">
            <w:pPr>
              <w:jc w:val="right"/>
              <w:rPr>
                <w:sz w:val="18"/>
                <w:szCs w:val="18"/>
              </w:rPr>
            </w:pPr>
            <w:r>
              <w:rPr>
                <w:sz w:val="18"/>
                <w:szCs w:val="18"/>
              </w:rPr>
              <w:t>61</w:t>
            </w:r>
            <w:r w:rsidR="00760305" w:rsidRPr="001A4CC1">
              <w:rPr>
                <w:sz w:val="18"/>
                <w:szCs w:val="18"/>
              </w:rPr>
              <w:t>,</w:t>
            </w:r>
            <w:r>
              <w:rPr>
                <w:sz w:val="18"/>
                <w:szCs w:val="18"/>
              </w:rPr>
              <w:t>7</w:t>
            </w:r>
          </w:p>
        </w:tc>
        <w:tc>
          <w:tcPr>
            <w:tcW w:w="1345" w:type="dxa"/>
            <w:shd w:val="clear" w:color="auto" w:fill="F2F2F2" w:themeFill="background1" w:themeFillShade="F2"/>
            <w:vAlign w:val="center"/>
          </w:tcPr>
          <w:p w14:paraId="72AD1DA9" w14:textId="0D5D627A" w:rsidR="00760305" w:rsidRPr="00DF31CF" w:rsidRDefault="00760305" w:rsidP="00760305">
            <w:pPr>
              <w:jc w:val="right"/>
              <w:rPr>
                <w:sz w:val="18"/>
                <w:szCs w:val="18"/>
              </w:rPr>
            </w:pPr>
            <w:r w:rsidRPr="00970856">
              <w:rPr>
                <w:sz w:val="18"/>
                <w:szCs w:val="18"/>
              </w:rPr>
              <w:t>6</w:t>
            </w:r>
            <w:r w:rsidR="00C039E1">
              <w:rPr>
                <w:sz w:val="18"/>
                <w:szCs w:val="18"/>
              </w:rPr>
              <w:t>6</w:t>
            </w:r>
            <w:r w:rsidRPr="00970856">
              <w:rPr>
                <w:sz w:val="18"/>
                <w:szCs w:val="18"/>
              </w:rPr>
              <w:t>,</w:t>
            </w:r>
            <w:r w:rsidR="00C039E1">
              <w:rPr>
                <w:sz w:val="18"/>
                <w:szCs w:val="18"/>
              </w:rPr>
              <w:t>6</w:t>
            </w:r>
          </w:p>
        </w:tc>
        <w:tc>
          <w:tcPr>
            <w:tcW w:w="1418" w:type="dxa"/>
            <w:shd w:val="clear" w:color="auto" w:fill="F2F2F2" w:themeFill="background1" w:themeFillShade="F2"/>
            <w:vAlign w:val="center"/>
          </w:tcPr>
          <w:p w14:paraId="7657E057" w14:textId="5D6B9680" w:rsidR="00760305" w:rsidRPr="00DF31CF" w:rsidRDefault="00760305" w:rsidP="00760305">
            <w:pPr>
              <w:jc w:val="right"/>
              <w:rPr>
                <w:sz w:val="18"/>
                <w:szCs w:val="18"/>
              </w:rPr>
            </w:pPr>
            <w:r w:rsidRPr="00970856">
              <w:rPr>
                <w:sz w:val="18"/>
                <w:szCs w:val="18"/>
              </w:rPr>
              <w:t>0,0</w:t>
            </w:r>
          </w:p>
        </w:tc>
        <w:tc>
          <w:tcPr>
            <w:tcW w:w="1274" w:type="dxa"/>
            <w:shd w:val="clear" w:color="auto" w:fill="F2F2F2" w:themeFill="background1" w:themeFillShade="F2"/>
            <w:vAlign w:val="center"/>
          </w:tcPr>
          <w:p w14:paraId="244664DD" w14:textId="1BE09D8C" w:rsidR="00760305" w:rsidRPr="00DF31CF" w:rsidRDefault="00760305" w:rsidP="00760305">
            <w:pPr>
              <w:jc w:val="right"/>
              <w:rPr>
                <w:sz w:val="18"/>
                <w:szCs w:val="18"/>
              </w:rPr>
            </w:pPr>
            <w:r w:rsidRPr="00970856">
              <w:rPr>
                <w:sz w:val="18"/>
                <w:szCs w:val="18"/>
              </w:rPr>
              <w:t>6</w:t>
            </w:r>
            <w:r w:rsidR="00C039E1">
              <w:rPr>
                <w:sz w:val="18"/>
                <w:szCs w:val="18"/>
              </w:rPr>
              <w:t>6</w:t>
            </w:r>
            <w:r w:rsidRPr="00970856">
              <w:rPr>
                <w:sz w:val="18"/>
                <w:szCs w:val="18"/>
              </w:rPr>
              <w:t>,</w:t>
            </w:r>
            <w:r w:rsidR="00C039E1">
              <w:rPr>
                <w:sz w:val="18"/>
                <w:szCs w:val="18"/>
              </w:rPr>
              <w:t>6</w:t>
            </w:r>
          </w:p>
        </w:tc>
      </w:tr>
      <w:tr w:rsidR="00760305" w:rsidRPr="00DF31CF" w14:paraId="3DE7E79E" w14:textId="77777777" w:rsidTr="001A0390">
        <w:trPr>
          <w:jc w:val="center"/>
        </w:trPr>
        <w:tc>
          <w:tcPr>
            <w:tcW w:w="0" w:type="auto"/>
            <w:shd w:val="clear" w:color="auto" w:fill="F2F2F2" w:themeFill="background1" w:themeFillShade="F2"/>
          </w:tcPr>
          <w:p w14:paraId="5B88067D" w14:textId="7D797A13" w:rsidR="00760305" w:rsidRPr="00DC14C9" w:rsidRDefault="00760305" w:rsidP="00760305">
            <w:pPr>
              <w:jc w:val="both"/>
              <w:rPr>
                <w:bCs/>
                <w:sz w:val="18"/>
                <w:szCs w:val="18"/>
              </w:rPr>
            </w:pPr>
            <w:r w:rsidRPr="00DC14C9">
              <w:rPr>
                <w:rFonts w:eastAsia="Times New Roman" w:cs="Times New Roman"/>
                <w:bCs/>
                <w:color w:val="000000"/>
                <w:sz w:val="18"/>
                <w:szCs w:val="18"/>
                <w:lang w:eastAsia="pt-BR"/>
              </w:rPr>
              <w:t xml:space="preserve">       </w:t>
            </w:r>
            <w:proofErr w:type="gramStart"/>
            <w:r w:rsidRPr="00DC14C9">
              <w:rPr>
                <w:rFonts w:eastAsia="Times New Roman" w:cs="Times New Roman"/>
                <w:bCs/>
                <w:color w:val="000000"/>
                <w:sz w:val="18"/>
                <w:szCs w:val="18"/>
                <w:lang w:eastAsia="pt-BR"/>
              </w:rPr>
              <w:t>IV.</w:t>
            </w:r>
            <w:proofErr w:type="gramEnd"/>
            <w:r w:rsidRPr="00DC14C9">
              <w:rPr>
                <w:rFonts w:eastAsia="Times New Roman" w:cs="Times New Roman"/>
                <w:bCs/>
                <w:color w:val="000000"/>
                <w:sz w:val="18"/>
                <w:szCs w:val="18"/>
                <w:lang w:eastAsia="pt-BR"/>
              </w:rPr>
              <w:t>1 RMV</w:t>
            </w:r>
          </w:p>
        </w:tc>
        <w:tc>
          <w:tcPr>
            <w:tcW w:w="1385" w:type="dxa"/>
            <w:shd w:val="clear" w:color="auto" w:fill="F2F2F2" w:themeFill="background1" w:themeFillShade="F2"/>
            <w:vAlign w:val="center"/>
          </w:tcPr>
          <w:p w14:paraId="0C6DC128" w14:textId="4DA9C1E0" w:rsidR="00760305" w:rsidRPr="00DF31CF" w:rsidRDefault="00760305" w:rsidP="00760305">
            <w:pPr>
              <w:jc w:val="right"/>
              <w:rPr>
                <w:sz w:val="18"/>
                <w:szCs w:val="18"/>
              </w:rPr>
            </w:pPr>
            <w:r w:rsidRPr="001A4CC1">
              <w:rPr>
                <w:sz w:val="18"/>
                <w:szCs w:val="18"/>
              </w:rPr>
              <w:t>0</w:t>
            </w:r>
            <w:r w:rsidR="00C039E1">
              <w:rPr>
                <w:sz w:val="18"/>
                <w:szCs w:val="18"/>
              </w:rPr>
              <w:t>,9</w:t>
            </w:r>
          </w:p>
        </w:tc>
        <w:tc>
          <w:tcPr>
            <w:tcW w:w="1345" w:type="dxa"/>
            <w:shd w:val="clear" w:color="auto" w:fill="F2F2F2" w:themeFill="background1" w:themeFillShade="F2"/>
            <w:vAlign w:val="center"/>
          </w:tcPr>
          <w:p w14:paraId="6997C38A" w14:textId="60A43E61" w:rsidR="00760305" w:rsidRPr="00DF31CF" w:rsidRDefault="00760305" w:rsidP="00760305">
            <w:pPr>
              <w:jc w:val="right"/>
              <w:rPr>
                <w:sz w:val="18"/>
                <w:szCs w:val="18"/>
              </w:rPr>
            </w:pPr>
            <w:r w:rsidRPr="00970856">
              <w:rPr>
                <w:sz w:val="18"/>
                <w:szCs w:val="18"/>
              </w:rPr>
              <w:t>1,0</w:t>
            </w:r>
          </w:p>
        </w:tc>
        <w:tc>
          <w:tcPr>
            <w:tcW w:w="1418" w:type="dxa"/>
            <w:shd w:val="clear" w:color="auto" w:fill="F2F2F2" w:themeFill="background1" w:themeFillShade="F2"/>
            <w:vAlign w:val="center"/>
          </w:tcPr>
          <w:p w14:paraId="7E35852F" w14:textId="0379872B" w:rsidR="00760305" w:rsidRPr="00DF31CF" w:rsidRDefault="00760305" w:rsidP="00760305">
            <w:pPr>
              <w:jc w:val="right"/>
              <w:rPr>
                <w:sz w:val="18"/>
                <w:szCs w:val="18"/>
              </w:rPr>
            </w:pPr>
            <w:r w:rsidRPr="00970856">
              <w:rPr>
                <w:sz w:val="18"/>
                <w:szCs w:val="18"/>
              </w:rPr>
              <w:t>0,0</w:t>
            </w:r>
          </w:p>
        </w:tc>
        <w:tc>
          <w:tcPr>
            <w:tcW w:w="1274" w:type="dxa"/>
            <w:shd w:val="clear" w:color="auto" w:fill="F2F2F2" w:themeFill="background1" w:themeFillShade="F2"/>
            <w:vAlign w:val="center"/>
          </w:tcPr>
          <w:p w14:paraId="6643462C" w14:textId="463BEEF4" w:rsidR="00760305" w:rsidRPr="00DF31CF" w:rsidRDefault="00760305" w:rsidP="00760305">
            <w:pPr>
              <w:jc w:val="right"/>
              <w:rPr>
                <w:sz w:val="18"/>
                <w:szCs w:val="18"/>
              </w:rPr>
            </w:pPr>
            <w:r w:rsidRPr="00970856">
              <w:rPr>
                <w:sz w:val="18"/>
                <w:szCs w:val="18"/>
              </w:rPr>
              <w:t>1,0</w:t>
            </w:r>
          </w:p>
        </w:tc>
      </w:tr>
      <w:tr w:rsidR="00DF31CF" w:rsidRPr="00DF31CF" w14:paraId="173AC293" w14:textId="77777777" w:rsidTr="001A0390">
        <w:trPr>
          <w:jc w:val="center"/>
        </w:trPr>
        <w:tc>
          <w:tcPr>
            <w:tcW w:w="0" w:type="auto"/>
            <w:shd w:val="clear" w:color="auto" w:fill="F2F2F2" w:themeFill="background1" w:themeFillShade="F2"/>
          </w:tcPr>
          <w:p w14:paraId="4847C2D0" w14:textId="384D19A6" w:rsidR="00DF31CF" w:rsidRPr="00DC14C9" w:rsidRDefault="00760305" w:rsidP="00DF31CF">
            <w:pPr>
              <w:jc w:val="both"/>
              <w:rPr>
                <w:bCs/>
                <w:sz w:val="18"/>
                <w:szCs w:val="18"/>
              </w:rPr>
            </w:pPr>
            <w:r w:rsidRPr="00DC14C9">
              <w:rPr>
                <w:rFonts w:eastAsia="Times New Roman" w:cs="Times New Roman"/>
                <w:bCs/>
                <w:color w:val="000000"/>
                <w:sz w:val="18"/>
                <w:szCs w:val="18"/>
                <w:lang w:eastAsia="pt-BR"/>
              </w:rPr>
              <w:t xml:space="preserve">       </w:t>
            </w:r>
            <w:proofErr w:type="gramStart"/>
            <w:r w:rsidRPr="00DC14C9">
              <w:rPr>
                <w:rFonts w:eastAsia="Times New Roman" w:cs="Times New Roman"/>
                <w:bCs/>
                <w:color w:val="000000"/>
                <w:sz w:val="18"/>
                <w:szCs w:val="18"/>
                <w:lang w:eastAsia="pt-BR"/>
              </w:rPr>
              <w:t>IV.</w:t>
            </w:r>
            <w:proofErr w:type="gramEnd"/>
            <w:r w:rsidRPr="00DC14C9">
              <w:rPr>
                <w:rFonts w:eastAsia="Times New Roman" w:cs="Times New Roman"/>
                <w:bCs/>
                <w:color w:val="000000"/>
                <w:sz w:val="18"/>
                <w:szCs w:val="18"/>
                <w:lang w:eastAsia="pt-BR"/>
              </w:rPr>
              <w:t>2 BPC/LOAS</w:t>
            </w:r>
          </w:p>
        </w:tc>
        <w:tc>
          <w:tcPr>
            <w:tcW w:w="1385" w:type="dxa"/>
            <w:shd w:val="clear" w:color="auto" w:fill="F2F2F2" w:themeFill="background1" w:themeFillShade="F2"/>
            <w:vAlign w:val="center"/>
          </w:tcPr>
          <w:p w14:paraId="04097404" w14:textId="62EC6D86" w:rsidR="00DF31CF" w:rsidRPr="00DF31CF" w:rsidRDefault="00C039E1" w:rsidP="00760305">
            <w:pPr>
              <w:jc w:val="right"/>
              <w:rPr>
                <w:sz w:val="18"/>
                <w:szCs w:val="18"/>
              </w:rPr>
            </w:pPr>
            <w:r>
              <w:rPr>
                <w:sz w:val="18"/>
                <w:szCs w:val="18"/>
              </w:rPr>
              <w:t>60</w:t>
            </w:r>
            <w:r w:rsidR="00760305" w:rsidRPr="001A4CC1">
              <w:rPr>
                <w:sz w:val="18"/>
                <w:szCs w:val="18"/>
              </w:rPr>
              <w:t>,</w:t>
            </w:r>
            <w:r>
              <w:rPr>
                <w:sz w:val="18"/>
                <w:szCs w:val="18"/>
              </w:rPr>
              <w:t>8</w:t>
            </w:r>
          </w:p>
        </w:tc>
        <w:tc>
          <w:tcPr>
            <w:tcW w:w="1345" w:type="dxa"/>
            <w:shd w:val="clear" w:color="auto" w:fill="F2F2F2" w:themeFill="background1" w:themeFillShade="F2"/>
            <w:vAlign w:val="center"/>
          </w:tcPr>
          <w:p w14:paraId="79B477BF" w14:textId="5D63F20C" w:rsidR="00DF31CF" w:rsidRPr="00DF31CF" w:rsidRDefault="00C039E1" w:rsidP="00760305">
            <w:pPr>
              <w:jc w:val="right"/>
              <w:rPr>
                <w:sz w:val="18"/>
                <w:szCs w:val="18"/>
              </w:rPr>
            </w:pPr>
            <w:r>
              <w:rPr>
                <w:sz w:val="18"/>
                <w:szCs w:val="18"/>
              </w:rPr>
              <w:t>65</w:t>
            </w:r>
            <w:r w:rsidR="00760305" w:rsidRPr="00970856">
              <w:rPr>
                <w:sz w:val="18"/>
                <w:szCs w:val="18"/>
              </w:rPr>
              <w:t>,</w:t>
            </w:r>
            <w:r>
              <w:rPr>
                <w:sz w:val="18"/>
                <w:szCs w:val="18"/>
              </w:rPr>
              <w:t>6</w:t>
            </w:r>
          </w:p>
        </w:tc>
        <w:tc>
          <w:tcPr>
            <w:tcW w:w="1418" w:type="dxa"/>
            <w:shd w:val="clear" w:color="auto" w:fill="F2F2F2" w:themeFill="background1" w:themeFillShade="F2"/>
            <w:vAlign w:val="center"/>
          </w:tcPr>
          <w:p w14:paraId="1B62C05E" w14:textId="684327DA" w:rsidR="00DF31CF" w:rsidRPr="00DF31CF" w:rsidRDefault="00760305" w:rsidP="00760305">
            <w:pPr>
              <w:jc w:val="right"/>
              <w:rPr>
                <w:sz w:val="18"/>
                <w:szCs w:val="18"/>
              </w:rPr>
            </w:pPr>
            <w:r w:rsidRPr="00970856">
              <w:rPr>
                <w:sz w:val="18"/>
                <w:szCs w:val="18"/>
              </w:rPr>
              <w:t>0,0</w:t>
            </w:r>
          </w:p>
        </w:tc>
        <w:tc>
          <w:tcPr>
            <w:tcW w:w="1274" w:type="dxa"/>
            <w:shd w:val="clear" w:color="auto" w:fill="F2F2F2" w:themeFill="background1" w:themeFillShade="F2"/>
            <w:vAlign w:val="center"/>
          </w:tcPr>
          <w:p w14:paraId="367A91DE" w14:textId="619C8AE1" w:rsidR="00DF31CF" w:rsidRPr="00DF31CF" w:rsidRDefault="00C039E1" w:rsidP="00760305">
            <w:pPr>
              <w:jc w:val="right"/>
              <w:rPr>
                <w:sz w:val="18"/>
                <w:szCs w:val="18"/>
              </w:rPr>
            </w:pPr>
            <w:r>
              <w:rPr>
                <w:sz w:val="18"/>
                <w:szCs w:val="18"/>
              </w:rPr>
              <w:t>6</w:t>
            </w:r>
            <w:r w:rsidR="00760305" w:rsidRPr="00970856">
              <w:rPr>
                <w:sz w:val="18"/>
                <w:szCs w:val="18"/>
              </w:rPr>
              <w:t>5,</w:t>
            </w:r>
            <w:r>
              <w:rPr>
                <w:sz w:val="18"/>
                <w:szCs w:val="18"/>
              </w:rPr>
              <w:t>6</w:t>
            </w:r>
          </w:p>
        </w:tc>
      </w:tr>
      <w:tr w:rsidR="00DF31CF" w:rsidRPr="00DF31CF" w14:paraId="41788EF7" w14:textId="77777777" w:rsidTr="00075913">
        <w:trPr>
          <w:jc w:val="center"/>
        </w:trPr>
        <w:tc>
          <w:tcPr>
            <w:tcW w:w="0" w:type="auto"/>
          </w:tcPr>
          <w:p w14:paraId="44473B79" w14:textId="00DDBAC4" w:rsidR="00DF31CF" w:rsidRPr="00DC14C9" w:rsidRDefault="00760305" w:rsidP="00DF31CF">
            <w:pPr>
              <w:jc w:val="both"/>
              <w:rPr>
                <w:bCs/>
                <w:sz w:val="18"/>
                <w:szCs w:val="18"/>
              </w:rPr>
            </w:pPr>
            <w:r w:rsidRPr="00DC14C9">
              <w:rPr>
                <w:rFonts w:eastAsia="Times New Roman" w:cs="Times New Roman"/>
                <w:bCs/>
                <w:color w:val="000000"/>
                <w:sz w:val="18"/>
                <w:szCs w:val="18"/>
                <w:lang w:eastAsia="pt-BR"/>
              </w:rPr>
              <w:t>V.</w:t>
            </w:r>
            <w:proofErr w:type="gramStart"/>
            <w:r w:rsidRPr="00DC14C9">
              <w:rPr>
                <w:rFonts w:eastAsia="Times New Roman" w:cs="Times New Roman"/>
                <w:bCs/>
                <w:color w:val="000000"/>
                <w:sz w:val="18"/>
                <w:szCs w:val="18"/>
                <w:lang w:eastAsia="pt-BR"/>
              </w:rPr>
              <w:t xml:space="preserve">   </w:t>
            </w:r>
            <w:proofErr w:type="gramEnd"/>
            <w:r w:rsidRPr="00DC14C9">
              <w:rPr>
                <w:rFonts w:eastAsia="Times New Roman" w:cs="Times New Roman"/>
                <w:bCs/>
                <w:color w:val="000000"/>
                <w:sz w:val="18"/>
                <w:szCs w:val="18"/>
                <w:lang w:eastAsia="pt-BR"/>
              </w:rPr>
              <w:t>FAT</w:t>
            </w:r>
          </w:p>
        </w:tc>
        <w:tc>
          <w:tcPr>
            <w:tcW w:w="1385" w:type="dxa"/>
            <w:vAlign w:val="center"/>
          </w:tcPr>
          <w:p w14:paraId="7BC16207" w14:textId="650D9F2B" w:rsidR="00DF31CF" w:rsidRPr="00DF31CF" w:rsidRDefault="00760305" w:rsidP="00760305">
            <w:pPr>
              <w:jc w:val="right"/>
              <w:rPr>
                <w:sz w:val="18"/>
                <w:szCs w:val="18"/>
              </w:rPr>
            </w:pPr>
            <w:r w:rsidRPr="001A4CC1">
              <w:rPr>
                <w:sz w:val="18"/>
                <w:szCs w:val="18"/>
              </w:rPr>
              <w:t>3</w:t>
            </w:r>
            <w:r w:rsidR="00C039E1">
              <w:rPr>
                <w:sz w:val="18"/>
                <w:szCs w:val="18"/>
              </w:rPr>
              <w:t>3</w:t>
            </w:r>
            <w:r w:rsidRPr="001A4CC1">
              <w:rPr>
                <w:sz w:val="18"/>
                <w:szCs w:val="18"/>
              </w:rPr>
              <w:t>,</w:t>
            </w:r>
            <w:r w:rsidR="00C039E1">
              <w:rPr>
                <w:sz w:val="18"/>
                <w:szCs w:val="18"/>
              </w:rPr>
              <w:t>2</w:t>
            </w:r>
          </w:p>
        </w:tc>
        <w:tc>
          <w:tcPr>
            <w:tcW w:w="1345" w:type="dxa"/>
            <w:vAlign w:val="center"/>
          </w:tcPr>
          <w:p w14:paraId="44DA94EA" w14:textId="5C499BB6" w:rsidR="00DF31CF" w:rsidRPr="00DF31CF" w:rsidRDefault="00760305" w:rsidP="00760305">
            <w:pPr>
              <w:jc w:val="right"/>
              <w:rPr>
                <w:sz w:val="18"/>
                <w:szCs w:val="18"/>
              </w:rPr>
            </w:pPr>
            <w:r w:rsidRPr="00970856">
              <w:rPr>
                <w:sz w:val="18"/>
                <w:szCs w:val="18"/>
              </w:rPr>
              <w:t>3</w:t>
            </w:r>
            <w:r w:rsidR="00C039E1">
              <w:rPr>
                <w:sz w:val="18"/>
                <w:szCs w:val="18"/>
              </w:rPr>
              <w:t>7</w:t>
            </w:r>
            <w:r w:rsidRPr="00970856">
              <w:rPr>
                <w:sz w:val="18"/>
                <w:szCs w:val="18"/>
              </w:rPr>
              <w:t>,</w:t>
            </w:r>
            <w:r w:rsidR="00C039E1">
              <w:rPr>
                <w:sz w:val="18"/>
                <w:szCs w:val="18"/>
              </w:rPr>
              <w:t>4</w:t>
            </w:r>
          </w:p>
        </w:tc>
        <w:tc>
          <w:tcPr>
            <w:tcW w:w="1418" w:type="dxa"/>
            <w:vAlign w:val="center"/>
          </w:tcPr>
          <w:p w14:paraId="108F9DEB" w14:textId="4C007942" w:rsidR="00DF31CF" w:rsidRPr="00DF31CF" w:rsidRDefault="00C039E1" w:rsidP="00760305">
            <w:pPr>
              <w:jc w:val="right"/>
              <w:rPr>
                <w:sz w:val="18"/>
                <w:szCs w:val="18"/>
              </w:rPr>
            </w:pPr>
            <w:r>
              <w:rPr>
                <w:sz w:val="18"/>
                <w:szCs w:val="18"/>
              </w:rPr>
              <w:t>9</w:t>
            </w:r>
            <w:r w:rsidR="00760305" w:rsidRPr="00970856">
              <w:rPr>
                <w:sz w:val="18"/>
                <w:szCs w:val="18"/>
              </w:rPr>
              <w:t>,</w:t>
            </w:r>
            <w:r>
              <w:rPr>
                <w:sz w:val="18"/>
                <w:szCs w:val="18"/>
              </w:rPr>
              <w:t>9</w:t>
            </w:r>
          </w:p>
        </w:tc>
        <w:tc>
          <w:tcPr>
            <w:tcW w:w="1274" w:type="dxa"/>
            <w:vAlign w:val="center"/>
          </w:tcPr>
          <w:p w14:paraId="70A9E9BB" w14:textId="47ECF83D" w:rsidR="00DF31CF" w:rsidRPr="00DF31CF" w:rsidRDefault="00760305" w:rsidP="00760305">
            <w:pPr>
              <w:jc w:val="right"/>
              <w:rPr>
                <w:sz w:val="18"/>
                <w:szCs w:val="18"/>
              </w:rPr>
            </w:pPr>
            <w:r w:rsidRPr="00970856">
              <w:rPr>
                <w:sz w:val="18"/>
                <w:szCs w:val="18"/>
              </w:rPr>
              <w:t>4</w:t>
            </w:r>
            <w:r w:rsidR="00C039E1">
              <w:rPr>
                <w:sz w:val="18"/>
                <w:szCs w:val="18"/>
              </w:rPr>
              <w:t>7</w:t>
            </w:r>
            <w:r w:rsidRPr="00970856">
              <w:rPr>
                <w:sz w:val="18"/>
                <w:szCs w:val="18"/>
              </w:rPr>
              <w:t>,</w:t>
            </w:r>
            <w:r w:rsidR="00C039E1">
              <w:rPr>
                <w:sz w:val="18"/>
                <w:szCs w:val="18"/>
              </w:rPr>
              <w:t>3</w:t>
            </w:r>
          </w:p>
        </w:tc>
      </w:tr>
      <w:tr w:rsidR="00DF31CF" w:rsidRPr="00DF31CF" w14:paraId="6AC3377E" w14:textId="77777777" w:rsidTr="00075913">
        <w:trPr>
          <w:jc w:val="center"/>
        </w:trPr>
        <w:tc>
          <w:tcPr>
            <w:tcW w:w="0" w:type="auto"/>
          </w:tcPr>
          <w:p w14:paraId="49116017" w14:textId="5552B34A" w:rsidR="00DF31CF" w:rsidRPr="00DC14C9" w:rsidRDefault="00760305" w:rsidP="00DF31CF">
            <w:pPr>
              <w:jc w:val="both"/>
              <w:rPr>
                <w:bCs/>
                <w:sz w:val="18"/>
                <w:szCs w:val="18"/>
              </w:rPr>
            </w:pPr>
            <w:r w:rsidRPr="00DC14C9">
              <w:rPr>
                <w:rFonts w:eastAsia="Times New Roman" w:cs="Times New Roman"/>
                <w:bCs/>
                <w:color w:val="000000"/>
                <w:sz w:val="18"/>
                <w:szCs w:val="18"/>
                <w:lang w:eastAsia="pt-BR"/>
              </w:rPr>
              <w:t xml:space="preserve">       V.1 Abono Salarial</w:t>
            </w:r>
          </w:p>
        </w:tc>
        <w:tc>
          <w:tcPr>
            <w:tcW w:w="1385" w:type="dxa"/>
            <w:vAlign w:val="center"/>
          </w:tcPr>
          <w:p w14:paraId="3AA01B56" w14:textId="365DBDB6" w:rsidR="00DF31CF" w:rsidRPr="00DF31CF" w:rsidRDefault="00760305" w:rsidP="00760305">
            <w:pPr>
              <w:jc w:val="right"/>
              <w:rPr>
                <w:sz w:val="18"/>
                <w:szCs w:val="18"/>
              </w:rPr>
            </w:pPr>
            <w:r w:rsidRPr="001A4CC1">
              <w:rPr>
                <w:sz w:val="18"/>
                <w:szCs w:val="18"/>
              </w:rPr>
              <w:t>1</w:t>
            </w:r>
            <w:r w:rsidR="00C039E1">
              <w:rPr>
                <w:sz w:val="18"/>
                <w:szCs w:val="18"/>
              </w:rPr>
              <w:t>8</w:t>
            </w:r>
            <w:r w:rsidRPr="001A4CC1">
              <w:rPr>
                <w:sz w:val="18"/>
                <w:szCs w:val="18"/>
              </w:rPr>
              <w:t>,</w:t>
            </w:r>
            <w:r w:rsidR="00C039E1">
              <w:rPr>
                <w:sz w:val="18"/>
                <w:szCs w:val="18"/>
              </w:rPr>
              <w:t>4</w:t>
            </w:r>
          </w:p>
        </w:tc>
        <w:tc>
          <w:tcPr>
            <w:tcW w:w="1345" w:type="dxa"/>
            <w:vAlign w:val="center"/>
          </w:tcPr>
          <w:p w14:paraId="2B4588F0" w14:textId="10FA13DA" w:rsidR="00DF31CF" w:rsidRPr="00DF31CF" w:rsidRDefault="00C039E1" w:rsidP="00760305">
            <w:pPr>
              <w:jc w:val="right"/>
              <w:rPr>
                <w:sz w:val="18"/>
                <w:szCs w:val="18"/>
              </w:rPr>
            </w:pPr>
            <w:r>
              <w:rPr>
                <w:sz w:val="18"/>
                <w:szCs w:val="18"/>
              </w:rPr>
              <w:t>21</w:t>
            </w:r>
            <w:r w:rsidR="00760305" w:rsidRPr="00970856">
              <w:rPr>
                <w:sz w:val="18"/>
                <w:szCs w:val="18"/>
              </w:rPr>
              <w:t>,</w:t>
            </w:r>
            <w:r>
              <w:rPr>
                <w:sz w:val="18"/>
                <w:szCs w:val="18"/>
              </w:rPr>
              <w:t>1</w:t>
            </w:r>
          </w:p>
        </w:tc>
        <w:tc>
          <w:tcPr>
            <w:tcW w:w="1418" w:type="dxa"/>
            <w:vAlign w:val="center"/>
          </w:tcPr>
          <w:p w14:paraId="25A318BC" w14:textId="4A7D4588" w:rsidR="00DF31CF" w:rsidRPr="00DF31CF" w:rsidRDefault="00760305" w:rsidP="00760305">
            <w:pPr>
              <w:jc w:val="right"/>
              <w:rPr>
                <w:sz w:val="18"/>
                <w:szCs w:val="18"/>
              </w:rPr>
            </w:pPr>
            <w:r w:rsidRPr="00970856">
              <w:rPr>
                <w:sz w:val="18"/>
                <w:szCs w:val="18"/>
              </w:rPr>
              <w:t>0,0</w:t>
            </w:r>
          </w:p>
        </w:tc>
        <w:tc>
          <w:tcPr>
            <w:tcW w:w="1274" w:type="dxa"/>
            <w:vAlign w:val="center"/>
          </w:tcPr>
          <w:p w14:paraId="7CF8AAF3" w14:textId="7B5B3923" w:rsidR="00DF31CF" w:rsidRPr="00DF31CF" w:rsidRDefault="00C039E1" w:rsidP="00760305">
            <w:pPr>
              <w:jc w:val="right"/>
              <w:rPr>
                <w:sz w:val="18"/>
                <w:szCs w:val="18"/>
              </w:rPr>
            </w:pPr>
            <w:r>
              <w:rPr>
                <w:sz w:val="18"/>
                <w:szCs w:val="18"/>
              </w:rPr>
              <w:t>21</w:t>
            </w:r>
            <w:r w:rsidR="00760305" w:rsidRPr="00970856">
              <w:rPr>
                <w:sz w:val="18"/>
                <w:szCs w:val="18"/>
              </w:rPr>
              <w:t>,</w:t>
            </w:r>
            <w:r>
              <w:rPr>
                <w:sz w:val="18"/>
                <w:szCs w:val="18"/>
              </w:rPr>
              <w:t>1</w:t>
            </w:r>
          </w:p>
        </w:tc>
      </w:tr>
      <w:tr w:rsidR="00DF31CF" w:rsidRPr="00DF31CF" w14:paraId="0AA42CDB" w14:textId="77777777" w:rsidTr="00075913">
        <w:trPr>
          <w:jc w:val="center"/>
        </w:trPr>
        <w:tc>
          <w:tcPr>
            <w:tcW w:w="0" w:type="auto"/>
          </w:tcPr>
          <w:p w14:paraId="5E34C97E" w14:textId="60B4FFAA" w:rsidR="00DF31CF" w:rsidRPr="00DC14C9" w:rsidRDefault="00760305" w:rsidP="00DF31CF">
            <w:pPr>
              <w:jc w:val="both"/>
              <w:rPr>
                <w:bCs/>
                <w:sz w:val="18"/>
                <w:szCs w:val="18"/>
              </w:rPr>
            </w:pPr>
            <w:r w:rsidRPr="00DC14C9">
              <w:rPr>
                <w:rFonts w:eastAsia="Times New Roman" w:cs="Times New Roman"/>
                <w:bCs/>
                <w:color w:val="000000"/>
                <w:sz w:val="18"/>
                <w:szCs w:val="18"/>
                <w:lang w:eastAsia="pt-BR"/>
              </w:rPr>
              <w:t xml:space="preserve">       V.2 Seguro-Desemprego</w:t>
            </w:r>
          </w:p>
        </w:tc>
        <w:tc>
          <w:tcPr>
            <w:tcW w:w="1385" w:type="dxa"/>
            <w:vAlign w:val="center"/>
          </w:tcPr>
          <w:p w14:paraId="2A22D61E" w14:textId="55C32231" w:rsidR="00DF31CF" w:rsidRPr="00DF31CF" w:rsidRDefault="00760305" w:rsidP="00760305">
            <w:pPr>
              <w:jc w:val="right"/>
              <w:rPr>
                <w:sz w:val="18"/>
                <w:szCs w:val="18"/>
              </w:rPr>
            </w:pPr>
            <w:r w:rsidRPr="001A4CC1">
              <w:rPr>
                <w:sz w:val="18"/>
                <w:szCs w:val="18"/>
              </w:rPr>
              <w:t>1</w:t>
            </w:r>
            <w:r w:rsidR="00C039E1">
              <w:rPr>
                <w:sz w:val="18"/>
                <w:szCs w:val="18"/>
              </w:rPr>
              <w:t>4</w:t>
            </w:r>
            <w:r w:rsidRPr="001A4CC1">
              <w:rPr>
                <w:sz w:val="18"/>
                <w:szCs w:val="18"/>
              </w:rPr>
              <w:t>,8</w:t>
            </w:r>
          </w:p>
        </w:tc>
        <w:tc>
          <w:tcPr>
            <w:tcW w:w="1345" w:type="dxa"/>
            <w:vAlign w:val="center"/>
          </w:tcPr>
          <w:p w14:paraId="157D1398" w14:textId="7E0BD2C2" w:rsidR="00DF31CF" w:rsidRPr="00DF31CF" w:rsidRDefault="00760305" w:rsidP="00760305">
            <w:pPr>
              <w:jc w:val="right"/>
              <w:rPr>
                <w:sz w:val="18"/>
                <w:szCs w:val="18"/>
              </w:rPr>
            </w:pPr>
            <w:r w:rsidRPr="00970856">
              <w:rPr>
                <w:sz w:val="18"/>
                <w:szCs w:val="18"/>
              </w:rPr>
              <w:t>1</w:t>
            </w:r>
            <w:r w:rsidR="00C039E1">
              <w:rPr>
                <w:sz w:val="18"/>
                <w:szCs w:val="18"/>
              </w:rPr>
              <w:t>6</w:t>
            </w:r>
            <w:r w:rsidRPr="00970856">
              <w:rPr>
                <w:sz w:val="18"/>
                <w:szCs w:val="18"/>
              </w:rPr>
              <w:t>,</w:t>
            </w:r>
            <w:r w:rsidR="00C039E1">
              <w:rPr>
                <w:sz w:val="18"/>
                <w:szCs w:val="18"/>
              </w:rPr>
              <w:t>3</w:t>
            </w:r>
          </w:p>
        </w:tc>
        <w:tc>
          <w:tcPr>
            <w:tcW w:w="1418" w:type="dxa"/>
            <w:vAlign w:val="center"/>
          </w:tcPr>
          <w:p w14:paraId="7A6567C3" w14:textId="5BFB3A30" w:rsidR="00DF31CF" w:rsidRPr="00DF31CF" w:rsidRDefault="00C039E1" w:rsidP="00760305">
            <w:pPr>
              <w:jc w:val="right"/>
              <w:rPr>
                <w:sz w:val="18"/>
                <w:szCs w:val="18"/>
              </w:rPr>
            </w:pPr>
            <w:r>
              <w:rPr>
                <w:sz w:val="18"/>
                <w:szCs w:val="18"/>
              </w:rPr>
              <w:t>9</w:t>
            </w:r>
            <w:r w:rsidR="00760305" w:rsidRPr="00970856">
              <w:rPr>
                <w:sz w:val="18"/>
                <w:szCs w:val="18"/>
              </w:rPr>
              <w:t>,</w:t>
            </w:r>
            <w:r>
              <w:rPr>
                <w:sz w:val="18"/>
                <w:szCs w:val="18"/>
              </w:rPr>
              <w:t>9</w:t>
            </w:r>
          </w:p>
        </w:tc>
        <w:tc>
          <w:tcPr>
            <w:tcW w:w="1274" w:type="dxa"/>
            <w:vAlign w:val="center"/>
          </w:tcPr>
          <w:p w14:paraId="1F4A90DD" w14:textId="5D217980" w:rsidR="00DF31CF" w:rsidRPr="00DF31CF" w:rsidRDefault="00760305" w:rsidP="00760305">
            <w:pPr>
              <w:jc w:val="right"/>
              <w:rPr>
                <w:sz w:val="18"/>
                <w:szCs w:val="18"/>
              </w:rPr>
            </w:pPr>
            <w:r w:rsidRPr="00970856">
              <w:rPr>
                <w:sz w:val="18"/>
                <w:szCs w:val="18"/>
              </w:rPr>
              <w:t>26,</w:t>
            </w:r>
            <w:r w:rsidR="00C039E1">
              <w:rPr>
                <w:sz w:val="18"/>
                <w:szCs w:val="18"/>
              </w:rPr>
              <w:t>2</w:t>
            </w:r>
          </w:p>
        </w:tc>
      </w:tr>
      <w:tr w:rsidR="00DC14C9" w:rsidRPr="00E67314" w14:paraId="2796DB26" w14:textId="77777777" w:rsidTr="00075913">
        <w:trPr>
          <w:jc w:val="center"/>
        </w:trPr>
        <w:tc>
          <w:tcPr>
            <w:tcW w:w="0" w:type="auto"/>
            <w:shd w:val="clear" w:color="auto" w:fill="7F7F7F" w:themeFill="text1" w:themeFillTint="80"/>
          </w:tcPr>
          <w:p w14:paraId="5759745F" w14:textId="10BD3810" w:rsidR="00DF31CF" w:rsidRPr="00452D2D" w:rsidRDefault="00760305" w:rsidP="00DF31CF">
            <w:pPr>
              <w:jc w:val="both"/>
              <w:rPr>
                <w:b/>
                <w:color w:val="FFFFFF" w:themeColor="background1"/>
                <w:sz w:val="18"/>
                <w:szCs w:val="18"/>
              </w:rPr>
            </w:pPr>
            <w:r w:rsidRPr="00452D2D">
              <w:rPr>
                <w:rFonts w:eastAsia="Times New Roman" w:cs="Times New Roman"/>
                <w:b/>
                <w:color w:val="FFFFFF" w:themeColor="background1"/>
                <w:sz w:val="18"/>
                <w:szCs w:val="18"/>
                <w:lang w:eastAsia="pt-BR"/>
              </w:rPr>
              <w:t>Total de Receitas (I)</w:t>
            </w:r>
          </w:p>
        </w:tc>
        <w:tc>
          <w:tcPr>
            <w:tcW w:w="1385" w:type="dxa"/>
            <w:shd w:val="clear" w:color="auto" w:fill="7F7F7F" w:themeFill="text1" w:themeFillTint="80"/>
            <w:vAlign w:val="center"/>
          </w:tcPr>
          <w:p w14:paraId="1DD23DCD" w14:textId="01DEEBE5" w:rsidR="00DF31CF" w:rsidRPr="00452D2D" w:rsidRDefault="00C039E1" w:rsidP="00760305">
            <w:pPr>
              <w:jc w:val="right"/>
              <w:rPr>
                <w:b/>
                <w:color w:val="FFFFFF" w:themeColor="background1"/>
                <w:sz w:val="18"/>
                <w:szCs w:val="18"/>
              </w:rPr>
            </w:pPr>
            <w:r w:rsidRPr="00452D2D">
              <w:rPr>
                <w:b/>
                <w:color w:val="FFFFFF" w:themeColor="background1"/>
                <w:sz w:val="18"/>
                <w:szCs w:val="18"/>
              </w:rPr>
              <w:t>15</w:t>
            </w:r>
            <w:r w:rsidR="00760305" w:rsidRPr="00452D2D">
              <w:rPr>
                <w:b/>
                <w:color w:val="FFFFFF" w:themeColor="background1"/>
                <w:sz w:val="18"/>
                <w:szCs w:val="18"/>
              </w:rPr>
              <w:t>,</w:t>
            </w:r>
            <w:r w:rsidRPr="00452D2D">
              <w:rPr>
                <w:b/>
                <w:color w:val="FFFFFF" w:themeColor="background1"/>
                <w:sz w:val="18"/>
                <w:szCs w:val="18"/>
              </w:rPr>
              <w:t>5</w:t>
            </w:r>
          </w:p>
        </w:tc>
        <w:tc>
          <w:tcPr>
            <w:tcW w:w="1345" w:type="dxa"/>
            <w:shd w:val="clear" w:color="auto" w:fill="7F7F7F" w:themeFill="text1" w:themeFillTint="80"/>
            <w:vAlign w:val="center"/>
          </w:tcPr>
          <w:p w14:paraId="25999A6C" w14:textId="16E578B7" w:rsidR="00DF31CF" w:rsidRPr="00452D2D" w:rsidRDefault="00C039E1" w:rsidP="00760305">
            <w:pPr>
              <w:jc w:val="right"/>
              <w:rPr>
                <w:b/>
                <w:color w:val="FFFFFF" w:themeColor="background1"/>
                <w:sz w:val="18"/>
                <w:szCs w:val="18"/>
              </w:rPr>
            </w:pPr>
            <w:r w:rsidRPr="00452D2D">
              <w:rPr>
                <w:b/>
                <w:color w:val="FFFFFF" w:themeColor="background1"/>
                <w:sz w:val="18"/>
                <w:szCs w:val="18"/>
              </w:rPr>
              <w:t>16</w:t>
            </w:r>
            <w:r w:rsidR="00760305" w:rsidRPr="00452D2D">
              <w:rPr>
                <w:b/>
                <w:color w:val="FFFFFF" w:themeColor="background1"/>
                <w:sz w:val="18"/>
                <w:szCs w:val="18"/>
              </w:rPr>
              <w:t>,</w:t>
            </w:r>
            <w:r w:rsidRPr="00452D2D">
              <w:rPr>
                <w:b/>
                <w:color w:val="FFFFFF" w:themeColor="background1"/>
                <w:sz w:val="18"/>
                <w:szCs w:val="18"/>
              </w:rPr>
              <w:t>7</w:t>
            </w:r>
          </w:p>
        </w:tc>
        <w:tc>
          <w:tcPr>
            <w:tcW w:w="1418" w:type="dxa"/>
            <w:shd w:val="clear" w:color="auto" w:fill="7F7F7F" w:themeFill="text1" w:themeFillTint="80"/>
            <w:vAlign w:val="center"/>
          </w:tcPr>
          <w:p w14:paraId="10C5D683" w14:textId="61529230" w:rsidR="00DF31CF" w:rsidRPr="00452D2D" w:rsidRDefault="00C039E1" w:rsidP="00760305">
            <w:pPr>
              <w:jc w:val="right"/>
              <w:rPr>
                <w:b/>
                <w:color w:val="FFFFFF" w:themeColor="background1"/>
                <w:sz w:val="18"/>
                <w:szCs w:val="18"/>
              </w:rPr>
            </w:pPr>
            <w:r w:rsidRPr="00452D2D">
              <w:rPr>
                <w:b/>
                <w:color w:val="FFFFFF" w:themeColor="background1"/>
                <w:sz w:val="18"/>
                <w:szCs w:val="18"/>
              </w:rPr>
              <w:t>1</w:t>
            </w:r>
            <w:r w:rsidR="00760305" w:rsidRPr="00452D2D">
              <w:rPr>
                <w:b/>
                <w:color w:val="FFFFFF" w:themeColor="background1"/>
                <w:sz w:val="18"/>
                <w:szCs w:val="18"/>
              </w:rPr>
              <w:t>,</w:t>
            </w:r>
            <w:r w:rsidRPr="00452D2D">
              <w:rPr>
                <w:b/>
                <w:color w:val="FFFFFF" w:themeColor="background1"/>
                <w:sz w:val="18"/>
                <w:szCs w:val="18"/>
              </w:rPr>
              <w:t>6</w:t>
            </w:r>
          </w:p>
        </w:tc>
        <w:tc>
          <w:tcPr>
            <w:tcW w:w="1274" w:type="dxa"/>
            <w:shd w:val="clear" w:color="auto" w:fill="7F7F7F" w:themeFill="text1" w:themeFillTint="80"/>
            <w:vAlign w:val="center"/>
          </w:tcPr>
          <w:p w14:paraId="10C318B0" w14:textId="19B3905B" w:rsidR="00DF31CF" w:rsidRPr="00452D2D" w:rsidRDefault="00C039E1" w:rsidP="00760305">
            <w:pPr>
              <w:jc w:val="right"/>
              <w:rPr>
                <w:b/>
                <w:color w:val="FFFFFF" w:themeColor="background1"/>
                <w:sz w:val="18"/>
                <w:szCs w:val="18"/>
              </w:rPr>
            </w:pPr>
            <w:r w:rsidRPr="00452D2D">
              <w:rPr>
                <w:b/>
                <w:color w:val="FFFFFF" w:themeColor="background1"/>
                <w:sz w:val="18"/>
                <w:szCs w:val="18"/>
              </w:rPr>
              <w:t>18</w:t>
            </w:r>
            <w:r w:rsidR="00760305" w:rsidRPr="00452D2D">
              <w:rPr>
                <w:b/>
                <w:color w:val="FFFFFF" w:themeColor="background1"/>
                <w:sz w:val="18"/>
                <w:szCs w:val="18"/>
              </w:rPr>
              <w:t>,</w:t>
            </w:r>
            <w:r w:rsidRPr="00452D2D">
              <w:rPr>
                <w:b/>
                <w:color w:val="FFFFFF" w:themeColor="background1"/>
                <w:sz w:val="18"/>
                <w:szCs w:val="18"/>
              </w:rPr>
              <w:t>3</w:t>
            </w:r>
          </w:p>
        </w:tc>
      </w:tr>
      <w:tr w:rsidR="00DC14C9" w:rsidRPr="00E67314" w14:paraId="2BEAA609" w14:textId="77777777" w:rsidTr="00075913">
        <w:trPr>
          <w:jc w:val="center"/>
        </w:trPr>
        <w:tc>
          <w:tcPr>
            <w:tcW w:w="0" w:type="auto"/>
            <w:shd w:val="clear" w:color="auto" w:fill="7F7F7F" w:themeFill="text1" w:themeFillTint="80"/>
          </w:tcPr>
          <w:p w14:paraId="61621805" w14:textId="474F1941" w:rsidR="00DF31CF" w:rsidRPr="00452D2D" w:rsidRDefault="00E67314" w:rsidP="00DF31CF">
            <w:pPr>
              <w:jc w:val="both"/>
              <w:rPr>
                <w:b/>
                <w:color w:val="FFFFFF" w:themeColor="background1"/>
                <w:sz w:val="18"/>
                <w:szCs w:val="18"/>
              </w:rPr>
            </w:pPr>
            <w:r w:rsidRPr="00452D2D">
              <w:rPr>
                <w:rFonts w:eastAsia="Times New Roman" w:cs="Times New Roman"/>
                <w:b/>
                <w:color w:val="FFFFFF" w:themeColor="background1"/>
                <w:sz w:val="18"/>
                <w:szCs w:val="18"/>
                <w:lang w:eastAsia="pt-BR"/>
              </w:rPr>
              <w:t>Total de Despesas (II + IV + V)</w:t>
            </w:r>
          </w:p>
        </w:tc>
        <w:tc>
          <w:tcPr>
            <w:tcW w:w="1385" w:type="dxa"/>
            <w:shd w:val="clear" w:color="auto" w:fill="7F7F7F" w:themeFill="text1" w:themeFillTint="80"/>
            <w:vAlign w:val="center"/>
          </w:tcPr>
          <w:p w14:paraId="0B406225" w14:textId="56229F52" w:rsidR="00DF31CF" w:rsidRPr="00452D2D" w:rsidRDefault="00760305" w:rsidP="00760305">
            <w:pPr>
              <w:jc w:val="right"/>
              <w:rPr>
                <w:b/>
                <w:color w:val="FFFFFF" w:themeColor="background1"/>
                <w:sz w:val="18"/>
                <w:szCs w:val="18"/>
              </w:rPr>
            </w:pPr>
            <w:r w:rsidRPr="00452D2D">
              <w:rPr>
                <w:b/>
                <w:color w:val="FFFFFF" w:themeColor="background1"/>
                <w:sz w:val="18"/>
                <w:szCs w:val="18"/>
              </w:rPr>
              <w:t>3</w:t>
            </w:r>
            <w:r w:rsidR="00C039E1" w:rsidRPr="00452D2D">
              <w:rPr>
                <w:b/>
                <w:color w:val="FFFFFF" w:themeColor="background1"/>
                <w:sz w:val="18"/>
                <w:szCs w:val="18"/>
              </w:rPr>
              <w:t>56</w:t>
            </w:r>
            <w:r w:rsidRPr="00452D2D">
              <w:rPr>
                <w:b/>
                <w:color w:val="FFFFFF" w:themeColor="background1"/>
                <w:sz w:val="18"/>
                <w:szCs w:val="18"/>
              </w:rPr>
              <w:t>,</w:t>
            </w:r>
            <w:r w:rsidR="00C039E1" w:rsidRPr="00452D2D">
              <w:rPr>
                <w:b/>
                <w:color w:val="FFFFFF" w:themeColor="background1"/>
                <w:sz w:val="18"/>
                <w:szCs w:val="18"/>
              </w:rPr>
              <w:t>9</w:t>
            </w:r>
          </w:p>
        </w:tc>
        <w:tc>
          <w:tcPr>
            <w:tcW w:w="1345" w:type="dxa"/>
            <w:shd w:val="clear" w:color="auto" w:fill="7F7F7F" w:themeFill="text1" w:themeFillTint="80"/>
            <w:vAlign w:val="center"/>
          </w:tcPr>
          <w:p w14:paraId="4001CF40" w14:textId="4F4B763F" w:rsidR="00DF31CF" w:rsidRPr="00452D2D" w:rsidRDefault="00760305" w:rsidP="00760305">
            <w:pPr>
              <w:jc w:val="right"/>
              <w:rPr>
                <w:b/>
                <w:color w:val="FFFFFF" w:themeColor="background1"/>
                <w:sz w:val="18"/>
                <w:szCs w:val="18"/>
              </w:rPr>
            </w:pPr>
            <w:r w:rsidRPr="00452D2D">
              <w:rPr>
                <w:b/>
                <w:color w:val="FFFFFF" w:themeColor="background1"/>
                <w:sz w:val="18"/>
                <w:szCs w:val="18"/>
              </w:rPr>
              <w:t>3</w:t>
            </w:r>
            <w:r w:rsidR="00C039E1" w:rsidRPr="00452D2D">
              <w:rPr>
                <w:b/>
                <w:color w:val="FFFFFF" w:themeColor="background1"/>
                <w:sz w:val="18"/>
                <w:szCs w:val="18"/>
              </w:rPr>
              <w:t>86</w:t>
            </w:r>
            <w:r w:rsidRPr="00452D2D">
              <w:rPr>
                <w:b/>
                <w:color w:val="FFFFFF" w:themeColor="background1"/>
                <w:sz w:val="18"/>
                <w:szCs w:val="18"/>
              </w:rPr>
              <w:t>,</w:t>
            </w:r>
            <w:r w:rsidR="00C039E1" w:rsidRPr="00452D2D">
              <w:rPr>
                <w:b/>
                <w:color w:val="FFFFFF" w:themeColor="background1"/>
                <w:sz w:val="18"/>
                <w:szCs w:val="18"/>
              </w:rPr>
              <w:t>8</w:t>
            </w:r>
          </w:p>
        </w:tc>
        <w:tc>
          <w:tcPr>
            <w:tcW w:w="1418" w:type="dxa"/>
            <w:shd w:val="clear" w:color="auto" w:fill="7F7F7F" w:themeFill="text1" w:themeFillTint="80"/>
            <w:vAlign w:val="center"/>
          </w:tcPr>
          <w:p w14:paraId="2078B1BA" w14:textId="3C37ED15" w:rsidR="00DF31CF" w:rsidRPr="00452D2D" w:rsidRDefault="00760305" w:rsidP="00760305">
            <w:pPr>
              <w:jc w:val="right"/>
              <w:rPr>
                <w:b/>
                <w:color w:val="FFFFFF" w:themeColor="background1"/>
                <w:sz w:val="18"/>
                <w:szCs w:val="18"/>
              </w:rPr>
            </w:pPr>
            <w:r w:rsidRPr="00452D2D">
              <w:rPr>
                <w:b/>
                <w:color w:val="FFFFFF" w:themeColor="background1"/>
                <w:sz w:val="18"/>
                <w:szCs w:val="18"/>
              </w:rPr>
              <w:t>40</w:t>
            </w:r>
            <w:r w:rsidR="00C039E1" w:rsidRPr="00452D2D">
              <w:rPr>
                <w:b/>
                <w:color w:val="FFFFFF" w:themeColor="background1"/>
                <w:sz w:val="18"/>
                <w:szCs w:val="18"/>
              </w:rPr>
              <w:t>3</w:t>
            </w:r>
            <w:r w:rsidRPr="00452D2D">
              <w:rPr>
                <w:b/>
                <w:color w:val="FFFFFF" w:themeColor="background1"/>
                <w:sz w:val="18"/>
                <w:szCs w:val="18"/>
              </w:rPr>
              <w:t>,</w:t>
            </w:r>
            <w:r w:rsidR="005D01B2" w:rsidRPr="00452D2D">
              <w:rPr>
                <w:b/>
                <w:color w:val="FFFFFF" w:themeColor="background1"/>
                <w:sz w:val="18"/>
                <w:szCs w:val="18"/>
              </w:rPr>
              <w:t>3</w:t>
            </w:r>
          </w:p>
        </w:tc>
        <w:tc>
          <w:tcPr>
            <w:tcW w:w="1274" w:type="dxa"/>
            <w:shd w:val="clear" w:color="auto" w:fill="7F7F7F" w:themeFill="text1" w:themeFillTint="80"/>
            <w:vAlign w:val="center"/>
          </w:tcPr>
          <w:p w14:paraId="5147007D" w14:textId="306266D6" w:rsidR="00DF31CF" w:rsidRPr="00452D2D" w:rsidRDefault="00760305" w:rsidP="00760305">
            <w:pPr>
              <w:jc w:val="right"/>
              <w:rPr>
                <w:b/>
                <w:color w:val="FFFFFF" w:themeColor="background1"/>
                <w:sz w:val="18"/>
                <w:szCs w:val="18"/>
              </w:rPr>
            </w:pPr>
            <w:r w:rsidRPr="00452D2D">
              <w:rPr>
                <w:b/>
                <w:color w:val="FFFFFF" w:themeColor="background1"/>
                <w:sz w:val="18"/>
                <w:szCs w:val="18"/>
              </w:rPr>
              <w:t>7</w:t>
            </w:r>
            <w:r w:rsidR="00C039E1" w:rsidRPr="00452D2D">
              <w:rPr>
                <w:b/>
                <w:color w:val="FFFFFF" w:themeColor="background1"/>
                <w:sz w:val="18"/>
                <w:szCs w:val="18"/>
              </w:rPr>
              <w:t>90</w:t>
            </w:r>
            <w:r w:rsidRPr="00452D2D">
              <w:rPr>
                <w:b/>
                <w:color w:val="FFFFFF" w:themeColor="background1"/>
                <w:sz w:val="18"/>
                <w:szCs w:val="18"/>
              </w:rPr>
              <w:t>,</w:t>
            </w:r>
            <w:r w:rsidR="00C039E1" w:rsidRPr="00452D2D">
              <w:rPr>
                <w:b/>
                <w:color w:val="FFFFFF" w:themeColor="background1"/>
                <w:sz w:val="18"/>
                <w:szCs w:val="18"/>
              </w:rPr>
              <w:t>1</w:t>
            </w:r>
          </w:p>
        </w:tc>
      </w:tr>
      <w:tr w:rsidR="00DC14C9" w:rsidRPr="00E67314" w14:paraId="121F0BC0" w14:textId="77777777" w:rsidTr="00075913">
        <w:trPr>
          <w:jc w:val="center"/>
        </w:trPr>
        <w:tc>
          <w:tcPr>
            <w:tcW w:w="0" w:type="auto"/>
            <w:tcBorders>
              <w:bottom w:val="single" w:sz="4" w:space="0" w:color="BFBFBF" w:themeColor="background1" w:themeShade="BF"/>
            </w:tcBorders>
            <w:shd w:val="clear" w:color="auto" w:fill="7F7F7F" w:themeFill="text1" w:themeFillTint="80"/>
          </w:tcPr>
          <w:p w14:paraId="5F7D87EA" w14:textId="4088A7E2" w:rsidR="00760305" w:rsidRPr="00452D2D" w:rsidRDefault="00E67314" w:rsidP="00760305">
            <w:pPr>
              <w:jc w:val="both"/>
              <w:rPr>
                <w:b/>
                <w:color w:val="FFFFFF" w:themeColor="background1"/>
                <w:sz w:val="18"/>
                <w:szCs w:val="18"/>
              </w:rPr>
            </w:pPr>
            <w:r w:rsidRPr="00452D2D">
              <w:rPr>
                <w:rFonts w:eastAsia="Times New Roman" w:cs="Times New Roman"/>
                <w:b/>
                <w:color w:val="FFFFFF" w:themeColor="background1"/>
                <w:sz w:val="18"/>
                <w:szCs w:val="18"/>
                <w:lang w:eastAsia="pt-BR"/>
              </w:rPr>
              <w:t>Total de Resultado (III + IV + V)</w:t>
            </w:r>
          </w:p>
        </w:tc>
        <w:tc>
          <w:tcPr>
            <w:tcW w:w="1385" w:type="dxa"/>
            <w:tcBorders>
              <w:bottom w:val="single" w:sz="4" w:space="0" w:color="BFBFBF" w:themeColor="background1" w:themeShade="BF"/>
            </w:tcBorders>
            <w:shd w:val="clear" w:color="auto" w:fill="7F7F7F" w:themeFill="text1" w:themeFillTint="80"/>
            <w:vAlign w:val="center"/>
          </w:tcPr>
          <w:p w14:paraId="6DD3F924" w14:textId="46643BC9" w:rsidR="00760305" w:rsidRPr="00452D2D" w:rsidRDefault="00760305" w:rsidP="00760305">
            <w:pPr>
              <w:jc w:val="right"/>
              <w:rPr>
                <w:b/>
                <w:color w:val="FFFFFF" w:themeColor="background1"/>
                <w:sz w:val="18"/>
                <w:szCs w:val="18"/>
              </w:rPr>
            </w:pPr>
            <w:r w:rsidRPr="00452D2D">
              <w:rPr>
                <w:b/>
                <w:color w:val="FFFFFF" w:themeColor="background1"/>
                <w:sz w:val="18"/>
                <w:szCs w:val="18"/>
              </w:rPr>
              <w:t>3</w:t>
            </w:r>
            <w:r w:rsidR="00C039E1" w:rsidRPr="00452D2D">
              <w:rPr>
                <w:b/>
                <w:color w:val="FFFFFF" w:themeColor="background1"/>
                <w:sz w:val="18"/>
                <w:szCs w:val="18"/>
              </w:rPr>
              <w:t>41</w:t>
            </w:r>
            <w:r w:rsidRPr="00452D2D">
              <w:rPr>
                <w:b/>
                <w:color w:val="FFFFFF" w:themeColor="background1"/>
                <w:sz w:val="18"/>
                <w:szCs w:val="18"/>
              </w:rPr>
              <w:t>,</w:t>
            </w:r>
            <w:r w:rsidR="00C039E1" w:rsidRPr="00452D2D">
              <w:rPr>
                <w:b/>
                <w:color w:val="FFFFFF" w:themeColor="background1"/>
                <w:sz w:val="18"/>
                <w:szCs w:val="18"/>
              </w:rPr>
              <w:t>4</w:t>
            </w:r>
          </w:p>
        </w:tc>
        <w:tc>
          <w:tcPr>
            <w:tcW w:w="1345" w:type="dxa"/>
            <w:tcBorders>
              <w:bottom w:val="single" w:sz="4" w:space="0" w:color="BFBFBF" w:themeColor="background1" w:themeShade="BF"/>
            </w:tcBorders>
            <w:shd w:val="clear" w:color="auto" w:fill="7F7F7F" w:themeFill="text1" w:themeFillTint="80"/>
            <w:vAlign w:val="center"/>
          </w:tcPr>
          <w:p w14:paraId="7809D1CF" w14:textId="0488DE45" w:rsidR="00760305" w:rsidRPr="00452D2D" w:rsidRDefault="00760305" w:rsidP="00760305">
            <w:pPr>
              <w:jc w:val="right"/>
              <w:rPr>
                <w:b/>
                <w:color w:val="FFFFFF" w:themeColor="background1"/>
                <w:sz w:val="18"/>
                <w:szCs w:val="18"/>
              </w:rPr>
            </w:pPr>
            <w:r w:rsidRPr="00452D2D">
              <w:rPr>
                <w:b/>
                <w:color w:val="FFFFFF" w:themeColor="background1"/>
                <w:sz w:val="18"/>
                <w:szCs w:val="18"/>
              </w:rPr>
              <w:t>3</w:t>
            </w:r>
            <w:r w:rsidR="00C039E1" w:rsidRPr="00452D2D">
              <w:rPr>
                <w:b/>
                <w:color w:val="FFFFFF" w:themeColor="background1"/>
                <w:sz w:val="18"/>
                <w:szCs w:val="18"/>
              </w:rPr>
              <w:t>70</w:t>
            </w:r>
            <w:r w:rsidRPr="00452D2D">
              <w:rPr>
                <w:b/>
                <w:color w:val="FFFFFF" w:themeColor="background1"/>
                <w:sz w:val="18"/>
                <w:szCs w:val="18"/>
              </w:rPr>
              <w:t>,</w:t>
            </w:r>
            <w:r w:rsidR="00C039E1" w:rsidRPr="00452D2D">
              <w:rPr>
                <w:b/>
                <w:color w:val="FFFFFF" w:themeColor="background1"/>
                <w:sz w:val="18"/>
                <w:szCs w:val="18"/>
              </w:rPr>
              <w:t>1</w:t>
            </w:r>
          </w:p>
        </w:tc>
        <w:tc>
          <w:tcPr>
            <w:tcW w:w="1418" w:type="dxa"/>
            <w:tcBorders>
              <w:bottom w:val="single" w:sz="4" w:space="0" w:color="BFBFBF" w:themeColor="background1" w:themeShade="BF"/>
            </w:tcBorders>
            <w:shd w:val="clear" w:color="auto" w:fill="7F7F7F" w:themeFill="text1" w:themeFillTint="80"/>
            <w:vAlign w:val="center"/>
          </w:tcPr>
          <w:p w14:paraId="2BC2FC98" w14:textId="49F86DCC" w:rsidR="00760305" w:rsidRPr="00452D2D" w:rsidRDefault="00760305" w:rsidP="00760305">
            <w:pPr>
              <w:jc w:val="right"/>
              <w:rPr>
                <w:b/>
                <w:color w:val="FFFFFF" w:themeColor="background1"/>
                <w:sz w:val="18"/>
                <w:szCs w:val="18"/>
              </w:rPr>
            </w:pPr>
            <w:r w:rsidRPr="00452D2D">
              <w:rPr>
                <w:b/>
                <w:color w:val="FFFFFF" w:themeColor="background1"/>
                <w:sz w:val="18"/>
                <w:szCs w:val="18"/>
              </w:rPr>
              <w:t>40</w:t>
            </w:r>
            <w:r w:rsidR="00C039E1" w:rsidRPr="00452D2D">
              <w:rPr>
                <w:b/>
                <w:color w:val="FFFFFF" w:themeColor="background1"/>
                <w:sz w:val="18"/>
                <w:szCs w:val="18"/>
              </w:rPr>
              <w:t>1</w:t>
            </w:r>
            <w:r w:rsidRPr="00452D2D">
              <w:rPr>
                <w:b/>
                <w:color w:val="FFFFFF" w:themeColor="background1"/>
                <w:sz w:val="18"/>
                <w:szCs w:val="18"/>
              </w:rPr>
              <w:t>,</w:t>
            </w:r>
            <w:r w:rsidR="00C039E1" w:rsidRPr="00452D2D">
              <w:rPr>
                <w:b/>
                <w:color w:val="FFFFFF" w:themeColor="background1"/>
                <w:sz w:val="18"/>
                <w:szCs w:val="18"/>
              </w:rPr>
              <w:t>7</w:t>
            </w:r>
          </w:p>
        </w:tc>
        <w:tc>
          <w:tcPr>
            <w:tcW w:w="1274" w:type="dxa"/>
            <w:tcBorders>
              <w:bottom w:val="single" w:sz="4" w:space="0" w:color="BFBFBF" w:themeColor="background1" w:themeShade="BF"/>
            </w:tcBorders>
            <w:shd w:val="clear" w:color="auto" w:fill="7F7F7F" w:themeFill="text1" w:themeFillTint="80"/>
            <w:vAlign w:val="center"/>
          </w:tcPr>
          <w:p w14:paraId="72611993" w14:textId="36FA3ED4" w:rsidR="00760305" w:rsidRPr="00452D2D" w:rsidRDefault="00760305" w:rsidP="00760305">
            <w:pPr>
              <w:jc w:val="right"/>
              <w:rPr>
                <w:b/>
                <w:color w:val="FFFFFF" w:themeColor="background1"/>
                <w:sz w:val="18"/>
                <w:szCs w:val="18"/>
              </w:rPr>
            </w:pPr>
            <w:r w:rsidRPr="00452D2D">
              <w:rPr>
                <w:b/>
                <w:color w:val="FFFFFF" w:themeColor="background1"/>
                <w:sz w:val="18"/>
                <w:szCs w:val="18"/>
              </w:rPr>
              <w:t>7</w:t>
            </w:r>
            <w:r w:rsidR="00C039E1" w:rsidRPr="00452D2D">
              <w:rPr>
                <w:b/>
                <w:color w:val="FFFFFF" w:themeColor="background1"/>
                <w:sz w:val="18"/>
                <w:szCs w:val="18"/>
              </w:rPr>
              <w:t>71</w:t>
            </w:r>
            <w:r w:rsidRPr="00452D2D">
              <w:rPr>
                <w:b/>
                <w:color w:val="FFFFFF" w:themeColor="background1"/>
                <w:sz w:val="18"/>
                <w:szCs w:val="18"/>
              </w:rPr>
              <w:t>,</w:t>
            </w:r>
            <w:r w:rsidR="00C039E1" w:rsidRPr="00452D2D">
              <w:rPr>
                <w:b/>
                <w:color w:val="FFFFFF" w:themeColor="background1"/>
                <w:sz w:val="18"/>
                <w:szCs w:val="18"/>
              </w:rPr>
              <w:t>9</w:t>
            </w:r>
          </w:p>
        </w:tc>
      </w:tr>
      <w:tr w:rsidR="00760305" w:rsidRPr="00760305" w14:paraId="7FA112FD" w14:textId="77777777" w:rsidTr="00075913">
        <w:trPr>
          <w:jc w:val="center"/>
        </w:trPr>
        <w:tc>
          <w:tcPr>
            <w:tcW w:w="7937" w:type="dxa"/>
            <w:gridSpan w:val="5"/>
            <w:tcBorders>
              <w:top w:val="single" w:sz="4" w:space="0" w:color="BFBFBF" w:themeColor="background1" w:themeShade="BF"/>
              <w:left w:val="nil"/>
              <w:bottom w:val="nil"/>
              <w:right w:val="nil"/>
            </w:tcBorders>
          </w:tcPr>
          <w:p w14:paraId="3E428BF1" w14:textId="6BADB314" w:rsidR="00EB53F0" w:rsidRPr="001E1FFB" w:rsidRDefault="00EB53F0" w:rsidP="00EB53F0">
            <w:pPr>
              <w:rPr>
                <w:rFonts w:eastAsia="Times New Roman" w:cs="Times New Roman"/>
                <w:i/>
                <w:color w:val="000000"/>
                <w:sz w:val="16"/>
                <w:szCs w:val="16"/>
                <w:lang w:eastAsia="pt-BR"/>
              </w:rPr>
            </w:pPr>
            <w:proofErr w:type="gramStart"/>
            <w:r w:rsidRPr="001E1FFB">
              <w:rPr>
                <w:rFonts w:eastAsia="Times New Roman" w:cs="Times New Roman"/>
                <w:i/>
                <w:color w:val="000000"/>
                <w:sz w:val="16"/>
                <w:szCs w:val="16"/>
                <w:vertAlign w:val="superscript"/>
                <w:lang w:eastAsia="pt-BR"/>
              </w:rPr>
              <w:t>1</w:t>
            </w:r>
            <w:proofErr w:type="gramEnd"/>
            <w:r w:rsidRPr="001E1FFB">
              <w:rPr>
                <w:rFonts w:eastAsia="Times New Roman" w:cs="Times New Roman"/>
                <w:i/>
                <w:color w:val="000000"/>
                <w:sz w:val="16"/>
                <w:szCs w:val="16"/>
                <w:vertAlign w:val="superscript"/>
                <w:lang w:eastAsia="pt-BR"/>
              </w:rPr>
              <w:t xml:space="preserve"> </w:t>
            </w:r>
            <w:r w:rsidRPr="001E1FFB">
              <w:rPr>
                <w:rFonts w:eastAsia="Times New Roman" w:cs="Times New Roman"/>
                <w:i/>
                <w:color w:val="000000"/>
                <w:sz w:val="16"/>
                <w:szCs w:val="16"/>
                <w:lang w:eastAsia="pt-BR"/>
              </w:rPr>
              <w:t>A variação no INPC impacta diretamente as despesas cujo reajuste é associado à sua variação e,</w:t>
            </w:r>
            <w:r w:rsidR="00296AF5">
              <w:rPr>
                <w:rFonts w:eastAsia="Times New Roman" w:cs="Times New Roman"/>
                <w:i/>
                <w:color w:val="000000"/>
                <w:sz w:val="16"/>
                <w:szCs w:val="16"/>
                <w:lang w:eastAsia="pt-BR"/>
              </w:rPr>
              <w:t xml:space="preserve"> </w:t>
            </w:r>
            <w:r w:rsidRPr="001E1FFB">
              <w:rPr>
                <w:rFonts w:eastAsia="Times New Roman" w:cs="Times New Roman"/>
                <w:i/>
                <w:color w:val="000000"/>
                <w:sz w:val="16"/>
                <w:szCs w:val="16"/>
                <w:lang w:eastAsia="pt-BR"/>
              </w:rPr>
              <w:t xml:space="preserve">de forma indireta, a partir de seu impacto sobre o reajuste do </w:t>
            </w:r>
            <w:r w:rsidR="00560FB4">
              <w:rPr>
                <w:rFonts w:eastAsia="Times New Roman" w:cs="Times New Roman"/>
                <w:i/>
                <w:color w:val="000000"/>
                <w:sz w:val="16"/>
                <w:szCs w:val="16"/>
                <w:lang w:eastAsia="pt-BR"/>
              </w:rPr>
              <w:t>S</w:t>
            </w:r>
            <w:r w:rsidR="007F5F56" w:rsidRPr="007F5F56">
              <w:rPr>
                <w:rFonts w:eastAsia="Times New Roman" w:cs="Times New Roman"/>
                <w:i/>
                <w:color w:val="000000"/>
                <w:sz w:val="16"/>
                <w:szCs w:val="16"/>
                <w:lang w:eastAsia="pt-BR"/>
              </w:rPr>
              <w:t>alário</w:t>
            </w:r>
            <w:r w:rsidR="00560FB4">
              <w:rPr>
                <w:rFonts w:eastAsia="Times New Roman" w:cs="Times New Roman"/>
                <w:i/>
                <w:color w:val="000000"/>
                <w:sz w:val="16"/>
                <w:szCs w:val="16"/>
                <w:lang w:eastAsia="pt-BR"/>
              </w:rPr>
              <w:t>-M</w:t>
            </w:r>
            <w:r w:rsidR="007F5F56" w:rsidRPr="007F5F56">
              <w:rPr>
                <w:rFonts w:eastAsia="Times New Roman" w:cs="Times New Roman"/>
                <w:i/>
                <w:color w:val="000000"/>
                <w:sz w:val="16"/>
                <w:szCs w:val="16"/>
                <w:lang w:eastAsia="pt-BR"/>
              </w:rPr>
              <w:t>ínimo.</w:t>
            </w:r>
            <w:r w:rsidRPr="001E1FFB">
              <w:rPr>
                <w:rFonts w:eastAsia="Times New Roman" w:cs="Times New Roman"/>
                <w:i/>
                <w:color w:val="000000"/>
                <w:sz w:val="16"/>
                <w:szCs w:val="16"/>
                <w:lang w:eastAsia="pt-BR"/>
              </w:rPr>
              <w:t xml:space="preserve"> Dado seu impacto no</w:t>
            </w:r>
            <w:r w:rsidR="00296AF5">
              <w:rPr>
                <w:rFonts w:eastAsia="Times New Roman" w:cs="Times New Roman"/>
                <w:i/>
                <w:color w:val="000000"/>
                <w:sz w:val="16"/>
                <w:szCs w:val="16"/>
                <w:lang w:eastAsia="pt-BR"/>
              </w:rPr>
              <w:t xml:space="preserve"> </w:t>
            </w:r>
            <w:r w:rsidR="00C75866">
              <w:rPr>
                <w:rFonts w:eastAsia="Times New Roman" w:cs="Times New Roman"/>
                <w:i/>
                <w:color w:val="000000"/>
                <w:sz w:val="16"/>
                <w:szCs w:val="16"/>
                <w:lang w:eastAsia="pt-BR"/>
              </w:rPr>
              <w:t>S</w:t>
            </w:r>
            <w:r w:rsidR="007F5F56" w:rsidRPr="007F5F56">
              <w:rPr>
                <w:rFonts w:eastAsia="Times New Roman" w:cs="Times New Roman"/>
                <w:i/>
                <w:color w:val="000000"/>
                <w:sz w:val="16"/>
                <w:szCs w:val="16"/>
                <w:lang w:eastAsia="pt-BR"/>
              </w:rPr>
              <w:t>alário</w:t>
            </w:r>
            <w:r w:rsidR="008C633C">
              <w:rPr>
                <w:rFonts w:eastAsia="Times New Roman" w:cs="Times New Roman"/>
                <w:i/>
                <w:color w:val="000000"/>
                <w:sz w:val="16"/>
                <w:szCs w:val="16"/>
                <w:lang w:eastAsia="pt-BR"/>
              </w:rPr>
              <w:t>-M</w:t>
            </w:r>
            <w:r w:rsidR="007F5F56" w:rsidRPr="007F5F56">
              <w:rPr>
                <w:rFonts w:eastAsia="Times New Roman" w:cs="Times New Roman"/>
                <w:i/>
                <w:color w:val="000000"/>
                <w:sz w:val="16"/>
                <w:szCs w:val="16"/>
                <w:lang w:eastAsia="pt-BR"/>
              </w:rPr>
              <w:t>ínimo</w:t>
            </w:r>
            <w:r w:rsidRPr="001E1FFB">
              <w:rPr>
                <w:rFonts w:eastAsia="Times New Roman" w:cs="Times New Roman"/>
                <w:i/>
                <w:color w:val="000000"/>
                <w:sz w:val="16"/>
                <w:szCs w:val="16"/>
                <w:lang w:eastAsia="pt-BR"/>
              </w:rPr>
              <w:t xml:space="preserve"> e a diferença nas métricas de variação, não devem ser </w:t>
            </w:r>
            <w:proofErr w:type="gramStart"/>
            <w:r w:rsidRPr="001E1FFB">
              <w:rPr>
                <w:rFonts w:eastAsia="Times New Roman" w:cs="Times New Roman"/>
                <w:i/>
                <w:color w:val="000000"/>
                <w:sz w:val="16"/>
                <w:szCs w:val="16"/>
                <w:lang w:eastAsia="pt-BR"/>
              </w:rPr>
              <w:t>somadas</w:t>
            </w:r>
            <w:proofErr w:type="gramEnd"/>
            <w:r w:rsidRPr="001E1FFB">
              <w:rPr>
                <w:rFonts w:eastAsia="Times New Roman" w:cs="Times New Roman"/>
                <w:i/>
                <w:color w:val="000000"/>
                <w:sz w:val="16"/>
                <w:szCs w:val="16"/>
                <w:lang w:eastAsia="pt-BR"/>
              </w:rPr>
              <w:t xml:space="preserve"> a primeira e a última</w:t>
            </w:r>
            <w:r w:rsidR="00330F47">
              <w:rPr>
                <w:rFonts w:eastAsia="Times New Roman" w:cs="Times New Roman"/>
                <w:i/>
                <w:color w:val="000000"/>
                <w:sz w:val="16"/>
                <w:szCs w:val="16"/>
                <w:lang w:eastAsia="pt-BR"/>
              </w:rPr>
              <w:t xml:space="preserve"> </w:t>
            </w:r>
            <w:r w:rsidRPr="001E1FFB">
              <w:rPr>
                <w:rFonts w:eastAsia="Times New Roman" w:cs="Times New Roman"/>
                <w:i/>
                <w:color w:val="000000"/>
                <w:sz w:val="16"/>
                <w:szCs w:val="16"/>
                <w:lang w:eastAsia="pt-BR"/>
              </w:rPr>
              <w:t>coluna da tabela acima</w:t>
            </w:r>
            <w:r w:rsidR="007F5F56" w:rsidRPr="007F5F56">
              <w:rPr>
                <w:rFonts w:eastAsia="Times New Roman" w:cs="Times New Roman"/>
                <w:i/>
                <w:color w:val="000000"/>
                <w:sz w:val="16"/>
                <w:szCs w:val="16"/>
                <w:lang w:eastAsia="pt-BR"/>
              </w:rPr>
              <w:t>.</w:t>
            </w:r>
          </w:p>
          <w:p w14:paraId="1BCF6D4E" w14:textId="19FF7D83" w:rsidR="00760305" w:rsidRPr="00760305" w:rsidRDefault="00EB53F0" w:rsidP="00EB53F0">
            <w:pPr>
              <w:rPr>
                <w:sz w:val="18"/>
                <w:szCs w:val="18"/>
              </w:rPr>
            </w:pPr>
            <w:r w:rsidRPr="001E1FFB">
              <w:rPr>
                <w:rFonts w:eastAsia="Times New Roman" w:cs="Times New Roman"/>
                <w:b/>
                <w:i/>
                <w:color w:val="000000"/>
                <w:sz w:val="16"/>
                <w:szCs w:val="16"/>
                <w:lang w:eastAsia="pt-BR"/>
              </w:rPr>
              <w:t>Fonte e elaboração:</w:t>
            </w:r>
            <w:r w:rsidRPr="001E1FFB">
              <w:rPr>
                <w:rFonts w:eastAsia="Times New Roman" w:cs="Times New Roman"/>
                <w:i/>
                <w:color w:val="000000"/>
                <w:sz w:val="16"/>
                <w:szCs w:val="16"/>
                <w:lang w:eastAsia="pt-BR"/>
              </w:rPr>
              <w:t xml:space="preserve"> STN/ME.</w:t>
            </w:r>
          </w:p>
        </w:tc>
      </w:tr>
    </w:tbl>
    <w:p w14:paraId="38C9F2C3" w14:textId="77777777" w:rsidR="005F373A" w:rsidRDefault="005F373A" w:rsidP="00C4738C">
      <w:pPr>
        <w:spacing w:after="120" w:line="240" w:lineRule="auto"/>
        <w:ind w:firstLine="1418"/>
        <w:jc w:val="both"/>
        <w:rPr>
          <w:sz w:val="24"/>
          <w:szCs w:val="24"/>
        </w:rPr>
      </w:pPr>
      <w:bookmarkStart w:id="79" w:name="_Hlk4148534"/>
      <w:bookmarkEnd w:id="76"/>
    </w:p>
    <w:p w14:paraId="3C49831C" w14:textId="1CFC996F" w:rsidR="00C4738C" w:rsidRPr="00AF4BF3" w:rsidRDefault="00B32D7E" w:rsidP="00C4738C">
      <w:pPr>
        <w:spacing w:after="120" w:line="240" w:lineRule="auto"/>
        <w:ind w:firstLine="1418"/>
        <w:jc w:val="both"/>
        <w:rPr>
          <w:sz w:val="24"/>
          <w:szCs w:val="24"/>
        </w:rPr>
      </w:pPr>
      <w:r w:rsidRPr="00AF4BF3">
        <w:rPr>
          <w:sz w:val="24"/>
          <w:szCs w:val="24"/>
        </w:rPr>
        <w:t>Outra análise possível em relação à variação dos parâmetros macroeconômicos é a do impacto do IPCA no limite das despesas sujeitas à Emenda Constitucional</w:t>
      </w:r>
      <w:r w:rsidR="00F8534D" w:rsidRPr="00AF4BF3">
        <w:rPr>
          <w:sz w:val="24"/>
          <w:szCs w:val="24"/>
        </w:rPr>
        <w:t xml:space="preserve"> nº 95</w:t>
      </w:r>
      <w:r w:rsidR="00B00D66" w:rsidRPr="00AF4BF3">
        <w:rPr>
          <w:rStyle w:val="Refdenotaderodap"/>
          <w:sz w:val="24"/>
          <w:szCs w:val="24"/>
        </w:rPr>
        <w:footnoteReference w:id="6"/>
      </w:r>
      <w:r w:rsidR="00F8534D" w:rsidRPr="00AF4BF3">
        <w:rPr>
          <w:sz w:val="24"/>
          <w:szCs w:val="24"/>
        </w:rPr>
        <w:t xml:space="preserve">, </w:t>
      </w:r>
      <w:bookmarkEnd w:id="79"/>
      <w:r w:rsidR="00A211C3" w:rsidRPr="00AF4BF3">
        <w:rPr>
          <w:sz w:val="24"/>
          <w:szCs w:val="24"/>
        </w:rPr>
        <w:t xml:space="preserve">uma vez que o limite é corrigido pela variação do IPCA para o período de 12 meses encerrado em junho do exercício anterior a que se refere </w:t>
      </w:r>
      <w:proofErr w:type="gramStart"/>
      <w:r w:rsidR="00A211C3" w:rsidRPr="00AF4BF3">
        <w:rPr>
          <w:sz w:val="24"/>
          <w:szCs w:val="24"/>
        </w:rPr>
        <w:t>a</w:t>
      </w:r>
      <w:proofErr w:type="gramEnd"/>
      <w:r w:rsidR="00A211C3" w:rsidRPr="00AF4BF3">
        <w:rPr>
          <w:sz w:val="24"/>
          <w:szCs w:val="24"/>
        </w:rPr>
        <w:t xml:space="preserve"> lei orçamentária. Para 202</w:t>
      </w:r>
      <w:r w:rsidR="00BD776B">
        <w:rPr>
          <w:sz w:val="24"/>
          <w:szCs w:val="24"/>
        </w:rPr>
        <w:t>2</w:t>
      </w:r>
      <w:r w:rsidR="00A211C3" w:rsidRPr="00AF4BF3">
        <w:rPr>
          <w:sz w:val="24"/>
          <w:szCs w:val="24"/>
        </w:rPr>
        <w:t xml:space="preserve">, como demonstra a </w:t>
      </w:r>
      <w:r w:rsidR="00935441">
        <w:rPr>
          <w:sz w:val="24"/>
          <w:szCs w:val="24"/>
        </w:rPr>
        <w:fldChar w:fldCharType="begin"/>
      </w:r>
      <w:r w:rsidR="00935441">
        <w:rPr>
          <w:sz w:val="24"/>
          <w:szCs w:val="24"/>
        </w:rPr>
        <w:instrText xml:space="preserve"> REF _Ref5618087 \h  \* MERGEFORMAT </w:instrText>
      </w:r>
      <w:r w:rsidR="00935441">
        <w:rPr>
          <w:sz w:val="24"/>
          <w:szCs w:val="24"/>
        </w:rPr>
      </w:r>
      <w:r w:rsidR="00935441">
        <w:rPr>
          <w:sz w:val="24"/>
          <w:szCs w:val="24"/>
        </w:rPr>
        <w:fldChar w:fldCharType="separate"/>
      </w:r>
      <w:r w:rsidR="00304F5F" w:rsidRPr="00304F5F">
        <w:rPr>
          <w:sz w:val="24"/>
          <w:szCs w:val="24"/>
        </w:rPr>
        <w:t>Tabela 10</w:t>
      </w:r>
      <w:r w:rsidR="00935441">
        <w:rPr>
          <w:sz w:val="24"/>
          <w:szCs w:val="24"/>
        </w:rPr>
        <w:fldChar w:fldCharType="end"/>
      </w:r>
      <w:r w:rsidR="00A211C3" w:rsidRPr="00AF4BF3">
        <w:rPr>
          <w:sz w:val="24"/>
          <w:szCs w:val="24"/>
        </w:rPr>
        <w:t xml:space="preserve">, o desvio de 0,1 </w:t>
      </w:r>
      <w:proofErr w:type="spellStart"/>
      <w:r w:rsidR="00A211C3" w:rsidRPr="00AF4BF3">
        <w:rPr>
          <w:sz w:val="24"/>
          <w:szCs w:val="24"/>
        </w:rPr>
        <w:t>p.p</w:t>
      </w:r>
      <w:proofErr w:type="spellEnd"/>
      <w:r w:rsidR="00A211C3" w:rsidRPr="00AF4BF3">
        <w:rPr>
          <w:sz w:val="24"/>
          <w:szCs w:val="24"/>
        </w:rPr>
        <w:t>. da variação estimada do IPCA causa uma variação de R$ 1.4</w:t>
      </w:r>
      <w:r w:rsidR="00BD776B">
        <w:rPr>
          <w:sz w:val="24"/>
          <w:szCs w:val="24"/>
        </w:rPr>
        <w:t>8</w:t>
      </w:r>
      <w:r w:rsidR="00A211C3" w:rsidRPr="00AF4BF3">
        <w:rPr>
          <w:sz w:val="24"/>
          <w:szCs w:val="24"/>
        </w:rPr>
        <w:t>5,9 milhões no limite de despesas.</w:t>
      </w:r>
    </w:p>
    <w:p w14:paraId="520DA966" w14:textId="5321163A" w:rsidR="000D17A6" w:rsidRPr="0022645B" w:rsidRDefault="000D17A6" w:rsidP="00FA7686">
      <w:pPr>
        <w:pStyle w:val="Legenda"/>
        <w:spacing w:before="240" w:after="120"/>
        <w:jc w:val="center"/>
        <w:rPr>
          <w:rFonts w:asciiTheme="minorHAnsi" w:hAnsiTheme="minorHAnsi"/>
          <w:i w:val="0"/>
          <w:color w:val="auto"/>
          <w:sz w:val="22"/>
          <w:szCs w:val="22"/>
        </w:rPr>
      </w:pPr>
      <w:bookmarkStart w:id="80" w:name="_Ref5618087"/>
      <w:bookmarkStart w:id="81" w:name="_Toc4754241"/>
      <w:bookmarkStart w:id="82" w:name="_Toc5027587"/>
      <w:bookmarkStart w:id="83" w:name="_Toc69121356"/>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10</w:t>
      </w:r>
      <w:r w:rsidRPr="0022645B">
        <w:rPr>
          <w:rFonts w:asciiTheme="minorHAnsi" w:hAnsiTheme="minorHAnsi"/>
          <w:i w:val="0"/>
          <w:color w:val="auto"/>
          <w:sz w:val="22"/>
          <w:szCs w:val="22"/>
        </w:rPr>
        <w:fldChar w:fldCharType="end"/>
      </w:r>
      <w:bookmarkEnd w:id="80"/>
      <w:r w:rsidR="000B4D56">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 Efeito da variação de 0,1 </w:t>
      </w:r>
      <w:proofErr w:type="spellStart"/>
      <w:r w:rsidRPr="0022645B">
        <w:rPr>
          <w:rFonts w:asciiTheme="minorHAnsi" w:hAnsiTheme="minorHAnsi"/>
          <w:i w:val="0"/>
          <w:color w:val="auto"/>
          <w:sz w:val="22"/>
          <w:szCs w:val="22"/>
        </w:rPr>
        <w:t>p.p</w:t>
      </w:r>
      <w:proofErr w:type="spellEnd"/>
      <w:r w:rsidRPr="0022645B">
        <w:rPr>
          <w:rFonts w:asciiTheme="minorHAnsi" w:hAnsiTheme="minorHAnsi"/>
          <w:i w:val="0"/>
          <w:color w:val="auto"/>
          <w:sz w:val="22"/>
          <w:szCs w:val="22"/>
        </w:rPr>
        <w:t>. no IPCA no limite das despesas sujeitas à EC nº 95</w:t>
      </w:r>
      <w:bookmarkEnd w:id="81"/>
      <w:bookmarkEnd w:id="82"/>
      <w:bookmarkEnd w:id="83"/>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22"/>
        <w:gridCol w:w="2303"/>
        <w:gridCol w:w="2291"/>
        <w:gridCol w:w="2547"/>
      </w:tblGrid>
      <w:tr w:rsidR="00463B2E" w:rsidRPr="002A42B5" w14:paraId="396B3F74" w14:textId="77777777" w:rsidTr="005F373A">
        <w:trPr>
          <w:trHeight w:val="20"/>
          <w:tblHeader/>
          <w:jc w:val="center"/>
        </w:trPr>
        <w:tc>
          <w:tcPr>
            <w:tcW w:w="0" w:type="auto"/>
            <w:gridSpan w:val="4"/>
            <w:tcBorders>
              <w:top w:val="nil"/>
              <w:left w:val="nil"/>
              <w:bottom w:val="single" w:sz="4" w:space="0" w:color="BFBFBF" w:themeColor="background1" w:themeShade="BF"/>
              <w:right w:val="nil"/>
            </w:tcBorders>
            <w:shd w:val="clear" w:color="000000" w:fill="FFFFFF"/>
            <w:noWrap/>
            <w:vAlign w:val="bottom"/>
          </w:tcPr>
          <w:p w14:paraId="71287DB3" w14:textId="505CDA5E" w:rsidR="00463B2E" w:rsidRPr="002A42B5" w:rsidRDefault="00463B2E" w:rsidP="00463B2E">
            <w:pPr>
              <w:spacing w:after="0" w:line="240" w:lineRule="auto"/>
              <w:jc w:val="right"/>
              <w:rPr>
                <w:rFonts w:eastAsia="Times New Roman" w:cs="Times New Roman"/>
                <w:i/>
                <w:color w:val="000000"/>
                <w:sz w:val="16"/>
                <w:szCs w:val="16"/>
                <w:lang w:eastAsia="pt-BR"/>
              </w:rPr>
            </w:pPr>
            <w:r w:rsidRPr="002A42B5">
              <w:rPr>
                <w:rFonts w:eastAsia="Times New Roman" w:cs="Times New Roman"/>
                <w:i/>
                <w:color w:val="000000"/>
                <w:sz w:val="16"/>
                <w:szCs w:val="16"/>
                <w:lang w:eastAsia="pt-BR"/>
              </w:rPr>
              <w:t xml:space="preserve">Em R$ </w:t>
            </w:r>
            <w:r w:rsidR="00B05732">
              <w:rPr>
                <w:rFonts w:eastAsia="Times New Roman" w:cs="Times New Roman"/>
                <w:i/>
                <w:color w:val="000000"/>
                <w:sz w:val="16"/>
                <w:szCs w:val="16"/>
                <w:lang w:eastAsia="pt-BR"/>
              </w:rPr>
              <w:t>milhões</w:t>
            </w:r>
          </w:p>
        </w:tc>
      </w:tr>
      <w:tr w:rsidR="000D1CF1" w:rsidRPr="00E44373" w14:paraId="2A115083" w14:textId="77777777" w:rsidTr="005F373A">
        <w:trPr>
          <w:trHeight w:val="20"/>
          <w:tblHeader/>
          <w:jc w:val="center"/>
        </w:trPr>
        <w:tc>
          <w:tcPr>
            <w:tcW w:w="0" w:type="auto"/>
            <w:vMerge w:val="restart"/>
            <w:tcBorders>
              <w:top w:val="single" w:sz="4" w:space="0" w:color="BFBFBF" w:themeColor="background1" w:themeShade="BF"/>
            </w:tcBorders>
            <w:shd w:val="clear" w:color="auto" w:fill="404040" w:themeFill="text1" w:themeFillTint="BF"/>
            <w:noWrap/>
            <w:vAlign w:val="center"/>
          </w:tcPr>
          <w:p w14:paraId="09B78614" w14:textId="18B06D17" w:rsidR="000D1CF1" w:rsidRPr="006D25D2" w:rsidRDefault="001C00B8" w:rsidP="00DF48A8">
            <w:pPr>
              <w:spacing w:after="0" w:line="240" w:lineRule="auto"/>
              <w:jc w:val="center"/>
              <w:rPr>
                <w:rFonts w:eastAsia="Times New Roman" w:cs="Times New Roman"/>
                <w:b/>
                <w:bCs/>
                <w:color w:val="FFFFFF" w:themeColor="background1"/>
                <w:sz w:val="20"/>
                <w:szCs w:val="20"/>
                <w:lang w:eastAsia="pt-BR"/>
              </w:rPr>
            </w:pPr>
            <w:r w:rsidRPr="006D25D2">
              <w:rPr>
                <w:rFonts w:eastAsia="Times New Roman" w:cs="Times New Roman"/>
                <w:b/>
                <w:bCs/>
                <w:color w:val="FFFFFF" w:themeColor="background1"/>
                <w:sz w:val="20"/>
                <w:szCs w:val="20"/>
                <w:lang w:eastAsia="pt-BR"/>
              </w:rPr>
              <w:t>Poder</w:t>
            </w:r>
            <w:r w:rsidR="00270DC2" w:rsidRPr="006D25D2">
              <w:rPr>
                <w:rFonts w:eastAsia="Times New Roman" w:cs="Times New Roman"/>
                <w:b/>
                <w:bCs/>
                <w:color w:val="FFFFFF" w:themeColor="background1"/>
                <w:sz w:val="20"/>
                <w:szCs w:val="20"/>
                <w:lang w:eastAsia="pt-BR"/>
              </w:rPr>
              <w:t xml:space="preserve"> / Órgão</w:t>
            </w:r>
          </w:p>
        </w:tc>
        <w:tc>
          <w:tcPr>
            <w:tcW w:w="0" w:type="auto"/>
            <w:tcBorders>
              <w:top w:val="single" w:sz="4" w:space="0" w:color="BFBFBF" w:themeColor="background1" w:themeShade="BF"/>
            </w:tcBorders>
            <w:shd w:val="clear" w:color="auto" w:fill="404040" w:themeFill="text1" w:themeFillTint="BF"/>
            <w:vAlign w:val="center"/>
          </w:tcPr>
          <w:p w14:paraId="01BBE2C5" w14:textId="1D12365A" w:rsidR="000D1CF1" w:rsidRPr="006D25D2" w:rsidRDefault="000D1CF1" w:rsidP="00DF48A8">
            <w:pPr>
              <w:spacing w:after="0" w:line="240" w:lineRule="auto"/>
              <w:jc w:val="center"/>
              <w:rPr>
                <w:rFonts w:eastAsia="Times New Roman" w:cs="Times New Roman"/>
                <w:b/>
                <w:bCs/>
                <w:color w:val="FFFFFF" w:themeColor="background1"/>
                <w:sz w:val="20"/>
                <w:szCs w:val="20"/>
                <w:lang w:eastAsia="pt-BR"/>
              </w:rPr>
            </w:pPr>
            <w:r w:rsidRPr="006D25D2">
              <w:rPr>
                <w:rFonts w:eastAsia="Times New Roman" w:cs="Times New Roman"/>
                <w:b/>
                <w:bCs/>
                <w:color w:val="FFFFFF" w:themeColor="background1"/>
                <w:sz w:val="20"/>
                <w:szCs w:val="20"/>
                <w:lang w:eastAsia="pt-BR"/>
              </w:rPr>
              <w:t>202</w:t>
            </w:r>
            <w:r w:rsidR="00BD776B" w:rsidRPr="006D25D2">
              <w:rPr>
                <w:rFonts w:eastAsia="Times New Roman" w:cs="Times New Roman"/>
                <w:b/>
                <w:bCs/>
                <w:color w:val="FFFFFF" w:themeColor="background1"/>
                <w:sz w:val="20"/>
                <w:szCs w:val="20"/>
                <w:lang w:eastAsia="pt-BR"/>
              </w:rPr>
              <w:t>1</w:t>
            </w:r>
          </w:p>
        </w:tc>
        <w:tc>
          <w:tcPr>
            <w:tcW w:w="0" w:type="auto"/>
            <w:gridSpan w:val="2"/>
            <w:tcBorders>
              <w:top w:val="single" w:sz="4" w:space="0" w:color="BFBFBF" w:themeColor="background1" w:themeShade="BF"/>
            </w:tcBorders>
            <w:shd w:val="clear" w:color="auto" w:fill="404040" w:themeFill="text1" w:themeFillTint="BF"/>
            <w:vAlign w:val="center"/>
          </w:tcPr>
          <w:p w14:paraId="07462BF7" w14:textId="657124B3" w:rsidR="000D1CF1" w:rsidRPr="006D25D2" w:rsidRDefault="000D1CF1" w:rsidP="00DF48A8">
            <w:pPr>
              <w:spacing w:after="0" w:line="240" w:lineRule="auto"/>
              <w:jc w:val="center"/>
              <w:rPr>
                <w:rFonts w:eastAsia="Times New Roman" w:cs="Times New Roman"/>
                <w:b/>
                <w:bCs/>
                <w:color w:val="FFFFFF" w:themeColor="background1"/>
                <w:sz w:val="20"/>
                <w:szCs w:val="20"/>
                <w:lang w:eastAsia="pt-BR"/>
              </w:rPr>
            </w:pPr>
            <w:r w:rsidRPr="006D25D2">
              <w:rPr>
                <w:rFonts w:eastAsia="Times New Roman" w:cs="Times New Roman"/>
                <w:b/>
                <w:bCs/>
                <w:color w:val="FFFFFF" w:themeColor="background1"/>
                <w:sz w:val="20"/>
                <w:szCs w:val="20"/>
                <w:lang w:eastAsia="pt-BR"/>
              </w:rPr>
              <w:t>202</w:t>
            </w:r>
            <w:r w:rsidR="00BD776B" w:rsidRPr="006D25D2">
              <w:rPr>
                <w:rFonts w:eastAsia="Times New Roman" w:cs="Times New Roman"/>
                <w:b/>
                <w:bCs/>
                <w:color w:val="FFFFFF" w:themeColor="background1"/>
                <w:sz w:val="20"/>
                <w:szCs w:val="20"/>
                <w:lang w:eastAsia="pt-BR"/>
              </w:rPr>
              <w:t>2</w:t>
            </w:r>
          </w:p>
        </w:tc>
      </w:tr>
      <w:tr w:rsidR="003149E2" w:rsidRPr="00E44373" w14:paraId="275236D9" w14:textId="77777777" w:rsidTr="00D12A6D">
        <w:trPr>
          <w:trHeight w:val="20"/>
          <w:jc w:val="center"/>
        </w:trPr>
        <w:tc>
          <w:tcPr>
            <w:tcW w:w="0" w:type="auto"/>
            <w:vMerge/>
            <w:tcBorders>
              <w:bottom w:val="single" w:sz="4" w:space="0" w:color="BFBFBF" w:themeColor="background1" w:themeShade="BF"/>
            </w:tcBorders>
            <w:shd w:val="clear" w:color="auto" w:fill="404040" w:themeFill="text1" w:themeFillTint="BF"/>
            <w:noWrap/>
            <w:vAlign w:val="center"/>
            <w:hideMark/>
          </w:tcPr>
          <w:p w14:paraId="626E0FB1" w14:textId="13C6F204" w:rsidR="00463B2E" w:rsidRPr="006D25D2" w:rsidRDefault="00463B2E" w:rsidP="00463B2E">
            <w:pPr>
              <w:spacing w:after="0" w:line="240" w:lineRule="auto"/>
              <w:jc w:val="center"/>
              <w:rPr>
                <w:rFonts w:eastAsia="Times New Roman" w:cs="Times New Roman"/>
                <w:b/>
                <w:bCs/>
                <w:color w:val="FFFFFF" w:themeColor="background1"/>
                <w:sz w:val="20"/>
                <w:szCs w:val="20"/>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hideMark/>
          </w:tcPr>
          <w:p w14:paraId="0F52CD42" w14:textId="77777777" w:rsidR="00463B2E" w:rsidRPr="006D25D2" w:rsidRDefault="00463B2E" w:rsidP="00463B2E">
            <w:pPr>
              <w:spacing w:after="0" w:line="240" w:lineRule="auto"/>
              <w:jc w:val="center"/>
              <w:rPr>
                <w:rFonts w:eastAsia="Times New Roman" w:cs="Times New Roman"/>
                <w:b/>
                <w:bCs/>
                <w:color w:val="FFFFFF" w:themeColor="background1"/>
                <w:sz w:val="20"/>
                <w:szCs w:val="20"/>
                <w:lang w:eastAsia="pt-BR"/>
              </w:rPr>
            </w:pPr>
            <w:r w:rsidRPr="006D25D2">
              <w:rPr>
                <w:rFonts w:eastAsia="Times New Roman" w:cs="Times New Roman"/>
                <w:b/>
                <w:bCs/>
                <w:color w:val="FFFFFF" w:themeColor="background1"/>
                <w:sz w:val="20"/>
                <w:szCs w:val="20"/>
                <w:lang w:eastAsia="pt-BR"/>
              </w:rPr>
              <w:t>Limite de despesas</w:t>
            </w:r>
          </w:p>
          <w:p w14:paraId="76990523" w14:textId="60036BDD" w:rsidR="00463B2E" w:rsidRPr="006D25D2" w:rsidRDefault="00463B2E" w:rsidP="00463B2E">
            <w:pPr>
              <w:spacing w:after="0" w:line="240" w:lineRule="auto"/>
              <w:jc w:val="center"/>
              <w:rPr>
                <w:rFonts w:eastAsia="Times New Roman" w:cs="Times New Roman"/>
                <w:b/>
                <w:bCs/>
                <w:color w:val="FFFFFF" w:themeColor="background1"/>
                <w:sz w:val="20"/>
                <w:szCs w:val="20"/>
                <w:vertAlign w:val="superscript"/>
                <w:lang w:eastAsia="pt-BR"/>
              </w:rPr>
            </w:pPr>
            <w:proofErr w:type="gramStart"/>
            <w:r w:rsidRPr="006D25D2">
              <w:rPr>
                <w:rFonts w:eastAsia="Times New Roman" w:cs="Times New Roman"/>
                <w:b/>
                <w:bCs/>
                <w:color w:val="FFFFFF" w:themeColor="background1"/>
                <w:sz w:val="20"/>
                <w:szCs w:val="20"/>
                <w:lang w:eastAsia="pt-BR"/>
              </w:rPr>
              <w:t>sujeitas</w:t>
            </w:r>
            <w:proofErr w:type="gramEnd"/>
            <w:r w:rsidRPr="006D25D2">
              <w:rPr>
                <w:rFonts w:eastAsia="Times New Roman" w:cs="Times New Roman"/>
                <w:b/>
                <w:bCs/>
                <w:color w:val="FFFFFF" w:themeColor="background1"/>
                <w:sz w:val="20"/>
                <w:szCs w:val="20"/>
                <w:lang w:eastAsia="pt-BR"/>
              </w:rPr>
              <w:t xml:space="preserve"> à EC nº 95</w:t>
            </w:r>
            <w:r w:rsidR="00490352" w:rsidRPr="006D25D2">
              <w:rPr>
                <w:rFonts w:eastAsia="Times New Roman" w:cs="Times New Roman"/>
                <w:b/>
                <w:bCs/>
                <w:color w:val="FFFFFF" w:themeColor="background1"/>
                <w:sz w:val="20"/>
                <w:szCs w:val="20"/>
                <w:vertAlign w:val="superscript"/>
                <w:lang w:eastAsia="pt-BR"/>
              </w:rPr>
              <w:t xml:space="preserve"> </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hideMark/>
          </w:tcPr>
          <w:p w14:paraId="6040E02E" w14:textId="77777777" w:rsidR="009D6E4C" w:rsidRPr="006D25D2" w:rsidRDefault="005F6BC7" w:rsidP="00E44373">
            <w:pPr>
              <w:spacing w:after="0" w:line="240" w:lineRule="auto"/>
              <w:jc w:val="center"/>
              <w:rPr>
                <w:rFonts w:eastAsia="Times New Roman" w:cs="Times New Roman"/>
                <w:b/>
                <w:bCs/>
                <w:color w:val="FFFFFF" w:themeColor="background1"/>
                <w:sz w:val="20"/>
                <w:szCs w:val="20"/>
                <w:lang w:eastAsia="pt-BR"/>
              </w:rPr>
            </w:pPr>
            <w:r w:rsidRPr="006D25D2">
              <w:rPr>
                <w:rFonts w:eastAsia="Times New Roman" w:cs="Times New Roman"/>
                <w:b/>
                <w:bCs/>
                <w:color w:val="FFFFFF" w:themeColor="background1"/>
                <w:sz w:val="20"/>
                <w:szCs w:val="20"/>
                <w:lang w:eastAsia="pt-BR"/>
              </w:rPr>
              <w:t xml:space="preserve">Variação de 0,1 </w:t>
            </w:r>
            <w:proofErr w:type="spellStart"/>
            <w:r w:rsidRPr="006D25D2">
              <w:rPr>
                <w:rFonts w:eastAsia="Times New Roman" w:cs="Times New Roman"/>
                <w:b/>
                <w:bCs/>
                <w:color w:val="FFFFFF" w:themeColor="background1"/>
                <w:sz w:val="20"/>
                <w:szCs w:val="20"/>
                <w:lang w:eastAsia="pt-BR"/>
              </w:rPr>
              <w:t>p.p</w:t>
            </w:r>
            <w:proofErr w:type="spellEnd"/>
            <w:r w:rsidRPr="006D25D2">
              <w:rPr>
                <w:rFonts w:eastAsia="Times New Roman" w:cs="Times New Roman"/>
                <w:b/>
                <w:bCs/>
                <w:color w:val="FFFFFF" w:themeColor="background1"/>
                <w:sz w:val="20"/>
                <w:szCs w:val="20"/>
                <w:lang w:eastAsia="pt-BR"/>
              </w:rPr>
              <w:t xml:space="preserve">. </w:t>
            </w:r>
          </w:p>
          <w:p w14:paraId="142869FB" w14:textId="5C216880" w:rsidR="009D6E4C" w:rsidRPr="006D25D2" w:rsidRDefault="00436742" w:rsidP="00E44373">
            <w:pPr>
              <w:spacing w:after="0" w:line="240" w:lineRule="auto"/>
              <w:jc w:val="center"/>
              <w:rPr>
                <w:rFonts w:eastAsia="Times New Roman" w:cs="Times New Roman"/>
                <w:b/>
                <w:bCs/>
                <w:color w:val="FFFFFF" w:themeColor="background1"/>
                <w:sz w:val="20"/>
                <w:szCs w:val="20"/>
                <w:lang w:eastAsia="pt-BR"/>
              </w:rPr>
            </w:pPr>
            <w:proofErr w:type="gramStart"/>
            <w:r w:rsidRPr="006D25D2">
              <w:rPr>
                <w:rFonts w:eastAsia="Times New Roman" w:cs="Times New Roman"/>
                <w:b/>
                <w:bCs/>
                <w:color w:val="FFFFFF" w:themeColor="background1"/>
                <w:sz w:val="20"/>
                <w:szCs w:val="20"/>
                <w:lang w:eastAsia="pt-BR"/>
              </w:rPr>
              <w:t>d</w:t>
            </w:r>
            <w:r w:rsidR="000D0374" w:rsidRPr="006D25D2">
              <w:rPr>
                <w:rFonts w:eastAsia="Times New Roman" w:cs="Times New Roman"/>
                <w:b/>
                <w:bCs/>
                <w:color w:val="FFFFFF" w:themeColor="background1"/>
                <w:sz w:val="20"/>
                <w:szCs w:val="20"/>
                <w:lang w:eastAsia="pt-BR"/>
              </w:rPr>
              <w:t>o</w:t>
            </w:r>
            <w:proofErr w:type="gramEnd"/>
            <w:r w:rsidR="005F6BC7" w:rsidRPr="006D25D2">
              <w:rPr>
                <w:rFonts w:eastAsia="Times New Roman" w:cs="Times New Roman"/>
                <w:b/>
                <w:bCs/>
                <w:color w:val="FFFFFF" w:themeColor="background1"/>
                <w:sz w:val="20"/>
                <w:szCs w:val="20"/>
                <w:lang w:eastAsia="pt-BR"/>
              </w:rPr>
              <w:t xml:space="preserve"> IPCA no</w:t>
            </w:r>
          </w:p>
          <w:p w14:paraId="49A0BF1E" w14:textId="54D572BE" w:rsidR="00463B2E" w:rsidRPr="006D25D2" w:rsidRDefault="006E6656" w:rsidP="00463B2E">
            <w:pPr>
              <w:spacing w:after="0" w:line="240" w:lineRule="auto"/>
              <w:jc w:val="center"/>
              <w:rPr>
                <w:rFonts w:eastAsia="Times New Roman" w:cs="Times New Roman"/>
                <w:b/>
                <w:bCs/>
                <w:color w:val="FFFFFF" w:themeColor="background1"/>
                <w:sz w:val="20"/>
                <w:szCs w:val="20"/>
                <w:lang w:eastAsia="pt-BR"/>
              </w:rPr>
            </w:pPr>
            <w:r w:rsidRPr="006D25D2">
              <w:rPr>
                <w:rFonts w:eastAsia="Times New Roman" w:cs="Times New Roman"/>
                <w:b/>
                <w:bCs/>
                <w:color w:val="FFFFFF" w:themeColor="background1"/>
                <w:sz w:val="20"/>
                <w:szCs w:val="20"/>
                <w:lang w:eastAsia="pt-BR"/>
              </w:rPr>
              <w:t>L</w:t>
            </w:r>
            <w:r w:rsidR="005F6BC7" w:rsidRPr="006D25D2">
              <w:rPr>
                <w:rFonts w:eastAsia="Times New Roman" w:cs="Times New Roman"/>
                <w:b/>
                <w:bCs/>
                <w:color w:val="FFFFFF" w:themeColor="background1"/>
                <w:sz w:val="20"/>
                <w:szCs w:val="20"/>
                <w:lang w:eastAsia="pt-BR"/>
              </w:rPr>
              <w:t>imite</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hideMark/>
          </w:tcPr>
          <w:p w14:paraId="3721BBC3" w14:textId="1E628733" w:rsidR="00107C04" w:rsidRPr="006D25D2" w:rsidRDefault="00DD2103" w:rsidP="00E44373">
            <w:pPr>
              <w:spacing w:after="0" w:line="240" w:lineRule="auto"/>
              <w:jc w:val="center"/>
              <w:rPr>
                <w:rFonts w:eastAsia="Times New Roman" w:cs="Times New Roman"/>
                <w:b/>
                <w:bCs/>
                <w:color w:val="FFFFFF" w:themeColor="background1"/>
                <w:sz w:val="20"/>
                <w:szCs w:val="20"/>
                <w:lang w:eastAsia="pt-BR"/>
              </w:rPr>
            </w:pPr>
            <w:r w:rsidRPr="006D25D2">
              <w:rPr>
                <w:rFonts w:eastAsia="Times New Roman" w:cs="Times New Roman"/>
                <w:b/>
                <w:bCs/>
                <w:color w:val="FFFFFF" w:themeColor="background1"/>
                <w:sz w:val="20"/>
                <w:szCs w:val="20"/>
                <w:lang w:eastAsia="pt-BR"/>
              </w:rPr>
              <w:t>Projeção</w:t>
            </w:r>
          </w:p>
          <w:p w14:paraId="43CA024E" w14:textId="77777777" w:rsidR="00BE188D" w:rsidRPr="006D25D2" w:rsidRDefault="00DD2103" w:rsidP="00107C04">
            <w:pPr>
              <w:spacing w:after="0" w:line="240" w:lineRule="auto"/>
              <w:jc w:val="center"/>
              <w:rPr>
                <w:rFonts w:eastAsia="Times New Roman" w:cs="Times New Roman"/>
                <w:b/>
                <w:bCs/>
                <w:color w:val="FFFFFF" w:themeColor="background1"/>
                <w:sz w:val="20"/>
                <w:szCs w:val="20"/>
                <w:lang w:eastAsia="pt-BR"/>
              </w:rPr>
            </w:pPr>
            <w:proofErr w:type="gramStart"/>
            <w:r w:rsidRPr="006D25D2">
              <w:rPr>
                <w:rFonts w:eastAsia="Times New Roman" w:cs="Times New Roman"/>
                <w:b/>
                <w:bCs/>
                <w:color w:val="FFFFFF" w:themeColor="background1"/>
                <w:sz w:val="20"/>
                <w:szCs w:val="20"/>
                <w:lang w:eastAsia="pt-BR"/>
              </w:rPr>
              <w:t>do</w:t>
            </w:r>
            <w:proofErr w:type="gramEnd"/>
            <w:r w:rsidRPr="006D25D2">
              <w:rPr>
                <w:rFonts w:eastAsia="Times New Roman" w:cs="Times New Roman"/>
                <w:b/>
                <w:bCs/>
                <w:color w:val="FFFFFF" w:themeColor="background1"/>
                <w:sz w:val="20"/>
                <w:szCs w:val="20"/>
                <w:lang w:eastAsia="pt-BR"/>
              </w:rPr>
              <w:t xml:space="preserve"> limite de despesas</w:t>
            </w:r>
          </w:p>
          <w:p w14:paraId="64583766" w14:textId="44E9651A" w:rsidR="00463B2E" w:rsidRPr="006D25D2" w:rsidRDefault="00DD2103" w:rsidP="00463B2E">
            <w:pPr>
              <w:spacing w:after="0" w:line="240" w:lineRule="auto"/>
              <w:jc w:val="center"/>
              <w:rPr>
                <w:rFonts w:eastAsia="Times New Roman" w:cs="Times New Roman"/>
                <w:b/>
                <w:bCs/>
                <w:color w:val="FFFFFF" w:themeColor="background1"/>
                <w:sz w:val="20"/>
                <w:szCs w:val="20"/>
                <w:lang w:eastAsia="pt-BR"/>
              </w:rPr>
            </w:pPr>
            <w:proofErr w:type="gramStart"/>
            <w:r w:rsidRPr="006D25D2">
              <w:rPr>
                <w:rFonts w:eastAsia="Times New Roman" w:cs="Times New Roman"/>
                <w:b/>
                <w:bCs/>
                <w:color w:val="FFFFFF" w:themeColor="background1"/>
                <w:sz w:val="20"/>
                <w:szCs w:val="20"/>
                <w:lang w:eastAsia="pt-BR"/>
              </w:rPr>
              <w:t>sujeitas</w:t>
            </w:r>
            <w:proofErr w:type="gramEnd"/>
            <w:r w:rsidRPr="006D25D2">
              <w:rPr>
                <w:rFonts w:eastAsia="Times New Roman" w:cs="Times New Roman"/>
                <w:b/>
                <w:bCs/>
                <w:color w:val="FFFFFF" w:themeColor="background1"/>
                <w:sz w:val="20"/>
                <w:szCs w:val="20"/>
                <w:lang w:eastAsia="pt-BR"/>
              </w:rPr>
              <w:t xml:space="preserve"> à EC nº 95</w:t>
            </w:r>
            <w:r w:rsidR="00013311" w:rsidRPr="006D25D2">
              <w:rPr>
                <w:rFonts w:eastAsia="Times New Roman" w:cs="Times New Roman"/>
                <w:b/>
                <w:bCs/>
                <w:color w:val="FFFFFF" w:themeColor="background1"/>
                <w:sz w:val="20"/>
                <w:szCs w:val="20"/>
                <w:vertAlign w:val="superscript"/>
                <w:lang w:eastAsia="pt-BR"/>
              </w:rPr>
              <w:t>1</w:t>
            </w:r>
          </w:p>
        </w:tc>
      </w:tr>
      <w:tr w:rsidR="009A355F" w:rsidRPr="00E44373" w14:paraId="0B831DCD" w14:textId="77777777" w:rsidTr="004B08C2">
        <w:trPr>
          <w:trHeight w:val="20"/>
          <w:jc w:val="center"/>
        </w:trPr>
        <w:tc>
          <w:tcPr>
            <w:tcW w:w="0" w:type="auto"/>
            <w:shd w:val="clear" w:color="auto" w:fill="F2F2F2" w:themeFill="background1" w:themeFillShade="F2"/>
          </w:tcPr>
          <w:p w14:paraId="47B26ABE" w14:textId="77777777" w:rsidR="00114464" w:rsidRPr="00427137" w:rsidRDefault="00114464" w:rsidP="00114464">
            <w:pPr>
              <w:spacing w:after="0" w:line="240" w:lineRule="auto"/>
              <w:rPr>
                <w:rFonts w:eastAsia="Times New Roman" w:cs="Times New Roman"/>
                <w:sz w:val="18"/>
                <w:szCs w:val="18"/>
                <w:lang w:eastAsia="pt-BR"/>
              </w:rPr>
            </w:pPr>
            <w:r w:rsidRPr="00427137">
              <w:rPr>
                <w:sz w:val="18"/>
                <w:szCs w:val="18"/>
              </w:rPr>
              <w:t>Poder Executivo</w:t>
            </w:r>
          </w:p>
        </w:tc>
        <w:tc>
          <w:tcPr>
            <w:tcW w:w="0" w:type="auto"/>
            <w:shd w:val="clear" w:color="auto" w:fill="F2F2F2" w:themeFill="background1" w:themeFillShade="F2"/>
            <w:noWrap/>
          </w:tcPr>
          <w:p w14:paraId="22B5E74C" w14:textId="252D6D8C" w:rsidR="00114464" w:rsidRPr="00427137" w:rsidRDefault="001A0D42" w:rsidP="00114464">
            <w:pPr>
              <w:spacing w:after="0" w:line="240" w:lineRule="auto"/>
              <w:jc w:val="right"/>
              <w:rPr>
                <w:rFonts w:eastAsia="Times New Roman" w:cs="Times New Roman"/>
                <w:sz w:val="18"/>
                <w:szCs w:val="18"/>
                <w:lang w:eastAsia="pt-BR"/>
              </w:rPr>
            </w:pPr>
            <w:r w:rsidRPr="001A0D42">
              <w:rPr>
                <w:sz w:val="18"/>
                <w:szCs w:val="18"/>
              </w:rPr>
              <w:t>1.421.604,10</w:t>
            </w:r>
          </w:p>
        </w:tc>
        <w:tc>
          <w:tcPr>
            <w:tcW w:w="0" w:type="auto"/>
            <w:shd w:val="clear" w:color="auto" w:fill="F2F2F2" w:themeFill="background1" w:themeFillShade="F2"/>
            <w:noWrap/>
          </w:tcPr>
          <w:p w14:paraId="37771425" w14:textId="7F3703FA" w:rsidR="00114464" w:rsidRPr="00427137" w:rsidRDefault="00B35474" w:rsidP="00114464">
            <w:pPr>
              <w:spacing w:after="0" w:line="240" w:lineRule="auto"/>
              <w:jc w:val="right"/>
              <w:rPr>
                <w:rFonts w:eastAsia="Times New Roman" w:cs="Times New Roman"/>
                <w:sz w:val="18"/>
                <w:szCs w:val="18"/>
                <w:lang w:eastAsia="pt-BR"/>
              </w:rPr>
            </w:pPr>
            <w:r w:rsidRPr="00B35474">
              <w:rPr>
                <w:sz w:val="18"/>
                <w:szCs w:val="18"/>
              </w:rPr>
              <w:t>1.421,60</w:t>
            </w:r>
          </w:p>
        </w:tc>
        <w:tc>
          <w:tcPr>
            <w:tcW w:w="0" w:type="auto"/>
            <w:shd w:val="clear" w:color="auto" w:fill="F2F2F2" w:themeFill="background1" w:themeFillShade="F2"/>
            <w:noWrap/>
          </w:tcPr>
          <w:p w14:paraId="6E4C987E" w14:textId="1072D254" w:rsidR="00114464" w:rsidRPr="00427137" w:rsidRDefault="00883176" w:rsidP="00114464">
            <w:pPr>
              <w:spacing w:after="0" w:line="240" w:lineRule="auto"/>
              <w:jc w:val="right"/>
              <w:rPr>
                <w:rFonts w:eastAsia="Times New Roman" w:cs="Times New Roman"/>
                <w:sz w:val="18"/>
                <w:szCs w:val="18"/>
                <w:lang w:eastAsia="pt-BR"/>
              </w:rPr>
            </w:pPr>
            <w:r w:rsidRPr="00883176">
              <w:rPr>
                <w:sz w:val="18"/>
                <w:szCs w:val="18"/>
              </w:rPr>
              <w:t>1.523.106,64</w:t>
            </w:r>
          </w:p>
        </w:tc>
      </w:tr>
      <w:tr w:rsidR="009A355F" w:rsidRPr="00E44373" w14:paraId="4C15DD96" w14:textId="77777777" w:rsidTr="00E44373">
        <w:trPr>
          <w:trHeight w:val="20"/>
          <w:jc w:val="center"/>
        </w:trPr>
        <w:tc>
          <w:tcPr>
            <w:tcW w:w="0" w:type="auto"/>
            <w:shd w:val="clear" w:color="000000" w:fill="FFFFFF"/>
          </w:tcPr>
          <w:p w14:paraId="22811764" w14:textId="4BA7641C" w:rsidR="00114464" w:rsidRPr="00427137" w:rsidRDefault="00114464" w:rsidP="00114464">
            <w:pPr>
              <w:spacing w:after="0" w:line="240" w:lineRule="auto"/>
              <w:rPr>
                <w:rFonts w:eastAsia="Times New Roman" w:cs="Times New Roman"/>
                <w:sz w:val="18"/>
                <w:szCs w:val="18"/>
                <w:lang w:eastAsia="pt-BR"/>
              </w:rPr>
            </w:pPr>
            <w:r w:rsidRPr="00427137">
              <w:rPr>
                <w:sz w:val="18"/>
                <w:szCs w:val="18"/>
              </w:rPr>
              <w:t>Poder Legislativo</w:t>
            </w:r>
          </w:p>
        </w:tc>
        <w:tc>
          <w:tcPr>
            <w:tcW w:w="0" w:type="auto"/>
            <w:shd w:val="clear" w:color="000000" w:fill="FFFFFF"/>
            <w:noWrap/>
          </w:tcPr>
          <w:p w14:paraId="4D6B0F39" w14:textId="36193156" w:rsidR="00114464" w:rsidRPr="00427137" w:rsidRDefault="00114464" w:rsidP="00114464">
            <w:pPr>
              <w:spacing w:after="0" w:line="240" w:lineRule="auto"/>
              <w:jc w:val="right"/>
              <w:rPr>
                <w:rFonts w:eastAsia="Times New Roman" w:cs="Times New Roman"/>
                <w:sz w:val="18"/>
                <w:szCs w:val="18"/>
                <w:lang w:eastAsia="pt-BR"/>
              </w:rPr>
            </w:pPr>
            <w:r w:rsidRPr="00427137">
              <w:rPr>
                <w:sz w:val="18"/>
                <w:szCs w:val="18"/>
              </w:rPr>
              <w:t>12.</w:t>
            </w:r>
            <w:r w:rsidR="00AC5A82" w:rsidRPr="00AC5A82">
              <w:rPr>
                <w:sz w:val="18"/>
                <w:szCs w:val="18"/>
              </w:rPr>
              <w:t>837,46</w:t>
            </w:r>
          </w:p>
        </w:tc>
        <w:tc>
          <w:tcPr>
            <w:tcW w:w="0" w:type="auto"/>
            <w:shd w:val="clear" w:color="000000" w:fill="FFFFFF"/>
            <w:noWrap/>
          </w:tcPr>
          <w:p w14:paraId="1F33EAE1" w14:textId="4F80E685" w:rsidR="00114464" w:rsidRPr="00427137" w:rsidRDefault="00114464" w:rsidP="00114464">
            <w:pPr>
              <w:spacing w:after="0" w:line="240" w:lineRule="auto"/>
              <w:jc w:val="right"/>
              <w:rPr>
                <w:rFonts w:eastAsia="Times New Roman" w:cs="Times New Roman"/>
                <w:sz w:val="18"/>
                <w:szCs w:val="18"/>
                <w:lang w:eastAsia="pt-BR"/>
              </w:rPr>
            </w:pPr>
            <w:r w:rsidRPr="00427137">
              <w:rPr>
                <w:sz w:val="18"/>
                <w:szCs w:val="18"/>
              </w:rPr>
              <w:t>12,</w:t>
            </w:r>
            <w:r w:rsidR="00551F96" w:rsidRPr="00551F96">
              <w:rPr>
                <w:sz w:val="18"/>
                <w:szCs w:val="18"/>
              </w:rPr>
              <w:t>84</w:t>
            </w:r>
          </w:p>
        </w:tc>
        <w:tc>
          <w:tcPr>
            <w:tcW w:w="0" w:type="auto"/>
            <w:shd w:val="clear" w:color="000000" w:fill="FFFFFF"/>
            <w:noWrap/>
          </w:tcPr>
          <w:p w14:paraId="25C6862B" w14:textId="37B66DA1" w:rsidR="00114464" w:rsidRPr="00427137" w:rsidRDefault="009F24FB" w:rsidP="00114464">
            <w:pPr>
              <w:spacing w:after="0" w:line="240" w:lineRule="auto"/>
              <w:jc w:val="right"/>
              <w:rPr>
                <w:rFonts w:eastAsia="Times New Roman" w:cs="Times New Roman"/>
                <w:sz w:val="18"/>
                <w:szCs w:val="18"/>
                <w:lang w:eastAsia="pt-BR"/>
              </w:rPr>
            </w:pPr>
            <w:r w:rsidRPr="009F24FB">
              <w:rPr>
                <w:sz w:val="18"/>
                <w:szCs w:val="18"/>
              </w:rPr>
              <w:t>13.754,05</w:t>
            </w:r>
          </w:p>
        </w:tc>
      </w:tr>
      <w:tr w:rsidR="009A355F" w:rsidRPr="00E44373" w14:paraId="11DDF21B" w14:textId="77777777" w:rsidTr="004B08C2">
        <w:trPr>
          <w:trHeight w:val="20"/>
          <w:jc w:val="center"/>
        </w:trPr>
        <w:tc>
          <w:tcPr>
            <w:tcW w:w="0" w:type="auto"/>
            <w:shd w:val="clear" w:color="auto" w:fill="F2F2F2" w:themeFill="background1" w:themeFillShade="F2"/>
          </w:tcPr>
          <w:p w14:paraId="67C07FAC" w14:textId="6FB8731D" w:rsidR="00114464" w:rsidRPr="00427137" w:rsidRDefault="00114464" w:rsidP="00114464">
            <w:pPr>
              <w:spacing w:after="0" w:line="240" w:lineRule="auto"/>
              <w:rPr>
                <w:rFonts w:eastAsia="Times New Roman" w:cs="Times New Roman"/>
                <w:sz w:val="18"/>
                <w:szCs w:val="18"/>
                <w:lang w:eastAsia="pt-BR"/>
              </w:rPr>
            </w:pPr>
            <w:r w:rsidRPr="00427137">
              <w:rPr>
                <w:sz w:val="18"/>
                <w:szCs w:val="18"/>
              </w:rPr>
              <w:t>Poder Judiciário</w:t>
            </w:r>
          </w:p>
        </w:tc>
        <w:tc>
          <w:tcPr>
            <w:tcW w:w="0" w:type="auto"/>
            <w:shd w:val="clear" w:color="auto" w:fill="F2F2F2" w:themeFill="background1" w:themeFillShade="F2"/>
            <w:noWrap/>
          </w:tcPr>
          <w:p w14:paraId="5EEEE603" w14:textId="7C6747BD" w:rsidR="00114464" w:rsidRPr="00427137" w:rsidRDefault="00D8700B" w:rsidP="00114464">
            <w:pPr>
              <w:spacing w:after="0" w:line="240" w:lineRule="auto"/>
              <w:jc w:val="right"/>
              <w:rPr>
                <w:rFonts w:eastAsia="Times New Roman" w:cs="Times New Roman"/>
                <w:sz w:val="18"/>
                <w:szCs w:val="18"/>
                <w:lang w:eastAsia="pt-BR"/>
              </w:rPr>
            </w:pPr>
            <w:r w:rsidRPr="00D8700B">
              <w:rPr>
                <w:sz w:val="18"/>
                <w:szCs w:val="18"/>
              </w:rPr>
              <w:t>44.188,84</w:t>
            </w:r>
          </w:p>
        </w:tc>
        <w:tc>
          <w:tcPr>
            <w:tcW w:w="0" w:type="auto"/>
            <w:shd w:val="clear" w:color="auto" w:fill="F2F2F2" w:themeFill="background1" w:themeFillShade="F2"/>
            <w:noWrap/>
          </w:tcPr>
          <w:p w14:paraId="0DFAFCF3" w14:textId="21977149" w:rsidR="00114464" w:rsidRPr="00427137" w:rsidRDefault="00A8461A" w:rsidP="00114464">
            <w:pPr>
              <w:spacing w:after="0" w:line="240" w:lineRule="auto"/>
              <w:jc w:val="right"/>
              <w:rPr>
                <w:rFonts w:eastAsia="Times New Roman" w:cs="Times New Roman"/>
                <w:sz w:val="18"/>
                <w:szCs w:val="18"/>
                <w:lang w:eastAsia="pt-BR"/>
              </w:rPr>
            </w:pPr>
            <w:r w:rsidRPr="00A8461A">
              <w:rPr>
                <w:sz w:val="18"/>
                <w:szCs w:val="18"/>
              </w:rPr>
              <w:t>44,19</w:t>
            </w:r>
          </w:p>
        </w:tc>
        <w:tc>
          <w:tcPr>
            <w:tcW w:w="0" w:type="auto"/>
            <w:shd w:val="clear" w:color="auto" w:fill="F2F2F2" w:themeFill="background1" w:themeFillShade="F2"/>
            <w:noWrap/>
          </w:tcPr>
          <w:p w14:paraId="70C6B36B" w14:textId="7328B72D" w:rsidR="00114464" w:rsidRPr="00427137" w:rsidRDefault="00680C3D" w:rsidP="00114464">
            <w:pPr>
              <w:spacing w:after="0" w:line="240" w:lineRule="auto"/>
              <w:jc w:val="right"/>
              <w:rPr>
                <w:rFonts w:eastAsia="Times New Roman" w:cs="Times New Roman"/>
                <w:sz w:val="18"/>
                <w:szCs w:val="18"/>
                <w:lang w:eastAsia="pt-BR"/>
              </w:rPr>
            </w:pPr>
            <w:r w:rsidRPr="00680C3D">
              <w:rPr>
                <w:sz w:val="18"/>
                <w:szCs w:val="18"/>
              </w:rPr>
              <w:t>47.343,92</w:t>
            </w:r>
          </w:p>
        </w:tc>
      </w:tr>
      <w:tr w:rsidR="009A355F" w:rsidRPr="00E44373" w14:paraId="29818AAF" w14:textId="77777777" w:rsidTr="00E44373">
        <w:trPr>
          <w:trHeight w:val="20"/>
          <w:jc w:val="center"/>
        </w:trPr>
        <w:tc>
          <w:tcPr>
            <w:tcW w:w="0" w:type="auto"/>
            <w:shd w:val="clear" w:color="000000" w:fill="FFFFFF"/>
          </w:tcPr>
          <w:p w14:paraId="36460A3E" w14:textId="122523C9" w:rsidR="00114464" w:rsidRPr="00427137" w:rsidRDefault="00114464" w:rsidP="00114464">
            <w:pPr>
              <w:spacing w:after="0" w:line="240" w:lineRule="auto"/>
              <w:rPr>
                <w:rFonts w:eastAsia="Times New Roman" w:cs="Times New Roman"/>
                <w:sz w:val="18"/>
                <w:szCs w:val="18"/>
                <w:lang w:eastAsia="pt-BR"/>
              </w:rPr>
            </w:pPr>
            <w:r w:rsidRPr="00427137">
              <w:rPr>
                <w:sz w:val="18"/>
                <w:szCs w:val="18"/>
              </w:rPr>
              <w:t>Defensoria Pública da União</w:t>
            </w:r>
          </w:p>
        </w:tc>
        <w:tc>
          <w:tcPr>
            <w:tcW w:w="0" w:type="auto"/>
            <w:shd w:val="clear" w:color="000000" w:fill="FFFFFF"/>
            <w:noWrap/>
          </w:tcPr>
          <w:p w14:paraId="3803BD39" w14:textId="49FBB4E2" w:rsidR="00114464" w:rsidRPr="00427137" w:rsidRDefault="00C10668" w:rsidP="00114464">
            <w:pPr>
              <w:spacing w:after="0" w:line="240" w:lineRule="auto"/>
              <w:jc w:val="right"/>
              <w:rPr>
                <w:rFonts w:eastAsia="Times New Roman" w:cs="Times New Roman"/>
                <w:sz w:val="18"/>
                <w:szCs w:val="18"/>
                <w:lang w:eastAsia="pt-BR"/>
              </w:rPr>
            </w:pPr>
            <w:r w:rsidRPr="00C10668">
              <w:rPr>
                <w:sz w:val="18"/>
                <w:szCs w:val="18"/>
              </w:rPr>
              <w:t>559,44</w:t>
            </w:r>
          </w:p>
        </w:tc>
        <w:tc>
          <w:tcPr>
            <w:tcW w:w="0" w:type="auto"/>
            <w:shd w:val="clear" w:color="000000" w:fill="FFFFFF"/>
            <w:noWrap/>
          </w:tcPr>
          <w:p w14:paraId="027EFF3D" w14:textId="5F0E276D" w:rsidR="00114464" w:rsidRPr="00427137" w:rsidRDefault="00114464" w:rsidP="00114464">
            <w:pPr>
              <w:spacing w:after="0" w:line="240" w:lineRule="auto"/>
              <w:jc w:val="right"/>
              <w:rPr>
                <w:rFonts w:eastAsia="Times New Roman" w:cs="Times New Roman"/>
                <w:sz w:val="18"/>
                <w:szCs w:val="18"/>
                <w:lang w:eastAsia="pt-BR"/>
              </w:rPr>
            </w:pPr>
            <w:r w:rsidRPr="00427137">
              <w:rPr>
                <w:sz w:val="18"/>
                <w:szCs w:val="18"/>
              </w:rPr>
              <w:t>0,5</w:t>
            </w:r>
            <w:r w:rsidR="0097592E">
              <w:rPr>
                <w:sz w:val="18"/>
                <w:szCs w:val="18"/>
              </w:rPr>
              <w:t>6</w:t>
            </w:r>
          </w:p>
        </w:tc>
        <w:tc>
          <w:tcPr>
            <w:tcW w:w="0" w:type="auto"/>
            <w:shd w:val="clear" w:color="000000" w:fill="FFFFFF"/>
            <w:noWrap/>
          </w:tcPr>
          <w:p w14:paraId="5D127E3B" w14:textId="2469B1CD" w:rsidR="00114464" w:rsidRPr="00427137" w:rsidRDefault="00114464" w:rsidP="00114464">
            <w:pPr>
              <w:spacing w:after="0" w:line="240" w:lineRule="auto"/>
              <w:jc w:val="right"/>
              <w:rPr>
                <w:rFonts w:eastAsia="Times New Roman" w:cs="Times New Roman"/>
                <w:sz w:val="18"/>
                <w:szCs w:val="18"/>
                <w:lang w:eastAsia="pt-BR"/>
              </w:rPr>
            </w:pPr>
            <w:r w:rsidRPr="00427137">
              <w:rPr>
                <w:sz w:val="18"/>
                <w:szCs w:val="18"/>
              </w:rPr>
              <w:t>5</w:t>
            </w:r>
            <w:r w:rsidR="00680C3D">
              <w:rPr>
                <w:sz w:val="18"/>
                <w:szCs w:val="18"/>
              </w:rPr>
              <w:t>99</w:t>
            </w:r>
            <w:r w:rsidRPr="00427137">
              <w:rPr>
                <w:sz w:val="18"/>
                <w:szCs w:val="18"/>
              </w:rPr>
              <w:t>,</w:t>
            </w:r>
            <w:r w:rsidR="00680C3D">
              <w:rPr>
                <w:sz w:val="18"/>
                <w:szCs w:val="18"/>
              </w:rPr>
              <w:t>38</w:t>
            </w:r>
          </w:p>
        </w:tc>
      </w:tr>
      <w:tr w:rsidR="009A355F" w:rsidRPr="00E44373" w14:paraId="26122331" w14:textId="77777777" w:rsidTr="004B08C2">
        <w:trPr>
          <w:trHeight w:val="20"/>
          <w:jc w:val="center"/>
        </w:trPr>
        <w:tc>
          <w:tcPr>
            <w:tcW w:w="0" w:type="auto"/>
            <w:shd w:val="clear" w:color="auto" w:fill="F2F2F2" w:themeFill="background1" w:themeFillShade="F2"/>
          </w:tcPr>
          <w:p w14:paraId="20A5E1CF" w14:textId="35DAA06D" w:rsidR="00114464" w:rsidRPr="00427137" w:rsidRDefault="00114464" w:rsidP="00114464">
            <w:pPr>
              <w:spacing w:after="0" w:line="240" w:lineRule="auto"/>
              <w:rPr>
                <w:rFonts w:eastAsia="Times New Roman" w:cs="Times New Roman"/>
                <w:sz w:val="18"/>
                <w:szCs w:val="18"/>
                <w:lang w:eastAsia="pt-BR"/>
              </w:rPr>
            </w:pPr>
            <w:r w:rsidRPr="00427137">
              <w:rPr>
                <w:sz w:val="18"/>
                <w:szCs w:val="18"/>
              </w:rPr>
              <w:t>Ministério Público da União</w:t>
            </w:r>
          </w:p>
        </w:tc>
        <w:tc>
          <w:tcPr>
            <w:tcW w:w="0" w:type="auto"/>
            <w:shd w:val="clear" w:color="auto" w:fill="F2F2F2" w:themeFill="background1" w:themeFillShade="F2"/>
            <w:noWrap/>
          </w:tcPr>
          <w:p w14:paraId="16D49466" w14:textId="57C9AD59" w:rsidR="00114464" w:rsidRPr="00427137" w:rsidRDefault="001C15D3" w:rsidP="00114464">
            <w:pPr>
              <w:spacing w:after="0" w:line="240" w:lineRule="auto"/>
              <w:jc w:val="right"/>
              <w:rPr>
                <w:rFonts w:eastAsia="Times New Roman" w:cs="Times New Roman"/>
                <w:sz w:val="18"/>
                <w:szCs w:val="18"/>
                <w:lang w:eastAsia="pt-BR"/>
              </w:rPr>
            </w:pPr>
            <w:r w:rsidRPr="001C15D3">
              <w:rPr>
                <w:sz w:val="18"/>
                <w:szCs w:val="18"/>
              </w:rPr>
              <w:t>6.746,60</w:t>
            </w:r>
          </w:p>
        </w:tc>
        <w:tc>
          <w:tcPr>
            <w:tcW w:w="0" w:type="auto"/>
            <w:shd w:val="clear" w:color="auto" w:fill="F2F2F2" w:themeFill="background1" w:themeFillShade="F2"/>
            <w:noWrap/>
          </w:tcPr>
          <w:p w14:paraId="744DCA7E" w14:textId="5E5EAA09" w:rsidR="00114464" w:rsidRPr="00427137" w:rsidRDefault="00114464" w:rsidP="00114464">
            <w:pPr>
              <w:spacing w:after="0" w:line="240" w:lineRule="auto"/>
              <w:jc w:val="right"/>
              <w:rPr>
                <w:rFonts w:eastAsia="Times New Roman" w:cs="Times New Roman"/>
                <w:sz w:val="18"/>
                <w:szCs w:val="18"/>
                <w:lang w:eastAsia="pt-BR"/>
              </w:rPr>
            </w:pPr>
            <w:r w:rsidRPr="00427137">
              <w:rPr>
                <w:sz w:val="18"/>
                <w:szCs w:val="18"/>
              </w:rPr>
              <w:t>6,</w:t>
            </w:r>
            <w:r w:rsidR="0097592E">
              <w:rPr>
                <w:sz w:val="18"/>
                <w:szCs w:val="18"/>
              </w:rPr>
              <w:t>75</w:t>
            </w:r>
          </w:p>
        </w:tc>
        <w:tc>
          <w:tcPr>
            <w:tcW w:w="0" w:type="auto"/>
            <w:shd w:val="clear" w:color="auto" w:fill="F2F2F2" w:themeFill="background1" w:themeFillShade="F2"/>
            <w:noWrap/>
          </w:tcPr>
          <w:p w14:paraId="675E41E0" w14:textId="67FFD48C" w:rsidR="00114464" w:rsidRPr="00427137" w:rsidRDefault="00680C3D" w:rsidP="00114464">
            <w:pPr>
              <w:spacing w:after="0" w:line="240" w:lineRule="auto"/>
              <w:jc w:val="right"/>
              <w:rPr>
                <w:rFonts w:eastAsia="Times New Roman" w:cs="Times New Roman"/>
                <w:sz w:val="18"/>
                <w:szCs w:val="18"/>
                <w:lang w:eastAsia="pt-BR"/>
              </w:rPr>
            </w:pPr>
            <w:r>
              <w:rPr>
                <w:sz w:val="18"/>
                <w:szCs w:val="18"/>
              </w:rPr>
              <w:t>7</w:t>
            </w:r>
            <w:r w:rsidR="00114464" w:rsidRPr="00427137">
              <w:rPr>
                <w:sz w:val="18"/>
                <w:szCs w:val="18"/>
              </w:rPr>
              <w:t>.</w:t>
            </w:r>
            <w:r>
              <w:rPr>
                <w:sz w:val="18"/>
                <w:szCs w:val="18"/>
              </w:rPr>
              <w:t>228</w:t>
            </w:r>
            <w:r w:rsidR="00114464" w:rsidRPr="00427137">
              <w:rPr>
                <w:sz w:val="18"/>
                <w:szCs w:val="18"/>
              </w:rPr>
              <w:t>,</w:t>
            </w:r>
            <w:r>
              <w:rPr>
                <w:sz w:val="18"/>
                <w:szCs w:val="18"/>
              </w:rPr>
              <w:t>31</w:t>
            </w:r>
          </w:p>
        </w:tc>
      </w:tr>
      <w:tr w:rsidR="003149E2" w:rsidRPr="00E44373" w14:paraId="1FBE49EF" w14:textId="77777777" w:rsidTr="00B72848">
        <w:trPr>
          <w:trHeight w:val="20"/>
          <w:jc w:val="center"/>
        </w:trPr>
        <w:tc>
          <w:tcPr>
            <w:tcW w:w="0" w:type="auto"/>
            <w:tcBorders>
              <w:bottom w:val="single" w:sz="4" w:space="0" w:color="BFBFBF" w:themeColor="background1" w:themeShade="BF"/>
            </w:tcBorders>
            <w:shd w:val="clear" w:color="auto" w:fill="7F7F7F" w:themeFill="text1" w:themeFillTint="80"/>
          </w:tcPr>
          <w:p w14:paraId="34F55C9F" w14:textId="767EFA13" w:rsidR="00114464" w:rsidRPr="000D28F9" w:rsidRDefault="00114464" w:rsidP="00114464">
            <w:pPr>
              <w:spacing w:after="0" w:line="240" w:lineRule="auto"/>
              <w:rPr>
                <w:rFonts w:eastAsia="Times New Roman" w:cs="Times New Roman"/>
                <w:b/>
                <w:bCs/>
                <w:color w:val="FFFFFF" w:themeColor="background1"/>
                <w:sz w:val="18"/>
                <w:szCs w:val="18"/>
                <w:lang w:eastAsia="pt-BR"/>
              </w:rPr>
            </w:pPr>
            <w:r w:rsidRPr="000D28F9">
              <w:rPr>
                <w:b/>
                <w:bCs/>
                <w:color w:val="FFFFFF" w:themeColor="background1"/>
                <w:sz w:val="18"/>
                <w:szCs w:val="18"/>
              </w:rPr>
              <w:t>T</w:t>
            </w:r>
            <w:r w:rsidR="00771A4B" w:rsidRPr="000D28F9">
              <w:rPr>
                <w:b/>
                <w:bCs/>
                <w:color w:val="FFFFFF" w:themeColor="background1"/>
                <w:sz w:val="18"/>
                <w:szCs w:val="18"/>
              </w:rPr>
              <w:t>otal</w:t>
            </w:r>
          </w:p>
        </w:tc>
        <w:tc>
          <w:tcPr>
            <w:tcW w:w="0" w:type="auto"/>
            <w:tcBorders>
              <w:bottom w:val="single" w:sz="4" w:space="0" w:color="BFBFBF" w:themeColor="background1" w:themeShade="BF"/>
            </w:tcBorders>
            <w:shd w:val="clear" w:color="auto" w:fill="7F7F7F" w:themeFill="text1" w:themeFillTint="80"/>
            <w:noWrap/>
          </w:tcPr>
          <w:p w14:paraId="43EF073E" w14:textId="51DBBF58" w:rsidR="00114464" w:rsidRPr="000D28F9" w:rsidRDefault="00752613" w:rsidP="00114464">
            <w:pPr>
              <w:spacing w:after="0" w:line="240" w:lineRule="auto"/>
              <w:jc w:val="right"/>
              <w:rPr>
                <w:rFonts w:eastAsia="Times New Roman" w:cs="Times New Roman"/>
                <w:b/>
                <w:bCs/>
                <w:color w:val="FFFFFF" w:themeColor="background1"/>
                <w:sz w:val="18"/>
                <w:szCs w:val="18"/>
                <w:lang w:eastAsia="pt-BR"/>
              </w:rPr>
            </w:pPr>
            <w:r w:rsidRPr="000D28F9">
              <w:rPr>
                <w:b/>
                <w:bCs/>
                <w:color w:val="FFFFFF" w:themeColor="background1"/>
                <w:sz w:val="18"/>
                <w:szCs w:val="18"/>
              </w:rPr>
              <w:t>1.485.936,45</w:t>
            </w:r>
          </w:p>
        </w:tc>
        <w:tc>
          <w:tcPr>
            <w:tcW w:w="0" w:type="auto"/>
            <w:tcBorders>
              <w:bottom w:val="single" w:sz="4" w:space="0" w:color="BFBFBF" w:themeColor="background1" w:themeShade="BF"/>
            </w:tcBorders>
            <w:shd w:val="clear" w:color="auto" w:fill="7F7F7F" w:themeFill="text1" w:themeFillTint="80"/>
            <w:noWrap/>
          </w:tcPr>
          <w:p w14:paraId="43F5BA4D" w14:textId="08275FD8" w:rsidR="00114464" w:rsidRPr="000D28F9" w:rsidRDefault="00114464" w:rsidP="00114464">
            <w:pPr>
              <w:spacing w:after="0" w:line="240" w:lineRule="auto"/>
              <w:jc w:val="right"/>
              <w:rPr>
                <w:rFonts w:eastAsia="Times New Roman" w:cs="Times New Roman"/>
                <w:b/>
                <w:bCs/>
                <w:color w:val="FFFFFF" w:themeColor="background1"/>
                <w:sz w:val="18"/>
                <w:szCs w:val="18"/>
                <w:lang w:eastAsia="pt-BR"/>
              </w:rPr>
            </w:pPr>
            <w:r w:rsidRPr="000D28F9">
              <w:rPr>
                <w:b/>
                <w:bCs/>
                <w:color w:val="FFFFFF" w:themeColor="background1"/>
                <w:sz w:val="18"/>
                <w:szCs w:val="18"/>
              </w:rPr>
              <w:t>1.4</w:t>
            </w:r>
            <w:r w:rsidR="0097592E" w:rsidRPr="000D28F9">
              <w:rPr>
                <w:b/>
                <w:bCs/>
                <w:color w:val="FFFFFF" w:themeColor="background1"/>
                <w:sz w:val="18"/>
                <w:szCs w:val="18"/>
              </w:rPr>
              <w:t>8</w:t>
            </w:r>
            <w:r w:rsidRPr="000D28F9">
              <w:rPr>
                <w:b/>
                <w:bCs/>
                <w:color w:val="FFFFFF" w:themeColor="background1"/>
                <w:sz w:val="18"/>
                <w:szCs w:val="18"/>
              </w:rPr>
              <w:t>5,9</w:t>
            </w:r>
            <w:r w:rsidR="0097592E" w:rsidRPr="000D28F9">
              <w:rPr>
                <w:b/>
                <w:bCs/>
                <w:color w:val="FFFFFF" w:themeColor="background1"/>
                <w:sz w:val="18"/>
                <w:szCs w:val="18"/>
              </w:rPr>
              <w:t>4</w:t>
            </w:r>
          </w:p>
        </w:tc>
        <w:tc>
          <w:tcPr>
            <w:tcW w:w="0" w:type="auto"/>
            <w:tcBorders>
              <w:bottom w:val="single" w:sz="4" w:space="0" w:color="BFBFBF" w:themeColor="background1" w:themeShade="BF"/>
            </w:tcBorders>
            <w:shd w:val="clear" w:color="auto" w:fill="7F7F7F" w:themeFill="text1" w:themeFillTint="80"/>
            <w:noWrap/>
          </w:tcPr>
          <w:p w14:paraId="44F90193" w14:textId="11A07912" w:rsidR="00114464" w:rsidRPr="000D28F9" w:rsidRDefault="00EF598A" w:rsidP="00114464">
            <w:pPr>
              <w:spacing w:after="0" w:line="240" w:lineRule="auto"/>
              <w:jc w:val="right"/>
              <w:rPr>
                <w:rFonts w:eastAsia="Times New Roman" w:cs="Times New Roman"/>
                <w:b/>
                <w:bCs/>
                <w:color w:val="FFFFFF" w:themeColor="background1"/>
                <w:sz w:val="18"/>
                <w:szCs w:val="18"/>
                <w:lang w:eastAsia="pt-BR"/>
              </w:rPr>
            </w:pPr>
            <w:r w:rsidRPr="000D28F9">
              <w:rPr>
                <w:b/>
                <w:bCs/>
                <w:color w:val="FFFFFF" w:themeColor="background1"/>
                <w:sz w:val="18"/>
                <w:szCs w:val="18"/>
              </w:rPr>
              <w:t>1.592.032,31</w:t>
            </w:r>
          </w:p>
        </w:tc>
      </w:tr>
      <w:tr w:rsidR="00463B2E" w:rsidRPr="00E44373" w14:paraId="21D6DB9C" w14:textId="77777777" w:rsidTr="00B72848">
        <w:trPr>
          <w:trHeight w:val="20"/>
          <w:jc w:val="center"/>
        </w:trPr>
        <w:tc>
          <w:tcPr>
            <w:tcW w:w="0" w:type="auto"/>
            <w:gridSpan w:val="4"/>
            <w:tcBorders>
              <w:top w:val="single" w:sz="4" w:space="0" w:color="BFBFBF" w:themeColor="background1" w:themeShade="BF"/>
              <w:left w:val="nil"/>
              <w:bottom w:val="nil"/>
              <w:right w:val="nil"/>
            </w:tcBorders>
            <w:shd w:val="clear" w:color="000000" w:fill="FFFFFF"/>
            <w:vAlign w:val="center"/>
            <w:hideMark/>
          </w:tcPr>
          <w:p w14:paraId="78B42001" w14:textId="0D7D3CD4" w:rsidR="003C4680" w:rsidRPr="00E44373" w:rsidRDefault="00463B2E" w:rsidP="006F6384">
            <w:pPr>
              <w:spacing w:after="0" w:line="240" w:lineRule="auto"/>
              <w:jc w:val="both"/>
              <w:rPr>
                <w:rFonts w:eastAsia="Times New Roman" w:cs="Times New Roman"/>
                <w:i/>
                <w:sz w:val="16"/>
                <w:szCs w:val="16"/>
                <w:lang w:eastAsia="pt-BR"/>
              </w:rPr>
            </w:pPr>
            <w:proofErr w:type="gramStart"/>
            <w:r w:rsidRPr="00E02E50">
              <w:rPr>
                <w:rFonts w:eastAsia="Times New Roman" w:cs="Times New Roman"/>
                <w:i/>
                <w:sz w:val="16"/>
                <w:szCs w:val="16"/>
                <w:vertAlign w:val="superscript"/>
                <w:lang w:eastAsia="pt-BR"/>
              </w:rPr>
              <w:t>1</w:t>
            </w:r>
            <w:proofErr w:type="gramEnd"/>
            <w:r w:rsidR="003C4680" w:rsidRPr="00E02E50">
              <w:rPr>
                <w:rFonts w:eastAsia="Times New Roman" w:cs="Times New Roman"/>
                <w:i/>
                <w:sz w:val="16"/>
                <w:szCs w:val="16"/>
                <w:vertAlign w:val="superscript"/>
                <w:lang w:eastAsia="pt-BR"/>
              </w:rPr>
              <w:t xml:space="preserve"> </w:t>
            </w:r>
            <w:r w:rsidR="00427137" w:rsidRPr="00427137">
              <w:rPr>
                <w:rFonts w:eastAsia="Times New Roman" w:cs="Times New Roman"/>
                <w:i/>
                <w:sz w:val="16"/>
                <w:szCs w:val="16"/>
                <w:lang w:eastAsia="pt-BR"/>
              </w:rPr>
              <w:t>Projeção com base no valor estimado para a variação do IPCA (</w:t>
            </w:r>
            <w:r w:rsidR="00C95153" w:rsidRPr="00C95153">
              <w:rPr>
                <w:rFonts w:eastAsia="Times New Roman" w:cs="Times New Roman"/>
                <w:i/>
                <w:sz w:val="16"/>
                <w:szCs w:val="16"/>
                <w:lang w:eastAsia="pt-BR"/>
              </w:rPr>
              <w:t>7,14</w:t>
            </w:r>
            <w:r w:rsidR="00427137" w:rsidRPr="00427137">
              <w:rPr>
                <w:rFonts w:eastAsia="Times New Roman" w:cs="Times New Roman"/>
                <w:i/>
                <w:sz w:val="16"/>
                <w:szCs w:val="16"/>
                <w:lang w:eastAsia="pt-BR"/>
              </w:rPr>
              <w:t>%) presente na grade de parâmetros da SPE</w:t>
            </w:r>
            <w:r w:rsidR="00E86649">
              <w:rPr>
                <w:rFonts w:eastAsia="Times New Roman" w:cs="Times New Roman"/>
                <w:i/>
                <w:sz w:val="16"/>
                <w:szCs w:val="16"/>
                <w:lang w:eastAsia="pt-BR"/>
              </w:rPr>
              <w:t>, de 12/03/2021</w:t>
            </w:r>
            <w:r w:rsidR="000D28F9">
              <w:rPr>
                <w:rFonts w:eastAsia="Times New Roman" w:cs="Times New Roman"/>
                <w:i/>
                <w:sz w:val="16"/>
                <w:szCs w:val="16"/>
                <w:lang w:eastAsia="pt-BR"/>
              </w:rPr>
              <w:t>,</w:t>
            </w:r>
            <w:r w:rsidR="00427137" w:rsidRPr="00427137">
              <w:rPr>
                <w:rFonts w:eastAsia="Times New Roman" w:cs="Times New Roman"/>
                <w:i/>
                <w:sz w:val="16"/>
                <w:szCs w:val="16"/>
                <w:lang w:eastAsia="pt-BR"/>
              </w:rPr>
              <w:t xml:space="preserve"> que embasou a elaboração do Projeto de Lei de Diretrizes Orçamentárias de </w:t>
            </w:r>
            <w:r w:rsidR="00C95153" w:rsidRPr="00C95153">
              <w:rPr>
                <w:rFonts w:eastAsia="Times New Roman" w:cs="Times New Roman"/>
                <w:i/>
                <w:sz w:val="16"/>
                <w:szCs w:val="16"/>
                <w:lang w:eastAsia="pt-BR"/>
              </w:rPr>
              <w:t>2022</w:t>
            </w:r>
            <w:r w:rsidR="00427137" w:rsidRPr="00427137">
              <w:rPr>
                <w:rFonts w:eastAsia="Times New Roman" w:cs="Times New Roman"/>
                <w:i/>
                <w:sz w:val="16"/>
                <w:szCs w:val="16"/>
                <w:lang w:eastAsia="pt-BR"/>
              </w:rPr>
              <w:t>.</w:t>
            </w:r>
          </w:p>
          <w:p w14:paraId="65845C53" w14:textId="77777777" w:rsidR="00463B2E" w:rsidRPr="00E44373" w:rsidRDefault="00463B2E" w:rsidP="006F6384">
            <w:pPr>
              <w:spacing w:after="0" w:line="240" w:lineRule="auto"/>
              <w:jc w:val="both"/>
              <w:rPr>
                <w:rFonts w:eastAsia="Times New Roman" w:cs="Times New Roman"/>
                <w:i/>
                <w:sz w:val="16"/>
                <w:szCs w:val="16"/>
                <w:lang w:eastAsia="pt-BR"/>
              </w:rPr>
            </w:pPr>
            <w:r w:rsidRPr="00E44373">
              <w:rPr>
                <w:rFonts w:eastAsia="Times New Roman" w:cs="Times New Roman"/>
                <w:b/>
                <w:i/>
                <w:color w:val="000000"/>
                <w:sz w:val="16"/>
                <w:szCs w:val="16"/>
                <w:lang w:eastAsia="pt-BR"/>
              </w:rPr>
              <w:t>Fonte e elaboração:</w:t>
            </w:r>
            <w:r w:rsidRPr="00E44373">
              <w:rPr>
                <w:rFonts w:eastAsia="Times New Roman" w:cs="Times New Roman"/>
                <w:i/>
                <w:color w:val="000000"/>
                <w:sz w:val="16"/>
                <w:szCs w:val="16"/>
                <w:lang w:eastAsia="pt-BR"/>
              </w:rPr>
              <w:t xml:space="preserve"> STN/ME.</w:t>
            </w:r>
          </w:p>
        </w:tc>
      </w:tr>
    </w:tbl>
    <w:p w14:paraId="5DC3DE97" w14:textId="7D4EB4A3" w:rsidR="00FD4EBB" w:rsidRPr="0005635F" w:rsidRDefault="006E77A7" w:rsidP="19F960F7">
      <w:pPr>
        <w:pStyle w:val="Ttulo3"/>
        <w:keepNext w:val="0"/>
        <w:numPr>
          <w:ilvl w:val="2"/>
          <w:numId w:val="36"/>
        </w:numPr>
        <w:spacing w:before="240" w:after="120"/>
        <w:ind w:left="720" w:hanging="720"/>
        <w:rPr>
          <w:rFonts w:asciiTheme="minorHAnsi" w:hAnsiTheme="minorHAnsi"/>
          <w:b/>
          <w:smallCaps w:val="0"/>
        </w:rPr>
      </w:pPr>
      <w:bookmarkStart w:id="84" w:name="_Toc67317975"/>
      <w:bookmarkStart w:id="85" w:name="_Toc67929629"/>
      <w:bookmarkStart w:id="86" w:name="_Toc69121216"/>
      <w:r w:rsidRPr="19F960F7">
        <w:rPr>
          <w:rFonts w:asciiTheme="minorHAnsi" w:hAnsiTheme="minorHAnsi"/>
          <w:b/>
          <w:smallCaps w:val="0"/>
        </w:rPr>
        <w:t>Sensibilidade da Despesa com Subsídios e Subvenções</w:t>
      </w:r>
      <w:bookmarkEnd w:id="84"/>
      <w:bookmarkEnd w:id="85"/>
      <w:bookmarkEnd w:id="86"/>
    </w:p>
    <w:p w14:paraId="7ED7CE8A" w14:textId="5724C42E" w:rsidR="00934593" w:rsidRPr="0005635F" w:rsidRDefault="4BA047AE" w:rsidP="19F960F7">
      <w:pPr>
        <w:spacing w:after="120" w:line="240" w:lineRule="auto"/>
        <w:ind w:firstLine="1418"/>
        <w:jc w:val="both"/>
        <w:rPr>
          <w:sz w:val="24"/>
          <w:szCs w:val="24"/>
        </w:rPr>
      </w:pPr>
      <w:proofErr w:type="gramStart"/>
      <w:r w:rsidRPr="19F960F7">
        <w:rPr>
          <w:sz w:val="24"/>
          <w:szCs w:val="24"/>
        </w:rPr>
        <w:t>Grande parte dos pagamentos de subvenção econômica realizados pela STN com impacto primário são</w:t>
      </w:r>
      <w:proofErr w:type="gramEnd"/>
      <w:r w:rsidRPr="19F960F7">
        <w:rPr>
          <w:sz w:val="24"/>
          <w:szCs w:val="24"/>
        </w:rPr>
        <w:t xml:space="preserve"> na modalidade equalização de taxas de juros e são sensíveis a variações nas taxas do mercado interno, como Selic, TJLP e TLP, bem como variações do IPCA, no caso das contratadas com TLP. Em 2020, esses pagamentos representaram 32,7% do total de despesas com impacto primário da STN (R$ 5,45 bilhões de um total de R$ 16,65 bilhões). Esses pagamentos já representaram uma maior porcentagem do total de despesas desta natureza, mas têm apresentado redução do valor pago justamente pela constante queda das taxas de juros observada recentemente, além do aumento do valor total executado em 2020 por conta do Programa Especial de Suporte a Empregos - PESE, devido à pandemia do COVID-19.</w:t>
      </w:r>
    </w:p>
    <w:p w14:paraId="777B9DB1" w14:textId="5DAD63F9" w:rsidR="00934593" w:rsidRPr="0005635F" w:rsidRDefault="4BA047AE" w:rsidP="19F960F7">
      <w:pPr>
        <w:spacing w:after="120" w:line="240" w:lineRule="auto"/>
        <w:ind w:firstLine="1418"/>
        <w:jc w:val="both"/>
        <w:rPr>
          <w:sz w:val="24"/>
          <w:szCs w:val="24"/>
        </w:rPr>
      </w:pPr>
      <w:r w:rsidRPr="19F960F7">
        <w:rPr>
          <w:sz w:val="24"/>
          <w:szCs w:val="24"/>
        </w:rPr>
        <w:t xml:space="preserve">Basicamente, essa modalidade de subvenção garante à instituição financeira o recebimento de uma taxa de mercado (como a TLP) além de um spread, ao mesmo tempo </w:t>
      </w:r>
      <w:r w:rsidR="00EC50A6">
        <w:rPr>
          <w:sz w:val="24"/>
          <w:szCs w:val="24"/>
        </w:rPr>
        <w:t xml:space="preserve">em </w:t>
      </w:r>
      <w:r w:rsidRPr="19F960F7">
        <w:rPr>
          <w:sz w:val="24"/>
          <w:szCs w:val="24"/>
        </w:rPr>
        <w:t xml:space="preserve">que garante ao mutuário uma taxa fixa pelo empréstimo definida nos programas subvencionados (como </w:t>
      </w:r>
      <w:proofErr w:type="gramStart"/>
      <w:r w:rsidRPr="19F960F7">
        <w:rPr>
          <w:sz w:val="24"/>
          <w:szCs w:val="24"/>
        </w:rPr>
        <w:t>Plano Safra</w:t>
      </w:r>
      <w:proofErr w:type="gramEnd"/>
      <w:r w:rsidRPr="19F960F7">
        <w:rPr>
          <w:sz w:val="24"/>
          <w:szCs w:val="24"/>
        </w:rPr>
        <w:t xml:space="preserve"> ou PSI). A diferença entre essas taxas é equalizada pelo Tesouro Nacional no decorrer do fluxo de amortização desses empréstimos por meio das ações orçamentárias de subvenção econômica. Dessa forma, o pagamento dessa subvenção econômica está diretamente relacionado com as taxas de juros. Uma elevação das taxas de mercado aumenta a diferença a ser </w:t>
      </w:r>
      <w:proofErr w:type="gramStart"/>
      <w:r w:rsidRPr="19F960F7">
        <w:rPr>
          <w:sz w:val="24"/>
          <w:szCs w:val="24"/>
        </w:rPr>
        <w:t>equalizada</w:t>
      </w:r>
      <w:proofErr w:type="gramEnd"/>
      <w:r w:rsidRPr="19F960F7">
        <w:rPr>
          <w:sz w:val="24"/>
          <w:szCs w:val="24"/>
        </w:rPr>
        <w:t xml:space="preserve"> pelo Tesouro, o que, consequentemente, aumenta a subvenção econômica a ser paga às instituições financeiras.</w:t>
      </w:r>
    </w:p>
    <w:p w14:paraId="025B22E6" w14:textId="76E9A2B9" w:rsidR="00BD37B9" w:rsidRPr="0005635F" w:rsidRDefault="00BD37B9" w:rsidP="00BD37B9">
      <w:pPr>
        <w:pStyle w:val="Default"/>
        <w:spacing w:after="120"/>
        <w:ind w:firstLine="1418"/>
        <w:jc w:val="both"/>
      </w:pPr>
      <w:r>
        <w:t xml:space="preserve">Foram realizadas simulações com os atuais saldos das operações e taxas de juros para estimar o efeito de variações nas taxas de juros sobre essa modalidade de subvenção econômica. Considerando os valores do PLOA 2021 e uma elevação de apenas </w:t>
      </w:r>
      <w:proofErr w:type="gramStart"/>
      <w:r>
        <w:t>0,5 ponto</w:t>
      </w:r>
      <w:proofErr w:type="gramEnd"/>
      <w:r>
        <w:t xml:space="preserve"> percentual ao ano na TJLP, TLP e Selic, ter-se-ia um efeito de R$ 1,16 bilhão sobre as despesas com impacto primário, o que poderia gerar a necessidade de crédito suplementar.</w:t>
      </w:r>
    </w:p>
    <w:p w14:paraId="7A860E2D" w14:textId="62C51E8F" w:rsidR="00934593" w:rsidRPr="0005635F" w:rsidRDefault="00934593" w:rsidP="19F960F7">
      <w:pPr>
        <w:spacing w:after="120" w:line="240" w:lineRule="auto"/>
        <w:ind w:firstLine="1418"/>
        <w:jc w:val="both"/>
        <w:rPr>
          <w:sz w:val="24"/>
          <w:szCs w:val="24"/>
        </w:rPr>
      </w:pPr>
    </w:p>
    <w:p w14:paraId="685B9C6A" w14:textId="77777777" w:rsidR="000D17A6" w:rsidRPr="00C330F9" w:rsidRDefault="000D17A6" w:rsidP="006F6A89">
      <w:pPr>
        <w:pStyle w:val="Ttulo2"/>
        <w:keepLines/>
        <w:numPr>
          <w:ilvl w:val="1"/>
          <w:numId w:val="36"/>
        </w:numPr>
        <w:spacing w:before="240" w:after="120"/>
        <w:ind w:left="578" w:hanging="578"/>
        <w:jc w:val="left"/>
        <w:rPr>
          <w:rFonts w:asciiTheme="minorHAnsi" w:hAnsiTheme="minorHAnsi" w:cs="Times New Roman"/>
          <w:color w:val="auto"/>
          <w:sz w:val="24"/>
          <w:szCs w:val="24"/>
        </w:rPr>
      </w:pPr>
      <w:bookmarkStart w:id="87" w:name="_Toc2869866"/>
      <w:bookmarkStart w:id="88" w:name="_Toc5012226"/>
      <w:bookmarkStart w:id="89" w:name="_Toc5030472"/>
      <w:bookmarkStart w:id="90" w:name="_Toc5180276"/>
      <w:bookmarkStart w:id="91" w:name="_Toc67317976"/>
      <w:bookmarkStart w:id="92" w:name="_Toc67929630"/>
      <w:bookmarkStart w:id="93" w:name="_Toc69121217"/>
      <w:bookmarkStart w:id="94" w:name="_Toc447189114"/>
      <w:bookmarkStart w:id="95" w:name="_Toc447613112"/>
      <w:r w:rsidRPr="00C330F9">
        <w:rPr>
          <w:rFonts w:asciiTheme="minorHAnsi" w:hAnsiTheme="minorHAnsi" w:cs="Times New Roman"/>
          <w:color w:val="auto"/>
          <w:sz w:val="24"/>
          <w:szCs w:val="24"/>
        </w:rPr>
        <w:t>SENSIBILIDADE DA DÍVIDA PÚBLIC</w:t>
      </w:r>
      <w:bookmarkEnd w:id="87"/>
      <w:r w:rsidRPr="00C330F9">
        <w:rPr>
          <w:rFonts w:asciiTheme="minorHAnsi" w:hAnsiTheme="minorHAnsi" w:cs="Times New Roman"/>
          <w:color w:val="auto"/>
          <w:sz w:val="24"/>
          <w:szCs w:val="24"/>
        </w:rPr>
        <w:t>A</w:t>
      </w:r>
      <w:bookmarkEnd w:id="88"/>
      <w:bookmarkEnd w:id="89"/>
      <w:bookmarkEnd w:id="90"/>
      <w:bookmarkEnd w:id="91"/>
      <w:bookmarkEnd w:id="92"/>
      <w:bookmarkEnd w:id="93"/>
    </w:p>
    <w:p w14:paraId="1D8C7F5A" w14:textId="14D4A0BB" w:rsidR="00561519" w:rsidRDefault="00793C89" w:rsidP="00561519">
      <w:pPr>
        <w:spacing w:after="120" w:line="240" w:lineRule="auto"/>
        <w:ind w:firstLine="1418"/>
        <w:jc w:val="both"/>
        <w:rPr>
          <w:sz w:val="24"/>
          <w:szCs w:val="24"/>
        </w:rPr>
      </w:pPr>
      <w:bookmarkStart w:id="96" w:name="_Toc479778247"/>
      <w:r w:rsidRPr="00793C89">
        <w:rPr>
          <w:sz w:val="24"/>
          <w:szCs w:val="24"/>
        </w:rPr>
        <w:t>A Dívida Pública Federal (DPF) corresponde à soma da Dívida Pública Mobília Federal interna (</w:t>
      </w:r>
      <w:proofErr w:type="spellStart"/>
      <w:proofErr w:type="gramStart"/>
      <w:r w:rsidRPr="00793C89">
        <w:rPr>
          <w:sz w:val="24"/>
          <w:szCs w:val="24"/>
        </w:rPr>
        <w:t>DPMFi</w:t>
      </w:r>
      <w:proofErr w:type="spellEnd"/>
      <w:proofErr w:type="gramEnd"/>
      <w:r w:rsidRPr="00793C89">
        <w:rPr>
          <w:sz w:val="24"/>
          <w:szCs w:val="24"/>
        </w:rPr>
        <w:t>) com a Dívida Pública Federal externa (</w:t>
      </w:r>
      <w:proofErr w:type="spellStart"/>
      <w:r w:rsidRPr="00793C89">
        <w:rPr>
          <w:sz w:val="24"/>
          <w:szCs w:val="24"/>
        </w:rPr>
        <w:t>DPFe</w:t>
      </w:r>
      <w:proofErr w:type="spellEnd"/>
      <w:r w:rsidRPr="00793C89">
        <w:rPr>
          <w:sz w:val="24"/>
          <w:szCs w:val="24"/>
        </w:rPr>
        <w:t>), sendo esta última subdividida em mobiliária e contratual. A estratégia de financiamento da DPF é estruturada com o objetivo de redução de custos no longo prazo, concomitantemente à manutenção de níveis prudentes de risco e ao bom funcionamento do mercado brasileiro de títulos públicos. Neste sentido, o gerenciamento de riscos constitui-se em instrumento fundamental na administração da DPF. Dentre os riscos aos quais está sujeita a DPF, cumpre destacar os riscos de refinanciamento e o de mercado.</w:t>
      </w:r>
    </w:p>
    <w:p w14:paraId="6409CA26" w14:textId="77777777" w:rsidR="00070BF6" w:rsidRPr="00325A0C" w:rsidRDefault="00070BF6" w:rsidP="00070BF6">
      <w:pPr>
        <w:spacing w:after="120" w:line="240" w:lineRule="auto"/>
        <w:jc w:val="both"/>
        <w:rPr>
          <w:sz w:val="24"/>
          <w:szCs w:val="24"/>
        </w:rPr>
      </w:pPr>
    </w:p>
    <w:p w14:paraId="07F42C31" w14:textId="77777777" w:rsidR="000D17A6" w:rsidRPr="00947E8E" w:rsidRDefault="000D17A6" w:rsidP="00507A38">
      <w:pPr>
        <w:pStyle w:val="Ttulo3"/>
        <w:keepNext w:val="0"/>
        <w:numPr>
          <w:ilvl w:val="2"/>
          <w:numId w:val="36"/>
        </w:numPr>
        <w:spacing w:before="240" w:after="120"/>
        <w:ind w:left="720" w:hanging="720"/>
        <w:rPr>
          <w:rFonts w:asciiTheme="minorHAnsi" w:hAnsiTheme="minorHAnsi"/>
          <w:b/>
          <w:smallCaps w:val="0"/>
        </w:rPr>
      </w:pPr>
      <w:bookmarkStart w:id="97" w:name="_Toc3563851"/>
      <w:bookmarkStart w:id="98" w:name="_Toc5012228"/>
      <w:bookmarkStart w:id="99" w:name="_Toc5030474"/>
      <w:bookmarkStart w:id="100" w:name="_Toc5180278"/>
      <w:bookmarkStart w:id="101" w:name="_Toc67317977"/>
      <w:bookmarkStart w:id="102" w:name="_Toc67929631"/>
      <w:bookmarkStart w:id="103" w:name="_Toc69121218"/>
      <w:bookmarkEnd w:id="94"/>
      <w:bookmarkEnd w:id="95"/>
      <w:bookmarkEnd w:id="96"/>
      <w:r w:rsidRPr="00947E8E">
        <w:rPr>
          <w:rFonts w:asciiTheme="minorHAnsi" w:hAnsiTheme="minorHAnsi"/>
          <w:b/>
          <w:smallCaps w:val="0"/>
        </w:rPr>
        <w:t>Risco</w:t>
      </w:r>
      <w:r w:rsidR="00273218" w:rsidRPr="00947E8E">
        <w:rPr>
          <w:rFonts w:asciiTheme="minorHAnsi" w:hAnsiTheme="minorHAnsi"/>
          <w:b/>
          <w:smallCaps w:val="0"/>
        </w:rPr>
        <w:t>s</w:t>
      </w:r>
      <w:r w:rsidRPr="00947E8E">
        <w:rPr>
          <w:rFonts w:asciiTheme="minorHAnsi" w:hAnsiTheme="minorHAnsi"/>
          <w:b/>
          <w:smallCaps w:val="0"/>
        </w:rPr>
        <w:t xml:space="preserve"> de Mercado</w:t>
      </w:r>
      <w:bookmarkEnd w:id="97"/>
      <w:bookmarkEnd w:id="98"/>
      <w:bookmarkEnd w:id="99"/>
      <w:bookmarkEnd w:id="100"/>
      <w:bookmarkEnd w:id="101"/>
      <w:bookmarkEnd w:id="102"/>
      <w:bookmarkEnd w:id="103"/>
    </w:p>
    <w:p w14:paraId="12DCF1CD" w14:textId="3314EAF0" w:rsidR="00A53FCD" w:rsidRPr="00A53FCD" w:rsidRDefault="00A53FCD" w:rsidP="00A53FCD">
      <w:pPr>
        <w:spacing w:after="120" w:line="240" w:lineRule="auto"/>
        <w:ind w:firstLine="1418"/>
        <w:jc w:val="both"/>
        <w:rPr>
          <w:sz w:val="24"/>
          <w:szCs w:val="24"/>
          <w:lang w:eastAsia="pt-BR"/>
        </w:rPr>
      </w:pPr>
      <w:r w:rsidRPr="00A53FCD">
        <w:rPr>
          <w:sz w:val="24"/>
          <w:szCs w:val="24"/>
          <w:lang w:eastAsia="pt-BR"/>
        </w:rPr>
        <w:t>O risco de mercado captura a possibilidade de elevação no estoque nominal da dívida decorrente de alterações nas condições de mercado que afetem os custos dos títulos públicos, tais como as variações nas taxas de juros, de câmbio e de inflação. Tais variações acarretam impactos no orçamento anual, pois alteram o volume de recursos necessários ao pagamento do serviço da dívida, afetando inclusive os orçamentos dos anos posteriores. Esses riscos são especialmente relevantes, pois afetam a relação Dívida Líquida do Setor Público/Produto Interno Bruto (DLSP/PIB) e Dívida Bruta do Governo Geral/Produto Interno Bruto (DBGG/PIB).</w:t>
      </w:r>
    </w:p>
    <w:p w14:paraId="4134FBB9" w14:textId="77777777" w:rsidR="00A53FCD" w:rsidRPr="00A53FCD" w:rsidRDefault="00A53FCD" w:rsidP="00A53FCD">
      <w:pPr>
        <w:spacing w:after="120" w:line="240" w:lineRule="auto"/>
        <w:ind w:firstLine="1418"/>
        <w:jc w:val="both"/>
        <w:rPr>
          <w:sz w:val="24"/>
          <w:szCs w:val="24"/>
          <w:lang w:eastAsia="pt-BR"/>
        </w:rPr>
      </w:pPr>
      <w:r w:rsidRPr="00A53FCD">
        <w:rPr>
          <w:sz w:val="24"/>
          <w:szCs w:val="24"/>
          <w:lang w:eastAsia="pt-BR"/>
        </w:rPr>
        <w:t>A composição da DPF é o indicador mais imediato do risco de mercado, pois seu estoque possui títulos com diferentes características, de acordo com o tipo de remuneração a que estão condicionados. Em anos recentes, a composição da DPF vem registrando aumento da participação de títulos remunerados por taxas de juros flutuantes, o que significa maior exposição ao risco de elevação da taxa de juros.</w:t>
      </w:r>
    </w:p>
    <w:p w14:paraId="28A9AF2A" w14:textId="77777777" w:rsidR="00A53FCD" w:rsidRPr="00A53FCD" w:rsidRDefault="00A53FCD" w:rsidP="00A53FCD">
      <w:pPr>
        <w:spacing w:after="120" w:line="240" w:lineRule="auto"/>
        <w:ind w:firstLine="1418"/>
        <w:jc w:val="both"/>
        <w:rPr>
          <w:sz w:val="24"/>
          <w:szCs w:val="24"/>
          <w:lang w:eastAsia="pt-BR"/>
        </w:rPr>
      </w:pPr>
      <w:r w:rsidRPr="00A53FCD">
        <w:rPr>
          <w:sz w:val="24"/>
          <w:szCs w:val="24"/>
          <w:lang w:eastAsia="pt-BR"/>
        </w:rPr>
        <w:t xml:space="preserve">Este crescimento na participação de flutuantes, preponderantemente LFT, está diretamente relacionado à sequência de déficits fiscais primários no orçamento, uma vez que a incerteza sobre a efetivação da consolidação fiscal torna mais difícil a emissão de títulos prefixados e remunerados por índice de preços. A reversão dessa tendência na composição da dívida e o alongamento de prazos da dívida, para reduzir o risco de refinanciamento abordado anteriormente, dependem da </w:t>
      </w:r>
      <w:proofErr w:type="gramStart"/>
      <w:r w:rsidRPr="00A53FCD">
        <w:rPr>
          <w:sz w:val="24"/>
          <w:szCs w:val="24"/>
          <w:lang w:eastAsia="pt-BR"/>
        </w:rPr>
        <w:t>implementação</w:t>
      </w:r>
      <w:proofErr w:type="gramEnd"/>
      <w:r w:rsidRPr="00A53FCD">
        <w:rPr>
          <w:sz w:val="24"/>
          <w:szCs w:val="24"/>
          <w:lang w:eastAsia="pt-BR"/>
        </w:rPr>
        <w:t xml:space="preserve"> de reformas fiscais estruturais de contenção da despesa pública, fator determinante para a melhora dos resultados fiscais e das condições econômicas.</w:t>
      </w:r>
    </w:p>
    <w:p w14:paraId="05713951" w14:textId="10B1B8A0" w:rsidR="000F32F9" w:rsidRPr="00947E8E" w:rsidRDefault="00A53FCD" w:rsidP="00A53FCD">
      <w:pPr>
        <w:spacing w:after="120" w:line="240" w:lineRule="auto"/>
        <w:ind w:firstLine="1418"/>
        <w:jc w:val="both"/>
        <w:rPr>
          <w:sz w:val="24"/>
          <w:szCs w:val="24"/>
          <w:lang w:eastAsia="pt-BR"/>
        </w:rPr>
      </w:pPr>
      <w:r w:rsidRPr="00A53FCD">
        <w:rPr>
          <w:sz w:val="24"/>
          <w:szCs w:val="24"/>
          <w:lang w:eastAsia="pt-BR"/>
        </w:rPr>
        <w:t>A conjunção de um perfil de DPF majoritariamente indexado à taxa Selic com elevada parcela de dívida de curto prazo potencializa o risco decorrente de alterações nas taxas de juros do país. O registro de mínimas históricas para a taxa Selic em 2020 propiciou uma redução dos encargos de juros sobre o endividamento. Contudo, a tendência de aumento dessa taxa a partir de 2021 tem o potencial de impactar os indicadores, com efeitos efeito negativo sobre o custo da dívida durante o ciclo de elevação dos juros. Isso demonstra a necessidade premente de uma consolidação fiscal que crie condições macroeconômicas favoráveis à redução do endividamento e melhora no seu perfil de risco.</w:t>
      </w:r>
    </w:p>
    <w:p w14:paraId="0BF4931A" w14:textId="35E7EBDF" w:rsidR="00620C02" w:rsidRPr="00947E8E" w:rsidRDefault="00796426" w:rsidP="00D944C3">
      <w:pPr>
        <w:spacing w:after="120" w:line="240" w:lineRule="auto"/>
        <w:jc w:val="center"/>
      </w:pPr>
      <w:bookmarkStart w:id="104" w:name="_Toc69121327"/>
      <w:r w:rsidRPr="00947E8E">
        <w:t xml:space="preserve">Figura </w:t>
      </w:r>
      <w:r>
        <w:fldChar w:fldCharType="begin"/>
      </w:r>
      <w:r>
        <w:instrText>SEQ Figura \* ARABIC</w:instrText>
      </w:r>
      <w:r>
        <w:fldChar w:fldCharType="separate"/>
      </w:r>
      <w:r w:rsidR="00304F5F">
        <w:rPr>
          <w:noProof/>
        </w:rPr>
        <w:t>2</w:t>
      </w:r>
      <w:r>
        <w:fldChar w:fldCharType="end"/>
      </w:r>
      <w:r w:rsidR="000B4D56" w:rsidRPr="00947E8E">
        <w:rPr>
          <w:noProof/>
        </w:rPr>
        <w:t xml:space="preserve"> -</w:t>
      </w:r>
      <w:r w:rsidR="00620C02" w:rsidRPr="00947E8E">
        <w:t xml:space="preserve"> Composição do estoque da DPF</w:t>
      </w:r>
      <w:bookmarkEnd w:id="104"/>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tblGrid>
      <w:tr w:rsidR="00D46AC6" w:rsidRPr="00D46AC6" w14:paraId="09CB5616" w14:textId="77777777" w:rsidTr="27AD6346">
        <w:trPr>
          <w:trHeight w:val="4195"/>
          <w:jc w:val="center"/>
        </w:trPr>
        <w:tc>
          <w:tcPr>
            <w:tcW w:w="7427" w:type="dxa"/>
            <w:vAlign w:val="center"/>
          </w:tcPr>
          <w:p w14:paraId="40BC1055" w14:textId="274C80E7" w:rsidR="00A23A75" w:rsidRPr="00D46AC6" w:rsidRDefault="00A53FCD" w:rsidP="00A23A75">
            <w:pPr>
              <w:jc w:val="center"/>
              <w:rPr>
                <w:color w:val="FF0000"/>
                <w:sz w:val="2"/>
                <w:szCs w:val="2"/>
              </w:rPr>
            </w:pPr>
            <w:r>
              <w:rPr>
                <w:noProof/>
                <w:color w:val="FF0000"/>
                <w:sz w:val="2"/>
                <w:szCs w:val="2"/>
                <w:lang w:eastAsia="pt-BR"/>
              </w:rPr>
              <w:lastRenderedPageBreak/>
              <w:drawing>
                <wp:inline distT="0" distB="0" distL="0" distR="0" wp14:anchorId="7347A2F8" wp14:editId="6D95CFA9">
                  <wp:extent cx="5389245" cy="3371215"/>
                  <wp:effectExtent l="0" t="0" r="1905"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9245" cy="3371215"/>
                          </a:xfrm>
                          <a:prstGeom prst="rect">
                            <a:avLst/>
                          </a:prstGeom>
                          <a:noFill/>
                        </pic:spPr>
                      </pic:pic>
                    </a:graphicData>
                  </a:graphic>
                </wp:inline>
              </w:drawing>
            </w:r>
          </w:p>
        </w:tc>
      </w:tr>
      <w:tr w:rsidR="00D944C3" w:rsidRPr="00D46AC6" w14:paraId="5CE0702E" w14:textId="77777777" w:rsidTr="27AD6346">
        <w:trPr>
          <w:jc w:val="center"/>
        </w:trPr>
        <w:tc>
          <w:tcPr>
            <w:tcW w:w="7427" w:type="dxa"/>
          </w:tcPr>
          <w:p w14:paraId="58B24F3A" w14:textId="5C8BA02E" w:rsidR="00A23A75" w:rsidRPr="00D2443D" w:rsidRDefault="00B06ACF" w:rsidP="00A23A75">
            <w:pPr>
              <w:jc w:val="both"/>
              <w:rPr>
                <w:i/>
                <w:iCs/>
                <w:sz w:val="16"/>
                <w:szCs w:val="16"/>
              </w:rPr>
            </w:pPr>
            <w:r w:rsidRPr="00D2443D">
              <w:rPr>
                <w:i/>
                <w:iCs/>
                <w:sz w:val="16"/>
                <w:szCs w:val="16"/>
              </w:rPr>
              <w:t xml:space="preserve">* </w:t>
            </w:r>
            <w:r w:rsidR="00A23A75" w:rsidRPr="00D2443D">
              <w:rPr>
                <w:i/>
                <w:iCs/>
                <w:sz w:val="16"/>
                <w:szCs w:val="16"/>
              </w:rPr>
              <w:t>Projeções com base na estratégia de médio prazo elaborada no âmbito do PAF 20</w:t>
            </w:r>
            <w:r w:rsidR="00947E8E" w:rsidRPr="00D2443D">
              <w:rPr>
                <w:i/>
                <w:iCs/>
                <w:sz w:val="16"/>
                <w:szCs w:val="16"/>
              </w:rPr>
              <w:t>2</w:t>
            </w:r>
            <w:r w:rsidR="00A53FCD">
              <w:rPr>
                <w:i/>
                <w:iCs/>
                <w:sz w:val="16"/>
                <w:szCs w:val="16"/>
              </w:rPr>
              <w:t>1</w:t>
            </w:r>
            <w:r w:rsidR="00A23A75" w:rsidRPr="00D2443D">
              <w:rPr>
                <w:i/>
                <w:iCs/>
                <w:sz w:val="16"/>
                <w:szCs w:val="16"/>
              </w:rPr>
              <w:t>.</w:t>
            </w:r>
          </w:p>
          <w:p w14:paraId="4B96379D" w14:textId="77777777" w:rsidR="00A23A75" w:rsidRPr="00D46AC6" w:rsidRDefault="00A23A75" w:rsidP="00A23A75">
            <w:pPr>
              <w:jc w:val="both"/>
              <w:rPr>
                <w:color w:val="FF0000"/>
                <w:sz w:val="20"/>
                <w:szCs w:val="20"/>
              </w:rPr>
            </w:pPr>
            <w:r w:rsidRPr="00D2443D">
              <w:rPr>
                <w:b/>
                <w:i/>
                <w:iCs/>
                <w:sz w:val="16"/>
                <w:szCs w:val="16"/>
              </w:rPr>
              <w:t>Fonte e elaboração</w:t>
            </w:r>
            <w:r w:rsidRPr="00D2443D">
              <w:rPr>
                <w:i/>
                <w:iCs/>
                <w:sz w:val="16"/>
                <w:szCs w:val="16"/>
              </w:rPr>
              <w:t>: STN/ME.</w:t>
            </w:r>
          </w:p>
        </w:tc>
      </w:tr>
    </w:tbl>
    <w:p w14:paraId="293C6F00" w14:textId="77777777" w:rsidR="00A23A75" w:rsidRPr="00D46AC6" w:rsidRDefault="00A23A75" w:rsidP="004F5082">
      <w:pPr>
        <w:spacing w:after="120" w:line="240" w:lineRule="auto"/>
        <w:jc w:val="both"/>
        <w:rPr>
          <w:color w:val="FF0000"/>
          <w:sz w:val="24"/>
          <w:szCs w:val="24"/>
        </w:rPr>
      </w:pPr>
    </w:p>
    <w:p w14:paraId="5B72BF78" w14:textId="64862068" w:rsidR="00964CF3" w:rsidRDefault="00A53FCD" w:rsidP="00620C02">
      <w:pPr>
        <w:spacing w:after="120" w:line="240" w:lineRule="auto"/>
        <w:ind w:firstLine="1418"/>
        <w:jc w:val="both"/>
        <w:rPr>
          <w:sz w:val="24"/>
          <w:szCs w:val="24"/>
        </w:rPr>
      </w:pPr>
      <w:r w:rsidRPr="00A53FCD">
        <w:rPr>
          <w:sz w:val="24"/>
          <w:szCs w:val="24"/>
        </w:rPr>
        <w:t>Na sequência, particularmente importante para este Anexo de Riscos Fiscais é a análise de sensibilidade da dívida, que mede o possível aumento nos valores de pagamento ou no estoque da Dívida Pública no ano, decorrente de flutuações nos parâmetros macroeconômicos.</w:t>
      </w:r>
    </w:p>
    <w:p w14:paraId="48C255F2" w14:textId="77777777" w:rsidR="00B87FD8" w:rsidRPr="00B6284F" w:rsidRDefault="00B87FD8" w:rsidP="00620C02">
      <w:pPr>
        <w:spacing w:after="120" w:line="240" w:lineRule="auto"/>
        <w:ind w:firstLine="1418"/>
        <w:jc w:val="both"/>
        <w:rPr>
          <w:sz w:val="24"/>
          <w:szCs w:val="24"/>
        </w:rPr>
      </w:pPr>
    </w:p>
    <w:p w14:paraId="0EB96AFB" w14:textId="0B22E747" w:rsidR="00620C02" w:rsidRPr="00F73B28" w:rsidRDefault="00620C02" w:rsidP="00F73B28">
      <w:pPr>
        <w:pStyle w:val="Ttulo4"/>
        <w:keepLines/>
        <w:numPr>
          <w:ilvl w:val="3"/>
          <w:numId w:val="36"/>
        </w:numPr>
        <w:spacing w:before="240" w:after="120"/>
        <w:ind w:left="862" w:hanging="862"/>
        <w:jc w:val="left"/>
        <w:rPr>
          <w:rFonts w:asciiTheme="minorHAnsi" w:hAnsiTheme="minorHAnsi"/>
        </w:rPr>
      </w:pPr>
      <w:bookmarkStart w:id="105" w:name="_Toc1117609"/>
      <w:bookmarkStart w:id="106" w:name="_Toc5012227"/>
      <w:bookmarkStart w:id="107" w:name="_Toc5030473"/>
      <w:bookmarkStart w:id="108" w:name="_Toc5180277"/>
      <w:r w:rsidRPr="00F73B28">
        <w:rPr>
          <w:rFonts w:asciiTheme="minorHAnsi" w:hAnsiTheme="minorHAnsi"/>
        </w:rPr>
        <w:t xml:space="preserve">Sensibilidade da </w:t>
      </w:r>
      <w:bookmarkEnd w:id="105"/>
      <w:r w:rsidR="00EC54EA" w:rsidRPr="00F73B28">
        <w:rPr>
          <w:rFonts w:asciiTheme="minorHAnsi" w:hAnsiTheme="minorHAnsi"/>
        </w:rPr>
        <w:t>Dívida Pública</w:t>
      </w:r>
      <w:r w:rsidRPr="00F73B28">
        <w:rPr>
          <w:rFonts w:asciiTheme="minorHAnsi" w:hAnsiTheme="minorHAnsi"/>
        </w:rPr>
        <w:t xml:space="preserve"> aos Parâmetros Macroeconômicos</w:t>
      </w:r>
      <w:bookmarkEnd w:id="106"/>
      <w:bookmarkEnd w:id="107"/>
      <w:bookmarkEnd w:id="108"/>
    </w:p>
    <w:p w14:paraId="7A49E4F0" w14:textId="77777777" w:rsidR="00FA1CC5" w:rsidRPr="00E925C9" w:rsidRDefault="005008AC" w:rsidP="00E925C9">
      <w:pPr>
        <w:pStyle w:val="Ttulo5"/>
        <w:numPr>
          <w:ilvl w:val="4"/>
          <w:numId w:val="36"/>
        </w:numPr>
        <w:spacing w:before="240" w:after="120" w:line="240" w:lineRule="auto"/>
        <w:ind w:left="170" w:hanging="170"/>
        <w:rPr>
          <w:rFonts w:asciiTheme="minorHAnsi" w:hAnsiTheme="minorHAnsi"/>
          <w:b w:val="0"/>
          <w:bCs/>
          <w:sz w:val="24"/>
          <w:szCs w:val="24"/>
        </w:rPr>
      </w:pPr>
      <w:r w:rsidRPr="00E925C9">
        <w:rPr>
          <w:rFonts w:asciiTheme="minorHAnsi" w:hAnsiTheme="minorHAnsi"/>
          <w:b w:val="0"/>
          <w:bCs/>
          <w:sz w:val="24"/>
          <w:szCs w:val="24"/>
        </w:rPr>
        <w:t>Riscos da Dívida Pública Federal (DPF)</w:t>
      </w:r>
    </w:p>
    <w:p w14:paraId="75AA1064" w14:textId="6651CF52" w:rsidR="00A53FCD" w:rsidRDefault="00A53FCD" w:rsidP="00420FF2">
      <w:pPr>
        <w:spacing w:after="120" w:line="240" w:lineRule="auto"/>
        <w:ind w:firstLine="1418"/>
        <w:jc w:val="both"/>
        <w:rPr>
          <w:sz w:val="24"/>
          <w:szCs w:val="24"/>
        </w:rPr>
      </w:pPr>
      <w:r w:rsidRPr="00A53FCD">
        <w:rPr>
          <w:sz w:val="24"/>
          <w:szCs w:val="24"/>
        </w:rPr>
        <w:t>Uma forma de se avaliar o risco de mercado da dívida é estimar a sensibilidade do valor de seu estoque a alterações marginais de variáveis macroeconômicas</w:t>
      </w:r>
      <w:r>
        <w:rPr>
          <w:rStyle w:val="Refdenotaderodap"/>
          <w:sz w:val="24"/>
          <w:szCs w:val="24"/>
        </w:rPr>
        <w:footnoteReference w:id="7"/>
      </w:r>
      <w:proofErr w:type="gramStart"/>
      <w:r w:rsidRPr="00A53FCD">
        <w:rPr>
          <w:sz w:val="24"/>
          <w:szCs w:val="24"/>
        </w:rPr>
        <w:t xml:space="preserve"> .</w:t>
      </w:r>
      <w:proofErr w:type="gramEnd"/>
      <w:r w:rsidRPr="00A53FCD">
        <w:rPr>
          <w:sz w:val="24"/>
          <w:szCs w:val="24"/>
        </w:rPr>
        <w:t xml:space="preserve"> Neste caso, para uma melhor análise, toma-se como parâmetro a relação DPF/PIB. Os efeitos de um choque de 1% nas taxas de câmbio (Real/Dólar)</w:t>
      </w:r>
      <w:r w:rsidR="004C0B6E">
        <w:rPr>
          <w:sz w:val="24"/>
          <w:szCs w:val="24"/>
        </w:rPr>
        <w:t xml:space="preserve"> </w:t>
      </w:r>
      <w:r w:rsidRPr="00A53FCD">
        <w:rPr>
          <w:sz w:val="24"/>
          <w:szCs w:val="24"/>
        </w:rPr>
        <w:t>e de juros (Selic) podem ser observados na</w:t>
      </w:r>
      <w:r>
        <w:rPr>
          <w:sz w:val="24"/>
          <w:szCs w:val="24"/>
        </w:rPr>
        <w:t xml:space="preserve"> </w:t>
      </w:r>
      <w:r w:rsidRPr="00A53FCD">
        <w:rPr>
          <w:sz w:val="24"/>
          <w:szCs w:val="24"/>
        </w:rPr>
        <w:fldChar w:fldCharType="begin"/>
      </w:r>
      <w:r w:rsidRPr="00A53FCD">
        <w:rPr>
          <w:sz w:val="24"/>
          <w:szCs w:val="24"/>
        </w:rPr>
        <w:instrText xml:space="preserve"> REF _Ref68890481 \h </w:instrText>
      </w:r>
      <w:r>
        <w:rPr>
          <w:sz w:val="24"/>
          <w:szCs w:val="24"/>
        </w:rPr>
        <w:instrText xml:space="preserve"> \* MERGEFORMAT </w:instrText>
      </w:r>
      <w:r w:rsidRPr="00A53FCD">
        <w:rPr>
          <w:sz w:val="24"/>
          <w:szCs w:val="24"/>
        </w:rPr>
      </w:r>
      <w:r w:rsidRPr="00A53FCD">
        <w:rPr>
          <w:sz w:val="24"/>
          <w:szCs w:val="24"/>
        </w:rPr>
        <w:fldChar w:fldCharType="separate"/>
      </w:r>
      <w:r w:rsidR="00304F5F" w:rsidRPr="00304F5F">
        <w:rPr>
          <w:sz w:val="24"/>
          <w:szCs w:val="24"/>
        </w:rPr>
        <w:t xml:space="preserve">Figura </w:t>
      </w:r>
      <w:r w:rsidR="00304F5F" w:rsidRPr="00304F5F">
        <w:rPr>
          <w:noProof/>
          <w:sz w:val="24"/>
          <w:szCs w:val="24"/>
        </w:rPr>
        <w:t>3</w:t>
      </w:r>
      <w:r w:rsidRPr="00A53FCD">
        <w:rPr>
          <w:sz w:val="24"/>
          <w:szCs w:val="24"/>
        </w:rPr>
        <w:fldChar w:fldCharType="end"/>
      </w:r>
      <w:r w:rsidRPr="00A53FCD">
        <w:rPr>
          <w:sz w:val="24"/>
          <w:szCs w:val="24"/>
        </w:rPr>
        <w:t>.</w:t>
      </w:r>
    </w:p>
    <w:p w14:paraId="6E85A609" w14:textId="65472DDF" w:rsidR="00FA1CC5" w:rsidRPr="00D46AC6" w:rsidRDefault="00FA1CC5" w:rsidP="0065679C">
      <w:pPr>
        <w:spacing w:after="120" w:line="240" w:lineRule="auto"/>
        <w:jc w:val="both"/>
        <w:rPr>
          <w:color w:val="FF0000"/>
          <w:sz w:val="24"/>
          <w:szCs w:val="24"/>
        </w:rPr>
      </w:pPr>
    </w:p>
    <w:p w14:paraId="3FD050E8" w14:textId="769FDB39" w:rsidR="005744E1" w:rsidRPr="000370AD" w:rsidRDefault="005744E1" w:rsidP="005744E1">
      <w:pPr>
        <w:spacing w:after="120" w:line="240" w:lineRule="auto"/>
        <w:jc w:val="center"/>
      </w:pPr>
      <w:bookmarkStart w:id="109" w:name="_Ref68890481"/>
      <w:bookmarkStart w:id="110" w:name="_Toc69121328"/>
      <w:bookmarkStart w:id="111" w:name="_Ref5617836"/>
      <w:r w:rsidRPr="000370AD">
        <w:t xml:space="preserve">Figura </w:t>
      </w:r>
      <w:r>
        <w:fldChar w:fldCharType="begin"/>
      </w:r>
      <w:r>
        <w:instrText>SEQ Figura \* ARABIC</w:instrText>
      </w:r>
      <w:r>
        <w:fldChar w:fldCharType="separate"/>
      </w:r>
      <w:r w:rsidR="00304F5F">
        <w:rPr>
          <w:noProof/>
        </w:rPr>
        <w:t>3</w:t>
      </w:r>
      <w:r>
        <w:fldChar w:fldCharType="end"/>
      </w:r>
      <w:bookmarkEnd w:id="109"/>
      <w:r w:rsidRPr="000370AD">
        <w:rPr>
          <w:noProof/>
        </w:rPr>
        <w:t xml:space="preserve"> </w:t>
      </w:r>
      <w:r w:rsidRPr="000370AD">
        <w:t>- Previsões de sensibilidade do estoque da DPF a choques de 1% nas variáveis macroeconômicas</w:t>
      </w:r>
      <w:bookmarkEnd w:id="110"/>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tblGrid>
      <w:tr w:rsidR="00D46AC6" w:rsidRPr="00D46AC6" w14:paraId="589FC6CD" w14:textId="77777777" w:rsidTr="00EC568D">
        <w:trPr>
          <w:jc w:val="center"/>
        </w:trPr>
        <w:tc>
          <w:tcPr>
            <w:tcW w:w="8250" w:type="dxa"/>
            <w:vAlign w:val="center"/>
          </w:tcPr>
          <w:p w14:paraId="5C1A8D36" w14:textId="01361378" w:rsidR="00D51611" w:rsidRDefault="00A53FCD" w:rsidP="0065679C">
            <w:pPr>
              <w:spacing w:after="120"/>
              <w:jc w:val="center"/>
              <w:rPr>
                <w:color w:val="FF0000"/>
              </w:rPr>
            </w:pPr>
            <w:r>
              <w:rPr>
                <w:noProof/>
                <w:color w:val="FF0000"/>
                <w:lang w:eastAsia="pt-BR"/>
              </w:rPr>
              <w:lastRenderedPageBreak/>
              <w:drawing>
                <wp:inline distT="0" distB="0" distL="0" distR="0" wp14:anchorId="749E1E72" wp14:editId="0514921D">
                  <wp:extent cx="5401310" cy="3371215"/>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371215"/>
                          </a:xfrm>
                          <a:prstGeom prst="rect">
                            <a:avLst/>
                          </a:prstGeom>
                          <a:noFill/>
                        </pic:spPr>
                      </pic:pic>
                    </a:graphicData>
                  </a:graphic>
                </wp:inline>
              </w:drawing>
            </w:r>
          </w:p>
          <w:bookmarkEnd w:id="111"/>
          <w:p w14:paraId="59D8436E" w14:textId="747F81D9" w:rsidR="00EB5C24" w:rsidRPr="00D46AC6" w:rsidRDefault="00EB5C24" w:rsidP="00EB5C24">
            <w:pPr>
              <w:jc w:val="center"/>
              <w:rPr>
                <w:color w:val="FF0000"/>
                <w:sz w:val="2"/>
                <w:szCs w:val="2"/>
              </w:rPr>
            </w:pPr>
          </w:p>
        </w:tc>
      </w:tr>
      <w:tr w:rsidR="00EB5C24" w:rsidRPr="00D46AC6" w14:paraId="51B379F7" w14:textId="77777777" w:rsidTr="00EC568D">
        <w:trPr>
          <w:jc w:val="center"/>
        </w:trPr>
        <w:tc>
          <w:tcPr>
            <w:tcW w:w="8250" w:type="dxa"/>
          </w:tcPr>
          <w:p w14:paraId="7DC76163" w14:textId="6B8B79FE" w:rsidR="00A53FCD" w:rsidRDefault="00B06ACF" w:rsidP="00EC568D">
            <w:pPr>
              <w:tabs>
                <w:tab w:val="right" w:pos="9072"/>
              </w:tabs>
              <w:rPr>
                <w:i/>
                <w:iCs/>
                <w:sz w:val="16"/>
                <w:szCs w:val="16"/>
              </w:rPr>
            </w:pPr>
            <w:r w:rsidRPr="00D2443D">
              <w:rPr>
                <w:i/>
                <w:iCs/>
                <w:sz w:val="16"/>
                <w:szCs w:val="16"/>
              </w:rPr>
              <w:t xml:space="preserve">* </w:t>
            </w:r>
            <w:r w:rsidR="00EB5C24" w:rsidRPr="00D2443D">
              <w:rPr>
                <w:i/>
                <w:iCs/>
                <w:sz w:val="16"/>
                <w:szCs w:val="16"/>
              </w:rPr>
              <w:t xml:space="preserve">Projeções com base na estratégia de médio prazo elaborada no âmbito do </w:t>
            </w:r>
            <w:hyperlink r:id="rId15" w:history="1">
              <w:r w:rsidR="00EB5C24" w:rsidRPr="00D2443D">
                <w:rPr>
                  <w:i/>
                  <w:iCs/>
                  <w:sz w:val="16"/>
                  <w:szCs w:val="16"/>
                </w:rPr>
                <w:t>PAF 20</w:t>
              </w:r>
              <w:r w:rsidR="000370AD" w:rsidRPr="00D2443D">
                <w:rPr>
                  <w:i/>
                  <w:iCs/>
                  <w:sz w:val="16"/>
                  <w:szCs w:val="16"/>
                </w:rPr>
                <w:t>2</w:t>
              </w:r>
            </w:hyperlink>
            <w:proofErr w:type="gramStart"/>
            <w:r w:rsidR="00A53FCD">
              <w:rPr>
                <w:i/>
                <w:iCs/>
                <w:sz w:val="16"/>
                <w:szCs w:val="16"/>
              </w:rPr>
              <w:t>1</w:t>
            </w:r>
            <w:proofErr w:type="gramEnd"/>
          </w:p>
          <w:p w14:paraId="049A7946" w14:textId="1EB79A41" w:rsidR="00EB5C24" w:rsidRPr="00D2443D" w:rsidRDefault="00A53FCD" w:rsidP="00EC568D">
            <w:pPr>
              <w:tabs>
                <w:tab w:val="right" w:pos="9072"/>
              </w:tabs>
              <w:rPr>
                <w:i/>
                <w:iCs/>
                <w:sz w:val="16"/>
                <w:szCs w:val="16"/>
              </w:rPr>
            </w:pPr>
            <w:r w:rsidRPr="00A53FCD">
              <w:rPr>
                <w:i/>
                <w:iCs/>
                <w:sz w:val="16"/>
                <w:szCs w:val="16"/>
              </w:rPr>
              <w:t>** A nova metodologia para juros inclui títulos flutuantes e de curto prazo. Os resultados apresentados podem ser diferentes de valores de anos anteriores em razão da nova metodologia.</w:t>
            </w:r>
          </w:p>
          <w:p w14:paraId="352B1AE4" w14:textId="77777777" w:rsidR="00EB5C24" w:rsidRPr="00D46AC6" w:rsidRDefault="00EB5C24" w:rsidP="00EC568D">
            <w:pPr>
              <w:rPr>
                <w:color w:val="FF0000"/>
                <w:sz w:val="24"/>
                <w:szCs w:val="24"/>
              </w:rPr>
            </w:pPr>
            <w:r w:rsidRPr="00D2443D">
              <w:rPr>
                <w:b/>
                <w:i/>
                <w:iCs/>
                <w:sz w:val="16"/>
                <w:szCs w:val="16"/>
              </w:rPr>
              <w:t>Fonte e elaboração</w:t>
            </w:r>
            <w:r w:rsidRPr="00D2443D">
              <w:rPr>
                <w:i/>
                <w:iCs/>
                <w:sz w:val="16"/>
                <w:szCs w:val="16"/>
              </w:rPr>
              <w:t>: STN/ME.</w:t>
            </w:r>
          </w:p>
        </w:tc>
      </w:tr>
    </w:tbl>
    <w:p w14:paraId="6D5ACA1A" w14:textId="77777777" w:rsidR="00EB5C24" w:rsidRPr="00D46AC6" w:rsidRDefault="00EB5C24" w:rsidP="00F72717">
      <w:pPr>
        <w:spacing w:after="120" w:line="240" w:lineRule="auto"/>
        <w:jc w:val="both"/>
        <w:rPr>
          <w:color w:val="FF0000"/>
          <w:sz w:val="24"/>
          <w:szCs w:val="24"/>
        </w:rPr>
      </w:pPr>
    </w:p>
    <w:p w14:paraId="2921F253" w14:textId="61D4CC77" w:rsidR="00A53FCD" w:rsidRPr="00A53FCD" w:rsidRDefault="00A53FCD" w:rsidP="00A53FCD">
      <w:pPr>
        <w:spacing w:after="120" w:line="240" w:lineRule="auto"/>
        <w:ind w:firstLine="1418"/>
        <w:jc w:val="both"/>
        <w:rPr>
          <w:sz w:val="24"/>
          <w:szCs w:val="24"/>
        </w:rPr>
      </w:pPr>
      <w:r w:rsidRPr="00A53FCD">
        <w:rPr>
          <w:sz w:val="24"/>
          <w:szCs w:val="24"/>
        </w:rPr>
        <w:t xml:space="preserve">Numa perspectiva histórica, destaca-se o aumento da sensibilidade da DPF a alterações nos juros de curto prazo e maior estabilidade de sua sensibilidade a alterações no câmbio. Este panorama reflete o aumento da participação na DPF de títulos com taxas de juros flutuantes e a continuidade de um cenário de desafios fiscais de </w:t>
      </w:r>
      <w:proofErr w:type="gramStart"/>
      <w:r w:rsidRPr="00A53FCD">
        <w:rPr>
          <w:sz w:val="24"/>
          <w:szCs w:val="24"/>
        </w:rPr>
        <w:t>curto e médio prazos</w:t>
      </w:r>
      <w:proofErr w:type="gramEnd"/>
      <w:r w:rsidRPr="00A53FCD">
        <w:rPr>
          <w:sz w:val="24"/>
          <w:szCs w:val="24"/>
        </w:rPr>
        <w:t>.</w:t>
      </w:r>
    </w:p>
    <w:p w14:paraId="0772EDF1" w14:textId="62BCA9F7" w:rsidR="00FA1CC5" w:rsidRDefault="00A53FCD" w:rsidP="00A53FCD">
      <w:pPr>
        <w:spacing w:after="120" w:line="240" w:lineRule="auto"/>
        <w:ind w:firstLine="1418"/>
        <w:jc w:val="both"/>
        <w:rPr>
          <w:sz w:val="24"/>
          <w:szCs w:val="24"/>
        </w:rPr>
      </w:pPr>
      <w:r w:rsidRPr="00A53FCD">
        <w:rPr>
          <w:sz w:val="24"/>
          <w:szCs w:val="24"/>
        </w:rPr>
        <w:t>A respeito da sensibilidade da DPF à variação da inflação, deve-se destacar a existência de um hedge natural da parcela de dívida indexada, majoritariamente indexada ao IPCA, oriundo do fato de as receitas do governo apresentarem correlação positiva com choques na taxa de inflação, o que contribui para reduzir a relevância desse fator de risco.</w:t>
      </w:r>
      <w:r w:rsidR="007E34A2">
        <w:rPr>
          <w:sz w:val="24"/>
          <w:szCs w:val="24"/>
        </w:rPr>
        <w:t xml:space="preserve"> </w:t>
      </w:r>
      <w:r w:rsidR="00C56412" w:rsidRPr="00C56412">
        <w:rPr>
          <w:sz w:val="24"/>
          <w:szCs w:val="24"/>
        </w:rPr>
        <w:t>Além disso, o PIB nominal (denominador da análise) também mudaria com a inflação. Por isso, a sensibilidade à inflação não foi apresentada aqui.</w:t>
      </w:r>
    </w:p>
    <w:p w14:paraId="78EFC96B" w14:textId="40521CE8" w:rsidR="00A53FCD" w:rsidRDefault="00A53FCD" w:rsidP="00A53FCD">
      <w:pPr>
        <w:spacing w:after="120" w:line="240" w:lineRule="auto"/>
        <w:ind w:firstLine="1418"/>
        <w:jc w:val="both"/>
        <w:rPr>
          <w:sz w:val="24"/>
          <w:szCs w:val="24"/>
        </w:rPr>
      </w:pPr>
      <w:r w:rsidRPr="00A53FCD">
        <w:rPr>
          <w:sz w:val="24"/>
          <w:szCs w:val="24"/>
        </w:rPr>
        <w:t>Por sua vez, o risco associado à variação da taxa de câmbio encontra-se em patamar aderente a estrutura de dívida proposta pelo portfólio de benchmark. Ademais, os efeitos transbordamentos de uma crise cambial encontram forte proteção diante do atual volume de reservas internacionais administradas pelo Banco Central do Brasil (BCB</w:t>
      </w:r>
      <w:proofErr w:type="gramStart"/>
      <w:r w:rsidRPr="00A53FCD">
        <w:rPr>
          <w:sz w:val="24"/>
          <w:szCs w:val="24"/>
        </w:rPr>
        <w:t>)</w:t>
      </w:r>
      <w:proofErr w:type="gramEnd"/>
      <w:r w:rsidRPr="00A53FCD">
        <w:rPr>
          <w:rStyle w:val="Refdenotaderodap"/>
          <w:sz w:val="24"/>
          <w:szCs w:val="24"/>
        </w:rPr>
        <w:t xml:space="preserve"> </w:t>
      </w:r>
      <w:r>
        <w:rPr>
          <w:rStyle w:val="Refdenotaderodap"/>
          <w:sz w:val="24"/>
          <w:szCs w:val="24"/>
        </w:rPr>
        <w:footnoteReference w:id="8"/>
      </w:r>
      <w:r w:rsidRPr="00A53FCD">
        <w:rPr>
          <w:sz w:val="24"/>
          <w:szCs w:val="24"/>
        </w:rPr>
        <w:t>.</w:t>
      </w:r>
    </w:p>
    <w:p w14:paraId="292BCBFF" w14:textId="134F4282" w:rsidR="00A53FCD" w:rsidRPr="00A53FCD" w:rsidRDefault="00A53FCD" w:rsidP="00A53FCD">
      <w:pPr>
        <w:spacing w:after="120" w:line="240" w:lineRule="auto"/>
        <w:ind w:firstLine="1418"/>
        <w:jc w:val="both"/>
        <w:rPr>
          <w:sz w:val="24"/>
          <w:szCs w:val="24"/>
        </w:rPr>
      </w:pPr>
      <w:r w:rsidRPr="00A53FCD">
        <w:rPr>
          <w:sz w:val="24"/>
          <w:szCs w:val="24"/>
        </w:rPr>
        <w:t xml:space="preserve">De forma complementar </w:t>
      </w:r>
      <w:proofErr w:type="gramStart"/>
      <w:r w:rsidRPr="00A53FCD">
        <w:rPr>
          <w:sz w:val="24"/>
          <w:szCs w:val="24"/>
        </w:rPr>
        <w:t>à</w:t>
      </w:r>
      <w:proofErr w:type="gramEnd"/>
      <w:r w:rsidRPr="00A53FCD">
        <w:rPr>
          <w:sz w:val="24"/>
          <w:szCs w:val="24"/>
        </w:rPr>
        <w:t xml:space="preserve"> análise de sensibilidade, a </w:t>
      </w:r>
      <w:r w:rsidRPr="00A53FCD">
        <w:rPr>
          <w:sz w:val="24"/>
          <w:szCs w:val="24"/>
        </w:rPr>
        <w:fldChar w:fldCharType="begin"/>
      </w:r>
      <w:r w:rsidRPr="00A53FCD">
        <w:rPr>
          <w:sz w:val="24"/>
          <w:szCs w:val="24"/>
        </w:rPr>
        <w:instrText xml:space="preserve"> REF _Ref37496074 \h  \* MERGEFORMAT </w:instrText>
      </w:r>
      <w:r w:rsidRPr="00A53FCD">
        <w:rPr>
          <w:sz w:val="24"/>
          <w:szCs w:val="24"/>
        </w:rPr>
      </w:r>
      <w:r w:rsidRPr="00A53FCD">
        <w:rPr>
          <w:sz w:val="24"/>
          <w:szCs w:val="24"/>
        </w:rPr>
        <w:fldChar w:fldCharType="separate"/>
      </w:r>
      <w:r w:rsidR="00304F5F" w:rsidRPr="00304F5F">
        <w:rPr>
          <w:sz w:val="24"/>
          <w:szCs w:val="24"/>
        </w:rPr>
        <w:t xml:space="preserve">Figura </w:t>
      </w:r>
      <w:r w:rsidR="00304F5F" w:rsidRPr="00304F5F">
        <w:rPr>
          <w:noProof/>
          <w:sz w:val="24"/>
          <w:szCs w:val="24"/>
        </w:rPr>
        <w:t>4</w:t>
      </w:r>
      <w:r w:rsidRPr="00A53FCD">
        <w:rPr>
          <w:sz w:val="24"/>
          <w:szCs w:val="24"/>
        </w:rPr>
        <w:fldChar w:fldCharType="end"/>
      </w:r>
      <w:r>
        <w:rPr>
          <w:sz w:val="24"/>
          <w:szCs w:val="24"/>
        </w:rPr>
        <w:t xml:space="preserve"> </w:t>
      </w:r>
      <w:r w:rsidRPr="00A53FCD">
        <w:rPr>
          <w:sz w:val="24"/>
          <w:szCs w:val="24"/>
        </w:rPr>
        <w:t>apresenta o teste de estresse do estoque da DPF a choques reais nos juros e câmbio, de forma a evidenciar potenciais impactos em situações de grandes e persistentes turbulências</w:t>
      </w:r>
      <w:r>
        <w:rPr>
          <w:rStyle w:val="Refdenotaderodap"/>
          <w:sz w:val="24"/>
          <w:szCs w:val="24"/>
        </w:rPr>
        <w:footnoteReference w:id="9"/>
      </w:r>
      <w:r w:rsidRPr="00A53FCD">
        <w:rPr>
          <w:sz w:val="24"/>
          <w:szCs w:val="24"/>
        </w:rPr>
        <w:t xml:space="preserve">. Considerando o estoque de dívida em final de período, o impacto de um cenário de estresse corresponderia a um incremento da dívida de </w:t>
      </w:r>
      <w:r w:rsidRPr="00A53FCD">
        <w:rPr>
          <w:sz w:val="24"/>
          <w:szCs w:val="24"/>
        </w:rPr>
        <w:lastRenderedPageBreak/>
        <w:t>4,8% do PIB em 2021. Embora em patamar inferior aos 9,0% do PIB em 2004, observa-se uma tendência de crescimento deste indicado desde 2013, quando esse risco foi estimado em 1,7% do PIB.</w:t>
      </w:r>
    </w:p>
    <w:p w14:paraId="0C78E5F2" w14:textId="57A2B588" w:rsidR="00FA1CC5" w:rsidRPr="00D46AC6" w:rsidRDefault="00FA1CC5" w:rsidP="00495D27">
      <w:pPr>
        <w:ind w:firstLine="1418"/>
        <w:jc w:val="both"/>
        <w:rPr>
          <w:color w:val="FF0000"/>
        </w:rPr>
      </w:pPr>
    </w:p>
    <w:p w14:paraId="151A3E6C" w14:textId="77777777" w:rsidR="009658BD" w:rsidRPr="006C316B" w:rsidRDefault="009658BD" w:rsidP="00643653">
      <w:pPr>
        <w:pStyle w:val="Legenda"/>
        <w:spacing w:after="120"/>
        <w:jc w:val="center"/>
        <w:rPr>
          <w:rFonts w:asciiTheme="minorHAnsi" w:eastAsiaTheme="minorHAnsi" w:hAnsiTheme="minorHAnsi" w:cstheme="minorBidi"/>
          <w:i w:val="0"/>
          <w:color w:val="auto"/>
          <w:sz w:val="22"/>
          <w:szCs w:val="22"/>
          <w:lang w:eastAsia="en-US"/>
        </w:rPr>
      </w:pPr>
      <w:bookmarkStart w:id="112" w:name="_Ref5617932"/>
    </w:p>
    <w:p w14:paraId="2AD96FFB" w14:textId="59003E38" w:rsidR="00643653" w:rsidRPr="006C316B" w:rsidRDefault="00796426" w:rsidP="00643653">
      <w:pPr>
        <w:pStyle w:val="Legenda"/>
        <w:spacing w:after="120"/>
        <w:jc w:val="center"/>
        <w:rPr>
          <w:rFonts w:asciiTheme="minorHAnsi" w:eastAsiaTheme="minorHAnsi" w:hAnsiTheme="minorHAnsi" w:cstheme="minorBidi"/>
          <w:i w:val="0"/>
          <w:color w:val="auto"/>
          <w:sz w:val="22"/>
          <w:szCs w:val="22"/>
          <w:lang w:eastAsia="en-US"/>
        </w:rPr>
      </w:pPr>
      <w:bookmarkStart w:id="113" w:name="_Ref37496074"/>
      <w:bookmarkStart w:id="114" w:name="_Toc69121329"/>
      <w:r w:rsidRPr="006C316B">
        <w:rPr>
          <w:rFonts w:asciiTheme="minorHAnsi" w:eastAsiaTheme="minorHAnsi" w:hAnsiTheme="minorHAnsi" w:cstheme="minorBidi"/>
          <w:i w:val="0"/>
          <w:color w:val="auto"/>
          <w:sz w:val="22"/>
          <w:szCs w:val="22"/>
          <w:lang w:eastAsia="en-US"/>
        </w:rPr>
        <w:t xml:space="preserve">Figura </w:t>
      </w:r>
      <w:r w:rsidR="00A561BC">
        <w:rPr>
          <w:rFonts w:asciiTheme="minorHAnsi" w:eastAsiaTheme="minorHAnsi" w:hAnsiTheme="minorHAnsi" w:cstheme="minorBidi"/>
          <w:i w:val="0"/>
          <w:color w:val="auto"/>
          <w:sz w:val="22"/>
          <w:szCs w:val="22"/>
          <w:lang w:eastAsia="en-US"/>
        </w:rPr>
        <w:fldChar w:fldCharType="begin"/>
      </w:r>
      <w:r w:rsidR="00A561BC">
        <w:rPr>
          <w:rFonts w:asciiTheme="minorHAnsi" w:eastAsiaTheme="minorHAnsi" w:hAnsiTheme="minorHAnsi" w:cstheme="minorBidi"/>
          <w:i w:val="0"/>
          <w:color w:val="auto"/>
          <w:sz w:val="22"/>
          <w:szCs w:val="22"/>
          <w:lang w:eastAsia="en-US"/>
        </w:rPr>
        <w:instrText xml:space="preserve"> SEQ Figura \* ARABIC </w:instrText>
      </w:r>
      <w:r w:rsidR="00A561BC">
        <w:rPr>
          <w:rFonts w:asciiTheme="minorHAnsi" w:eastAsiaTheme="minorHAnsi" w:hAnsiTheme="minorHAnsi" w:cstheme="minorBidi"/>
          <w:i w:val="0"/>
          <w:color w:val="auto"/>
          <w:sz w:val="22"/>
          <w:szCs w:val="22"/>
          <w:lang w:eastAsia="en-US"/>
        </w:rPr>
        <w:fldChar w:fldCharType="separate"/>
      </w:r>
      <w:r w:rsidR="00304F5F">
        <w:rPr>
          <w:rFonts w:asciiTheme="minorHAnsi" w:eastAsiaTheme="minorHAnsi" w:hAnsiTheme="minorHAnsi" w:cstheme="minorBidi"/>
          <w:i w:val="0"/>
          <w:noProof/>
          <w:color w:val="auto"/>
          <w:sz w:val="22"/>
          <w:szCs w:val="22"/>
          <w:lang w:eastAsia="en-US"/>
        </w:rPr>
        <w:t>4</w:t>
      </w:r>
      <w:r w:rsidR="00A561BC">
        <w:rPr>
          <w:rFonts w:asciiTheme="minorHAnsi" w:eastAsiaTheme="minorHAnsi" w:hAnsiTheme="minorHAnsi" w:cstheme="minorBidi"/>
          <w:i w:val="0"/>
          <w:color w:val="auto"/>
          <w:sz w:val="22"/>
          <w:szCs w:val="22"/>
          <w:lang w:eastAsia="en-US"/>
        </w:rPr>
        <w:fldChar w:fldCharType="end"/>
      </w:r>
      <w:bookmarkEnd w:id="112"/>
      <w:bookmarkEnd w:id="113"/>
      <w:r w:rsidR="00FA1CC5" w:rsidRPr="006C316B">
        <w:rPr>
          <w:rFonts w:asciiTheme="minorHAnsi" w:eastAsiaTheme="minorHAnsi" w:hAnsiTheme="minorHAnsi" w:cstheme="minorBidi"/>
          <w:i w:val="0"/>
          <w:color w:val="auto"/>
          <w:sz w:val="22"/>
          <w:szCs w:val="22"/>
          <w:lang w:eastAsia="en-US"/>
        </w:rPr>
        <w:t xml:space="preserve"> </w:t>
      </w:r>
      <w:r w:rsidR="00F0615E" w:rsidRPr="006C316B">
        <w:rPr>
          <w:rFonts w:asciiTheme="minorHAnsi" w:eastAsiaTheme="minorHAnsi" w:hAnsiTheme="minorHAnsi" w:cstheme="minorBidi"/>
          <w:i w:val="0"/>
          <w:color w:val="auto"/>
          <w:sz w:val="22"/>
          <w:szCs w:val="22"/>
          <w:lang w:eastAsia="en-US"/>
        </w:rPr>
        <w:t xml:space="preserve">- </w:t>
      </w:r>
      <w:r w:rsidR="00FA1CC5" w:rsidRPr="006C316B">
        <w:rPr>
          <w:rFonts w:asciiTheme="minorHAnsi" w:eastAsiaTheme="minorHAnsi" w:hAnsiTheme="minorHAnsi" w:cstheme="minorBidi"/>
          <w:i w:val="0"/>
          <w:color w:val="auto"/>
          <w:sz w:val="22"/>
          <w:szCs w:val="22"/>
          <w:lang w:eastAsia="en-US"/>
        </w:rPr>
        <w:t>Teste de estresse de juros e câmbio sobre a DPF</w:t>
      </w:r>
      <w:bookmarkEnd w:id="114"/>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tblGrid>
      <w:tr w:rsidR="00D46AC6" w:rsidRPr="00D46AC6" w14:paraId="1C26DAFA" w14:textId="77777777" w:rsidTr="00A53FCD">
        <w:trPr>
          <w:jc w:val="center"/>
        </w:trPr>
        <w:tc>
          <w:tcPr>
            <w:tcW w:w="8706" w:type="dxa"/>
          </w:tcPr>
          <w:p w14:paraId="72A9B33E" w14:textId="72FB0516" w:rsidR="007932F3" w:rsidRPr="00D46AC6" w:rsidRDefault="00A53FCD" w:rsidP="00FC6427">
            <w:pPr>
              <w:pStyle w:val="Legenda"/>
              <w:spacing w:after="120"/>
              <w:jc w:val="center"/>
              <w:rPr>
                <w:rFonts w:asciiTheme="minorHAnsi" w:eastAsiaTheme="minorHAnsi" w:hAnsiTheme="minorHAnsi" w:cstheme="minorBidi"/>
                <w:i w:val="0"/>
                <w:color w:val="FF0000"/>
                <w:sz w:val="22"/>
                <w:szCs w:val="22"/>
                <w:lang w:eastAsia="en-US"/>
              </w:rPr>
            </w:pPr>
            <w:r>
              <w:rPr>
                <w:rFonts w:asciiTheme="minorHAnsi" w:eastAsiaTheme="minorHAnsi" w:hAnsiTheme="minorHAnsi" w:cstheme="minorBidi"/>
                <w:i w:val="0"/>
                <w:noProof/>
                <w:color w:val="FF0000"/>
                <w:sz w:val="22"/>
                <w:szCs w:val="22"/>
              </w:rPr>
              <w:drawing>
                <wp:inline distT="0" distB="0" distL="0" distR="0" wp14:anchorId="3B0BA83A" wp14:editId="5B374911">
                  <wp:extent cx="5389245" cy="3371215"/>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245" cy="3371215"/>
                          </a:xfrm>
                          <a:prstGeom prst="rect">
                            <a:avLst/>
                          </a:prstGeom>
                          <a:noFill/>
                        </pic:spPr>
                      </pic:pic>
                    </a:graphicData>
                  </a:graphic>
                </wp:inline>
              </w:drawing>
            </w:r>
          </w:p>
          <w:p w14:paraId="734E412A" w14:textId="77777777" w:rsidR="00861E50" w:rsidRPr="00D46AC6" w:rsidRDefault="00861E50" w:rsidP="00861E50">
            <w:pPr>
              <w:jc w:val="both"/>
              <w:rPr>
                <w:color w:val="FF0000"/>
                <w:sz w:val="2"/>
                <w:szCs w:val="2"/>
              </w:rPr>
            </w:pPr>
          </w:p>
        </w:tc>
      </w:tr>
      <w:tr w:rsidR="00861E50" w:rsidRPr="00D46AC6" w14:paraId="066BFB4D" w14:textId="77777777" w:rsidTr="00A53FCD">
        <w:trPr>
          <w:jc w:val="center"/>
        </w:trPr>
        <w:tc>
          <w:tcPr>
            <w:tcW w:w="8706" w:type="dxa"/>
          </w:tcPr>
          <w:p w14:paraId="19AB5FE5" w14:textId="300CF91E" w:rsidR="00861E50" w:rsidRPr="00D2443D" w:rsidRDefault="00B06ACF" w:rsidP="00861E50">
            <w:pPr>
              <w:jc w:val="both"/>
              <w:rPr>
                <w:i/>
                <w:iCs/>
                <w:sz w:val="16"/>
                <w:szCs w:val="16"/>
              </w:rPr>
            </w:pPr>
            <w:r w:rsidRPr="00D2443D">
              <w:rPr>
                <w:i/>
                <w:iCs/>
                <w:sz w:val="16"/>
                <w:szCs w:val="16"/>
              </w:rPr>
              <w:t xml:space="preserve">* </w:t>
            </w:r>
            <w:r w:rsidR="00861E50" w:rsidRPr="00D2443D">
              <w:rPr>
                <w:i/>
                <w:iCs/>
                <w:sz w:val="16"/>
                <w:szCs w:val="16"/>
              </w:rPr>
              <w:t>Projeções com base na estratégia de médio prazo elaborada no âmbito do PAF 20</w:t>
            </w:r>
            <w:r w:rsidR="006C316B" w:rsidRPr="00D2443D">
              <w:rPr>
                <w:i/>
                <w:iCs/>
                <w:sz w:val="16"/>
                <w:szCs w:val="16"/>
              </w:rPr>
              <w:t>2</w:t>
            </w:r>
            <w:r w:rsidR="00A53FCD">
              <w:rPr>
                <w:i/>
                <w:iCs/>
                <w:sz w:val="16"/>
                <w:szCs w:val="16"/>
              </w:rPr>
              <w:t>1</w:t>
            </w:r>
            <w:r w:rsidR="00861E50" w:rsidRPr="00D2443D">
              <w:rPr>
                <w:i/>
                <w:iCs/>
                <w:sz w:val="16"/>
                <w:szCs w:val="16"/>
              </w:rPr>
              <w:t>.</w:t>
            </w:r>
          </w:p>
          <w:p w14:paraId="5E8A9B12" w14:textId="77777777" w:rsidR="00861E50" w:rsidRPr="006C316B" w:rsidRDefault="00861E50" w:rsidP="00861E50">
            <w:pPr>
              <w:jc w:val="both"/>
              <w:rPr>
                <w:sz w:val="16"/>
                <w:szCs w:val="16"/>
              </w:rPr>
            </w:pPr>
            <w:r w:rsidRPr="00D2443D">
              <w:rPr>
                <w:b/>
                <w:i/>
                <w:iCs/>
                <w:sz w:val="16"/>
                <w:szCs w:val="16"/>
              </w:rPr>
              <w:t>Fonte e elaboração</w:t>
            </w:r>
            <w:r w:rsidRPr="00D2443D">
              <w:rPr>
                <w:i/>
                <w:iCs/>
                <w:sz w:val="16"/>
                <w:szCs w:val="16"/>
              </w:rPr>
              <w:t>: STN/ME.</w:t>
            </w:r>
          </w:p>
        </w:tc>
      </w:tr>
    </w:tbl>
    <w:p w14:paraId="1EB4D3B3" w14:textId="77777777" w:rsidR="00A53FCD" w:rsidRPr="00A53FCD" w:rsidRDefault="00A53FCD" w:rsidP="00A53FCD">
      <w:pPr>
        <w:spacing w:after="120" w:line="240" w:lineRule="auto"/>
        <w:ind w:firstLine="1418"/>
        <w:jc w:val="both"/>
        <w:rPr>
          <w:sz w:val="24"/>
          <w:szCs w:val="24"/>
        </w:rPr>
      </w:pPr>
      <w:r w:rsidRPr="00A53FCD">
        <w:rPr>
          <w:sz w:val="24"/>
          <w:szCs w:val="24"/>
        </w:rPr>
        <w:t>Após alcançar um mínimo histórico em 2013, o impacto total do estresse no câmbio e na taxa de juros reverteu-se por conta da dinâmica recente registrada e prospectada para a composição da dívida. O risco cambial segue baixo em comparação com o início da série histórica, em decorrência da manutenção de patamares inferiores a 5% da parcela da DPF atrelada a moedas estrangeiras desde 2011. Por sua vez, o risco de juros tem trajetória crescente desde 2015, reflexo da maior participação de títulos flutuantes. A inflexão desta dinâmica pressupõe a melhora dos resultados fiscais.</w:t>
      </w:r>
    </w:p>
    <w:p w14:paraId="139CC2F3" w14:textId="23F6A18C" w:rsidR="00FA1CC5" w:rsidRPr="004E221E" w:rsidRDefault="00A53FCD" w:rsidP="00A53FCD">
      <w:pPr>
        <w:spacing w:after="120" w:line="240" w:lineRule="auto"/>
        <w:ind w:firstLine="1418"/>
        <w:jc w:val="both"/>
        <w:rPr>
          <w:sz w:val="24"/>
          <w:szCs w:val="24"/>
        </w:rPr>
      </w:pPr>
      <w:r w:rsidRPr="00A53FCD">
        <w:rPr>
          <w:sz w:val="24"/>
          <w:szCs w:val="24"/>
        </w:rPr>
        <w:t>Ademais da análise de impactos no estoque, exercício interessante consiste na avaliação do cronograma de maturação e da sensibilidade da despesa orçamentária da dívida àquelas mesmas variáveis macroeconômicas. Tendo como referência projeções baseadas na estratégia de médio prazo elaborada no âmbito do PAF 2021 e considerando os vencimentos de dívida previstos entre 2021 e 2024, os efeitos de um aumento (redução) de 1% nas taxas de câmbio e de juros podem ser observados na</w:t>
      </w:r>
      <w:r>
        <w:rPr>
          <w:sz w:val="24"/>
          <w:szCs w:val="24"/>
        </w:rPr>
        <w:t xml:space="preserve"> </w:t>
      </w:r>
      <w:r w:rsidRPr="00315E8B">
        <w:rPr>
          <w:sz w:val="24"/>
          <w:szCs w:val="24"/>
        </w:rPr>
        <w:fldChar w:fldCharType="begin"/>
      </w:r>
      <w:r w:rsidRPr="00315E8B">
        <w:rPr>
          <w:sz w:val="24"/>
          <w:szCs w:val="24"/>
        </w:rPr>
        <w:instrText xml:space="preserve"> REF _Ref5628065 \h </w:instrText>
      </w:r>
      <w:r w:rsidR="00315E8B">
        <w:rPr>
          <w:sz w:val="24"/>
          <w:szCs w:val="24"/>
        </w:rPr>
        <w:instrText xml:space="preserve"> \* MERGEFORMAT </w:instrText>
      </w:r>
      <w:r w:rsidRPr="00315E8B">
        <w:rPr>
          <w:sz w:val="24"/>
          <w:szCs w:val="24"/>
        </w:rPr>
      </w:r>
      <w:r w:rsidRPr="00315E8B">
        <w:rPr>
          <w:sz w:val="24"/>
          <w:szCs w:val="24"/>
        </w:rPr>
        <w:fldChar w:fldCharType="separate"/>
      </w:r>
      <w:r w:rsidR="00304F5F" w:rsidRPr="00304F5F">
        <w:rPr>
          <w:sz w:val="24"/>
          <w:szCs w:val="24"/>
        </w:rPr>
        <w:t xml:space="preserve">Tabela </w:t>
      </w:r>
      <w:r w:rsidR="00304F5F" w:rsidRPr="00304F5F">
        <w:rPr>
          <w:noProof/>
          <w:sz w:val="24"/>
          <w:szCs w:val="24"/>
        </w:rPr>
        <w:t>11</w:t>
      </w:r>
      <w:r w:rsidRPr="00315E8B">
        <w:rPr>
          <w:sz w:val="24"/>
          <w:szCs w:val="24"/>
        </w:rPr>
        <w:fldChar w:fldCharType="end"/>
      </w:r>
      <w:r w:rsidRPr="00A53FCD">
        <w:rPr>
          <w:sz w:val="24"/>
          <w:szCs w:val="24"/>
        </w:rPr>
        <w:t>.</w:t>
      </w:r>
    </w:p>
    <w:p w14:paraId="29B109D7" w14:textId="0092A0B5" w:rsidR="00FA1CC5" w:rsidRPr="004E221E" w:rsidRDefault="00796426" w:rsidP="00C6338C">
      <w:pPr>
        <w:spacing w:after="120" w:line="240" w:lineRule="auto"/>
        <w:jc w:val="center"/>
      </w:pPr>
      <w:bookmarkStart w:id="115" w:name="_Ref5628065"/>
      <w:bookmarkStart w:id="116" w:name="_Ref68890839"/>
      <w:bookmarkStart w:id="117" w:name="_Toc69121357"/>
      <w:r w:rsidRPr="004E221E">
        <w:t xml:space="preserve">Tabela </w:t>
      </w:r>
      <w:r w:rsidR="00B048F2" w:rsidRPr="004E221E">
        <w:rPr>
          <w:noProof/>
        </w:rPr>
        <w:fldChar w:fldCharType="begin"/>
      </w:r>
      <w:r w:rsidR="00B048F2" w:rsidRPr="004E221E">
        <w:rPr>
          <w:noProof/>
        </w:rPr>
        <w:instrText xml:space="preserve"> SEQ Tabela \* ARABIC </w:instrText>
      </w:r>
      <w:r w:rsidR="00B048F2" w:rsidRPr="004E221E">
        <w:rPr>
          <w:noProof/>
        </w:rPr>
        <w:fldChar w:fldCharType="separate"/>
      </w:r>
      <w:r w:rsidR="00304F5F">
        <w:rPr>
          <w:noProof/>
        </w:rPr>
        <w:t>11</w:t>
      </w:r>
      <w:r w:rsidR="00B048F2" w:rsidRPr="004E221E">
        <w:rPr>
          <w:noProof/>
        </w:rPr>
        <w:fldChar w:fldCharType="end"/>
      </w:r>
      <w:bookmarkEnd w:id="115"/>
      <w:r w:rsidR="00625877" w:rsidRPr="004E221E">
        <w:rPr>
          <w:noProof/>
        </w:rPr>
        <w:t xml:space="preserve"> -</w:t>
      </w:r>
      <w:r w:rsidRPr="004E221E">
        <w:t xml:space="preserve"> </w:t>
      </w:r>
      <w:r w:rsidR="00FA1CC5" w:rsidRPr="004E221E">
        <w:t xml:space="preserve">Previsões de sensibilidade da despesa orçamentária </w:t>
      </w:r>
      <w:r w:rsidR="00FD5E71">
        <w:t xml:space="preserve">da dívida </w:t>
      </w:r>
      <w:r w:rsidR="00FA1CC5" w:rsidRPr="004E221E">
        <w:t>a choques de 1%</w:t>
      </w:r>
      <w:bookmarkEnd w:id="116"/>
      <w:bookmarkEnd w:id="117"/>
    </w:p>
    <w:tbl>
      <w:tblPr>
        <w:tblW w:w="0" w:type="auto"/>
        <w:jc w:val="center"/>
        <w:tblCellMar>
          <w:left w:w="70" w:type="dxa"/>
          <w:right w:w="70" w:type="dxa"/>
        </w:tblCellMar>
        <w:tblLook w:val="04A0" w:firstRow="1" w:lastRow="0" w:firstColumn="1" w:lastColumn="0" w:noHBand="0" w:noVBand="1"/>
      </w:tblPr>
      <w:tblGrid>
        <w:gridCol w:w="1631"/>
        <w:gridCol w:w="591"/>
        <w:gridCol w:w="1047"/>
        <w:gridCol w:w="591"/>
        <w:gridCol w:w="1047"/>
        <w:gridCol w:w="591"/>
        <w:gridCol w:w="1047"/>
        <w:gridCol w:w="591"/>
        <w:gridCol w:w="1047"/>
      </w:tblGrid>
      <w:tr w:rsidR="007465F0" w:rsidRPr="004873B8" w14:paraId="08327DBB" w14:textId="77777777" w:rsidTr="00BE36EA">
        <w:trPr>
          <w:trHeight w:val="20"/>
          <w:tblHeader/>
          <w:jc w:val="center"/>
        </w:trPr>
        <w:tc>
          <w:tcPr>
            <w:tcW w:w="0" w:type="auto"/>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hideMark/>
          </w:tcPr>
          <w:p w14:paraId="1882A4FB"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Variáveis</w:t>
            </w:r>
          </w:p>
          <w:p w14:paraId="66FFE15C"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Macroeconômicas</w:t>
            </w:r>
          </w:p>
        </w:tc>
        <w:tc>
          <w:tcPr>
            <w:tcW w:w="0" w:type="auto"/>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01757EC3" w14:textId="43506A79"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202</w:t>
            </w:r>
            <w:r w:rsidR="001346AE">
              <w:rPr>
                <w:rFonts w:eastAsia="Times New Roman" w:cs="Times New Roman"/>
                <w:color w:val="FFFFFF" w:themeColor="background1"/>
                <w:sz w:val="20"/>
                <w:szCs w:val="20"/>
                <w:lang w:eastAsia="pt-BR"/>
              </w:rPr>
              <w:t>1*</w:t>
            </w:r>
          </w:p>
        </w:tc>
        <w:tc>
          <w:tcPr>
            <w:tcW w:w="0" w:type="auto"/>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138CA761" w14:textId="40103567" w:rsidR="007465F0" w:rsidRPr="007465F0" w:rsidRDefault="001346AE" w:rsidP="00C050C6">
            <w:pPr>
              <w:spacing w:after="0" w:line="240" w:lineRule="auto"/>
              <w:jc w:val="center"/>
              <w:rPr>
                <w:rFonts w:eastAsia="Times New Roman" w:cs="Times New Roman"/>
                <w:color w:val="FFFFFF" w:themeColor="background1"/>
                <w:sz w:val="20"/>
                <w:szCs w:val="20"/>
                <w:lang w:eastAsia="pt-BR"/>
              </w:rPr>
            </w:pPr>
            <w:r>
              <w:rPr>
                <w:rFonts w:eastAsia="Times New Roman" w:cs="Times New Roman"/>
                <w:color w:val="FFFFFF" w:themeColor="background1"/>
                <w:sz w:val="20"/>
                <w:szCs w:val="20"/>
                <w:lang w:eastAsia="pt-BR"/>
              </w:rPr>
              <w:t>2022*</w:t>
            </w:r>
          </w:p>
        </w:tc>
        <w:tc>
          <w:tcPr>
            <w:tcW w:w="0" w:type="auto"/>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15FDF1FC" w14:textId="1041490A" w:rsidR="007465F0" w:rsidRPr="007465F0" w:rsidRDefault="001346AE" w:rsidP="00C050C6">
            <w:pPr>
              <w:spacing w:after="0" w:line="240" w:lineRule="auto"/>
              <w:jc w:val="center"/>
              <w:rPr>
                <w:rFonts w:eastAsia="Times New Roman" w:cs="Times New Roman"/>
                <w:color w:val="FFFFFF" w:themeColor="background1"/>
                <w:sz w:val="20"/>
                <w:szCs w:val="20"/>
                <w:lang w:eastAsia="pt-BR"/>
              </w:rPr>
            </w:pPr>
            <w:r>
              <w:rPr>
                <w:rFonts w:eastAsia="Times New Roman" w:cs="Times New Roman"/>
                <w:color w:val="FFFFFF" w:themeColor="background1"/>
                <w:sz w:val="20"/>
                <w:szCs w:val="20"/>
                <w:lang w:eastAsia="pt-BR"/>
              </w:rPr>
              <w:t>2023*</w:t>
            </w:r>
          </w:p>
        </w:tc>
        <w:tc>
          <w:tcPr>
            <w:tcW w:w="0" w:type="auto"/>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4A3902F0" w14:textId="71567EA8" w:rsidR="007465F0" w:rsidRPr="007465F0" w:rsidRDefault="001346AE" w:rsidP="00C050C6">
            <w:pPr>
              <w:spacing w:after="0" w:line="240" w:lineRule="auto"/>
              <w:jc w:val="center"/>
              <w:rPr>
                <w:rFonts w:eastAsia="Times New Roman" w:cs="Times New Roman"/>
                <w:color w:val="FFFFFF" w:themeColor="background1"/>
                <w:sz w:val="20"/>
                <w:szCs w:val="20"/>
                <w:lang w:eastAsia="pt-BR"/>
              </w:rPr>
            </w:pPr>
            <w:r>
              <w:rPr>
                <w:rFonts w:eastAsia="Times New Roman" w:cs="Times New Roman"/>
                <w:color w:val="FFFFFF" w:themeColor="background1"/>
                <w:sz w:val="20"/>
                <w:szCs w:val="20"/>
                <w:lang w:eastAsia="pt-BR"/>
              </w:rPr>
              <w:t>2024*</w:t>
            </w:r>
          </w:p>
        </w:tc>
      </w:tr>
      <w:tr w:rsidR="007465F0" w:rsidRPr="004873B8" w14:paraId="4075D8E1" w14:textId="77777777" w:rsidTr="00BE36EA">
        <w:trPr>
          <w:trHeight w:val="20"/>
          <w:jc w:val="center"/>
        </w:trPr>
        <w:tc>
          <w:tcPr>
            <w:tcW w:w="0" w:type="auto"/>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hideMark/>
          </w:tcPr>
          <w:p w14:paraId="140E2423"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404040" w:themeFill="text1" w:themeFillTint="BF"/>
            <w:noWrap/>
            <w:vAlign w:val="center"/>
            <w:hideMark/>
          </w:tcPr>
          <w:p w14:paraId="7D8D04D7"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 PIB</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25FF99CD"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Milhões 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404040" w:themeFill="text1" w:themeFillTint="BF"/>
            <w:noWrap/>
            <w:vAlign w:val="center"/>
            <w:hideMark/>
          </w:tcPr>
          <w:p w14:paraId="59BC2450"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 PIB</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21C9FEE9"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Milhões 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404040" w:themeFill="text1" w:themeFillTint="BF"/>
            <w:noWrap/>
            <w:vAlign w:val="center"/>
            <w:hideMark/>
          </w:tcPr>
          <w:p w14:paraId="5D44EF0F"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 PIB</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3893F80E"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Milhões 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404040" w:themeFill="text1" w:themeFillTint="BF"/>
            <w:noWrap/>
            <w:vAlign w:val="center"/>
            <w:hideMark/>
          </w:tcPr>
          <w:p w14:paraId="1F9FF041"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 PIB</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hideMark/>
          </w:tcPr>
          <w:p w14:paraId="55D0A5CF" w14:textId="77777777" w:rsidR="007465F0" w:rsidRPr="007465F0" w:rsidRDefault="007465F0" w:rsidP="00C050C6">
            <w:pPr>
              <w:spacing w:after="0" w:line="240" w:lineRule="auto"/>
              <w:jc w:val="center"/>
              <w:rPr>
                <w:rFonts w:eastAsia="Times New Roman" w:cs="Times New Roman"/>
                <w:color w:val="FFFFFF" w:themeColor="background1"/>
                <w:sz w:val="20"/>
                <w:szCs w:val="20"/>
                <w:lang w:eastAsia="pt-BR"/>
              </w:rPr>
            </w:pPr>
            <w:r w:rsidRPr="007465F0">
              <w:rPr>
                <w:rFonts w:eastAsia="Times New Roman" w:cs="Times New Roman"/>
                <w:color w:val="FFFFFF" w:themeColor="background1"/>
                <w:sz w:val="20"/>
                <w:szCs w:val="20"/>
                <w:lang w:eastAsia="pt-BR"/>
              </w:rPr>
              <w:t>Milhões R$</w:t>
            </w:r>
          </w:p>
        </w:tc>
      </w:tr>
      <w:tr w:rsidR="007465F0" w:rsidRPr="004873B8" w14:paraId="3B96F772" w14:textId="77777777" w:rsidTr="00BE36EA">
        <w:trPr>
          <w:trHeight w:val="20"/>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040E120C" w14:textId="77777777" w:rsidR="007465F0" w:rsidRPr="007465F0" w:rsidRDefault="007465F0" w:rsidP="00C050C6">
            <w:pPr>
              <w:spacing w:after="0" w:line="240" w:lineRule="auto"/>
              <w:rPr>
                <w:rFonts w:eastAsia="Times New Roman" w:cs="Times New Roman"/>
                <w:sz w:val="18"/>
                <w:szCs w:val="18"/>
                <w:lang w:eastAsia="pt-BR"/>
              </w:rPr>
            </w:pPr>
            <w:r w:rsidRPr="007465F0">
              <w:rPr>
                <w:rFonts w:eastAsia="Times New Roman" w:cs="Times New Roman"/>
                <w:sz w:val="18"/>
                <w:szCs w:val="18"/>
                <w:lang w:eastAsia="pt-BR"/>
              </w:rPr>
              <w:t>Câmbio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2AD715D3" w14:textId="7CC6441C"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0,00</w:t>
            </w:r>
            <w:r w:rsidR="001346AE">
              <w:rPr>
                <w:rFonts w:cs="Arial"/>
                <w:sz w:val="18"/>
                <w:szCs w:val="18"/>
              </w:rPr>
              <w:t>5</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186D13BA" w14:textId="737F277D"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387</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2B9A7268" w14:textId="0B3795B5"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0,00</w:t>
            </w:r>
            <w:r w:rsidR="001346AE">
              <w:rPr>
                <w:rFonts w:cs="Arial"/>
                <w:sz w:val="18"/>
                <w:szCs w:val="18"/>
              </w:rPr>
              <w:t>2</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5F23BD39" w14:textId="6226AE64"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193</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791F0B72" w14:textId="64B488CC"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0,00</w:t>
            </w:r>
            <w:r w:rsidR="001346AE">
              <w:rPr>
                <w:rFonts w:cs="Arial"/>
                <w:sz w:val="18"/>
                <w:szCs w:val="18"/>
              </w:rPr>
              <w:t>3</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37070927" w14:textId="59DBC354"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292</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23F6F702" w14:textId="38867F9E"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0,00</w:t>
            </w:r>
            <w:r w:rsidR="001346AE">
              <w:rPr>
                <w:rFonts w:cs="Arial"/>
                <w:sz w:val="18"/>
                <w:szCs w:val="18"/>
              </w:rPr>
              <w:t>5</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546ED966" w14:textId="58610633"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459</w:t>
            </w:r>
            <w:r w:rsidRPr="007465F0">
              <w:rPr>
                <w:rFonts w:cs="Arial"/>
                <w:sz w:val="18"/>
                <w:szCs w:val="18"/>
              </w:rPr>
              <w:t xml:space="preserve"> </w:t>
            </w:r>
          </w:p>
        </w:tc>
      </w:tr>
      <w:tr w:rsidR="007465F0" w:rsidRPr="004873B8" w14:paraId="513103F1" w14:textId="77777777" w:rsidTr="00BE36EA">
        <w:trPr>
          <w:trHeight w:val="20"/>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299F9EA4" w14:textId="77777777" w:rsidR="007465F0" w:rsidRPr="007465F0" w:rsidRDefault="007465F0" w:rsidP="00C050C6">
            <w:pPr>
              <w:spacing w:after="0" w:line="240" w:lineRule="auto"/>
              <w:rPr>
                <w:rFonts w:eastAsia="Times New Roman" w:cs="Times New Roman"/>
                <w:sz w:val="18"/>
                <w:szCs w:val="18"/>
                <w:lang w:eastAsia="pt-BR"/>
              </w:rPr>
            </w:pPr>
            <w:r w:rsidRPr="007465F0">
              <w:rPr>
                <w:rFonts w:eastAsia="Times New Roman" w:cs="Times New Roman"/>
                <w:sz w:val="18"/>
                <w:szCs w:val="18"/>
                <w:lang w:eastAsia="pt-BR"/>
              </w:rPr>
              <w:t>Inflação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6B95C554" w14:textId="6CC748C9"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w:t>
            </w:r>
            <w:r w:rsidR="001346AE">
              <w:rPr>
                <w:rFonts w:cs="Arial"/>
                <w:sz w:val="18"/>
                <w:szCs w:val="18"/>
              </w:rPr>
              <w:t>26</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6BC019DB" w14:textId="206919B8"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2.048</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43ACC797" w14:textId="47C0F0AC"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0,02</w:t>
            </w:r>
            <w:r w:rsidR="001346AE">
              <w:rPr>
                <w:rFonts w:cs="Arial"/>
                <w:sz w:val="18"/>
                <w:szCs w:val="18"/>
              </w:rPr>
              <w:t>9</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5671CE63" w14:textId="631328E6"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2.487</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67078055" w14:textId="24920ECC"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0,02</w:t>
            </w:r>
            <w:r w:rsidR="001346AE">
              <w:rPr>
                <w:rFonts w:cs="Arial"/>
                <w:sz w:val="18"/>
                <w:szCs w:val="18"/>
              </w:rPr>
              <w:t>9</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25D32AF3" w14:textId="1F6C0E3E"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2.</w:t>
            </w:r>
            <w:r w:rsidR="001346AE">
              <w:rPr>
                <w:rFonts w:cs="Arial"/>
                <w:sz w:val="18"/>
                <w:szCs w:val="18"/>
              </w:rPr>
              <w:t>607</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31237F99" w14:textId="0D03897F"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w:t>
            </w:r>
            <w:r w:rsidR="001346AE">
              <w:rPr>
                <w:rFonts w:cs="Arial"/>
                <w:sz w:val="18"/>
                <w:szCs w:val="18"/>
              </w:rPr>
              <w:t>33</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39E2E9D3" w14:textId="46DDCA7C"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3.155</w:t>
            </w:r>
            <w:r w:rsidRPr="007465F0">
              <w:rPr>
                <w:rFonts w:cs="Arial"/>
                <w:sz w:val="18"/>
                <w:szCs w:val="18"/>
              </w:rPr>
              <w:t xml:space="preserve"> </w:t>
            </w:r>
          </w:p>
        </w:tc>
      </w:tr>
      <w:tr w:rsidR="007465F0" w:rsidRPr="004873B8" w14:paraId="21462E94" w14:textId="77777777" w:rsidTr="00BE36EA">
        <w:trPr>
          <w:trHeight w:val="20"/>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6071088B" w14:textId="77777777" w:rsidR="007465F0" w:rsidRPr="007465F0" w:rsidRDefault="007465F0" w:rsidP="00C050C6">
            <w:pPr>
              <w:spacing w:after="0" w:line="240" w:lineRule="auto"/>
              <w:rPr>
                <w:rFonts w:eastAsia="Times New Roman" w:cs="Times New Roman"/>
                <w:sz w:val="18"/>
                <w:szCs w:val="18"/>
                <w:lang w:eastAsia="pt-BR"/>
              </w:rPr>
            </w:pPr>
            <w:r w:rsidRPr="007465F0">
              <w:rPr>
                <w:rFonts w:eastAsia="Times New Roman" w:cs="Times New Roman"/>
                <w:sz w:val="18"/>
                <w:szCs w:val="18"/>
                <w:lang w:eastAsia="pt-BR"/>
              </w:rPr>
              <w:t>Juros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6B61AE16" w14:textId="1D2AB339"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w:t>
            </w:r>
            <w:r w:rsidR="001346AE">
              <w:rPr>
                <w:rFonts w:cs="Arial"/>
                <w:sz w:val="18"/>
                <w:szCs w:val="18"/>
              </w:rPr>
              <w:t>5</w:t>
            </w:r>
            <w:r w:rsidRPr="007465F0">
              <w:rPr>
                <w:rFonts w:cs="Arial"/>
                <w:sz w:val="18"/>
                <w:szCs w:val="18"/>
              </w:rPr>
              <w:t>3</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1D6069EC" w14:textId="640F4E27"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4.222</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16CC33D1" w14:textId="77777777"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0,052</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32EC8B6E" w14:textId="3D4BF0BB"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4.</w:t>
            </w:r>
            <w:r w:rsidR="001346AE">
              <w:rPr>
                <w:rFonts w:cs="Arial"/>
                <w:sz w:val="18"/>
                <w:szCs w:val="18"/>
              </w:rPr>
              <w:t>460</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37ADBEC6" w14:textId="15B42A40"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w:t>
            </w:r>
            <w:r w:rsidR="001346AE">
              <w:rPr>
                <w:rFonts w:cs="Arial"/>
                <w:sz w:val="18"/>
                <w:szCs w:val="18"/>
              </w:rPr>
              <w:t>39</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1F7C742B" w14:textId="6E59809D"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3.518</w:t>
            </w:r>
            <w:r w:rsidRPr="007465F0">
              <w:rPr>
                <w:rFonts w:cs="Arial"/>
                <w:sz w:val="18"/>
                <w:szCs w:val="18"/>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vAlign w:val="bottom"/>
            <w:hideMark/>
          </w:tcPr>
          <w:p w14:paraId="04815EFB" w14:textId="7A4E1079"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0,0</w:t>
            </w:r>
            <w:r w:rsidR="001346AE">
              <w:rPr>
                <w:rFonts w:cs="Arial"/>
                <w:sz w:val="18"/>
                <w:szCs w:val="18"/>
              </w:rPr>
              <w:t>51</w:t>
            </w:r>
          </w:p>
        </w:tc>
        <w:tc>
          <w:tcPr>
            <w:tcW w:w="0" w:type="auto"/>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bottom"/>
            <w:hideMark/>
          </w:tcPr>
          <w:p w14:paraId="72256FFD" w14:textId="28137757" w:rsidR="007465F0" w:rsidRPr="007465F0" w:rsidRDefault="007465F0" w:rsidP="00C050C6">
            <w:pPr>
              <w:spacing w:after="0" w:line="240" w:lineRule="auto"/>
              <w:jc w:val="right"/>
              <w:rPr>
                <w:rFonts w:eastAsia="Times New Roman" w:cs="Times New Roman"/>
                <w:sz w:val="18"/>
                <w:szCs w:val="18"/>
                <w:lang w:eastAsia="pt-BR"/>
              </w:rPr>
            </w:pPr>
            <w:r w:rsidRPr="007465F0">
              <w:rPr>
                <w:rFonts w:cs="Arial"/>
                <w:sz w:val="18"/>
                <w:szCs w:val="18"/>
              </w:rPr>
              <w:t xml:space="preserve">         </w:t>
            </w:r>
            <w:r w:rsidR="001346AE">
              <w:rPr>
                <w:rFonts w:cs="Arial"/>
                <w:sz w:val="18"/>
                <w:szCs w:val="18"/>
              </w:rPr>
              <w:t>4.916</w:t>
            </w:r>
            <w:r w:rsidRPr="007465F0">
              <w:rPr>
                <w:rFonts w:cs="Arial"/>
                <w:sz w:val="18"/>
                <w:szCs w:val="18"/>
              </w:rPr>
              <w:t xml:space="preserve"> </w:t>
            </w:r>
          </w:p>
        </w:tc>
      </w:tr>
      <w:tr w:rsidR="007465F0" w:rsidRPr="004873B8" w14:paraId="05A3B7B9" w14:textId="77777777" w:rsidTr="00D54547">
        <w:trPr>
          <w:trHeight w:val="20"/>
          <w:jc w:val="center"/>
        </w:trPr>
        <w:tc>
          <w:tcPr>
            <w:tcW w:w="0" w:type="auto"/>
            <w:gridSpan w:val="9"/>
            <w:tcBorders>
              <w:top w:val="single" w:sz="8" w:space="0" w:color="BFBFBF" w:themeColor="background1" w:themeShade="BF"/>
              <w:left w:val="nil"/>
              <w:right w:val="nil"/>
            </w:tcBorders>
            <w:shd w:val="clear" w:color="auto" w:fill="auto"/>
            <w:noWrap/>
            <w:vAlign w:val="bottom"/>
          </w:tcPr>
          <w:p w14:paraId="1C75AC60" w14:textId="70681085" w:rsidR="007465F0" w:rsidRPr="00D2443D" w:rsidRDefault="001346AE" w:rsidP="00C050C6">
            <w:pPr>
              <w:spacing w:after="0" w:line="240" w:lineRule="auto"/>
              <w:jc w:val="both"/>
              <w:rPr>
                <w:i/>
                <w:iCs/>
                <w:sz w:val="16"/>
                <w:szCs w:val="16"/>
              </w:rPr>
            </w:pPr>
            <w:r>
              <w:rPr>
                <w:i/>
                <w:iCs/>
                <w:sz w:val="16"/>
                <w:szCs w:val="16"/>
              </w:rPr>
              <w:t>*</w:t>
            </w:r>
            <w:r w:rsidR="007465F0" w:rsidRPr="00D2443D">
              <w:rPr>
                <w:i/>
                <w:iCs/>
                <w:sz w:val="16"/>
                <w:szCs w:val="16"/>
              </w:rPr>
              <w:t>Projeções com base na estratégia de médio prazo elaborada no âmbito do PAF 202</w:t>
            </w:r>
            <w:r>
              <w:rPr>
                <w:i/>
                <w:iCs/>
                <w:sz w:val="16"/>
                <w:szCs w:val="16"/>
              </w:rPr>
              <w:t>1</w:t>
            </w:r>
            <w:r w:rsidR="007465F0" w:rsidRPr="00D2443D">
              <w:rPr>
                <w:i/>
                <w:iCs/>
                <w:sz w:val="16"/>
                <w:szCs w:val="16"/>
              </w:rPr>
              <w:t>.</w:t>
            </w:r>
          </w:p>
          <w:p w14:paraId="696292B9" w14:textId="19B9150C" w:rsidR="007465F0" w:rsidRPr="004873B8" w:rsidRDefault="007465F0" w:rsidP="00C050C6">
            <w:pPr>
              <w:spacing w:after="0" w:line="240" w:lineRule="auto"/>
              <w:jc w:val="both"/>
              <w:rPr>
                <w:rFonts w:eastAsia="Times New Roman" w:cs="Times New Roman"/>
                <w:sz w:val="20"/>
                <w:szCs w:val="20"/>
                <w:lang w:eastAsia="pt-BR"/>
              </w:rPr>
            </w:pPr>
            <w:r w:rsidRPr="00D2443D">
              <w:rPr>
                <w:b/>
                <w:bCs/>
                <w:i/>
                <w:iCs/>
                <w:sz w:val="16"/>
                <w:szCs w:val="16"/>
              </w:rPr>
              <w:lastRenderedPageBreak/>
              <w:t>Fonte e elaboração</w:t>
            </w:r>
            <w:r w:rsidRPr="00D2443D">
              <w:rPr>
                <w:i/>
                <w:iCs/>
                <w:sz w:val="16"/>
                <w:szCs w:val="16"/>
              </w:rPr>
              <w:t>: STN/ME.</w:t>
            </w:r>
          </w:p>
        </w:tc>
      </w:tr>
    </w:tbl>
    <w:p w14:paraId="6C342119" w14:textId="77777777" w:rsidR="00277B7D" w:rsidRDefault="00277B7D" w:rsidP="00FA1CC5">
      <w:pPr>
        <w:spacing w:after="120" w:line="240" w:lineRule="auto"/>
        <w:ind w:firstLine="1418"/>
        <w:jc w:val="both"/>
        <w:rPr>
          <w:sz w:val="24"/>
          <w:szCs w:val="24"/>
        </w:rPr>
      </w:pPr>
    </w:p>
    <w:p w14:paraId="25F72C10" w14:textId="31ABF87C" w:rsidR="00D57FBE" w:rsidRDefault="00285843" w:rsidP="00FA1CC5">
      <w:pPr>
        <w:spacing w:after="120" w:line="240" w:lineRule="auto"/>
        <w:ind w:firstLine="1418"/>
        <w:jc w:val="both"/>
        <w:rPr>
          <w:sz w:val="24"/>
          <w:szCs w:val="24"/>
        </w:rPr>
      </w:pPr>
      <w:r w:rsidRPr="00285843">
        <w:rPr>
          <w:sz w:val="24"/>
          <w:szCs w:val="24"/>
        </w:rPr>
        <w:t xml:space="preserve">A sensibilidade apresentada na </w:t>
      </w:r>
      <w:r w:rsidRPr="00285843">
        <w:rPr>
          <w:sz w:val="24"/>
          <w:szCs w:val="24"/>
        </w:rPr>
        <w:fldChar w:fldCharType="begin"/>
      </w:r>
      <w:r w:rsidRPr="00285843">
        <w:rPr>
          <w:sz w:val="24"/>
          <w:szCs w:val="24"/>
        </w:rPr>
        <w:instrText xml:space="preserve"> REF _Ref5628065 \h  \* MERGEFORMAT </w:instrText>
      </w:r>
      <w:r w:rsidRPr="00285843">
        <w:rPr>
          <w:sz w:val="24"/>
          <w:szCs w:val="24"/>
        </w:rPr>
      </w:r>
      <w:r w:rsidRPr="00285843">
        <w:rPr>
          <w:sz w:val="24"/>
          <w:szCs w:val="24"/>
        </w:rPr>
        <w:fldChar w:fldCharType="separate"/>
      </w:r>
      <w:r w:rsidR="00304F5F" w:rsidRPr="00304F5F">
        <w:rPr>
          <w:sz w:val="24"/>
          <w:szCs w:val="24"/>
        </w:rPr>
        <w:t>Tabela 11</w:t>
      </w:r>
      <w:r w:rsidRPr="00285843">
        <w:rPr>
          <w:sz w:val="24"/>
          <w:szCs w:val="24"/>
        </w:rPr>
        <w:fldChar w:fldCharType="end"/>
      </w:r>
      <w:r w:rsidRPr="00285843">
        <w:rPr>
          <w:sz w:val="24"/>
          <w:szCs w:val="24"/>
        </w:rPr>
        <w:t xml:space="preserve"> varia conforme </w:t>
      </w:r>
      <w:r w:rsidR="00E0200A" w:rsidRPr="00E0200A">
        <w:rPr>
          <w:sz w:val="24"/>
          <w:szCs w:val="24"/>
        </w:rPr>
        <w:t>o cronograma de maturação dos títulos da DPF, de forma que será maior em relação à determinada variável econômica nos anos em que houver grandes vencimentos de títulos indexados àquela mesma variável. Note-se que a sensibilidade da despesa orçamentária é bem menor que àquela correspondente ao estoque da DPF, exatamente porque considera apenas o montante da dívida que está vencendo em determinado exercício. Não obstante, é uma sensibilidade relevante porque mede o impacto de curto prazo na gestão da despesa orçamentária para o pagamento da dívida. Especificamente em relação aos riscos de taxa de juros à despesa orçamentária, note que devido à elevada torre de vencimentos de LFT prevista para 2022, a sensibilidade quanto à elevação/redução de 1% da taxa de juros elevaria/reduziria a despesa esperada com estes títulos em R$ 4,</w:t>
      </w:r>
      <w:r w:rsidR="001E0F5C">
        <w:rPr>
          <w:sz w:val="24"/>
          <w:szCs w:val="24"/>
        </w:rPr>
        <w:t>5</w:t>
      </w:r>
      <w:r w:rsidR="00E0200A" w:rsidRPr="00E0200A">
        <w:rPr>
          <w:sz w:val="24"/>
          <w:szCs w:val="24"/>
        </w:rPr>
        <w:t xml:space="preserve"> bilhões.</w:t>
      </w:r>
    </w:p>
    <w:p w14:paraId="55AAA226" w14:textId="77777777" w:rsidR="00F02AE0" w:rsidRPr="00285843" w:rsidRDefault="00F02AE0" w:rsidP="00FA1CC5">
      <w:pPr>
        <w:spacing w:after="120" w:line="240" w:lineRule="auto"/>
        <w:ind w:firstLine="1418"/>
        <w:jc w:val="both"/>
        <w:rPr>
          <w:sz w:val="24"/>
          <w:szCs w:val="24"/>
        </w:rPr>
      </w:pPr>
    </w:p>
    <w:p w14:paraId="4E4D0D3B" w14:textId="77777777" w:rsidR="00FB0D14" w:rsidRPr="00E925C9" w:rsidRDefault="00FB0D14" w:rsidP="00E925C9">
      <w:pPr>
        <w:pStyle w:val="Ttulo5"/>
        <w:numPr>
          <w:ilvl w:val="4"/>
          <w:numId w:val="36"/>
        </w:numPr>
        <w:spacing w:before="240" w:after="120" w:line="240" w:lineRule="auto"/>
        <w:ind w:left="170" w:hanging="170"/>
        <w:rPr>
          <w:rFonts w:asciiTheme="minorHAnsi" w:hAnsiTheme="minorHAnsi"/>
          <w:b w:val="0"/>
          <w:bCs/>
          <w:sz w:val="24"/>
          <w:szCs w:val="24"/>
        </w:rPr>
      </w:pPr>
      <w:r w:rsidRPr="00E925C9">
        <w:rPr>
          <w:rFonts w:asciiTheme="minorHAnsi" w:hAnsiTheme="minorHAnsi"/>
          <w:b w:val="0"/>
          <w:bCs/>
          <w:sz w:val="24"/>
          <w:szCs w:val="24"/>
        </w:rPr>
        <w:t>Riscos da DLSP e da DBGG</w:t>
      </w:r>
    </w:p>
    <w:p w14:paraId="13B98F28" w14:textId="77777777" w:rsidR="006D128E" w:rsidRPr="006D128E" w:rsidRDefault="006D128E" w:rsidP="006D128E">
      <w:pPr>
        <w:spacing w:after="120" w:line="240" w:lineRule="auto"/>
        <w:ind w:firstLine="1418"/>
        <w:jc w:val="both"/>
        <w:rPr>
          <w:sz w:val="24"/>
          <w:szCs w:val="24"/>
        </w:rPr>
      </w:pPr>
      <w:r w:rsidRPr="006D128E">
        <w:rPr>
          <w:sz w:val="24"/>
          <w:szCs w:val="24"/>
        </w:rPr>
        <w:t>A DBGG tem se tornado a principal referência para a elaboração de políticas econômicas e para sinalizar a solvência do Estado brasileiro. Este indicador abrange a DPF, as dívidas dos governos estaduais e municipais com o setor privado e as operações compromissadas do BCB.</w:t>
      </w:r>
    </w:p>
    <w:p w14:paraId="50B59B31" w14:textId="77777777" w:rsidR="006D128E" w:rsidRPr="006D128E" w:rsidRDefault="006D128E" w:rsidP="006D128E">
      <w:pPr>
        <w:spacing w:after="120" w:line="240" w:lineRule="auto"/>
        <w:ind w:firstLine="1418"/>
        <w:jc w:val="both"/>
        <w:rPr>
          <w:sz w:val="24"/>
          <w:szCs w:val="24"/>
        </w:rPr>
      </w:pPr>
      <w:r w:rsidRPr="006D128E">
        <w:rPr>
          <w:sz w:val="24"/>
          <w:szCs w:val="24"/>
        </w:rPr>
        <w:t>A DPF e a DBGG são métricas que só incluem passivos e, portanto, não medem a acumulação de ativos pelo governo. Assim, é útil avançar para o conceito de endividamento líquido, que traz um balanço entre débitos e créditos do governo frente aos agentes privados. Essa característica está presente na DLSP. Para além do Governo Geral, o Setor Público abrange ainda as empresas estatais não financeiras e o BCB.</w:t>
      </w:r>
    </w:p>
    <w:p w14:paraId="3D001274" w14:textId="52E32F04" w:rsidR="00FB0D14" w:rsidRPr="00B32A16" w:rsidRDefault="006D128E" w:rsidP="006D128E">
      <w:pPr>
        <w:spacing w:after="120" w:line="240" w:lineRule="auto"/>
        <w:ind w:firstLine="1418"/>
        <w:jc w:val="both"/>
        <w:rPr>
          <w:sz w:val="24"/>
          <w:szCs w:val="24"/>
        </w:rPr>
      </w:pPr>
      <w:r w:rsidRPr="006D128E">
        <w:rPr>
          <w:sz w:val="24"/>
          <w:szCs w:val="24"/>
        </w:rPr>
        <w:t xml:space="preserve">Inicialmente, foi </w:t>
      </w:r>
      <w:proofErr w:type="gramStart"/>
      <w:r w:rsidRPr="006D128E">
        <w:rPr>
          <w:sz w:val="24"/>
          <w:szCs w:val="24"/>
        </w:rPr>
        <w:t>gerado</w:t>
      </w:r>
      <w:proofErr w:type="gramEnd"/>
      <w:r w:rsidRPr="006D128E">
        <w:rPr>
          <w:sz w:val="24"/>
          <w:szCs w:val="24"/>
        </w:rPr>
        <w:t xml:space="preserve"> um cenário base para a projeção da DLSP/PIB e DBGG/PIB para o período de 2021 a 2024. Sobre este cenário foram feitas análises de risco de taxa de juros, da taxa de crescimento do PIB e de variações no resultado primário. A</w:t>
      </w:r>
      <w:r>
        <w:rPr>
          <w:sz w:val="24"/>
          <w:szCs w:val="24"/>
        </w:rPr>
        <w:t xml:space="preserve"> </w:t>
      </w:r>
      <w:r w:rsidRPr="006D128E">
        <w:rPr>
          <w:sz w:val="24"/>
          <w:szCs w:val="24"/>
        </w:rPr>
        <w:fldChar w:fldCharType="begin"/>
      </w:r>
      <w:r w:rsidRPr="006D128E">
        <w:rPr>
          <w:sz w:val="24"/>
          <w:szCs w:val="24"/>
        </w:rPr>
        <w:instrText xml:space="preserve"> REF _Ref5637831 \h  \* MERGEFORMAT </w:instrText>
      </w:r>
      <w:r w:rsidRPr="006D128E">
        <w:rPr>
          <w:sz w:val="24"/>
          <w:szCs w:val="24"/>
        </w:rPr>
      </w:r>
      <w:r w:rsidRPr="006D128E">
        <w:rPr>
          <w:sz w:val="24"/>
          <w:szCs w:val="24"/>
        </w:rPr>
        <w:fldChar w:fldCharType="separate"/>
      </w:r>
      <w:r w:rsidR="00304F5F" w:rsidRPr="00304F5F">
        <w:rPr>
          <w:sz w:val="24"/>
          <w:szCs w:val="24"/>
        </w:rPr>
        <w:t xml:space="preserve">Tabela </w:t>
      </w:r>
      <w:r w:rsidR="00304F5F" w:rsidRPr="00304F5F">
        <w:rPr>
          <w:noProof/>
          <w:sz w:val="24"/>
          <w:szCs w:val="24"/>
        </w:rPr>
        <w:t>12</w:t>
      </w:r>
      <w:r w:rsidRPr="006D128E">
        <w:rPr>
          <w:sz w:val="24"/>
          <w:szCs w:val="24"/>
        </w:rPr>
        <w:fldChar w:fldCharType="end"/>
      </w:r>
      <w:r w:rsidRPr="006D128E">
        <w:rPr>
          <w:sz w:val="24"/>
          <w:szCs w:val="24"/>
        </w:rPr>
        <w:t xml:space="preserve"> mostra uma análise de estática comparativa</w:t>
      </w:r>
      <w:r w:rsidRPr="00B32A16">
        <w:rPr>
          <w:rStyle w:val="Refdenotaderodap"/>
          <w:sz w:val="24"/>
          <w:szCs w:val="24"/>
        </w:rPr>
        <w:footnoteReference w:id="10"/>
      </w:r>
      <w:r w:rsidRPr="006D128E">
        <w:rPr>
          <w:sz w:val="24"/>
          <w:szCs w:val="24"/>
        </w:rPr>
        <w:t xml:space="preserve"> nas projeções, sempre em relação ao cenário base, para mostrar o aumento na dívida/PIB decorrente de uma variação persistente de </w:t>
      </w:r>
      <w:proofErr w:type="gramStart"/>
      <w:r w:rsidRPr="006D128E">
        <w:rPr>
          <w:sz w:val="24"/>
          <w:szCs w:val="24"/>
        </w:rPr>
        <w:t>1</w:t>
      </w:r>
      <w:proofErr w:type="gramEnd"/>
      <w:r w:rsidRPr="006D128E">
        <w:rPr>
          <w:sz w:val="24"/>
          <w:szCs w:val="24"/>
        </w:rPr>
        <w:t xml:space="preserve"> ponto percentual na taxa SELIC para cima, uma variação persistente da taxa de crescimento PIB de 1 ponto percentual para baixo, e de um déficit primário persistentemente pior em 1% do PIB. Os impactos são computados isoladamente para cada um desses choques e, posteriormente, assumindo-se um choque combinado nessas variáveis.</w:t>
      </w:r>
    </w:p>
    <w:p w14:paraId="46D0B3FF" w14:textId="59D5D9AF" w:rsidR="00FB0D14" w:rsidRDefault="00FB0D14" w:rsidP="00FB0D14">
      <w:pPr>
        <w:spacing w:after="120" w:line="240" w:lineRule="auto"/>
        <w:ind w:firstLine="1418"/>
        <w:jc w:val="both"/>
        <w:rPr>
          <w:sz w:val="24"/>
          <w:szCs w:val="24"/>
        </w:rPr>
      </w:pPr>
    </w:p>
    <w:p w14:paraId="4C1FDC3A" w14:textId="77777777" w:rsidR="00F02AE0" w:rsidRPr="00B32A16" w:rsidRDefault="00F02AE0" w:rsidP="00FB0D14">
      <w:pPr>
        <w:spacing w:after="120" w:line="240" w:lineRule="auto"/>
        <w:ind w:firstLine="1418"/>
        <w:jc w:val="both"/>
        <w:rPr>
          <w:sz w:val="24"/>
          <w:szCs w:val="24"/>
        </w:rPr>
      </w:pPr>
    </w:p>
    <w:p w14:paraId="4D2C0830" w14:textId="773F5B3A" w:rsidR="00FB0D14" w:rsidRPr="00C7504A" w:rsidRDefault="00796426" w:rsidP="003D70A5">
      <w:pPr>
        <w:spacing w:after="120" w:line="240" w:lineRule="auto"/>
        <w:jc w:val="center"/>
      </w:pPr>
      <w:bookmarkStart w:id="118" w:name="_Ref5637831"/>
      <w:bookmarkStart w:id="119" w:name="_Toc69121358"/>
      <w:r w:rsidRPr="00C7504A">
        <w:t xml:space="preserve">Tabela </w:t>
      </w:r>
      <w:r w:rsidR="00B048F2" w:rsidRPr="00C7504A">
        <w:rPr>
          <w:noProof/>
        </w:rPr>
        <w:fldChar w:fldCharType="begin"/>
      </w:r>
      <w:r w:rsidR="00B048F2" w:rsidRPr="00C7504A">
        <w:rPr>
          <w:noProof/>
        </w:rPr>
        <w:instrText xml:space="preserve"> SEQ Tabela \* ARABIC </w:instrText>
      </w:r>
      <w:r w:rsidR="00B048F2" w:rsidRPr="00C7504A">
        <w:rPr>
          <w:noProof/>
        </w:rPr>
        <w:fldChar w:fldCharType="separate"/>
      </w:r>
      <w:r w:rsidR="00304F5F">
        <w:rPr>
          <w:noProof/>
        </w:rPr>
        <w:t>12</w:t>
      </w:r>
      <w:r w:rsidR="00B048F2" w:rsidRPr="00C7504A">
        <w:rPr>
          <w:noProof/>
        </w:rPr>
        <w:fldChar w:fldCharType="end"/>
      </w:r>
      <w:bookmarkEnd w:id="118"/>
      <w:r w:rsidRPr="00C7504A">
        <w:t xml:space="preserve"> </w:t>
      </w:r>
      <w:r w:rsidR="00025A97" w:rsidRPr="00C7504A">
        <w:t xml:space="preserve">- </w:t>
      </w:r>
      <w:r w:rsidR="00FB0D14" w:rsidRPr="00C7504A">
        <w:t xml:space="preserve">Sensibilidade da dívida à taxa de juros, ao crescimento real do PIB e ao resultado </w:t>
      </w:r>
      <w:proofErr w:type="gramStart"/>
      <w:r w:rsidR="00FB0D14" w:rsidRPr="00C7504A">
        <w:t>primário</w:t>
      </w:r>
      <w:bookmarkEnd w:id="119"/>
      <w:proofErr w:type="gramEnd"/>
    </w:p>
    <w:tbl>
      <w:tblPr>
        <w:tblW w:w="5000" w:type="pct"/>
        <w:jc w:val="center"/>
        <w:tblCellMar>
          <w:left w:w="70" w:type="dxa"/>
          <w:right w:w="70" w:type="dxa"/>
        </w:tblCellMar>
        <w:tblLook w:val="04A0" w:firstRow="1" w:lastRow="0" w:firstColumn="1" w:lastColumn="0" w:noHBand="0" w:noVBand="1"/>
      </w:tblPr>
      <w:tblGrid>
        <w:gridCol w:w="3060"/>
        <w:gridCol w:w="850"/>
        <w:gridCol w:w="849"/>
        <w:gridCol w:w="1018"/>
        <w:gridCol w:w="920"/>
        <w:gridCol w:w="859"/>
        <w:gridCol w:w="859"/>
        <w:gridCol w:w="823"/>
        <w:gridCol w:w="825"/>
      </w:tblGrid>
      <w:tr w:rsidR="00553728" w:rsidRPr="00C239B7" w14:paraId="1114A70B" w14:textId="77777777" w:rsidTr="00515C7F">
        <w:trPr>
          <w:trHeight w:val="20"/>
          <w:jc w:val="center"/>
        </w:trPr>
        <w:tc>
          <w:tcPr>
            <w:tcW w:w="1520" w:type="pct"/>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tcPr>
          <w:p w14:paraId="17B40AE5" w14:textId="77777777" w:rsidR="00553728" w:rsidRPr="00FF6AD2" w:rsidRDefault="00553728" w:rsidP="00296802">
            <w:pPr>
              <w:spacing w:after="0" w:line="240" w:lineRule="auto"/>
              <w:jc w:val="both"/>
              <w:rPr>
                <w:bCs/>
                <w:color w:val="FFFFFF" w:themeColor="background1"/>
                <w:sz w:val="20"/>
                <w:szCs w:val="20"/>
              </w:rPr>
            </w:pPr>
            <w:r w:rsidRPr="00FF6AD2">
              <w:rPr>
                <w:bCs/>
                <w:color w:val="FFFFFF" w:themeColor="background1"/>
                <w:sz w:val="20"/>
                <w:szCs w:val="20"/>
              </w:rPr>
              <w:t>Choques simulados</w:t>
            </w:r>
          </w:p>
        </w:tc>
        <w:tc>
          <w:tcPr>
            <w:tcW w:w="1807" w:type="pct"/>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tcPr>
          <w:p w14:paraId="7112A8D6" w14:textId="77777777" w:rsidR="00553728" w:rsidRPr="00FF6AD2" w:rsidRDefault="00553728" w:rsidP="00296802">
            <w:pPr>
              <w:spacing w:after="0" w:line="240" w:lineRule="auto"/>
              <w:jc w:val="center"/>
              <w:rPr>
                <w:bCs/>
                <w:color w:val="FFFFFF" w:themeColor="background1"/>
                <w:sz w:val="20"/>
                <w:szCs w:val="20"/>
              </w:rPr>
            </w:pPr>
            <w:r w:rsidRPr="00FF6AD2">
              <w:rPr>
                <w:bCs/>
                <w:color w:val="FFFFFF" w:themeColor="background1"/>
                <w:sz w:val="20"/>
                <w:szCs w:val="20"/>
              </w:rPr>
              <w:t>DLSP</w:t>
            </w:r>
          </w:p>
        </w:tc>
        <w:tc>
          <w:tcPr>
            <w:tcW w:w="1672" w:type="pct"/>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center"/>
          </w:tcPr>
          <w:p w14:paraId="73E41C0A" w14:textId="77777777" w:rsidR="00553728" w:rsidRPr="00FF6AD2" w:rsidRDefault="00553728" w:rsidP="00296802">
            <w:pPr>
              <w:spacing w:after="0" w:line="240" w:lineRule="auto"/>
              <w:jc w:val="center"/>
              <w:rPr>
                <w:bCs/>
                <w:color w:val="FFFFFF" w:themeColor="background1"/>
                <w:sz w:val="20"/>
                <w:szCs w:val="20"/>
              </w:rPr>
            </w:pPr>
            <w:r w:rsidRPr="00FF6AD2">
              <w:rPr>
                <w:bCs/>
                <w:color w:val="FFFFFF" w:themeColor="background1"/>
                <w:sz w:val="20"/>
                <w:szCs w:val="20"/>
              </w:rPr>
              <w:t>DBGG</w:t>
            </w:r>
          </w:p>
        </w:tc>
      </w:tr>
      <w:tr w:rsidR="00515C7F" w:rsidRPr="00C239B7" w14:paraId="4395DD95" w14:textId="77777777" w:rsidTr="00515C7F">
        <w:trPr>
          <w:trHeight w:val="20"/>
          <w:jc w:val="center"/>
        </w:trPr>
        <w:tc>
          <w:tcPr>
            <w:tcW w:w="1520" w:type="pct"/>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bottom"/>
          </w:tcPr>
          <w:p w14:paraId="60590AC4" w14:textId="77777777" w:rsidR="00553728" w:rsidRPr="00FF6AD2" w:rsidRDefault="00553728" w:rsidP="00296802">
            <w:pPr>
              <w:spacing w:after="0" w:line="240" w:lineRule="auto"/>
              <w:jc w:val="both"/>
              <w:rPr>
                <w:bCs/>
                <w:color w:val="FFFFFF" w:themeColor="background1"/>
                <w:sz w:val="20"/>
                <w:szCs w:val="20"/>
              </w:rPr>
            </w:pPr>
          </w:p>
        </w:tc>
        <w:tc>
          <w:tcPr>
            <w:tcW w:w="422"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404040" w:themeFill="text1" w:themeFillTint="BF"/>
            <w:noWrap/>
            <w:vAlign w:val="bottom"/>
            <w:hideMark/>
          </w:tcPr>
          <w:p w14:paraId="52FEDCC4"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2019</w:t>
            </w:r>
          </w:p>
        </w:tc>
        <w:tc>
          <w:tcPr>
            <w:tcW w:w="422" w:type="pct"/>
            <w:tcBorders>
              <w:top w:val="single" w:sz="8" w:space="0" w:color="BFBFBF" w:themeColor="background1" w:themeShade="BF"/>
              <w:bottom w:val="single" w:sz="8" w:space="0" w:color="BFBFBF" w:themeColor="background1" w:themeShade="BF"/>
            </w:tcBorders>
            <w:shd w:val="clear" w:color="auto" w:fill="404040" w:themeFill="text1" w:themeFillTint="BF"/>
            <w:noWrap/>
            <w:vAlign w:val="bottom"/>
            <w:hideMark/>
          </w:tcPr>
          <w:p w14:paraId="166823B2"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2020</w:t>
            </w:r>
          </w:p>
        </w:tc>
        <w:tc>
          <w:tcPr>
            <w:tcW w:w="506" w:type="pct"/>
            <w:tcBorders>
              <w:top w:val="single" w:sz="8" w:space="0" w:color="BFBFBF" w:themeColor="background1" w:themeShade="BF"/>
              <w:bottom w:val="single" w:sz="8" w:space="0" w:color="BFBFBF" w:themeColor="background1" w:themeShade="BF"/>
            </w:tcBorders>
            <w:shd w:val="clear" w:color="auto" w:fill="404040" w:themeFill="text1" w:themeFillTint="BF"/>
            <w:noWrap/>
            <w:vAlign w:val="bottom"/>
            <w:hideMark/>
          </w:tcPr>
          <w:p w14:paraId="342E2AFF"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2021</w:t>
            </w:r>
          </w:p>
        </w:tc>
        <w:tc>
          <w:tcPr>
            <w:tcW w:w="457"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bottom"/>
            <w:hideMark/>
          </w:tcPr>
          <w:p w14:paraId="6A344F7A"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2022</w:t>
            </w:r>
          </w:p>
        </w:tc>
        <w:tc>
          <w:tcPr>
            <w:tcW w:w="427"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404040" w:themeFill="text1" w:themeFillTint="BF"/>
            <w:noWrap/>
            <w:vAlign w:val="bottom"/>
            <w:hideMark/>
          </w:tcPr>
          <w:p w14:paraId="73D9E92A"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2019</w:t>
            </w:r>
          </w:p>
        </w:tc>
        <w:tc>
          <w:tcPr>
            <w:tcW w:w="427" w:type="pct"/>
            <w:tcBorders>
              <w:top w:val="single" w:sz="8" w:space="0" w:color="BFBFBF" w:themeColor="background1" w:themeShade="BF"/>
              <w:bottom w:val="single" w:sz="8" w:space="0" w:color="BFBFBF" w:themeColor="background1" w:themeShade="BF"/>
            </w:tcBorders>
            <w:shd w:val="clear" w:color="auto" w:fill="404040" w:themeFill="text1" w:themeFillTint="BF"/>
            <w:noWrap/>
            <w:vAlign w:val="bottom"/>
            <w:hideMark/>
          </w:tcPr>
          <w:p w14:paraId="09D2D50A"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2020</w:t>
            </w:r>
          </w:p>
        </w:tc>
        <w:tc>
          <w:tcPr>
            <w:tcW w:w="409" w:type="pct"/>
            <w:tcBorders>
              <w:top w:val="single" w:sz="8" w:space="0" w:color="BFBFBF" w:themeColor="background1" w:themeShade="BF"/>
              <w:bottom w:val="single" w:sz="8" w:space="0" w:color="BFBFBF" w:themeColor="background1" w:themeShade="BF"/>
            </w:tcBorders>
            <w:shd w:val="clear" w:color="auto" w:fill="404040" w:themeFill="text1" w:themeFillTint="BF"/>
            <w:noWrap/>
            <w:vAlign w:val="bottom"/>
            <w:hideMark/>
          </w:tcPr>
          <w:p w14:paraId="78439FF2"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2021</w:t>
            </w:r>
          </w:p>
        </w:tc>
        <w:tc>
          <w:tcPr>
            <w:tcW w:w="409"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vAlign w:val="bottom"/>
            <w:hideMark/>
          </w:tcPr>
          <w:p w14:paraId="555BF369" w14:textId="77777777" w:rsidR="00553728" w:rsidRPr="00FF6AD2" w:rsidRDefault="00553728" w:rsidP="009C16B7">
            <w:pPr>
              <w:spacing w:after="0" w:line="240" w:lineRule="auto"/>
              <w:jc w:val="center"/>
              <w:rPr>
                <w:bCs/>
                <w:color w:val="FFFFFF" w:themeColor="background1"/>
                <w:sz w:val="20"/>
                <w:szCs w:val="20"/>
              </w:rPr>
            </w:pPr>
            <w:r w:rsidRPr="00FF6AD2">
              <w:rPr>
                <w:bCs/>
                <w:color w:val="FFFFFF" w:themeColor="background1"/>
                <w:sz w:val="20"/>
                <w:szCs w:val="20"/>
              </w:rPr>
              <w:t>2022</w:t>
            </w:r>
          </w:p>
        </w:tc>
      </w:tr>
      <w:tr w:rsidR="00553728" w:rsidRPr="00C239B7" w14:paraId="6E1D06A9" w14:textId="77777777" w:rsidTr="00515C7F">
        <w:trPr>
          <w:trHeight w:val="20"/>
          <w:jc w:val="center"/>
        </w:trPr>
        <w:tc>
          <w:tcPr>
            <w:tcW w:w="152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6762802F" w14:textId="77777777" w:rsidR="00553728" w:rsidRPr="00553728" w:rsidRDefault="00553728" w:rsidP="00296802">
            <w:pPr>
              <w:spacing w:after="0" w:line="240" w:lineRule="auto"/>
              <w:rPr>
                <w:sz w:val="18"/>
                <w:szCs w:val="18"/>
              </w:rPr>
            </w:pPr>
            <w:r w:rsidRPr="00553728">
              <w:rPr>
                <w:sz w:val="18"/>
                <w:szCs w:val="18"/>
              </w:rPr>
              <w:t xml:space="preserve">PIB – 1 </w:t>
            </w:r>
            <w:proofErr w:type="spellStart"/>
            <w:r w:rsidRPr="00553728">
              <w:rPr>
                <w:sz w:val="18"/>
                <w:szCs w:val="18"/>
              </w:rPr>
              <w:t>p.p</w:t>
            </w:r>
            <w:proofErr w:type="spellEnd"/>
            <w:r w:rsidRPr="00553728">
              <w:rPr>
                <w:sz w:val="18"/>
                <w:szCs w:val="18"/>
              </w:rPr>
              <w:t>.</w:t>
            </w:r>
          </w:p>
        </w:tc>
        <w:tc>
          <w:tcPr>
            <w:tcW w:w="422"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48DC69DC" w14:textId="77777777" w:rsidR="00553728" w:rsidRPr="00553728" w:rsidRDefault="00553728" w:rsidP="009C16B7">
            <w:pPr>
              <w:spacing w:after="0" w:line="240" w:lineRule="auto"/>
              <w:jc w:val="center"/>
              <w:rPr>
                <w:sz w:val="18"/>
                <w:szCs w:val="18"/>
              </w:rPr>
            </w:pPr>
            <w:r w:rsidRPr="00553728">
              <w:rPr>
                <w:sz w:val="18"/>
                <w:szCs w:val="18"/>
              </w:rPr>
              <w:t>0,6%</w:t>
            </w:r>
          </w:p>
        </w:tc>
        <w:tc>
          <w:tcPr>
            <w:tcW w:w="422" w:type="pct"/>
            <w:tcBorders>
              <w:top w:val="single" w:sz="8" w:space="0" w:color="BFBFBF" w:themeColor="background1" w:themeShade="BF"/>
              <w:bottom w:val="single" w:sz="8" w:space="0" w:color="BFBFBF" w:themeColor="background1" w:themeShade="BF"/>
            </w:tcBorders>
            <w:shd w:val="clear" w:color="auto" w:fill="auto"/>
            <w:noWrap/>
          </w:tcPr>
          <w:p w14:paraId="4AD5EE25" w14:textId="13953E2D" w:rsidR="00553728" w:rsidRPr="00553728" w:rsidRDefault="00553728" w:rsidP="009C16B7">
            <w:pPr>
              <w:spacing w:after="0" w:line="240" w:lineRule="auto"/>
              <w:jc w:val="center"/>
              <w:rPr>
                <w:sz w:val="18"/>
                <w:szCs w:val="18"/>
              </w:rPr>
            </w:pPr>
            <w:r w:rsidRPr="00553728">
              <w:rPr>
                <w:sz w:val="18"/>
                <w:szCs w:val="18"/>
              </w:rPr>
              <w:t>1,</w:t>
            </w:r>
            <w:r w:rsidR="006D128E">
              <w:rPr>
                <w:sz w:val="18"/>
                <w:szCs w:val="18"/>
              </w:rPr>
              <w:t>3</w:t>
            </w:r>
            <w:r w:rsidRPr="00553728">
              <w:rPr>
                <w:sz w:val="18"/>
                <w:szCs w:val="18"/>
              </w:rPr>
              <w:t>%</w:t>
            </w:r>
          </w:p>
        </w:tc>
        <w:tc>
          <w:tcPr>
            <w:tcW w:w="506" w:type="pct"/>
            <w:tcBorders>
              <w:top w:val="single" w:sz="8" w:space="0" w:color="BFBFBF" w:themeColor="background1" w:themeShade="BF"/>
              <w:bottom w:val="single" w:sz="8" w:space="0" w:color="BFBFBF" w:themeColor="background1" w:themeShade="BF"/>
            </w:tcBorders>
            <w:shd w:val="clear" w:color="auto" w:fill="auto"/>
            <w:noWrap/>
          </w:tcPr>
          <w:p w14:paraId="0C1DD763" w14:textId="40EDB96C" w:rsidR="00553728" w:rsidRPr="00553728" w:rsidRDefault="006D128E" w:rsidP="009C16B7">
            <w:pPr>
              <w:spacing w:after="0" w:line="240" w:lineRule="auto"/>
              <w:jc w:val="center"/>
              <w:rPr>
                <w:sz w:val="18"/>
                <w:szCs w:val="18"/>
              </w:rPr>
            </w:pPr>
            <w:r>
              <w:rPr>
                <w:sz w:val="18"/>
                <w:szCs w:val="18"/>
              </w:rPr>
              <w:t>2,1</w:t>
            </w:r>
            <w:r w:rsidR="00553728" w:rsidRPr="00553728">
              <w:rPr>
                <w:sz w:val="18"/>
                <w:szCs w:val="18"/>
              </w:rPr>
              <w:t>%</w:t>
            </w:r>
          </w:p>
        </w:tc>
        <w:tc>
          <w:tcPr>
            <w:tcW w:w="457"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6FDCB18D" w14:textId="4DA3AF55" w:rsidR="00553728" w:rsidRPr="00553728" w:rsidRDefault="00553728" w:rsidP="009C16B7">
            <w:pPr>
              <w:spacing w:after="0" w:line="240" w:lineRule="auto"/>
              <w:jc w:val="center"/>
              <w:rPr>
                <w:sz w:val="18"/>
                <w:szCs w:val="18"/>
              </w:rPr>
            </w:pPr>
            <w:r w:rsidRPr="00553728">
              <w:rPr>
                <w:sz w:val="18"/>
                <w:szCs w:val="18"/>
              </w:rPr>
              <w:t>2,</w:t>
            </w:r>
            <w:r w:rsidR="006D128E">
              <w:rPr>
                <w:sz w:val="18"/>
                <w:szCs w:val="18"/>
              </w:rPr>
              <w:t>9</w:t>
            </w:r>
            <w:r w:rsidRPr="00553728">
              <w:rPr>
                <w:sz w:val="18"/>
                <w:szCs w:val="18"/>
              </w:rPr>
              <w:t>%</w:t>
            </w:r>
          </w:p>
        </w:tc>
        <w:tc>
          <w:tcPr>
            <w:tcW w:w="427"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00945E18" w14:textId="77777777" w:rsidR="00553728" w:rsidRPr="00553728" w:rsidRDefault="00553728" w:rsidP="009C16B7">
            <w:pPr>
              <w:spacing w:after="0" w:line="240" w:lineRule="auto"/>
              <w:jc w:val="center"/>
              <w:rPr>
                <w:sz w:val="18"/>
                <w:szCs w:val="18"/>
              </w:rPr>
            </w:pPr>
            <w:r w:rsidRPr="00553728">
              <w:rPr>
                <w:sz w:val="18"/>
                <w:szCs w:val="18"/>
              </w:rPr>
              <w:t>0,9%</w:t>
            </w:r>
          </w:p>
        </w:tc>
        <w:tc>
          <w:tcPr>
            <w:tcW w:w="427" w:type="pct"/>
            <w:tcBorders>
              <w:top w:val="single" w:sz="8" w:space="0" w:color="BFBFBF" w:themeColor="background1" w:themeShade="BF"/>
              <w:bottom w:val="single" w:sz="8" w:space="0" w:color="BFBFBF" w:themeColor="background1" w:themeShade="BF"/>
            </w:tcBorders>
            <w:shd w:val="clear" w:color="auto" w:fill="auto"/>
            <w:noWrap/>
          </w:tcPr>
          <w:p w14:paraId="56EA7989" w14:textId="2040F491" w:rsidR="00553728" w:rsidRPr="00553728" w:rsidRDefault="00553728" w:rsidP="009C16B7">
            <w:pPr>
              <w:spacing w:after="0" w:line="240" w:lineRule="auto"/>
              <w:jc w:val="center"/>
              <w:rPr>
                <w:sz w:val="18"/>
                <w:szCs w:val="18"/>
              </w:rPr>
            </w:pPr>
            <w:r w:rsidRPr="00553728">
              <w:rPr>
                <w:sz w:val="18"/>
                <w:szCs w:val="18"/>
              </w:rPr>
              <w:t>1,</w:t>
            </w:r>
            <w:r w:rsidR="006D128E">
              <w:rPr>
                <w:sz w:val="18"/>
                <w:szCs w:val="18"/>
              </w:rPr>
              <w:t>8</w:t>
            </w:r>
            <w:r w:rsidRPr="00553728">
              <w:rPr>
                <w:sz w:val="18"/>
                <w:szCs w:val="18"/>
              </w:rPr>
              <w:t>%</w:t>
            </w:r>
          </w:p>
        </w:tc>
        <w:tc>
          <w:tcPr>
            <w:tcW w:w="409" w:type="pct"/>
            <w:tcBorders>
              <w:top w:val="single" w:sz="8" w:space="0" w:color="BFBFBF" w:themeColor="background1" w:themeShade="BF"/>
              <w:bottom w:val="single" w:sz="8" w:space="0" w:color="BFBFBF" w:themeColor="background1" w:themeShade="BF"/>
            </w:tcBorders>
            <w:shd w:val="clear" w:color="auto" w:fill="auto"/>
            <w:noWrap/>
          </w:tcPr>
          <w:p w14:paraId="7C456D29" w14:textId="7825DE59" w:rsidR="00553728" w:rsidRPr="00553728" w:rsidRDefault="00553728" w:rsidP="009C16B7">
            <w:pPr>
              <w:spacing w:after="0" w:line="240" w:lineRule="auto"/>
              <w:jc w:val="center"/>
              <w:rPr>
                <w:sz w:val="18"/>
                <w:szCs w:val="18"/>
              </w:rPr>
            </w:pPr>
            <w:r w:rsidRPr="00553728">
              <w:rPr>
                <w:sz w:val="18"/>
                <w:szCs w:val="18"/>
              </w:rPr>
              <w:t>2,</w:t>
            </w:r>
            <w:r w:rsidR="006D128E">
              <w:rPr>
                <w:sz w:val="18"/>
                <w:szCs w:val="18"/>
              </w:rPr>
              <w:t>7</w:t>
            </w:r>
            <w:r w:rsidRPr="00553728">
              <w:rPr>
                <w:sz w:val="18"/>
                <w:szCs w:val="18"/>
              </w:rPr>
              <w:t>%</w:t>
            </w:r>
          </w:p>
        </w:tc>
        <w:tc>
          <w:tcPr>
            <w:tcW w:w="409"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0E79B4E2" w14:textId="45355243" w:rsidR="00553728" w:rsidRPr="00553728" w:rsidRDefault="00553728" w:rsidP="009C16B7">
            <w:pPr>
              <w:spacing w:after="0" w:line="240" w:lineRule="auto"/>
              <w:jc w:val="center"/>
              <w:rPr>
                <w:sz w:val="18"/>
                <w:szCs w:val="18"/>
              </w:rPr>
            </w:pPr>
            <w:r w:rsidRPr="00553728">
              <w:rPr>
                <w:sz w:val="18"/>
                <w:szCs w:val="18"/>
              </w:rPr>
              <w:t>3,</w:t>
            </w:r>
            <w:r w:rsidR="006D128E">
              <w:rPr>
                <w:sz w:val="18"/>
                <w:szCs w:val="18"/>
              </w:rPr>
              <w:t>7</w:t>
            </w:r>
            <w:r w:rsidRPr="00553728">
              <w:rPr>
                <w:sz w:val="18"/>
                <w:szCs w:val="18"/>
              </w:rPr>
              <w:t>%</w:t>
            </w:r>
          </w:p>
        </w:tc>
      </w:tr>
      <w:tr w:rsidR="00553728" w:rsidRPr="00C239B7" w14:paraId="0BE0AB0C" w14:textId="77777777" w:rsidTr="00515C7F">
        <w:trPr>
          <w:trHeight w:val="20"/>
          <w:jc w:val="center"/>
        </w:trPr>
        <w:tc>
          <w:tcPr>
            <w:tcW w:w="152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6A9562F3" w14:textId="77777777" w:rsidR="00553728" w:rsidRPr="00553728" w:rsidRDefault="00553728" w:rsidP="00296802">
            <w:pPr>
              <w:spacing w:after="0" w:line="240" w:lineRule="auto"/>
              <w:rPr>
                <w:sz w:val="18"/>
                <w:szCs w:val="18"/>
              </w:rPr>
            </w:pPr>
            <w:r w:rsidRPr="00553728">
              <w:rPr>
                <w:sz w:val="18"/>
                <w:szCs w:val="18"/>
              </w:rPr>
              <w:lastRenderedPageBreak/>
              <w:t>Primário/PIB – 1 p. p.</w:t>
            </w:r>
          </w:p>
        </w:tc>
        <w:tc>
          <w:tcPr>
            <w:tcW w:w="422"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0001F14D" w14:textId="77777777" w:rsidR="00553728" w:rsidRPr="00553728" w:rsidRDefault="00553728" w:rsidP="009C16B7">
            <w:pPr>
              <w:spacing w:after="0" w:line="240" w:lineRule="auto"/>
              <w:jc w:val="center"/>
              <w:rPr>
                <w:sz w:val="18"/>
                <w:szCs w:val="18"/>
              </w:rPr>
            </w:pPr>
            <w:r w:rsidRPr="00553728">
              <w:rPr>
                <w:sz w:val="18"/>
                <w:szCs w:val="18"/>
              </w:rPr>
              <w:t>1,0%</w:t>
            </w:r>
          </w:p>
        </w:tc>
        <w:tc>
          <w:tcPr>
            <w:tcW w:w="422" w:type="pct"/>
            <w:tcBorders>
              <w:top w:val="single" w:sz="8" w:space="0" w:color="BFBFBF" w:themeColor="background1" w:themeShade="BF"/>
              <w:bottom w:val="single" w:sz="8" w:space="0" w:color="BFBFBF" w:themeColor="background1" w:themeShade="BF"/>
            </w:tcBorders>
            <w:shd w:val="clear" w:color="auto" w:fill="auto"/>
            <w:noWrap/>
          </w:tcPr>
          <w:p w14:paraId="6592D576" w14:textId="0320DAAE" w:rsidR="00553728" w:rsidRPr="00553728" w:rsidRDefault="00553728" w:rsidP="009C16B7">
            <w:pPr>
              <w:spacing w:after="0" w:line="240" w:lineRule="auto"/>
              <w:jc w:val="center"/>
              <w:rPr>
                <w:sz w:val="18"/>
                <w:szCs w:val="18"/>
              </w:rPr>
            </w:pPr>
            <w:r w:rsidRPr="00553728">
              <w:rPr>
                <w:sz w:val="18"/>
                <w:szCs w:val="18"/>
              </w:rPr>
              <w:t>2,</w:t>
            </w:r>
            <w:r w:rsidR="006D128E">
              <w:rPr>
                <w:sz w:val="18"/>
                <w:szCs w:val="18"/>
              </w:rPr>
              <w:t>1</w:t>
            </w:r>
            <w:r w:rsidRPr="00553728">
              <w:rPr>
                <w:sz w:val="18"/>
                <w:szCs w:val="18"/>
              </w:rPr>
              <w:t>%</w:t>
            </w:r>
          </w:p>
        </w:tc>
        <w:tc>
          <w:tcPr>
            <w:tcW w:w="506" w:type="pct"/>
            <w:tcBorders>
              <w:top w:val="single" w:sz="8" w:space="0" w:color="BFBFBF" w:themeColor="background1" w:themeShade="BF"/>
              <w:bottom w:val="single" w:sz="8" w:space="0" w:color="BFBFBF" w:themeColor="background1" w:themeShade="BF"/>
            </w:tcBorders>
            <w:shd w:val="clear" w:color="auto" w:fill="auto"/>
            <w:noWrap/>
          </w:tcPr>
          <w:p w14:paraId="4D13FC70" w14:textId="77777777" w:rsidR="00553728" w:rsidRPr="00553728" w:rsidRDefault="00553728" w:rsidP="009C16B7">
            <w:pPr>
              <w:spacing w:after="0" w:line="240" w:lineRule="auto"/>
              <w:jc w:val="center"/>
              <w:rPr>
                <w:sz w:val="18"/>
                <w:szCs w:val="18"/>
              </w:rPr>
            </w:pPr>
            <w:r w:rsidRPr="00553728">
              <w:rPr>
                <w:sz w:val="18"/>
                <w:szCs w:val="18"/>
              </w:rPr>
              <w:t>3,1%</w:t>
            </w:r>
          </w:p>
        </w:tc>
        <w:tc>
          <w:tcPr>
            <w:tcW w:w="457"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12C843F6" w14:textId="77777777" w:rsidR="00553728" w:rsidRPr="00553728" w:rsidRDefault="00553728" w:rsidP="009C16B7">
            <w:pPr>
              <w:spacing w:after="0" w:line="240" w:lineRule="auto"/>
              <w:jc w:val="center"/>
              <w:rPr>
                <w:sz w:val="18"/>
                <w:szCs w:val="18"/>
              </w:rPr>
            </w:pPr>
            <w:r w:rsidRPr="00553728">
              <w:rPr>
                <w:sz w:val="18"/>
                <w:szCs w:val="18"/>
              </w:rPr>
              <w:t>4,1%</w:t>
            </w:r>
          </w:p>
        </w:tc>
        <w:tc>
          <w:tcPr>
            <w:tcW w:w="427"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27E3DDBB" w14:textId="77777777" w:rsidR="00553728" w:rsidRPr="00553728" w:rsidRDefault="00553728" w:rsidP="009C16B7">
            <w:pPr>
              <w:spacing w:after="0" w:line="240" w:lineRule="auto"/>
              <w:jc w:val="center"/>
              <w:rPr>
                <w:sz w:val="18"/>
                <w:szCs w:val="18"/>
              </w:rPr>
            </w:pPr>
            <w:r w:rsidRPr="00553728">
              <w:rPr>
                <w:sz w:val="18"/>
                <w:szCs w:val="18"/>
              </w:rPr>
              <w:t>1,0%</w:t>
            </w:r>
          </w:p>
        </w:tc>
        <w:tc>
          <w:tcPr>
            <w:tcW w:w="427" w:type="pct"/>
            <w:tcBorders>
              <w:top w:val="single" w:sz="8" w:space="0" w:color="BFBFBF" w:themeColor="background1" w:themeShade="BF"/>
              <w:bottom w:val="single" w:sz="8" w:space="0" w:color="BFBFBF" w:themeColor="background1" w:themeShade="BF"/>
            </w:tcBorders>
            <w:shd w:val="clear" w:color="auto" w:fill="auto"/>
            <w:noWrap/>
          </w:tcPr>
          <w:p w14:paraId="6BBE0C99" w14:textId="696A8D0A" w:rsidR="00553728" w:rsidRPr="00553728" w:rsidRDefault="00553728" w:rsidP="009C16B7">
            <w:pPr>
              <w:spacing w:after="0" w:line="240" w:lineRule="auto"/>
              <w:jc w:val="center"/>
              <w:rPr>
                <w:sz w:val="18"/>
                <w:szCs w:val="18"/>
              </w:rPr>
            </w:pPr>
            <w:r w:rsidRPr="00553728">
              <w:rPr>
                <w:sz w:val="18"/>
                <w:szCs w:val="18"/>
              </w:rPr>
              <w:t>2,</w:t>
            </w:r>
            <w:r w:rsidR="006D128E">
              <w:rPr>
                <w:sz w:val="18"/>
                <w:szCs w:val="18"/>
              </w:rPr>
              <w:t>1</w:t>
            </w:r>
            <w:r w:rsidRPr="00553728">
              <w:rPr>
                <w:sz w:val="18"/>
                <w:szCs w:val="18"/>
              </w:rPr>
              <w:t>%</w:t>
            </w:r>
          </w:p>
        </w:tc>
        <w:tc>
          <w:tcPr>
            <w:tcW w:w="409" w:type="pct"/>
            <w:tcBorders>
              <w:top w:val="single" w:sz="8" w:space="0" w:color="BFBFBF" w:themeColor="background1" w:themeShade="BF"/>
              <w:bottom w:val="single" w:sz="8" w:space="0" w:color="BFBFBF" w:themeColor="background1" w:themeShade="BF"/>
            </w:tcBorders>
            <w:shd w:val="clear" w:color="auto" w:fill="auto"/>
            <w:noWrap/>
          </w:tcPr>
          <w:p w14:paraId="74F6363A" w14:textId="77777777" w:rsidR="00553728" w:rsidRPr="00553728" w:rsidRDefault="00553728" w:rsidP="009C16B7">
            <w:pPr>
              <w:spacing w:after="0" w:line="240" w:lineRule="auto"/>
              <w:jc w:val="center"/>
              <w:rPr>
                <w:sz w:val="18"/>
                <w:szCs w:val="18"/>
              </w:rPr>
            </w:pPr>
            <w:r w:rsidRPr="00553728">
              <w:rPr>
                <w:sz w:val="18"/>
                <w:szCs w:val="18"/>
              </w:rPr>
              <w:t>3,1%</w:t>
            </w:r>
          </w:p>
        </w:tc>
        <w:tc>
          <w:tcPr>
            <w:tcW w:w="409"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248B3799" w14:textId="77777777" w:rsidR="00553728" w:rsidRPr="00553728" w:rsidRDefault="00553728" w:rsidP="009C16B7">
            <w:pPr>
              <w:spacing w:after="0" w:line="240" w:lineRule="auto"/>
              <w:jc w:val="center"/>
              <w:rPr>
                <w:sz w:val="18"/>
                <w:szCs w:val="18"/>
              </w:rPr>
            </w:pPr>
            <w:r w:rsidRPr="00553728">
              <w:rPr>
                <w:sz w:val="18"/>
                <w:szCs w:val="18"/>
              </w:rPr>
              <w:t>4,1%</w:t>
            </w:r>
          </w:p>
        </w:tc>
      </w:tr>
      <w:tr w:rsidR="00553728" w:rsidRPr="00C239B7" w14:paraId="3A515620" w14:textId="77777777" w:rsidTr="00515C7F">
        <w:trPr>
          <w:trHeight w:val="20"/>
          <w:jc w:val="center"/>
        </w:trPr>
        <w:tc>
          <w:tcPr>
            <w:tcW w:w="152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450EA342" w14:textId="77777777" w:rsidR="00553728" w:rsidRPr="00553728" w:rsidRDefault="00553728" w:rsidP="00296802">
            <w:pPr>
              <w:spacing w:after="0" w:line="240" w:lineRule="auto"/>
              <w:rPr>
                <w:sz w:val="18"/>
                <w:szCs w:val="18"/>
              </w:rPr>
            </w:pPr>
            <w:r w:rsidRPr="00553728">
              <w:rPr>
                <w:sz w:val="18"/>
                <w:szCs w:val="18"/>
              </w:rPr>
              <w:t xml:space="preserve">SELIC + 1 </w:t>
            </w:r>
            <w:proofErr w:type="spellStart"/>
            <w:r w:rsidRPr="00553728">
              <w:rPr>
                <w:sz w:val="18"/>
                <w:szCs w:val="18"/>
              </w:rPr>
              <w:t>p.p</w:t>
            </w:r>
            <w:proofErr w:type="spellEnd"/>
          </w:p>
        </w:tc>
        <w:tc>
          <w:tcPr>
            <w:tcW w:w="422"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5D99E1C8" w14:textId="77777777" w:rsidR="00553728" w:rsidRPr="00553728" w:rsidRDefault="00553728" w:rsidP="009C16B7">
            <w:pPr>
              <w:spacing w:after="0" w:line="240" w:lineRule="auto"/>
              <w:jc w:val="center"/>
              <w:rPr>
                <w:sz w:val="18"/>
                <w:szCs w:val="18"/>
              </w:rPr>
            </w:pPr>
            <w:r w:rsidRPr="00553728">
              <w:rPr>
                <w:sz w:val="18"/>
                <w:szCs w:val="18"/>
              </w:rPr>
              <w:t>0,2%</w:t>
            </w:r>
          </w:p>
        </w:tc>
        <w:tc>
          <w:tcPr>
            <w:tcW w:w="422" w:type="pct"/>
            <w:tcBorders>
              <w:top w:val="single" w:sz="8" w:space="0" w:color="BFBFBF" w:themeColor="background1" w:themeShade="BF"/>
              <w:bottom w:val="single" w:sz="8" w:space="0" w:color="BFBFBF" w:themeColor="background1" w:themeShade="BF"/>
            </w:tcBorders>
            <w:shd w:val="clear" w:color="auto" w:fill="auto"/>
            <w:noWrap/>
          </w:tcPr>
          <w:p w14:paraId="7377A872" w14:textId="7DE39B1C" w:rsidR="00553728" w:rsidRPr="00553728" w:rsidRDefault="00553728" w:rsidP="009C16B7">
            <w:pPr>
              <w:spacing w:after="0" w:line="240" w:lineRule="auto"/>
              <w:jc w:val="center"/>
              <w:rPr>
                <w:sz w:val="18"/>
                <w:szCs w:val="18"/>
              </w:rPr>
            </w:pPr>
            <w:r w:rsidRPr="00553728">
              <w:rPr>
                <w:sz w:val="18"/>
                <w:szCs w:val="18"/>
              </w:rPr>
              <w:t>0,</w:t>
            </w:r>
            <w:r w:rsidR="006D128E">
              <w:rPr>
                <w:sz w:val="18"/>
                <w:szCs w:val="18"/>
              </w:rPr>
              <w:t>7</w:t>
            </w:r>
            <w:r w:rsidRPr="00553728">
              <w:rPr>
                <w:sz w:val="18"/>
                <w:szCs w:val="18"/>
              </w:rPr>
              <w:t>%</w:t>
            </w:r>
          </w:p>
        </w:tc>
        <w:tc>
          <w:tcPr>
            <w:tcW w:w="506" w:type="pct"/>
            <w:tcBorders>
              <w:top w:val="single" w:sz="8" w:space="0" w:color="BFBFBF" w:themeColor="background1" w:themeShade="BF"/>
              <w:bottom w:val="single" w:sz="8" w:space="0" w:color="BFBFBF" w:themeColor="background1" w:themeShade="BF"/>
            </w:tcBorders>
            <w:shd w:val="clear" w:color="auto" w:fill="auto"/>
            <w:noWrap/>
          </w:tcPr>
          <w:p w14:paraId="508601BE" w14:textId="478C0C4E" w:rsidR="00553728" w:rsidRPr="00553728" w:rsidRDefault="00553728" w:rsidP="009C16B7">
            <w:pPr>
              <w:spacing w:after="0" w:line="240" w:lineRule="auto"/>
              <w:jc w:val="center"/>
              <w:rPr>
                <w:sz w:val="18"/>
                <w:szCs w:val="18"/>
              </w:rPr>
            </w:pPr>
            <w:r w:rsidRPr="00553728">
              <w:rPr>
                <w:sz w:val="18"/>
                <w:szCs w:val="18"/>
              </w:rPr>
              <w:t>1,</w:t>
            </w:r>
            <w:r w:rsidR="006D128E">
              <w:rPr>
                <w:sz w:val="18"/>
                <w:szCs w:val="18"/>
              </w:rPr>
              <w:t>3</w:t>
            </w:r>
            <w:r w:rsidRPr="00553728">
              <w:rPr>
                <w:sz w:val="18"/>
                <w:szCs w:val="18"/>
              </w:rPr>
              <w:t>%</w:t>
            </w:r>
          </w:p>
        </w:tc>
        <w:tc>
          <w:tcPr>
            <w:tcW w:w="457"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3FFDB841" w14:textId="77777777" w:rsidR="00553728" w:rsidRPr="00553728" w:rsidRDefault="00553728" w:rsidP="009C16B7">
            <w:pPr>
              <w:spacing w:after="0" w:line="240" w:lineRule="auto"/>
              <w:jc w:val="center"/>
              <w:rPr>
                <w:sz w:val="18"/>
                <w:szCs w:val="18"/>
              </w:rPr>
            </w:pPr>
            <w:r w:rsidRPr="00553728">
              <w:rPr>
                <w:sz w:val="18"/>
                <w:szCs w:val="18"/>
              </w:rPr>
              <w:t>2,0%</w:t>
            </w:r>
          </w:p>
        </w:tc>
        <w:tc>
          <w:tcPr>
            <w:tcW w:w="427"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0392747A" w14:textId="77777777" w:rsidR="00553728" w:rsidRPr="00553728" w:rsidRDefault="00553728" w:rsidP="009C16B7">
            <w:pPr>
              <w:spacing w:after="0" w:line="240" w:lineRule="auto"/>
              <w:jc w:val="center"/>
              <w:rPr>
                <w:sz w:val="18"/>
                <w:szCs w:val="18"/>
              </w:rPr>
            </w:pPr>
            <w:r w:rsidRPr="00553728">
              <w:rPr>
                <w:sz w:val="18"/>
                <w:szCs w:val="18"/>
              </w:rPr>
              <w:t>0,2%</w:t>
            </w:r>
          </w:p>
        </w:tc>
        <w:tc>
          <w:tcPr>
            <w:tcW w:w="427" w:type="pct"/>
            <w:tcBorders>
              <w:top w:val="single" w:sz="8" w:space="0" w:color="BFBFBF" w:themeColor="background1" w:themeShade="BF"/>
              <w:bottom w:val="single" w:sz="8" w:space="0" w:color="BFBFBF" w:themeColor="background1" w:themeShade="BF"/>
            </w:tcBorders>
            <w:shd w:val="clear" w:color="auto" w:fill="auto"/>
            <w:noWrap/>
          </w:tcPr>
          <w:p w14:paraId="248B1E26" w14:textId="77777777" w:rsidR="00553728" w:rsidRPr="00553728" w:rsidRDefault="00553728" w:rsidP="009C16B7">
            <w:pPr>
              <w:spacing w:after="0" w:line="240" w:lineRule="auto"/>
              <w:jc w:val="center"/>
              <w:rPr>
                <w:sz w:val="18"/>
                <w:szCs w:val="18"/>
              </w:rPr>
            </w:pPr>
            <w:r w:rsidRPr="00553728">
              <w:rPr>
                <w:sz w:val="18"/>
                <w:szCs w:val="18"/>
              </w:rPr>
              <w:t>0,7%</w:t>
            </w:r>
          </w:p>
        </w:tc>
        <w:tc>
          <w:tcPr>
            <w:tcW w:w="409" w:type="pct"/>
            <w:tcBorders>
              <w:top w:val="single" w:sz="8" w:space="0" w:color="BFBFBF" w:themeColor="background1" w:themeShade="BF"/>
              <w:bottom w:val="single" w:sz="8" w:space="0" w:color="BFBFBF" w:themeColor="background1" w:themeShade="BF"/>
            </w:tcBorders>
            <w:shd w:val="clear" w:color="auto" w:fill="auto"/>
            <w:noWrap/>
          </w:tcPr>
          <w:p w14:paraId="081069A1" w14:textId="19A96F73" w:rsidR="00553728" w:rsidRPr="00553728" w:rsidRDefault="00553728" w:rsidP="009C16B7">
            <w:pPr>
              <w:spacing w:after="0" w:line="240" w:lineRule="auto"/>
              <w:jc w:val="center"/>
              <w:rPr>
                <w:sz w:val="18"/>
                <w:szCs w:val="18"/>
              </w:rPr>
            </w:pPr>
            <w:r w:rsidRPr="00553728">
              <w:rPr>
                <w:sz w:val="18"/>
                <w:szCs w:val="18"/>
              </w:rPr>
              <w:t>1,</w:t>
            </w:r>
            <w:r w:rsidR="006D128E">
              <w:rPr>
                <w:sz w:val="18"/>
                <w:szCs w:val="18"/>
              </w:rPr>
              <w:t>2</w:t>
            </w:r>
            <w:r w:rsidRPr="00553728">
              <w:rPr>
                <w:sz w:val="18"/>
                <w:szCs w:val="18"/>
              </w:rPr>
              <w:t>%</w:t>
            </w:r>
          </w:p>
        </w:tc>
        <w:tc>
          <w:tcPr>
            <w:tcW w:w="409"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78B10673" w14:textId="77777777" w:rsidR="00553728" w:rsidRPr="00553728" w:rsidRDefault="00553728" w:rsidP="009C16B7">
            <w:pPr>
              <w:spacing w:after="0" w:line="240" w:lineRule="auto"/>
              <w:jc w:val="center"/>
              <w:rPr>
                <w:sz w:val="18"/>
                <w:szCs w:val="18"/>
              </w:rPr>
            </w:pPr>
            <w:r w:rsidRPr="00553728">
              <w:rPr>
                <w:sz w:val="18"/>
                <w:szCs w:val="18"/>
              </w:rPr>
              <w:t>1,9%</w:t>
            </w:r>
          </w:p>
        </w:tc>
      </w:tr>
      <w:tr w:rsidR="00553728" w:rsidRPr="00C239B7" w14:paraId="23DA517B" w14:textId="77777777" w:rsidTr="00515C7F">
        <w:trPr>
          <w:trHeight w:val="20"/>
          <w:jc w:val="center"/>
        </w:trPr>
        <w:tc>
          <w:tcPr>
            <w:tcW w:w="1520"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tcPr>
          <w:p w14:paraId="5D61D646" w14:textId="77777777" w:rsidR="00553728" w:rsidRPr="00553728" w:rsidRDefault="00553728" w:rsidP="00296802">
            <w:pPr>
              <w:spacing w:after="0" w:line="240" w:lineRule="auto"/>
              <w:rPr>
                <w:sz w:val="18"/>
                <w:szCs w:val="18"/>
              </w:rPr>
            </w:pPr>
            <w:r w:rsidRPr="00553728">
              <w:rPr>
                <w:sz w:val="18"/>
                <w:szCs w:val="18"/>
              </w:rPr>
              <w:t>Choques combinados</w:t>
            </w:r>
          </w:p>
        </w:tc>
        <w:tc>
          <w:tcPr>
            <w:tcW w:w="422"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0D6634AB" w14:textId="4C936906" w:rsidR="00553728" w:rsidRPr="00553728" w:rsidRDefault="00553728" w:rsidP="009C16B7">
            <w:pPr>
              <w:spacing w:after="0" w:line="240" w:lineRule="auto"/>
              <w:jc w:val="center"/>
              <w:rPr>
                <w:sz w:val="18"/>
                <w:szCs w:val="18"/>
              </w:rPr>
            </w:pPr>
            <w:r w:rsidRPr="00553728">
              <w:rPr>
                <w:sz w:val="18"/>
                <w:szCs w:val="18"/>
              </w:rPr>
              <w:t>1,</w:t>
            </w:r>
            <w:r w:rsidR="006D128E">
              <w:rPr>
                <w:sz w:val="18"/>
                <w:szCs w:val="18"/>
              </w:rPr>
              <w:t>9</w:t>
            </w:r>
            <w:r w:rsidRPr="00553728">
              <w:rPr>
                <w:sz w:val="18"/>
                <w:szCs w:val="18"/>
              </w:rPr>
              <w:t>%</w:t>
            </w:r>
          </w:p>
        </w:tc>
        <w:tc>
          <w:tcPr>
            <w:tcW w:w="422" w:type="pct"/>
            <w:tcBorders>
              <w:top w:val="single" w:sz="8" w:space="0" w:color="BFBFBF" w:themeColor="background1" w:themeShade="BF"/>
              <w:bottom w:val="single" w:sz="8" w:space="0" w:color="BFBFBF" w:themeColor="background1" w:themeShade="BF"/>
            </w:tcBorders>
            <w:shd w:val="clear" w:color="auto" w:fill="auto"/>
            <w:noWrap/>
          </w:tcPr>
          <w:p w14:paraId="24FF338D" w14:textId="467DEF17" w:rsidR="00553728" w:rsidRPr="00553728" w:rsidRDefault="00553728" w:rsidP="009C16B7">
            <w:pPr>
              <w:spacing w:after="0" w:line="240" w:lineRule="auto"/>
              <w:jc w:val="center"/>
              <w:rPr>
                <w:sz w:val="18"/>
                <w:szCs w:val="18"/>
              </w:rPr>
            </w:pPr>
            <w:r w:rsidRPr="00553728">
              <w:rPr>
                <w:sz w:val="18"/>
                <w:szCs w:val="18"/>
              </w:rPr>
              <w:t>4,</w:t>
            </w:r>
            <w:r w:rsidR="006D128E">
              <w:rPr>
                <w:sz w:val="18"/>
                <w:szCs w:val="18"/>
              </w:rPr>
              <w:t>2</w:t>
            </w:r>
            <w:r w:rsidRPr="00553728">
              <w:rPr>
                <w:sz w:val="18"/>
                <w:szCs w:val="18"/>
              </w:rPr>
              <w:t>%</w:t>
            </w:r>
          </w:p>
        </w:tc>
        <w:tc>
          <w:tcPr>
            <w:tcW w:w="506" w:type="pct"/>
            <w:tcBorders>
              <w:top w:val="single" w:sz="8" w:space="0" w:color="BFBFBF" w:themeColor="background1" w:themeShade="BF"/>
              <w:bottom w:val="single" w:sz="8" w:space="0" w:color="BFBFBF" w:themeColor="background1" w:themeShade="BF"/>
            </w:tcBorders>
            <w:shd w:val="clear" w:color="auto" w:fill="auto"/>
            <w:noWrap/>
          </w:tcPr>
          <w:p w14:paraId="6D69813C" w14:textId="1FDA8089" w:rsidR="00553728" w:rsidRPr="00553728" w:rsidRDefault="00553728" w:rsidP="009C16B7">
            <w:pPr>
              <w:spacing w:after="0" w:line="240" w:lineRule="auto"/>
              <w:jc w:val="center"/>
              <w:rPr>
                <w:sz w:val="18"/>
                <w:szCs w:val="18"/>
              </w:rPr>
            </w:pPr>
            <w:r w:rsidRPr="00553728">
              <w:rPr>
                <w:sz w:val="18"/>
                <w:szCs w:val="18"/>
              </w:rPr>
              <w:t>6,</w:t>
            </w:r>
            <w:r w:rsidR="006D128E">
              <w:rPr>
                <w:sz w:val="18"/>
                <w:szCs w:val="18"/>
              </w:rPr>
              <w:t>7</w:t>
            </w:r>
            <w:r w:rsidRPr="00553728">
              <w:rPr>
                <w:sz w:val="18"/>
                <w:szCs w:val="18"/>
              </w:rPr>
              <w:t>%</w:t>
            </w:r>
          </w:p>
        </w:tc>
        <w:tc>
          <w:tcPr>
            <w:tcW w:w="457"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038FD2E9" w14:textId="3AD350B6" w:rsidR="00553728" w:rsidRPr="00553728" w:rsidRDefault="00553728" w:rsidP="009C16B7">
            <w:pPr>
              <w:spacing w:after="0" w:line="240" w:lineRule="auto"/>
              <w:jc w:val="center"/>
              <w:rPr>
                <w:sz w:val="18"/>
                <w:szCs w:val="18"/>
              </w:rPr>
            </w:pPr>
            <w:r w:rsidRPr="00553728">
              <w:rPr>
                <w:sz w:val="18"/>
                <w:szCs w:val="18"/>
              </w:rPr>
              <w:t>9,</w:t>
            </w:r>
            <w:r w:rsidR="006D128E">
              <w:rPr>
                <w:sz w:val="18"/>
                <w:szCs w:val="18"/>
              </w:rPr>
              <w:t>3</w:t>
            </w:r>
            <w:r w:rsidRPr="00553728">
              <w:rPr>
                <w:sz w:val="18"/>
                <w:szCs w:val="18"/>
              </w:rPr>
              <w:t>%</w:t>
            </w:r>
          </w:p>
        </w:tc>
        <w:tc>
          <w:tcPr>
            <w:tcW w:w="427" w:type="pc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3F9AEEB7" w14:textId="77777777" w:rsidR="00553728" w:rsidRPr="00553728" w:rsidRDefault="00553728" w:rsidP="009C16B7">
            <w:pPr>
              <w:spacing w:after="0" w:line="240" w:lineRule="auto"/>
              <w:jc w:val="center"/>
              <w:rPr>
                <w:sz w:val="18"/>
                <w:szCs w:val="18"/>
              </w:rPr>
            </w:pPr>
            <w:r w:rsidRPr="00553728">
              <w:rPr>
                <w:sz w:val="18"/>
                <w:szCs w:val="18"/>
              </w:rPr>
              <w:t>2,1%</w:t>
            </w:r>
          </w:p>
        </w:tc>
        <w:tc>
          <w:tcPr>
            <w:tcW w:w="427" w:type="pct"/>
            <w:tcBorders>
              <w:top w:val="single" w:sz="8" w:space="0" w:color="BFBFBF" w:themeColor="background1" w:themeShade="BF"/>
              <w:bottom w:val="single" w:sz="8" w:space="0" w:color="BFBFBF" w:themeColor="background1" w:themeShade="BF"/>
            </w:tcBorders>
            <w:shd w:val="clear" w:color="auto" w:fill="auto"/>
            <w:noWrap/>
          </w:tcPr>
          <w:p w14:paraId="35C4B38E" w14:textId="77777777" w:rsidR="00553728" w:rsidRPr="00553728" w:rsidRDefault="00553728" w:rsidP="009C16B7">
            <w:pPr>
              <w:spacing w:after="0" w:line="240" w:lineRule="auto"/>
              <w:jc w:val="center"/>
              <w:rPr>
                <w:sz w:val="18"/>
                <w:szCs w:val="18"/>
              </w:rPr>
            </w:pPr>
            <w:r w:rsidRPr="00553728">
              <w:rPr>
                <w:sz w:val="18"/>
                <w:szCs w:val="18"/>
              </w:rPr>
              <w:t>4,6%</w:t>
            </w:r>
          </w:p>
        </w:tc>
        <w:tc>
          <w:tcPr>
            <w:tcW w:w="409" w:type="pct"/>
            <w:tcBorders>
              <w:top w:val="single" w:sz="8" w:space="0" w:color="BFBFBF" w:themeColor="background1" w:themeShade="BF"/>
              <w:bottom w:val="single" w:sz="8" w:space="0" w:color="BFBFBF" w:themeColor="background1" w:themeShade="BF"/>
            </w:tcBorders>
            <w:shd w:val="clear" w:color="auto" w:fill="auto"/>
            <w:noWrap/>
          </w:tcPr>
          <w:p w14:paraId="56291697" w14:textId="36B3CAEF" w:rsidR="00553728" w:rsidRPr="00553728" w:rsidRDefault="00553728" w:rsidP="009C16B7">
            <w:pPr>
              <w:spacing w:after="0" w:line="240" w:lineRule="auto"/>
              <w:jc w:val="center"/>
              <w:rPr>
                <w:sz w:val="18"/>
                <w:szCs w:val="18"/>
              </w:rPr>
            </w:pPr>
            <w:r w:rsidRPr="00553728">
              <w:rPr>
                <w:sz w:val="18"/>
                <w:szCs w:val="18"/>
              </w:rPr>
              <w:t>7,</w:t>
            </w:r>
            <w:r w:rsidR="006D128E">
              <w:rPr>
                <w:sz w:val="18"/>
                <w:szCs w:val="18"/>
              </w:rPr>
              <w:t>2</w:t>
            </w:r>
            <w:r w:rsidRPr="00553728">
              <w:rPr>
                <w:sz w:val="18"/>
                <w:szCs w:val="18"/>
              </w:rPr>
              <w:t>%</w:t>
            </w:r>
          </w:p>
        </w:tc>
        <w:tc>
          <w:tcPr>
            <w:tcW w:w="409" w:type="pc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01548E0E" w14:textId="6D0E4575" w:rsidR="00553728" w:rsidRPr="00553728" w:rsidRDefault="006D128E" w:rsidP="009C16B7">
            <w:pPr>
              <w:spacing w:after="0" w:line="240" w:lineRule="auto"/>
              <w:jc w:val="center"/>
              <w:rPr>
                <w:sz w:val="18"/>
                <w:szCs w:val="18"/>
              </w:rPr>
            </w:pPr>
            <w:r>
              <w:rPr>
                <w:sz w:val="18"/>
                <w:szCs w:val="18"/>
              </w:rPr>
              <w:t>10,0</w:t>
            </w:r>
            <w:r w:rsidR="00553728" w:rsidRPr="00553728">
              <w:rPr>
                <w:sz w:val="18"/>
                <w:szCs w:val="18"/>
              </w:rPr>
              <w:t>%</w:t>
            </w:r>
          </w:p>
        </w:tc>
      </w:tr>
      <w:tr w:rsidR="00553728" w:rsidRPr="00A03CDD" w14:paraId="34E37655" w14:textId="77777777" w:rsidTr="00515C7F">
        <w:trPr>
          <w:trHeight w:val="20"/>
          <w:jc w:val="center"/>
        </w:trPr>
        <w:tc>
          <w:tcPr>
            <w:tcW w:w="5000" w:type="pct"/>
            <w:gridSpan w:val="9"/>
            <w:tcBorders>
              <w:top w:val="single" w:sz="8" w:space="0" w:color="BFBFBF" w:themeColor="background1" w:themeShade="BF"/>
              <w:left w:val="nil"/>
            </w:tcBorders>
            <w:shd w:val="clear" w:color="auto" w:fill="auto"/>
            <w:noWrap/>
          </w:tcPr>
          <w:p w14:paraId="09749D7A" w14:textId="77777777" w:rsidR="00553728" w:rsidRPr="00584D1A" w:rsidRDefault="00553728" w:rsidP="00296802">
            <w:pPr>
              <w:spacing w:after="0" w:line="240" w:lineRule="auto"/>
              <w:jc w:val="both"/>
              <w:rPr>
                <w:rFonts w:eastAsia="Calibri"/>
                <w:i/>
                <w:iCs/>
                <w:sz w:val="16"/>
                <w:szCs w:val="16"/>
              </w:rPr>
            </w:pPr>
            <w:r w:rsidRPr="00584D1A">
              <w:rPr>
                <w:rFonts w:eastAsia="Calibri"/>
                <w:i/>
                <w:iCs/>
                <w:sz w:val="16"/>
                <w:szCs w:val="16"/>
              </w:rPr>
              <w:t xml:space="preserve">Diferença em relação ao </w:t>
            </w:r>
            <w:proofErr w:type="gramStart"/>
            <w:r w:rsidRPr="00584D1A">
              <w:rPr>
                <w:rFonts w:eastAsia="Calibri"/>
                <w:i/>
                <w:iCs/>
                <w:sz w:val="16"/>
                <w:szCs w:val="16"/>
              </w:rPr>
              <w:t>Cenário Base</w:t>
            </w:r>
            <w:proofErr w:type="gramEnd"/>
            <w:r w:rsidRPr="00584D1A">
              <w:rPr>
                <w:rFonts w:eastAsia="Calibri"/>
                <w:i/>
                <w:iCs/>
                <w:sz w:val="16"/>
                <w:szCs w:val="16"/>
              </w:rPr>
              <w:t>.</w:t>
            </w:r>
          </w:p>
          <w:p w14:paraId="59C9FC5E" w14:textId="6116B17D" w:rsidR="00553728" w:rsidRPr="00553728" w:rsidRDefault="00553728" w:rsidP="00296802">
            <w:pPr>
              <w:spacing w:after="0" w:line="240" w:lineRule="auto"/>
              <w:jc w:val="both"/>
              <w:rPr>
                <w:color w:val="FF0000"/>
                <w:sz w:val="20"/>
                <w:szCs w:val="20"/>
              </w:rPr>
            </w:pPr>
            <w:r w:rsidRPr="00584D1A">
              <w:rPr>
                <w:rFonts w:eastAsia="Calibri"/>
                <w:b/>
                <w:bCs/>
                <w:i/>
                <w:iCs/>
                <w:sz w:val="16"/>
                <w:szCs w:val="16"/>
              </w:rPr>
              <w:t>Fonte e elaboração</w:t>
            </w:r>
            <w:r w:rsidRPr="00584D1A">
              <w:rPr>
                <w:rFonts w:eastAsia="Calibri"/>
                <w:i/>
                <w:iCs/>
                <w:sz w:val="16"/>
                <w:szCs w:val="16"/>
              </w:rPr>
              <w:t>: STN/ME.</w:t>
            </w:r>
          </w:p>
        </w:tc>
      </w:tr>
    </w:tbl>
    <w:p w14:paraId="1FBFC8BF" w14:textId="77777777" w:rsidR="00AF0569" w:rsidRDefault="00AF0569" w:rsidP="009447A6">
      <w:pPr>
        <w:spacing w:after="120" w:line="240" w:lineRule="auto"/>
        <w:ind w:firstLine="1418"/>
        <w:jc w:val="both"/>
        <w:rPr>
          <w:rFonts w:eastAsia="Calibri"/>
          <w:sz w:val="24"/>
          <w:szCs w:val="24"/>
        </w:rPr>
      </w:pPr>
    </w:p>
    <w:p w14:paraId="4E3BDCE6" w14:textId="403A6EBC" w:rsidR="009447A6" w:rsidRDefault="009C16B7" w:rsidP="009447A6">
      <w:pPr>
        <w:spacing w:after="120" w:line="240" w:lineRule="auto"/>
        <w:ind w:firstLine="1418"/>
        <w:jc w:val="both"/>
        <w:rPr>
          <w:rFonts w:eastAsia="Calibri"/>
          <w:sz w:val="24"/>
          <w:szCs w:val="24"/>
        </w:rPr>
      </w:pPr>
      <w:r w:rsidRPr="009C16B7">
        <w:rPr>
          <w:rFonts w:eastAsia="Calibri"/>
          <w:sz w:val="24"/>
          <w:szCs w:val="24"/>
        </w:rPr>
        <w:t>O impacto da variação do PIB é unicamente via denominador neste exercício, uma vez que não se considera correlações entre as distintas variáveis macroeconômicas. O efeito de um primário menor é via numerador, sem diferença em relação aos indicadores de DLSP e DBGG.   A sensibilidade da Selic é captada tanto pela parcela de LFT na composição da DPF quanto pelo volume de operações compromissadas do BCB e pelas parcelas indexadas à Selic dos demais passivos e ativos das diferentes esferas de governo. Ressalte-se que a combinação de choques não consiste na soma dos choques individualizados, mas considera a dinâmica de choques simultâneos.</w:t>
      </w:r>
    </w:p>
    <w:p w14:paraId="7AEF23FD" w14:textId="77777777" w:rsidR="00277B7D" w:rsidRPr="00291FE3" w:rsidRDefault="00277B7D" w:rsidP="009447A6">
      <w:pPr>
        <w:spacing w:after="120" w:line="240" w:lineRule="auto"/>
        <w:ind w:firstLine="1418"/>
        <w:jc w:val="both"/>
        <w:rPr>
          <w:rFonts w:eastAsia="Calibri"/>
          <w:sz w:val="24"/>
          <w:szCs w:val="24"/>
        </w:rPr>
      </w:pPr>
    </w:p>
    <w:p w14:paraId="47393546" w14:textId="77777777" w:rsidR="00FB0D14" w:rsidRPr="006E2CEE" w:rsidRDefault="00FB0D14" w:rsidP="00B75FA8">
      <w:pPr>
        <w:pStyle w:val="Ttulo3"/>
        <w:keepNext w:val="0"/>
        <w:numPr>
          <w:ilvl w:val="2"/>
          <w:numId w:val="36"/>
        </w:numPr>
        <w:spacing w:after="120"/>
        <w:ind w:left="720" w:hanging="720"/>
        <w:rPr>
          <w:rFonts w:asciiTheme="minorHAnsi" w:hAnsiTheme="minorHAnsi"/>
          <w:b/>
          <w:smallCaps w:val="0"/>
        </w:rPr>
      </w:pPr>
      <w:bookmarkStart w:id="120" w:name="_Toc67317978"/>
      <w:bookmarkStart w:id="121" w:name="_Toc67929632"/>
      <w:bookmarkStart w:id="122" w:name="_Toc69121219"/>
      <w:r w:rsidRPr="006E2CEE">
        <w:rPr>
          <w:rFonts w:asciiTheme="minorHAnsi" w:hAnsiTheme="minorHAnsi"/>
          <w:b/>
          <w:smallCaps w:val="0"/>
        </w:rPr>
        <w:t>Risco de Refinanciamento</w:t>
      </w:r>
      <w:bookmarkEnd w:id="120"/>
      <w:bookmarkEnd w:id="121"/>
      <w:bookmarkEnd w:id="122"/>
    </w:p>
    <w:p w14:paraId="487EBA8F" w14:textId="77777777" w:rsidR="009C16B7" w:rsidRPr="009C16B7" w:rsidRDefault="009C16B7" w:rsidP="009C16B7">
      <w:pPr>
        <w:spacing w:after="120" w:line="240" w:lineRule="auto"/>
        <w:ind w:firstLine="1418"/>
        <w:jc w:val="both"/>
        <w:rPr>
          <w:sz w:val="24"/>
          <w:szCs w:val="24"/>
        </w:rPr>
      </w:pPr>
      <w:r w:rsidRPr="009C16B7">
        <w:rPr>
          <w:sz w:val="24"/>
          <w:szCs w:val="24"/>
        </w:rPr>
        <w:t xml:space="preserve">Em 2020, o aumento da necessidade de financiamento do Governo Federal ocasionado pela ampliação dos gastos públicos no combate aos efeitos da pandemia de COVID-19 foi significativo. As despesas primárias financiadas com recursos da dívida, de uma projeção de R$ 376,3 bilhões em 2020, ampliaram-se para R$ 623,8 bilhões, sendo parte deste aumento financiado pelos recursos disponíveis em caixa (colchão da dívida). Outra parte foi financiada por novas emissões de títulos, o que resultou na revisão dos limites de referência dos indicadores do PAF em </w:t>
      </w:r>
      <w:proofErr w:type="gramStart"/>
      <w:r w:rsidRPr="009C16B7">
        <w:rPr>
          <w:sz w:val="24"/>
          <w:szCs w:val="24"/>
        </w:rPr>
        <w:t>2020</w:t>
      </w:r>
      <w:proofErr w:type="gramEnd"/>
    </w:p>
    <w:p w14:paraId="40C7E494" w14:textId="77777777" w:rsidR="009C16B7" w:rsidRPr="009C16B7" w:rsidRDefault="009C16B7" w:rsidP="009C16B7">
      <w:pPr>
        <w:spacing w:after="120" w:line="240" w:lineRule="auto"/>
        <w:ind w:firstLine="1418"/>
        <w:jc w:val="both"/>
        <w:rPr>
          <w:sz w:val="24"/>
          <w:szCs w:val="24"/>
        </w:rPr>
      </w:pPr>
      <w:r w:rsidRPr="009C16B7">
        <w:rPr>
          <w:sz w:val="24"/>
          <w:szCs w:val="24"/>
        </w:rPr>
        <w:t xml:space="preserve">O aumento da percepção do risco e da preferência por liquidez em função da instabilidade do cenário econômico-fiscal fizeram com que os títulos prefixados de curta duração, com vencimento de </w:t>
      </w:r>
      <w:proofErr w:type="gramStart"/>
      <w:r w:rsidRPr="009C16B7">
        <w:rPr>
          <w:sz w:val="24"/>
          <w:szCs w:val="24"/>
        </w:rPr>
        <w:t>6</w:t>
      </w:r>
      <w:proofErr w:type="gramEnd"/>
      <w:r w:rsidRPr="009C16B7">
        <w:rPr>
          <w:sz w:val="24"/>
          <w:szCs w:val="24"/>
        </w:rPr>
        <w:t xml:space="preserve"> e 12 meses, fossem os principais instrumentos de captação do Tesouro Nacional. Para 2021, a referência para a composição da DPF contempla a continuidade de uma participação relevante dos títulos prefixados de prazo mais curto na oferta de títulos públicos. Os indicadores do PAF 2021 também apontam para uma redução da participação das LFTs, em razão do elevado volume de vencimentos desse título em 2021, em comparação com anos anteriores.</w:t>
      </w:r>
    </w:p>
    <w:p w14:paraId="4F98D96E" w14:textId="4350C791" w:rsidR="009C16B7" w:rsidRPr="009C16B7" w:rsidRDefault="009C16B7" w:rsidP="009C16B7">
      <w:pPr>
        <w:spacing w:after="120" w:line="240" w:lineRule="auto"/>
        <w:ind w:firstLine="1418"/>
        <w:jc w:val="both"/>
        <w:rPr>
          <w:sz w:val="24"/>
          <w:szCs w:val="24"/>
        </w:rPr>
      </w:pPr>
      <w:r w:rsidRPr="009C16B7">
        <w:rPr>
          <w:sz w:val="24"/>
          <w:szCs w:val="24"/>
        </w:rPr>
        <w:t xml:space="preserve">O risco de refinanciamento é consequência do perfil de maturação da dívida e representa a possibilidade de o Tesouro Nacional ter de suportar elevados custos para se financiar no curto prazo ou, no limite, não conseguir captar recursos suficientes para honrar seus vencimentos.  A redução do percentual vincendo em 12 meses é </w:t>
      </w:r>
      <w:r w:rsidR="00343335" w:rsidRPr="009C16B7">
        <w:rPr>
          <w:sz w:val="24"/>
          <w:szCs w:val="24"/>
        </w:rPr>
        <w:t>uma condição importante</w:t>
      </w:r>
      <w:r w:rsidRPr="009C16B7">
        <w:rPr>
          <w:sz w:val="24"/>
          <w:szCs w:val="24"/>
        </w:rPr>
        <w:t xml:space="preserve"> para a diminuição desse risco, pois essa métrica indica a proporção do estoque da dívida que deverá ser honrada no curto prazo.</w:t>
      </w:r>
    </w:p>
    <w:p w14:paraId="35DA3EBB" w14:textId="77777777" w:rsidR="009C16B7" w:rsidRPr="009C16B7" w:rsidRDefault="009C16B7" w:rsidP="009C16B7">
      <w:pPr>
        <w:spacing w:after="120" w:line="240" w:lineRule="auto"/>
        <w:ind w:firstLine="1418"/>
        <w:jc w:val="both"/>
        <w:rPr>
          <w:sz w:val="24"/>
          <w:szCs w:val="24"/>
        </w:rPr>
      </w:pPr>
      <w:r w:rsidRPr="009C16B7">
        <w:rPr>
          <w:sz w:val="24"/>
          <w:szCs w:val="24"/>
        </w:rPr>
        <w:t>Em 2021 o percentual vincendo em 12 meses continuará em patamar elevado, em decorrência</w:t>
      </w:r>
      <w:proofErr w:type="gramStart"/>
      <w:r w:rsidRPr="009C16B7">
        <w:rPr>
          <w:sz w:val="24"/>
          <w:szCs w:val="24"/>
        </w:rPr>
        <w:t xml:space="preserve"> sobretudo</w:t>
      </w:r>
      <w:proofErr w:type="gramEnd"/>
      <w:r w:rsidRPr="009C16B7">
        <w:rPr>
          <w:sz w:val="24"/>
          <w:szCs w:val="24"/>
        </w:rPr>
        <w:t xml:space="preserve"> do elevado volume de emissões de títulos prefixados de curto prazo ocorridas em 2020. O refinanciamento desses títulos curtos em 2021 tende a ser feito por meio de novos títulos com características similares, o que significa que a elevada concentração de dívida no curto prazo tende a prosseguir por um período superior a 2021. Assim, a redução do percentual vincendo em 12 meses tende a ocorrer gradualmente ao longo dos próximos anos, conforme as condições de mercado permitam o alongamento dos prazos das emissões.</w:t>
      </w:r>
    </w:p>
    <w:p w14:paraId="03A535D6" w14:textId="557D5C3C" w:rsidR="00123CE3" w:rsidRDefault="009C16B7" w:rsidP="009C16B7">
      <w:pPr>
        <w:spacing w:after="120" w:line="240" w:lineRule="auto"/>
        <w:ind w:firstLine="1418"/>
        <w:jc w:val="both"/>
        <w:rPr>
          <w:sz w:val="24"/>
          <w:szCs w:val="24"/>
        </w:rPr>
      </w:pPr>
      <w:r w:rsidRPr="009C16B7">
        <w:rPr>
          <w:sz w:val="24"/>
          <w:szCs w:val="24"/>
        </w:rPr>
        <w:t xml:space="preserve">A </w:t>
      </w:r>
      <w:r w:rsidRPr="009C16B7">
        <w:rPr>
          <w:sz w:val="24"/>
          <w:szCs w:val="24"/>
        </w:rPr>
        <w:fldChar w:fldCharType="begin"/>
      </w:r>
      <w:r w:rsidRPr="009C16B7">
        <w:rPr>
          <w:sz w:val="24"/>
          <w:szCs w:val="24"/>
        </w:rPr>
        <w:instrText xml:space="preserve"> REF _Ref5618235 \h  \* MERGEFORMAT </w:instrText>
      </w:r>
      <w:r w:rsidRPr="009C16B7">
        <w:rPr>
          <w:sz w:val="24"/>
          <w:szCs w:val="24"/>
        </w:rPr>
      </w:r>
      <w:r w:rsidRPr="009C16B7">
        <w:rPr>
          <w:sz w:val="24"/>
          <w:szCs w:val="24"/>
        </w:rPr>
        <w:fldChar w:fldCharType="separate"/>
      </w:r>
      <w:r w:rsidR="00304F5F" w:rsidRPr="00304F5F">
        <w:rPr>
          <w:sz w:val="24"/>
          <w:szCs w:val="24"/>
        </w:rPr>
        <w:t xml:space="preserve">Figura </w:t>
      </w:r>
      <w:r w:rsidR="00304F5F" w:rsidRPr="00304F5F">
        <w:rPr>
          <w:noProof/>
          <w:sz w:val="24"/>
          <w:szCs w:val="24"/>
        </w:rPr>
        <w:t>5</w:t>
      </w:r>
      <w:r w:rsidRPr="009C16B7">
        <w:rPr>
          <w:sz w:val="24"/>
          <w:szCs w:val="24"/>
        </w:rPr>
        <w:fldChar w:fldCharType="end"/>
      </w:r>
      <w:r>
        <w:rPr>
          <w:sz w:val="24"/>
          <w:szCs w:val="24"/>
        </w:rPr>
        <w:t xml:space="preserve"> </w:t>
      </w:r>
      <w:r w:rsidRPr="009C16B7">
        <w:rPr>
          <w:sz w:val="24"/>
          <w:szCs w:val="24"/>
        </w:rPr>
        <w:t xml:space="preserve">apresenta a evolução da estrutura de vencimentos da DPF. Conforme </w:t>
      </w:r>
      <w:proofErr w:type="gramStart"/>
      <w:r w:rsidRPr="009C16B7">
        <w:rPr>
          <w:sz w:val="24"/>
          <w:szCs w:val="24"/>
        </w:rPr>
        <w:t>expectativas do PAF 2021, no ano 2021 espera-se</w:t>
      </w:r>
      <w:proofErr w:type="gramEnd"/>
      <w:r w:rsidRPr="009C16B7">
        <w:rPr>
          <w:sz w:val="24"/>
          <w:szCs w:val="24"/>
        </w:rPr>
        <w:t xml:space="preserve"> que o percentual vincendo em 12 meses situe</w:t>
      </w:r>
      <w:r w:rsidR="00047F62">
        <w:rPr>
          <w:sz w:val="24"/>
          <w:szCs w:val="24"/>
        </w:rPr>
        <w:t>-se</w:t>
      </w:r>
      <w:r w:rsidRPr="009C16B7">
        <w:rPr>
          <w:sz w:val="24"/>
          <w:szCs w:val="24"/>
        </w:rPr>
        <w:t xml:space="preserve"> entre 24% e 29% da DPF, mantendo-se em patamares superiores a 20% da dívida ao longo de todo o período coberto neste Anexo de Riscos. Em virtude da elevada necessidade de financiamento do </w:t>
      </w:r>
      <w:r w:rsidRPr="009C16B7">
        <w:rPr>
          <w:sz w:val="24"/>
          <w:szCs w:val="24"/>
        </w:rPr>
        <w:lastRenderedPageBreak/>
        <w:t>governo federal, incluindo o déficit público, em uma conjuntura macroeconômica ainda marcada por incertezas, tem sido inevitável o atendimento daquela necessidade por meio de maior colocação de títulos públicos de menores prazos.</w:t>
      </w:r>
    </w:p>
    <w:p w14:paraId="3C24B901" w14:textId="77777777" w:rsidR="00277B7D" w:rsidRDefault="00277B7D" w:rsidP="00FB0D14">
      <w:pPr>
        <w:spacing w:after="120" w:line="240" w:lineRule="auto"/>
        <w:ind w:firstLine="1418"/>
        <w:jc w:val="both"/>
        <w:rPr>
          <w:sz w:val="24"/>
          <w:szCs w:val="24"/>
        </w:rPr>
      </w:pPr>
    </w:p>
    <w:p w14:paraId="0BF6DB40" w14:textId="77777777" w:rsidR="00277B7D" w:rsidRDefault="00277B7D" w:rsidP="00FB0D14">
      <w:pPr>
        <w:spacing w:after="120" w:line="240" w:lineRule="auto"/>
        <w:ind w:firstLine="1418"/>
        <w:jc w:val="both"/>
        <w:rPr>
          <w:sz w:val="24"/>
          <w:szCs w:val="24"/>
        </w:rPr>
      </w:pPr>
    </w:p>
    <w:p w14:paraId="56879AC5" w14:textId="571DD2A9" w:rsidR="00FB0D14" w:rsidRPr="00111FC9" w:rsidRDefault="00796426" w:rsidP="00105AA4">
      <w:pPr>
        <w:spacing w:after="120" w:line="240" w:lineRule="auto"/>
        <w:jc w:val="center"/>
      </w:pPr>
      <w:bookmarkStart w:id="123" w:name="_Ref5618235"/>
      <w:bookmarkStart w:id="124" w:name="_Ref5618224"/>
      <w:bookmarkStart w:id="125" w:name="_Toc69121330"/>
      <w:r w:rsidRPr="00111FC9">
        <w:t xml:space="preserve">Figura </w:t>
      </w:r>
      <w:r>
        <w:fldChar w:fldCharType="begin"/>
      </w:r>
      <w:r>
        <w:instrText>SEQ Figura \* ARABIC</w:instrText>
      </w:r>
      <w:r>
        <w:fldChar w:fldCharType="separate"/>
      </w:r>
      <w:r w:rsidR="00304F5F">
        <w:rPr>
          <w:noProof/>
        </w:rPr>
        <w:t>5</w:t>
      </w:r>
      <w:r>
        <w:fldChar w:fldCharType="end"/>
      </w:r>
      <w:bookmarkEnd w:id="123"/>
      <w:r w:rsidR="00025A97" w:rsidRPr="00111FC9">
        <w:rPr>
          <w:noProof/>
        </w:rPr>
        <w:t xml:space="preserve"> </w:t>
      </w:r>
      <w:r w:rsidR="00025A97" w:rsidRPr="00111FC9">
        <w:t>-</w:t>
      </w:r>
      <w:r w:rsidRPr="00111FC9">
        <w:t xml:space="preserve"> </w:t>
      </w:r>
      <w:r w:rsidR="00FB0D14" w:rsidRPr="00111FC9">
        <w:t>Perfil de Vencimentos do Estoque da DPF</w:t>
      </w:r>
      <w:bookmarkEnd w:id="124"/>
      <w:bookmarkEnd w:id="125"/>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tblGrid>
      <w:tr w:rsidR="00D46AC6" w:rsidRPr="00D46AC6" w14:paraId="3A346CE1" w14:textId="77777777" w:rsidTr="0088745F">
        <w:trPr>
          <w:jc w:val="center"/>
        </w:trPr>
        <w:tc>
          <w:tcPr>
            <w:tcW w:w="8533" w:type="dxa"/>
          </w:tcPr>
          <w:p w14:paraId="5271F802" w14:textId="000375EA" w:rsidR="005239D5" w:rsidRPr="00D46AC6" w:rsidRDefault="00343335" w:rsidP="00105AA4">
            <w:pPr>
              <w:spacing w:after="120"/>
              <w:jc w:val="center"/>
              <w:rPr>
                <w:color w:val="FF0000"/>
              </w:rPr>
            </w:pPr>
            <w:r>
              <w:rPr>
                <w:noProof/>
                <w:color w:val="FF0000"/>
                <w:lang w:eastAsia="pt-BR"/>
              </w:rPr>
              <w:drawing>
                <wp:inline distT="0" distB="0" distL="0" distR="0" wp14:anchorId="16A6E8F9" wp14:editId="7830B7AE">
                  <wp:extent cx="5389245" cy="3371215"/>
                  <wp:effectExtent l="0" t="0" r="1905"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245" cy="3371215"/>
                          </a:xfrm>
                          <a:prstGeom prst="rect">
                            <a:avLst/>
                          </a:prstGeom>
                          <a:noFill/>
                        </pic:spPr>
                      </pic:pic>
                    </a:graphicData>
                  </a:graphic>
                </wp:inline>
              </w:drawing>
            </w:r>
          </w:p>
          <w:p w14:paraId="2B496856" w14:textId="119486B0" w:rsidR="00B06ACF" w:rsidRPr="00D46AC6" w:rsidRDefault="00B06ACF" w:rsidP="00B532DC">
            <w:pPr>
              <w:jc w:val="center"/>
              <w:rPr>
                <w:color w:val="FF0000"/>
                <w:sz w:val="2"/>
                <w:szCs w:val="2"/>
              </w:rPr>
            </w:pPr>
          </w:p>
        </w:tc>
      </w:tr>
      <w:tr w:rsidR="00B06ACF" w:rsidRPr="00D46AC6" w14:paraId="0EF0ABA9" w14:textId="77777777" w:rsidTr="0088745F">
        <w:trPr>
          <w:jc w:val="center"/>
        </w:trPr>
        <w:tc>
          <w:tcPr>
            <w:tcW w:w="8533" w:type="dxa"/>
          </w:tcPr>
          <w:p w14:paraId="1D831299" w14:textId="6FE85DDA" w:rsidR="0088745F" w:rsidRPr="009B7596" w:rsidRDefault="0088745F" w:rsidP="0088745F">
            <w:pPr>
              <w:rPr>
                <w:i/>
                <w:iCs/>
                <w:sz w:val="16"/>
                <w:szCs w:val="16"/>
              </w:rPr>
            </w:pPr>
            <w:r w:rsidRPr="009B7596">
              <w:rPr>
                <w:i/>
                <w:iCs/>
                <w:sz w:val="16"/>
                <w:szCs w:val="16"/>
              </w:rPr>
              <w:t>* Projeções com base na estratégia de médio prazo elaborada no âmbito do PAF 202</w:t>
            </w:r>
            <w:r w:rsidR="00343335">
              <w:rPr>
                <w:i/>
                <w:iCs/>
                <w:sz w:val="16"/>
                <w:szCs w:val="16"/>
              </w:rPr>
              <w:t>1</w:t>
            </w:r>
            <w:r w:rsidRPr="009B7596">
              <w:rPr>
                <w:i/>
                <w:iCs/>
                <w:sz w:val="16"/>
                <w:szCs w:val="16"/>
              </w:rPr>
              <w:t>.</w:t>
            </w:r>
          </w:p>
          <w:p w14:paraId="04320B85" w14:textId="0FCBC0C9" w:rsidR="00B06ACF" w:rsidRPr="009B7596" w:rsidRDefault="0088745F" w:rsidP="0088745F">
            <w:pPr>
              <w:rPr>
                <w:i/>
                <w:iCs/>
                <w:color w:val="FF0000"/>
                <w:sz w:val="20"/>
                <w:szCs w:val="20"/>
              </w:rPr>
            </w:pPr>
            <w:r w:rsidRPr="009B7596">
              <w:rPr>
                <w:b/>
                <w:bCs/>
                <w:i/>
                <w:iCs/>
                <w:sz w:val="16"/>
                <w:szCs w:val="16"/>
              </w:rPr>
              <w:t>Fonte e elaboração</w:t>
            </w:r>
            <w:r w:rsidRPr="009B7596">
              <w:rPr>
                <w:i/>
                <w:iCs/>
                <w:sz w:val="16"/>
                <w:szCs w:val="16"/>
              </w:rPr>
              <w:t>: STN/ME.</w:t>
            </w:r>
          </w:p>
        </w:tc>
      </w:tr>
    </w:tbl>
    <w:p w14:paraId="41F62AAA" w14:textId="77777777" w:rsidR="00FB0D14" w:rsidRPr="00D46AC6" w:rsidRDefault="00FB0D14" w:rsidP="00105AA4">
      <w:pPr>
        <w:spacing w:after="120" w:line="240" w:lineRule="auto"/>
        <w:jc w:val="both"/>
        <w:rPr>
          <w:color w:val="FF0000"/>
          <w:sz w:val="24"/>
          <w:szCs w:val="24"/>
        </w:rPr>
      </w:pPr>
    </w:p>
    <w:p w14:paraId="094B0255" w14:textId="6525AB81" w:rsidR="0064071E" w:rsidRDefault="00343335" w:rsidP="00FB0D14">
      <w:pPr>
        <w:spacing w:after="120" w:line="240" w:lineRule="auto"/>
        <w:ind w:firstLine="1418"/>
        <w:jc w:val="both"/>
        <w:rPr>
          <w:sz w:val="24"/>
          <w:szCs w:val="24"/>
        </w:rPr>
      </w:pPr>
      <w:r w:rsidRPr="00343335">
        <w:rPr>
          <w:sz w:val="24"/>
          <w:szCs w:val="24"/>
        </w:rPr>
        <w:t>Por outra métrica, o risco de refinanciamento pode ser avaliado considerando-se a parcela da DPF que vence em até 12 meses como proporção do PIB. Essa relação atingiu 18,7% do PIB ao final de 2020, patamar significativamente acima da média histórica registrada entre 2006 e 2019, de 10,7% do PIB. A tendência é que essa proporção aumente ainda mais segundo estimativas para o PAF 2021 e anos seguintes, caso as condições vigentes não permitam um alongamento mais acelerado dos prazos dos títulos públicos emitidos.</w:t>
      </w:r>
    </w:p>
    <w:p w14:paraId="71315485" w14:textId="35B2D8E2" w:rsidR="00343335" w:rsidRPr="00343335" w:rsidRDefault="00343335" w:rsidP="00343335">
      <w:pPr>
        <w:pStyle w:val="Legenda"/>
        <w:jc w:val="center"/>
        <w:rPr>
          <w:rFonts w:asciiTheme="minorHAnsi" w:hAnsiTheme="minorHAnsi" w:cstheme="minorHAnsi"/>
          <w:i w:val="0"/>
          <w:color w:val="auto"/>
          <w:sz w:val="32"/>
          <w:szCs w:val="24"/>
        </w:rPr>
      </w:pPr>
      <w:bookmarkStart w:id="126" w:name="_Toc69121331"/>
      <w:r w:rsidRPr="00343335">
        <w:rPr>
          <w:rFonts w:asciiTheme="minorHAnsi" w:hAnsiTheme="minorHAnsi" w:cstheme="minorHAnsi"/>
          <w:i w:val="0"/>
          <w:color w:val="auto"/>
          <w:sz w:val="22"/>
        </w:rPr>
        <w:t xml:space="preserve">Figura </w:t>
      </w:r>
      <w:r w:rsidRPr="00343335">
        <w:rPr>
          <w:rFonts w:asciiTheme="minorHAnsi" w:hAnsiTheme="minorHAnsi" w:cstheme="minorHAnsi"/>
          <w:i w:val="0"/>
          <w:color w:val="auto"/>
          <w:sz w:val="22"/>
        </w:rPr>
        <w:fldChar w:fldCharType="begin"/>
      </w:r>
      <w:r w:rsidRPr="00343335">
        <w:rPr>
          <w:rFonts w:asciiTheme="minorHAnsi" w:hAnsiTheme="minorHAnsi" w:cstheme="minorHAnsi"/>
          <w:i w:val="0"/>
          <w:color w:val="auto"/>
          <w:sz w:val="22"/>
        </w:rPr>
        <w:instrText xml:space="preserve"> SEQ Figura \* ARABIC </w:instrText>
      </w:r>
      <w:r w:rsidRPr="00343335">
        <w:rPr>
          <w:rFonts w:asciiTheme="minorHAnsi" w:hAnsiTheme="minorHAnsi" w:cstheme="minorHAnsi"/>
          <w:i w:val="0"/>
          <w:color w:val="auto"/>
          <w:sz w:val="22"/>
        </w:rPr>
        <w:fldChar w:fldCharType="separate"/>
      </w:r>
      <w:r w:rsidR="00304F5F">
        <w:rPr>
          <w:rFonts w:asciiTheme="minorHAnsi" w:hAnsiTheme="minorHAnsi" w:cstheme="minorHAnsi"/>
          <w:i w:val="0"/>
          <w:noProof/>
          <w:color w:val="auto"/>
          <w:sz w:val="22"/>
        </w:rPr>
        <w:t>6</w:t>
      </w:r>
      <w:r w:rsidRPr="00343335">
        <w:rPr>
          <w:rFonts w:asciiTheme="minorHAnsi" w:hAnsiTheme="minorHAnsi" w:cstheme="minorHAnsi"/>
          <w:i w:val="0"/>
          <w:color w:val="auto"/>
          <w:sz w:val="22"/>
        </w:rPr>
        <w:fldChar w:fldCharType="end"/>
      </w:r>
      <w:r w:rsidRPr="00343335">
        <w:rPr>
          <w:rFonts w:asciiTheme="minorHAnsi" w:hAnsiTheme="minorHAnsi" w:cstheme="minorHAnsi"/>
          <w:i w:val="0"/>
          <w:color w:val="auto"/>
          <w:sz w:val="22"/>
        </w:rPr>
        <w:t xml:space="preserve"> - Dívida Pública Federal Vincenda em 12 Meses</w:t>
      </w:r>
      <w:bookmarkEnd w:id="126"/>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3"/>
      </w:tblGrid>
      <w:tr w:rsidR="00343335" w:rsidRPr="00D46AC6" w14:paraId="651A08F3" w14:textId="77777777" w:rsidTr="00256396">
        <w:trPr>
          <w:jc w:val="center"/>
        </w:trPr>
        <w:tc>
          <w:tcPr>
            <w:tcW w:w="8533" w:type="dxa"/>
          </w:tcPr>
          <w:p w14:paraId="2E09AB8E" w14:textId="41DFA00F" w:rsidR="00343335" w:rsidRPr="00D46AC6" w:rsidRDefault="00343335" w:rsidP="00256396">
            <w:pPr>
              <w:spacing w:after="120"/>
              <w:jc w:val="center"/>
              <w:rPr>
                <w:color w:val="FF0000"/>
              </w:rPr>
            </w:pPr>
            <w:r>
              <w:rPr>
                <w:noProof/>
                <w:color w:val="FF0000"/>
                <w:lang w:eastAsia="pt-BR"/>
              </w:rPr>
              <w:lastRenderedPageBreak/>
              <w:drawing>
                <wp:inline distT="0" distB="0" distL="0" distR="0" wp14:anchorId="40C60805" wp14:editId="5BE02B07">
                  <wp:extent cx="5255260" cy="2816860"/>
                  <wp:effectExtent l="0" t="0" r="254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5260" cy="2816860"/>
                          </a:xfrm>
                          <a:prstGeom prst="rect">
                            <a:avLst/>
                          </a:prstGeom>
                          <a:noFill/>
                        </pic:spPr>
                      </pic:pic>
                    </a:graphicData>
                  </a:graphic>
                </wp:inline>
              </w:drawing>
            </w:r>
          </w:p>
          <w:p w14:paraId="44073F73" w14:textId="77777777" w:rsidR="00343335" w:rsidRPr="00D46AC6" w:rsidRDefault="00343335" w:rsidP="00256396">
            <w:pPr>
              <w:jc w:val="center"/>
              <w:rPr>
                <w:color w:val="FF0000"/>
                <w:sz w:val="2"/>
                <w:szCs w:val="2"/>
              </w:rPr>
            </w:pPr>
          </w:p>
        </w:tc>
      </w:tr>
      <w:tr w:rsidR="00343335" w:rsidRPr="00D46AC6" w14:paraId="3B20D2E4" w14:textId="77777777" w:rsidTr="00256396">
        <w:trPr>
          <w:jc w:val="center"/>
        </w:trPr>
        <w:tc>
          <w:tcPr>
            <w:tcW w:w="8533" w:type="dxa"/>
          </w:tcPr>
          <w:p w14:paraId="32D63AE1" w14:textId="70ADCF3A" w:rsidR="00343335" w:rsidRPr="009B7596" w:rsidRDefault="00343335" w:rsidP="00256396">
            <w:pPr>
              <w:rPr>
                <w:i/>
                <w:iCs/>
                <w:sz w:val="16"/>
                <w:szCs w:val="16"/>
              </w:rPr>
            </w:pPr>
            <w:r w:rsidRPr="009B7596">
              <w:rPr>
                <w:i/>
                <w:iCs/>
                <w:sz w:val="16"/>
                <w:szCs w:val="16"/>
              </w:rPr>
              <w:t xml:space="preserve">* </w:t>
            </w:r>
            <w:r>
              <w:rPr>
                <w:i/>
                <w:iCs/>
                <w:sz w:val="16"/>
                <w:szCs w:val="16"/>
              </w:rPr>
              <w:t xml:space="preserve">2021: </w:t>
            </w:r>
            <w:r w:rsidRPr="009B7596">
              <w:rPr>
                <w:i/>
                <w:iCs/>
                <w:sz w:val="16"/>
                <w:szCs w:val="16"/>
              </w:rPr>
              <w:t>Projeç</w:t>
            </w:r>
            <w:r>
              <w:rPr>
                <w:i/>
                <w:iCs/>
                <w:sz w:val="16"/>
                <w:szCs w:val="16"/>
              </w:rPr>
              <w:t>ão</w:t>
            </w:r>
            <w:proofErr w:type="gramStart"/>
            <w:r>
              <w:rPr>
                <w:i/>
                <w:iCs/>
                <w:sz w:val="16"/>
                <w:szCs w:val="16"/>
              </w:rPr>
              <w:t xml:space="preserve"> </w:t>
            </w:r>
            <w:r w:rsidRPr="009B7596">
              <w:rPr>
                <w:i/>
                <w:iCs/>
                <w:sz w:val="16"/>
                <w:szCs w:val="16"/>
              </w:rPr>
              <w:t xml:space="preserve"> </w:t>
            </w:r>
            <w:proofErr w:type="gramEnd"/>
            <w:r w:rsidRPr="009B7596">
              <w:rPr>
                <w:i/>
                <w:iCs/>
                <w:sz w:val="16"/>
                <w:szCs w:val="16"/>
              </w:rPr>
              <w:t>com base</w:t>
            </w:r>
            <w:r>
              <w:rPr>
                <w:i/>
                <w:iCs/>
                <w:sz w:val="16"/>
                <w:szCs w:val="16"/>
              </w:rPr>
              <w:t xml:space="preserve"> no ponto médio do </w:t>
            </w:r>
            <w:r w:rsidRPr="009B7596">
              <w:rPr>
                <w:i/>
                <w:iCs/>
                <w:sz w:val="16"/>
                <w:szCs w:val="16"/>
              </w:rPr>
              <w:t>PAF 202</w:t>
            </w:r>
            <w:r>
              <w:rPr>
                <w:i/>
                <w:iCs/>
                <w:sz w:val="16"/>
                <w:szCs w:val="16"/>
              </w:rPr>
              <w:t>1; 2022-2024: Simulações STN.</w:t>
            </w:r>
            <w:r w:rsidRPr="009B7596">
              <w:rPr>
                <w:i/>
                <w:iCs/>
                <w:sz w:val="16"/>
                <w:szCs w:val="16"/>
              </w:rPr>
              <w:t>.</w:t>
            </w:r>
          </w:p>
          <w:p w14:paraId="5F9D9317" w14:textId="77777777" w:rsidR="00343335" w:rsidRPr="009B7596" w:rsidRDefault="00343335" w:rsidP="00256396">
            <w:pPr>
              <w:rPr>
                <w:i/>
                <w:iCs/>
                <w:color w:val="FF0000"/>
                <w:sz w:val="20"/>
                <w:szCs w:val="20"/>
              </w:rPr>
            </w:pPr>
            <w:r w:rsidRPr="009B7596">
              <w:rPr>
                <w:b/>
                <w:bCs/>
                <w:i/>
                <w:iCs/>
                <w:sz w:val="16"/>
                <w:szCs w:val="16"/>
              </w:rPr>
              <w:t>Fonte e elaboração</w:t>
            </w:r>
            <w:r w:rsidRPr="009B7596">
              <w:rPr>
                <w:i/>
                <w:iCs/>
                <w:sz w:val="16"/>
                <w:szCs w:val="16"/>
              </w:rPr>
              <w:t>: STN/ME.</w:t>
            </w:r>
          </w:p>
        </w:tc>
      </w:tr>
    </w:tbl>
    <w:p w14:paraId="27494BC9" w14:textId="77777777" w:rsidR="00343335" w:rsidRPr="00343335" w:rsidRDefault="00343335" w:rsidP="00343335">
      <w:pPr>
        <w:spacing w:after="120" w:line="240" w:lineRule="auto"/>
        <w:ind w:firstLine="1418"/>
        <w:jc w:val="both"/>
        <w:rPr>
          <w:sz w:val="24"/>
          <w:szCs w:val="24"/>
        </w:rPr>
      </w:pPr>
      <w:r w:rsidRPr="00343335">
        <w:rPr>
          <w:sz w:val="24"/>
          <w:szCs w:val="24"/>
        </w:rPr>
        <w:t xml:space="preserve">Em consequência, o prazo médio também se reduziu de 4,0 para 3,6 anos com o aumento da emissão de títulos prefixados de curto prazo em 2020. Para 2021, o PAF traz expectativa de redução adicional nessa estatística, que deve ficar entre 3,2 anos e 3,6 anos ao final do exercício. O encurtamento da dívida se intensifica diante de uma redução estrutural, nos últimos anos, sobretudo após a perda do grau de investimento pelo país, na demanda pelos títulos mais longos, como a NTN-F, cujo principal demandante são investidores </w:t>
      </w:r>
      <w:proofErr w:type="gramStart"/>
      <w:r w:rsidRPr="00343335">
        <w:rPr>
          <w:sz w:val="24"/>
          <w:szCs w:val="24"/>
        </w:rPr>
        <w:t>não-residentes</w:t>
      </w:r>
      <w:proofErr w:type="gramEnd"/>
      <w:r w:rsidRPr="00343335">
        <w:rPr>
          <w:sz w:val="24"/>
          <w:szCs w:val="24"/>
        </w:rPr>
        <w:t>, e a NTN-B com prazos acima de 10 anos, cujos principais demandantes são fundos de pensão.</w:t>
      </w:r>
    </w:p>
    <w:p w14:paraId="41ED1D7C" w14:textId="77777777" w:rsidR="00343335" w:rsidRPr="00343335" w:rsidRDefault="00343335" w:rsidP="00343335">
      <w:pPr>
        <w:spacing w:after="120" w:line="240" w:lineRule="auto"/>
        <w:ind w:firstLine="1418"/>
        <w:jc w:val="both"/>
        <w:rPr>
          <w:sz w:val="24"/>
          <w:szCs w:val="24"/>
        </w:rPr>
      </w:pPr>
      <w:r w:rsidRPr="00343335">
        <w:rPr>
          <w:sz w:val="24"/>
          <w:szCs w:val="24"/>
        </w:rPr>
        <w:t>Para a mitigação do risco de refinanciamento busca-se a manutenção da reserva de liquidez para pagamento da dívida, que mitiga riscos no curto prazo. Trata-se de disponibilidade financeira na Conta Única, dedicada à finalidade de honrar os compromissos da DPF. Esse colchão de liquidez permite ao Tesouro Nacional se antecipar a períodos de maior concentração dos vencimentos, reduz o risco de refinanciamento da DPF e permite o pagamento de eventuais passivos contingentes. Essa reserva assegura flexibilidade à gestão da dívida para atuar em caso de condições adversas e de volatilidade excessiva no mercado de títulos públicos.</w:t>
      </w:r>
    </w:p>
    <w:p w14:paraId="439108C1" w14:textId="4090F21E" w:rsidR="00343335" w:rsidRDefault="00343335" w:rsidP="00343335">
      <w:pPr>
        <w:spacing w:after="120" w:line="240" w:lineRule="auto"/>
        <w:ind w:firstLine="1418"/>
        <w:jc w:val="both"/>
        <w:rPr>
          <w:sz w:val="24"/>
          <w:szCs w:val="24"/>
        </w:rPr>
      </w:pPr>
      <w:r w:rsidRPr="00343335">
        <w:rPr>
          <w:sz w:val="24"/>
          <w:szCs w:val="24"/>
        </w:rPr>
        <w:t>A margem de cobertura da reserva de liquidez para pagamento de vencimentos em 2022, particularmente, dependerá da extensão dos impactos das medidas fiscais em resposta à pandemia e ao estado de calamidade em curso sobre as necessidades de financiamento do Tesouro Nacional, bem como das condições de mercado para a emissão de títulos da dívida mobiliária em 2021.</w:t>
      </w:r>
    </w:p>
    <w:p w14:paraId="79232884" w14:textId="77777777" w:rsidR="00FC1490" w:rsidRPr="00911269" w:rsidRDefault="00FC1490" w:rsidP="00FC1490">
      <w:pPr>
        <w:spacing w:after="120" w:line="240" w:lineRule="auto"/>
        <w:jc w:val="both"/>
        <w:rPr>
          <w:sz w:val="24"/>
          <w:szCs w:val="24"/>
        </w:rPr>
      </w:pPr>
    </w:p>
    <w:p w14:paraId="3F1BCA5F" w14:textId="77777777" w:rsidR="00841E59" w:rsidRPr="007B7DC2" w:rsidRDefault="000D17A6" w:rsidP="001173BB">
      <w:pPr>
        <w:pStyle w:val="Ttulo2"/>
        <w:keepLines/>
        <w:numPr>
          <w:ilvl w:val="1"/>
          <w:numId w:val="36"/>
        </w:numPr>
        <w:spacing w:after="120"/>
        <w:ind w:left="578" w:hanging="578"/>
        <w:jc w:val="left"/>
        <w:rPr>
          <w:rFonts w:asciiTheme="minorHAnsi" w:hAnsiTheme="minorHAnsi" w:cs="Times New Roman"/>
          <w:color w:val="auto"/>
          <w:sz w:val="24"/>
          <w:szCs w:val="24"/>
        </w:rPr>
      </w:pPr>
      <w:bookmarkStart w:id="127" w:name="_Toc1117611"/>
      <w:bookmarkStart w:id="128" w:name="_Toc5012231"/>
      <w:bookmarkStart w:id="129" w:name="_Toc5030477"/>
      <w:bookmarkStart w:id="130" w:name="_Toc5180281"/>
      <w:bookmarkStart w:id="131" w:name="_Toc67317979"/>
      <w:bookmarkStart w:id="132" w:name="_Toc67929633"/>
      <w:bookmarkStart w:id="133" w:name="_Toc69121220"/>
      <w:r w:rsidRPr="007B7DC2">
        <w:rPr>
          <w:rFonts w:asciiTheme="minorHAnsi" w:hAnsiTheme="minorHAnsi" w:cs="Times New Roman"/>
          <w:color w:val="auto"/>
          <w:sz w:val="24"/>
          <w:szCs w:val="24"/>
        </w:rPr>
        <w:t>ESTRESSE DOS PARÂMETROS MACROECONÔMICOS E SIMULAÇÕES</w:t>
      </w:r>
      <w:bookmarkEnd w:id="127"/>
      <w:bookmarkEnd w:id="128"/>
      <w:bookmarkEnd w:id="129"/>
      <w:bookmarkEnd w:id="130"/>
      <w:bookmarkEnd w:id="131"/>
      <w:bookmarkEnd w:id="132"/>
      <w:bookmarkEnd w:id="133"/>
    </w:p>
    <w:p w14:paraId="7FD6B3D7" w14:textId="60A62AB8" w:rsidR="0041099C" w:rsidRPr="003258C5" w:rsidRDefault="0041099C" w:rsidP="0041099C">
      <w:pPr>
        <w:pStyle w:val="Recuodecorpodetexto"/>
        <w:spacing w:line="240" w:lineRule="auto"/>
        <w:ind w:left="0" w:firstLine="1418"/>
        <w:jc w:val="both"/>
        <w:rPr>
          <w:rFonts w:eastAsia="Times New Roman" w:cs="Times New Roman"/>
          <w:sz w:val="24"/>
          <w:szCs w:val="24"/>
          <w:lang w:eastAsia="pt-BR"/>
        </w:rPr>
      </w:pPr>
      <w:bookmarkStart w:id="134" w:name="_Hlk68695178"/>
      <w:bookmarkStart w:id="135" w:name="_Toc5180283"/>
      <w:bookmarkStart w:id="136" w:name="_Toc5012234"/>
      <w:bookmarkStart w:id="137" w:name="_Toc5030480"/>
      <w:r w:rsidRPr="003258C5">
        <w:rPr>
          <w:rFonts w:eastAsia="Times New Roman" w:cs="Times New Roman"/>
          <w:sz w:val="24"/>
          <w:szCs w:val="24"/>
          <w:lang w:eastAsia="pt-BR"/>
        </w:rPr>
        <w:t xml:space="preserve">A avaliação de estresse de parâmetros macroeconômicos consiste em uma série de simulações nas quais os parâmetros analisados – tais como PIB, inflação, juros etc. – </w:t>
      </w:r>
      <w:r>
        <w:rPr>
          <w:rFonts w:eastAsia="Times New Roman" w:cs="Times New Roman"/>
          <w:sz w:val="24"/>
          <w:szCs w:val="24"/>
          <w:lang w:eastAsia="pt-BR"/>
        </w:rPr>
        <w:t xml:space="preserve">são sujeitos a choques e, assim, </w:t>
      </w:r>
      <w:r w:rsidRPr="003258C5">
        <w:rPr>
          <w:rFonts w:eastAsia="Times New Roman" w:cs="Times New Roman"/>
          <w:sz w:val="24"/>
          <w:szCs w:val="24"/>
          <w:lang w:eastAsia="pt-BR"/>
        </w:rPr>
        <w:t xml:space="preserve">assumem diversos valores, de acordo com uma distribuição probabilística construída a partir de </w:t>
      </w:r>
      <w:r>
        <w:rPr>
          <w:rFonts w:eastAsia="Times New Roman" w:cs="Times New Roman"/>
          <w:sz w:val="24"/>
          <w:szCs w:val="24"/>
          <w:lang w:eastAsia="pt-BR"/>
        </w:rPr>
        <w:t>seus comportamentos históricos</w:t>
      </w:r>
      <w:r w:rsidRPr="003258C5">
        <w:rPr>
          <w:rFonts w:eastAsia="Times New Roman" w:cs="Times New Roman"/>
          <w:sz w:val="24"/>
          <w:szCs w:val="24"/>
          <w:lang w:eastAsia="pt-BR"/>
        </w:rPr>
        <w:t>, o que, por sua vez, resulta em um resultado fiscal alternativo para cada choque empregado.</w:t>
      </w:r>
    </w:p>
    <w:bookmarkEnd w:id="134"/>
    <w:p w14:paraId="41AFD4C7" w14:textId="40D1406E" w:rsidR="00E112A2" w:rsidRPr="00A96BB2" w:rsidRDefault="00974C4B" w:rsidP="00735067">
      <w:pPr>
        <w:pStyle w:val="Recuodecorpodetexto"/>
        <w:spacing w:line="240" w:lineRule="auto"/>
        <w:ind w:left="0" w:firstLine="1418"/>
        <w:jc w:val="both"/>
        <w:rPr>
          <w:rFonts w:eastAsia="Times New Roman" w:cs="Times New Roman"/>
          <w:sz w:val="24"/>
          <w:szCs w:val="24"/>
          <w:lang w:eastAsia="pt-BR"/>
        </w:rPr>
      </w:pPr>
      <w:r w:rsidRPr="0046418D">
        <w:rPr>
          <w:rFonts w:eastAsia="Times New Roman" w:cs="Times New Roman"/>
          <w:sz w:val="24"/>
          <w:szCs w:val="24"/>
          <w:lang w:eastAsia="pt-BR"/>
        </w:rPr>
        <w:t xml:space="preserve">O cálculo dos cenários de estresse dos parâmetros macroeconômicos utiliza o método de simulação de Monte Carlo, construída a partir de uma distribuição normal multivariada, na qual o </w:t>
      </w:r>
      <w:r w:rsidRPr="0046418D">
        <w:rPr>
          <w:rFonts w:eastAsia="Times New Roman" w:cs="Times New Roman"/>
          <w:sz w:val="24"/>
          <w:szCs w:val="24"/>
          <w:lang w:eastAsia="pt-BR"/>
        </w:rPr>
        <w:lastRenderedPageBreak/>
        <w:t>vetor de médias dos parâmetros são os valores projetados na Grade de Parâmetros fornecida pela</w:t>
      </w:r>
      <w:r w:rsidR="00E112A2" w:rsidRPr="0046418D">
        <w:rPr>
          <w:rFonts w:eastAsia="Times New Roman" w:cs="Times New Roman"/>
          <w:sz w:val="24"/>
          <w:szCs w:val="24"/>
          <w:lang w:eastAsia="pt-BR"/>
        </w:rPr>
        <w:t xml:space="preserve"> SPE/ME</w:t>
      </w:r>
      <w:r w:rsidR="00E112A2" w:rsidRPr="0046418D">
        <w:rPr>
          <w:rFonts w:eastAsia="Times New Roman" w:cs="Times New Roman"/>
          <w:sz w:val="24"/>
          <w:szCs w:val="24"/>
          <w:vertAlign w:val="superscript"/>
          <w:lang w:eastAsia="pt-BR"/>
        </w:rPr>
        <w:footnoteReference w:id="11"/>
      </w:r>
      <w:r w:rsidR="00E112A2" w:rsidRPr="0046418D">
        <w:rPr>
          <w:rFonts w:eastAsia="Times New Roman" w:cs="Times New Roman"/>
          <w:sz w:val="24"/>
          <w:szCs w:val="24"/>
          <w:lang w:eastAsia="pt-BR"/>
        </w:rPr>
        <w:t xml:space="preserve"> </w:t>
      </w:r>
      <w:r w:rsidR="00735067" w:rsidRPr="0046418D">
        <w:rPr>
          <w:rFonts w:eastAsia="Times New Roman" w:cs="Times New Roman"/>
          <w:sz w:val="24"/>
          <w:szCs w:val="24"/>
          <w:lang w:eastAsia="pt-BR"/>
        </w:rPr>
        <w:t>e a matriz de variância-covariância é estimada por meio do histórico de dados dos parâmetros macroeconômicos</w:t>
      </w:r>
      <w:r w:rsidR="00E112A2" w:rsidRPr="0046418D">
        <w:rPr>
          <w:rStyle w:val="Refdenotaderodap"/>
          <w:rFonts w:eastAsia="Times New Roman" w:cs="Times New Roman"/>
          <w:sz w:val="24"/>
          <w:szCs w:val="24"/>
          <w:lang w:eastAsia="pt-BR"/>
        </w:rPr>
        <w:footnoteReference w:id="12"/>
      </w:r>
      <w:r w:rsidR="00FB27AB" w:rsidRPr="0046418D">
        <w:rPr>
          <w:rFonts w:eastAsia="Times New Roman" w:cs="Times New Roman"/>
          <w:sz w:val="24"/>
          <w:szCs w:val="24"/>
          <w:lang w:eastAsia="pt-BR"/>
        </w:rPr>
        <w:t>.</w:t>
      </w:r>
      <w:r w:rsidR="00E112A2" w:rsidRPr="0046418D">
        <w:rPr>
          <w:rFonts w:eastAsia="Times New Roman" w:cs="Times New Roman"/>
          <w:sz w:val="24"/>
          <w:szCs w:val="24"/>
          <w:lang w:eastAsia="pt-BR"/>
        </w:rPr>
        <w:t xml:space="preserve"> </w:t>
      </w:r>
      <w:r w:rsidR="0046418D" w:rsidRPr="0046418D">
        <w:rPr>
          <w:rFonts w:eastAsia="Times New Roman" w:cs="Times New Roman"/>
          <w:sz w:val="24"/>
          <w:szCs w:val="24"/>
          <w:lang w:eastAsia="pt-BR"/>
        </w:rPr>
        <w:t>É importante ressaltar que este método permite a construção de cenários economicamente consistentes, ou seja, as relações diretas e inversas entre as variáveis são adequadamente refletidas nos resultados</w:t>
      </w:r>
      <w:r w:rsidR="00885091">
        <w:rPr>
          <w:rFonts w:eastAsia="Times New Roman" w:cs="Times New Roman"/>
          <w:sz w:val="24"/>
          <w:szCs w:val="24"/>
          <w:lang w:eastAsia="pt-BR"/>
        </w:rPr>
        <w:t xml:space="preserve"> quando se considera o conjunto</w:t>
      </w:r>
      <w:r w:rsidR="007E64DC">
        <w:rPr>
          <w:rFonts w:eastAsia="Times New Roman" w:cs="Times New Roman"/>
          <w:sz w:val="24"/>
          <w:szCs w:val="24"/>
          <w:lang w:eastAsia="pt-BR"/>
        </w:rPr>
        <w:t xml:space="preserve"> probabilístico</w:t>
      </w:r>
      <w:r w:rsidR="0046418D" w:rsidRPr="0046418D">
        <w:rPr>
          <w:rFonts w:eastAsia="Times New Roman" w:cs="Times New Roman"/>
          <w:sz w:val="24"/>
          <w:szCs w:val="24"/>
          <w:lang w:eastAsia="pt-BR"/>
        </w:rPr>
        <w:t>. Por exemplo, nota-se que cenários em que há maior taxa de juros estão</w:t>
      </w:r>
      <w:r w:rsidR="0046418D" w:rsidRPr="00A96BB2">
        <w:rPr>
          <w:rFonts w:eastAsia="Times New Roman" w:cs="Times New Roman"/>
          <w:sz w:val="24"/>
          <w:szCs w:val="24"/>
          <w:lang w:eastAsia="pt-BR"/>
        </w:rPr>
        <w:t>, em geral, associados a menores níveis de crescimento.</w:t>
      </w:r>
    </w:p>
    <w:p w14:paraId="1182BEAC" w14:textId="73BB452F" w:rsidR="00E112A2" w:rsidRDefault="00A96BB2" w:rsidP="00E112A2">
      <w:pPr>
        <w:pStyle w:val="Recuodecorpodetexto"/>
        <w:spacing w:line="240" w:lineRule="auto"/>
        <w:ind w:left="0" w:firstLine="1418"/>
        <w:jc w:val="both"/>
        <w:rPr>
          <w:rFonts w:eastAsia="Times New Roman" w:cs="Times New Roman"/>
          <w:sz w:val="24"/>
          <w:szCs w:val="24"/>
          <w:lang w:eastAsia="pt-BR"/>
        </w:rPr>
      </w:pPr>
      <w:r w:rsidRPr="00A96BB2">
        <w:rPr>
          <w:rFonts w:eastAsia="Times New Roman" w:cs="Times New Roman"/>
          <w:sz w:val="24"/>
          <w:szCs w:val="24"/>
          <w:lang w:eastAsia="pt-BR"/>
        </w:rPr>
        <w:t>Foram realizados quinhentos choques com base na metodologia apresentada, os quais geraram quinhentas trajetórias distintas para as variáveis macroeconômicas. Essas trajetórias, por sua vez, são apresentadas na forma de um gráfico de leque (</w:t>
      </w:r>
      <w:proofErr w:type="spellStart"/>
      <w:r w:rsidRPr="00A96BB2">
        <w:rPr>
          <w:rFonts w:eastAsia="Times New Roman" w:cs="Times New Roman"/>
          <w:i/>
          <w:iCs/>
          <w:sz w:val="24"/>
          <w:szCs w:val="24"/>
          <w:lang w:eastAsia="pt-BR"/>
        </w:rPr>
        <w:t>fan</w:t>
      </w:r>
      <w:proofErr w:type="spellEnd"/>
      <w:r w:rsidRPr="00A96BB2">
        <w:rPr>
          <w:rFonts w:eastAsia="Times New Roman" w:cs="Times New Roman"/>
          <w:i/>
          <w:iCs/>
          <w:sz w:val="24"/>
          <w:szCs w:val="24"/>
          <w:lang w:eastAsia="pt-BR"/>
        </w:rPr>
        <w:t xml:space="preserve"> </w:t>
      </w:r>
      <w:proofErr w:type="spellStart"/>
      <w:r w:rsidRPr="00A96BB2">
        <w:rPr>
          <w:rFonts w:eastAsia="Times New Roman" w:cs="Times New Roman"/>
          <w:i/>
          <w:iCs/>
          <w:sz w:val="24"/>
          <w:szCs w:val="24"/>
          <w:lang w:eastAsia="pt-BR"/>
        </w:rPr>
        <w:t>chart</w:t>
      </w:r>
      <w:proofErr w:type="spellEnd"/>
      <w:r w:rsidRPr="00A96BB2">
        <w:rPr>
          <w:rFonts w:eastAsia="Times New Roman" w:cs="Times New Roman"/>
          <w:sz w:val="24"/>
          <w:szCs w:val="24"/>
          <w:lang w:eastAsia="pt-BR"/>
        </w:rPr>
        <w:t xml:space="preserve">), em que os cenários alternativos são dispersos em torno do </w:t>
      </w:r>
      <w:proofErr w:type="gramStart"/>
      <w:r w:rsidRPr="00A96BB2">
        <w:rPr>
          <w:rFonts w:eastAsia="Times New Roman" w:cs="Times New Roman"/>
          <w:sz w:val="24"/>
          <w:szCs w:val="24"/>
          <w:lang w:eastAsia="pt-BR"/>
        </w:rPr>
        <w:t>cenário base</w:t>
      </w:r>
      <w:proofErr w:type="gramEnd"/>
      <w:r w:rsidRPr="00A96BB2">
        <w:rPr>
          <w:rFonts w:eastAsia="Times New Roman" w:cs="Times New Roman"/>
          <w:sz w:val="24"/>
          <w:szCs w:val="24"/>
          <w:lang w:eastAsia="pt-BR"/>
        </w:rPr>
        <w:t xml:space="preserve">. As probabilidades de realização são </w:t>
      </w:r>
      <w:proofErr w:type="gramStart"/>
      <w:r w:rsidRPr="00A96BB2">
        <w:rPr>
          <w:rFonts w:eastAsia="Times New Roman" w:cs="Times New Roman"/>
          <w:sz w:val="24"/>
          <w:szCs w:val="24"/>
          <w:lang w:eastAsia="pt-BR"/>
        </w:rPr>
        <w:t>menores quanto mais afastado</w:t>
      </w:r>
      <w:proofErr w:type="gramEnd"/>
      <w:r w:rsidRPr="00A96BB2">
        <w:rPr>
          <w:rFonts w:eastAsia="Times New Roman" w:cs="Times New Roman"/>
          <w:sz w:val="24"/>
          <w:szCs w:val="24"/>
          <w:lang w:eastAsia="pt-BR"/>
        </w:rPr>
        <w:t xml:space="preserve"> se está do centro da projeção. A partir disso, considerando-se as variáveis relevantes para cada item, foram estimadas as trajetórias de receitas, despesas, resultado primário e dívida pública.</w:t>
      </w:r>
    </w:p>
    <w:p w14:paraId="725A01E6" w14:textId="77777777" w:rsidR="009B7596" w:rsidRPr="00A96BB2" w:rsidRDefault="009B7596" w:rsidP="00E112A2">
      <w:pPr>
        <w:pStyle w:val="Recuodecorpodetexto"/>
        <w:spacing w:line="240" w:lineRule="auto"/>
        <w:ind w:left="0" w:firstLine="1418"/>
        <w:jc w:val="both"/>
        <w:rPr>
          <w:rFonts w:eastAsia="Times New Roman" w:cs="Times New Roman"/>
          <w:sz w:val="24"/>
          <w:szCs w:val="24"/>
          <w:lang w:eastAsia="pt-BR"/>
        </w:rPr>
      </w:pPr>
    </w:p>
    <w:p w14:paraId="3634305C" w14:textId="77777777" w:rsidR="00E112A2" w:rsidRPr="00B67B51" w:rsidRDefault="00E112A2" w:rsidP="00B75FA8">
      <w:pPr>
        <w:pStyle w:val="Ttulo3"/>
        <w:keepNext w:val="0"/>
        <w:numPr>
          <w:ilvl w:val="2"/>
          <w:numId w:val="36"/>
        </w:numPr>
        <w:spacing w:after="120"/>
        <w:ind w:left="720" w:hanging="720"/>
        <w:rPr>
          <w:rFonts w:asciiTheme="minorHAnsi" w:hAnsiTheme="minorHAnsi"/>
          <w:b/>
          <w:smallCaps w:val="0"/>
        </w:rPr>
      </w:pPr>
      <w:bookmarkStart w:id="138" w:name="_Toc67317980"/>
      <w:bookmarkStart w:id="139" w:name="_Toc67929634"/>
      <w:bookmarkStart w:id="140" w:name="_Toc69121221"/>
      <w:r w:rsidRPr="00B67B51">
        <w:rPr>
          <w:rFonts w:asciiTheme="minorHAnsi" w:hAnsiTheme="minorHAnsi"/>
          <w:b/>
          <w:smallCaps w:val="0"/>
        </w:rPr>
        <w:t>Receitas</w:t>
      </w:r>
      <w:bookmarkEnd w:id="138"/>
      <w:bookmarkEnd w:id="139"/>
      <w:bookmarkEnd w:id="140"/>
    </w:p>
    <w:p w14:paraId="0B30039B" w14:textId="5BF5A4DD" w:rsidR="00E112A2" w:rsidRDefault="00DD56ED" w:rsidP="001A0861">
      <w:pPr>
        <w:pStyle w:val="Recuodecorpodetexto"/>
        <w:spacing w:line="240" w:lineRule="auto"/>
        <w:ind w:left="0" w:firstLine="1418"/>
        <w:jc w:val="both"/>
        <w:rPr>
          <w:rFonts w:eastAsia="Times New Roman" w:cs="Times New Roman"/>
          <w:sz w:val="24"/>
          <w:szCs w:val="24"/>
          <w:lang w:eastAsia="pt-BR"/>
        </w:rPr>
      </w:pPr>
      <w:r w:rsidRPr="00B67B51">
        <w:rPr>
          <w:rFonts w:eastAsia="Times New Roman" w:cs="Times New Roman"/>
          <w:sz w:val="24"/>
          <w:szCs w:val="24"/>
          <w:lang w:eastAsia="pt-BR"/>
        </w:rPr>
        <w:t xml:space="preserve">Os cenários macroeconômicos gerados foram aplicados às Receitas Administradas pela RFB, às Receitas Previdenciárias, e às receitas de Contribuição do Salário Educação e Exploração de Recursos Naturais </w:t>
      </w:r>
      <w:r w:rsidR="00E112A2" w:rsidRPr="00B67B51">
        <w:rPr>
          <w:rFonts w:eastAsia="Times New Roman" w:cs="Times New Roman"/>
          <w:sz w:val="24"/>
          <w:szCs w:val="24"/>
          <w:lang w:eastAsia="pt-BR"/>
        </w:rPr>
        <w:t xml:space="preserve">(conforme </w:t>
      </w:r>
      <w:r w:rsidR="00E112A2" w:rsidRPr="00B67B51">
        <w:rPr>
          <w:rFonts w:eastAsia="Times New Roman" w:cs="Times New Roman"/>
          <w:sz w:val="24"/>
          <w:szCs w:val="24"/>
          <w:lang w:eastAsia="pt-BR"/>
        </w:rPr>
        <w:fldChar w:fldCharType="begin"/>
      </w:r>
      <w:r w:rsidR="00E112A2" w:rsidRPr="00B67B51">
        <w:rPr>
          <w:rFonts w:eastAsia="Times New Roman" w:cs="Times New Roman"/>
          <w:sz w:val="24"/>
          <w:szCs w:val="24"/>
          <w:lang w:eastAsia="pt-BR"/>
        </w:rPr>
        <w:instrText xml:space="preserve"> REF _Ref5265196 \h  \* MERGEFORMAT </w:instrText>
      </w:r>
      <w:r w:rsidR="00E112A2" w:rsidRPr="00B67B51">
        <w:rPr>
          <w:rFonts w:eastAsia="Times New Roman" w:cs="Times New Roman"/>
          <w:sz w:val="24"/>
          <w:szCs w:val="24"/>
          <w:lang w:eastAsia="pt-BR"/>
        </w:rPr>
      </w:r>
      <w:r w:rsidR="00E112A2" w:rsidRPr="00B67B51">
        <w:rPr>
          <w:rFonts w:eastAsia="Times New Roman" w:cs="Times New Roman"/>
          <w:sz w:val="24"/>
          <w:szCs w:val="24"/>
          <w:lang w:eastAsia="pt-BR"/>
        </w:rPr>
        <w:fldChar w:fldCharType="separate"/>
      </w:r>
      <w:r w:rsidR="00304F5F" w:rsidRPr="00304F5F">
        <w:rPr>
          <w:rFonts w:eastAsia="Times New Roman" w:cs="Times New Roman"/>
          <w:sz w:val="24"/>
          <w:szCs w:val="24"/>
          <w:lang w:eastAsia="pt-BR"/>
        </w:rPr>
        <w:t>Tabela 4</w:t>
      </w:r>
      <w:r w:rsidR="00E112A2" w:rsidRPr="00B67B51">
        <w:rPr>
          <w:rFonts w:eastAsia="Times New Roman" w:cs="Times New Roman"/>
          <w:sz w:val="24"/>
          <w:szCs w:val="24"/>
          <w:lang w:eastAsia="pt-BR"/>
        </w:rPr>
        <w:fldChar w:fldCharType="end"/>
      </w:r>
      <w:r w:rsidR="00E112A2" w:rsidRPr="00B67B51">
        <w:rPr>
          <w:rFonts w:eastAsia="Times New Roman" w:cs="Times New Roman"/>
          <w:sz w:val="24"/>
          <w:szCs w:val="24"/>
          <w:lang w:eastAsia="pt-BR"/>
        </w:rPr>
        <w:t xml:space="preserve">), </w:t>
      </w:r>
      <w:r w:rsidR="00DD7706" w:rsidRPr="00B67B51">
        <w:rPr>
          <w:rFonts w:eastAsia="Times New Roman" w:cs="Times New Roman"/>
          <w:sz w:val="24"/>
          <w:szCs w:val="24"/>
          <w:lang w:eastAsia="pt-BR"/>
        </w:rPr>
        <w:t xml:space="preserve">que corresponderam a </w:t>
      </w:r>
      <w:r w:rsidR="00986E56">
        <w:rPr>
          <w:rFonts w:eastAsia="Times New Roman" w:cs="Times New Roman"/>
          <w:sz w:val="24"/>
          <w:szCs w:val="24"/>
          <w:lang w:eastAsia="pt-BR"/>
        </w:rPr>
        <w:t>quase</w:t>
      </w:r>
      <w:r w:rsidR="00DD7706" w:rsidRPr="00B67B51">
        <w:rPr>
          <w:rFonts w:eastAsia="Times New Roman" w:cs="Times New Roman"/>
          <w:sz w:val="24"/>
          <w:szCs w:val="24"/>
          <w:lang w:eastAsia="pt-BR"/>
        </w:rPr>
        <w:t xml:space="preserve"> 9</w:t>
      </w:r>
      <w:r w:rsidR="00986E56">
        <w:rPr>
          <w:rFonts w:eastAsia="Times New Roman" w:cs="Times New Roman"/>
          <w:sz w:val="24"/>
          <w:szCs w:val="24"/>
          <w:lang w:eastAsia="pt-BR"/>
        </w:rPr>
        <w:t>5</w:t>
      </w:r>
      <w:r w:rsidR="00DD7706" w:rsidRPr="00B67B51">
        <w:rPr>
          <w:rFonts w:eastAsia="Times New Roman" w:cs="Times New Roman"/>
          <w:sz w:val="24"/>
          <w:szCs w:val="24"/>
          <w:lang w:eastAsia="pt-BR"/>
        </w:rPr>
        <w:t>% da arrecadação em 20</w:t>
      </w:r>
      <w:r w:rsidR="00986E56">
        <w:rPr>
          <w:rFonts w:eastAsia="Times New Roman" w:cs="Times New Roman"/>
          <w:sz w:val="24"/>
          <w:szCs w:val="24"/>
          <w:lang w:eastAsia="pt-BR"/>
        </w:rPr>
        <w:t>20</w:t>
      </w:r>
      <w:r w:rsidR="00DD7706" w:rsidRPr="00B67B51">
        <w:rPr>
          <w:rFonts w:eastAsia="Times New Roman" w:cs="Times New Roman"/>
          <w:sz w:val="24"/>
          <w:szCs w:val="24"/>
          <w:lang w:eastAsia="pt-BR"/>
        </w:rPr>
        <w:t>. As premissas utilizadas para realização deste exercício seguem as mesmas detalhadas no Anexo de Metas Fiscais, ou seja, não são consideradas reformas fiscais nem receitas extraordinárias.</w:t>
      </w:r>
    </w:p>
    <w:p w14:paraId="589F5F03" w14:textId="428AD869" w:rsidR="00E112A2" w:rsidRPr="00B67B51" w:rsidRDefault="00E112A2" w:rsidP="009A4C35">
      <w:pPr>
        <w:spacing w:before="240" w:after="120" w:line="240" w:lineRule="auto"/>
        <w:jc w:val="center"/>
      </w:pPr>
      <w:bookmarkStart w:id="141" w:name="_Toc69121332"/>
      <w:r w:rsidRPr="00B67B51">
        <w:t xml:space="preserve">Figura </w:t>
      </w:r>
      <w:r>
        <w:fldChar w:fldCharType="begin"/>
      </w:r>
      <w:r>
        <w:instrText>SEQ Figura \* ARABIC</w:instrText>
      </w:r>
      <w:r>
        <w:fldChar w:fldCharType="separate"/>
      </w:r>
      <w:r w:rsidR="00304F5F">
        <w:rPr>
          <w:noProof/>
        </w:rPr>
        <w:t>7</w:t>
      </w:r>
      <w:r>
        <w:fldChar w:fldCharType="end"/>
      </w:r>
      <w:r w:rsidR="00625877" w:rsidRPr="00B67B51">
        <w:rPr>
          <w:noProof/>
        </w:rPr>
        <w:t xml:space="preserve"> -</w:t>
      </w:r>
      <w:r w:rsidRPr="00B67B51">
        <w:t xml:space="preserve"> Espectro de cenários alternativos para Receitas Líquidas (R$ </w:t>
      </w:r>
      <w:r w:rsidR="00B32A7D" w:rsidRPr="00B67B51">
        <w:t>b</w:t>
      </w:r>
      <w:r w:rsidRPr="00B67B51">
        <w:t>ilhões)</w:t>
      </w:r>
      <w:bookmarkEnd w:id="141"/>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2"/>
      </w:tblGrid>
      <w:tr w:rsidR="008A7FD6" w14:paraId="15FB23D0" w14:textId="77777777" w:rsidTr="0048657F">
        <w:trPr>
          <w:jc w:val="center"/>
        </w:trPr>
        <w:tc>
          <w:tcPr>
            <w:tcW w:w="0" w:type="auto"/>
          </w:tcPr>
          <w:p w14:paraId="5387A614" w14:textId="769B5854" w:rsidR="000B2C45" w:rsidRPr="008A7FD6" w:rsidRDefault="000B2C45" w:rsidP="0048657F">
            <w:pPr>
              <w:pStyle w:val="Recuodecorpodetexto"/>
              <w:spacing w:after="0"/>
              <w:ind w:left="0"/>
              <w:jc w:val="center"/>
              <w:rPr>
                <w:rFonts w:eastAsia="Times New Roman" w:cs="Times New Roman"/>
                <w:sz w:val="24"/>
                <w:szCs w:val="24"/>
                <w:lang w:eastAsia="pt-BR"/>
              </w:rPr>
            </w:pPr>
            <w:r w:rsidRPr="008A7FD6">
              <w:rPr>
                <w:rFonts w:eastAsia="Times New Roman" w:cs="Times New Roman"/>
                <w:noProof/>
                <w:sz w:val="24"/>
                <w:szCs w:val="24"/>
                <w:lang w:eastAsia="pt-BR"/>
              </w:rPr>
              <w:lastRenderedPageBreak/>
              <w:drawing>
                <wp:inline distT="0" distB="0" distL="0" distR="0" wp14:anchorId="00AD8E9D" wp14:editId="1B646C4C">
                  <wp:extent cx="5471160" cy="34366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160" cy="3436620"/>
                          </a:xfrm>
                          <a:prstGeom prst="rect">
                            <a:avLst/>
                          </a:prstGeom>
                          <a:noFill/>
                        </pic:spPr>
                      </pic:pic>
                    </a:graphicData>
                  </a:graphic>
                </wp:inline>
              </w:drawing>
            </w:r>
          </w:p>
        </w:tc>
      </w:tr>
      <w:tr w:rsidR="008A7FD6" w14:paraId="43EFFCE2" w14:textId="77777777" w:rsidTr="0048657F">
        <w:trPr>
          <w:jc w:val="center"/>
        </w:trPr>
        <w:tc>
          <w:tcPr>
            <w:tcW w:w="0" w:type="auto"/>
          </w:tcPr>
          <w:p w14:paraId="5E998E2B" w14:textId="1641E2C1" w:rsidR="000B2C45" w:rsidRPr="008A7FD6" w:rsidRDefault="008A7FD6" w:rsidP="00CB5391">
            <w:pPr>
              <w:pStyle w:val="Recuodecorpodetexto"/>
              <w:spacing w:before="240" w:after="0"/>
              <w:ind w:left="0"/>
              <w:jc w:val="both"/>
              <w:rPr>
                <w:rFonts w:eastAsia="Times New Roman" w:cs="Times New Roman"/>
                <w:sz w:val="24"/>
                <w:szCs w:val="24"/>
                <w:lang w:eastAsia="pt-BR"/>
              </w:rPr>
            </w:pPr>
            <w:r w:rsidRPr="008A7FD6">
              <w:rPr>
                <w:rFonts w:eastAsia="Times New Roman" w:cs="Times New Roman"/>
                <w:b/>
                <w:bCs/>
                <w:i/>
                <w:iCs/>
                <w:sz w:val="16"/>
                <w:szCs w:val="16"/>
                <w:lang w:eastAsia="pt-BR"/>
              </w:rPr>
              <w:t>Fonte e Elaboração</w:t>
            </w:r>
            <w:r w:rsidRPr="008A7FD6">
              <w:rPr>
                <w:rFonts w:eastAsia="Times New Roman" w:cs="Times New Roman"/>
                <w:i/>
                <w:iCs/>
                <w:sz w:val="16"/>
                <w:szCs w:val="16"/>
                <w:lang w:eastAsia="pt-BR"/>
              </w:rPr>
              <w:t>: STN/ME.</w:t>
            </w:r>
          </w:p>
        </w:tc>
      </w:tr>
    </w:tbl>
    <w:p w14:paraId="7FF5ACAA" w14:textId="77777777" w:rsidR="008A7FD6" w:rsidRDefault="008A7FD6" w:rsidP="001A0861">
      <w:pPr>
        <w:pStyle w:val="Recuodecorpodetexto"/>
        <w:spacing w:line="240" w:lineRule="auto"/>
        <w:ind w:left="0" w:firstLine="1418"/>
        <w:jc w:val="both"/>
        <w:rPr>
          <w:rFonts w:eastAsia="Times New Roman" w:cs="Times New Roman"/>
          <w:sz w:val="24"/>
          <w:szCs w:val="24"/>
          <w:lang w:eastAsia="pt-BR"/>
        </w:rPr>
      </w:pPr>
    </w:p>
    <w:p w14:paraId="4523B8AC" w14:textId="46D33D47" w:rsidR="00E112A2" w:rsidRPr="000E42A7" w:rsidRDefault="00026781" w:rsidP="001A0861">
      <w:pPr>
        <w:pStyle w:val="Recuodecorpodetexto"/>
        <w:spacing w:line="240" w:lineRule="auto"/>
        <w:ind w:left="0" w:firstLine="1418"/>
        <w:jc w:val="both"/>
        <w:rPr>
          <w:rFonts w:eastAsia="Times New Roman" w:cs="Times New Roman"/>
          <w:sz w:val="24"/>
          <w:szCs w:val="24"/>
          <w:lang w:eastAsia="pt-BR"/>
        </w:rPr>
      </w:pPr>
      <w:r w:rsidRPr="000E42A7">
        <w:rPr>
          <w:rFonts w:eastAsia="Times New Roman" w:cs="Times New Roman"/>
          <w:sz w:val="24"/>
          <w:szCs w:val="24"/>
          <w:lang w:eastAsia="pt-BR"/>
        </w:rPr>
        <w:t>As simulações realizadas mostram que a receita líquida pode variar significativamente ao longo do tempo, refletindo a alta variância relacionada às variáveis macroeconômicas e seu impacto nas receitas. Com efeito, a arrecadação é o componente mais sujeito às mudanças no ciclo econômico e/ou de preços no âmbito do orçamento. Como se pode observar, nos períodos mais distantes do ponto inicial as nuvens de probabilidades se expandem, refletindo a incerteza crescente.</w:t>
      </w:r>
    </w:p>
    <w:p w14:paraId="0FC86B5F" w14:textId="77777777" w:rsidR="0096621D" w:rsidRPr="003258C5" w:rsidRDefault="0096621D" w:rsidP="0096621D">
      <w:pPr>
        <w:pStyle w:val="Recuodecorpodetexto"/>
        <w:spacing w:line="240" w:lineRule="auto"/>
        <w:ind w:left="0" w:firstLine="1418"/>
        <w:jc w:val="both"/>
        <w:rPr>
          <w:rFonts w:eastAsia="Times New Roman" w:cs="Times New Roman"/>
          <w:sz w:val="24"/>
          <w:szCs w:val="24"/>
          <w:lang w:eastAsia="pt-BR"/>
        </w:rPr>
      </w:pPr>
      <w:r w:rsidRPr="003258C5">
        <w:rPr>
          <w:rFonts w:eastAsia="Times New Roman" w:cs="Times New Roman"/>
          <w:sz w:val="24"/>
          <w:szCs w:val="24"/>
          <w:lang w:eastAsia="pt-BR"/>
        </w:rPr>
        <w:t>Para o ano de 202</w:t>
      </w:r>
      <w:r>
        <w:rPr>
          <w:rFonts w:eastAsia="Times New Roman" w:cs="Times New Roman"/>
          <w:sz w:val="24"/>
          <w:szCs w:val="24"/>
          <w:lang w:eastAsia="pt-BR"/>
        </w:rPr>
        <w:t>2</w:t>
      </w:r>
      <w:r w:rsidRPr="003258C5">
        <w:rPr>
          <w:rFonts w:eastAsia="Times New Roman" w:cs="Times New Roman"/>
          <w:sz w:val="24"/>
          <w:szCs w:val="24"/>
          <w:lang w:eastAsia="pt-BR"/>
        </w:rPr>
        <w:t xml:space="preserve">, as estimativas constantes no Anexo de Metas Fiscais apontam uma receita líquida no montante de R$ </w:t>
      </w:r>
      <w:r>
        <w:rPr>
          <w:rFonts w:eastAsia="Times New Roman" w:cs="Times New Roman"/>
          <w:sz w:val="24"/>
          <w:szCs w:val="24"/>
          <w:lang w:eastAsia="pt-BR"/>
        </w:rPr>
        <w:t>1</w:t>
      </w:r>
      <w:r w:rsidRPr="003258C5">
        <w:rPr>
          <w:rFonts w:eastAsia="Times New Roman" w:cs="Times New Roman"/>
          <w:sz w:val="24"/>
          <w:szCs w:val="24"/>
          <w:lang w:eastAsia="pt-BR"/>
        </w:rPr>
        <w:t>.</w:t>
      </w:r>
      <w:r>
        <w:rPr>
          <w:rFonts w:eastAsia="Times New Roman" w:cs="Times New Roman"/>
          <w:sz w:val="24"/>
          <w:szCs w:val="24"/>
          <w:lang w:eastAsia="pt-BR"/>
        </w:rPr>
        <w:t>451</w:t>
      </w:r>
      <w:r w:rsidRPr="003258C5">
        <w:rPr>
          <w:rFonts w:eastAsia="Times New Roman" w:cs="Times New Roman"/>
          <w:sz w:val="24"/>
          <w:szCs w:val="24"/>
          <w:lang w:eastAsia="pt-BR"/>
        </w:rPr>
        <w:t xml:space="preserve"> bilhões. Tal valor pode variar em cerca R$ </w:t>
      </w:r>
      <w:r>
        <w:rPr>
          <w:rFonts w:eastAsia="Times New Roman" w:cs="Times New Roman"/>
          <w:sz w:val="24"/>
          <w:szCs w:val="24"/>
          <w:lang w:eastAsia="pt-BR"/>
        </w:rPr>
        <w:t>46</w:t>
      </w:r>
      <w:r w:rsidRPr="003258C5">
        <w:rPr>
          <w:rFonts w:eastAsia="Times New Roman" w:cs="Times New Roman"/>
          <w:sz w:val="24"/>
          <w:szCs w:val="24"/>
          <w:lang w:eastAsia="pt-BR"/>
        </w:rPr>
        <w:t xml:space="preserve"> bilhões negativos ou positivos dentro da zona intermediária 25-75, ou ainda variar cerca de R$ </w:t>
      </w:r>
      <w:r>
        <w:rPr>
          <w:rFonts w:eastAsia="Times New Roman" w:cs="Times New Roman"/>
          <w:sz w:val="24"/>
          <w:szCs w:val="24"/>
          <w:lang w:eastAsia="pt-BR"/>
        </w:rPr>
        <w:t>86</w:t>
      </w:r>
      <w:r w:rsidRPr="003258C5">
        <w:rPr>
          <w:rFonts w:eastAsia="Times New Roman" w:cs="Times New Roman"/>
          <w:sz w:val="24"/>
          <w:szCs w:val="24"/>
          <w:lang w:eastAsia="pt-BR"/>
        </w:rPr>
        <w:t xml:space="preserve"> bilhões negativos ou positivos no extremo inferior (percentil 10) ou superior (percentil 90), atingindo, respectivamente, R$ 1.3</w:t>
      </w:r>
      <w:r>
        <w:rPr>
          <w:rFonts w:eastAsia="Times New Roman" w:cs="Times New Roman"/>
          <w:sz w:val="24"/>
          <w:szCs w:val="24"/>
          <w:lang w:eastAsia="pt-BR"/>
        </w:rPr>
        <w:t>65</w:t>
      </w:r>
      <w:r w:rsidRPr="003258C5">
        <w:rPr>
          <w:rFonts w:eastAsia="Times New Roman" w:cs="Times New Roman"/>
          <w:sz w:val="24"/>
          <w:szCs w:val="24"/>
          <w:lang w:eastAsia="pt-BR"/>
        </w:rPr>
        <w:t xml:space="preserve"> bilhões até R$ 1.</w:t>
      </w:r>
      <w:r>
        <w:rPr>
          <w:rFonts w:eastAsia="Times New Roman" w:cs="Times New Roman"/>
          <w:sz w:val="24"/>
          <w:szCs w:val="24"/>
          <w:lang w:eastAsia="pt-BR"/>
        </w:rPr>
        <w:t>537</w:t>
      </w:r>
      <w:r w:rsidRPr="003258C5">
        <w:rPr>
          <w:rFonts w:eastAsia="Times New Roman" w:cs="Times New Roman"/>
          <w:sz w:val="24"/>
          <w:szCs w:val="24"/>
          <w:lang w:eastAsia="pt-BR"/>
        </w:rPr>
        <w:t xml:space="preserve"> bilhões. Para os anos de 202</w:t>
      </w:r>
      <w:r>
        <w:rPr>
          <w:rFonts w:eastAsia="Times New Roman" w:cs="Times New Roman"/>
          <w:sz w:val="24"/>
          <w:szCs w:val="24"/>
          <w:lang w:eastAsia="pt-BR"/>
        </w:rPr>
        <w:t>3</w:t>
      </w:r>
      <w:r w:rsidRPr="003258C5">
        <w:rPr>
          <w:rFonts w:eastAsia="Times New Roman" w:cs="Times New Roman"/>
          <w:sz w:val="24"/>
          <w:szCs w:val="24"/>
          <w:lang w:eastAsia="pt-BR"/>
        </w:rPr>
        <w:t xml:space="preserve"> e 202</w:t>
      </w:r>
      <w:r>
        <w:rPr>
          <w:rFonts w:eastAsia="Times New Roman" w:cs="Times New Roman"/>
          <w:sz w:val="24"/>
          <w:szCs w:val="24"/>
          <w:lang w:eastAsia="pt-BR"/>
        </w:rPr>
        <w:t>4</w:t>
      </w:r>
      <w:r w:rsidRPr="003258C5">
        <w:rPr>
          <w:rFonts w:eastAsia="Times New Roman" w:cs="Times New Roman"/>
          <w:sz w:val="24"/>
          <w:szCs w:val="24"/>
          <w:lang w:eastAsia="pt-BR"/>
        </w:rPr>
        <w:t xml:space="preserve">, análise similar mostra uma possível </w:t>
      </w:r>
      <w:r>
        <w:rPr>
          <w:rFonts w:eastAsia="Times New Roman" w:cs="Times New Roman"/>
          <w:sz w:val="24"/>
          <w:szCs w:val="24"/>
          <w:lang w:eastAsia="pt-BR"/>
        </w:rPr>
        <w:t>variação</w:t>
      </w:r>
      <w:r w:rsidRPr="003258C5">
        <w:rPr>
          <w:rFonts w:eastAsia="Times New Roman" w:cs="Times New Roman"/>
          <w:sz w:val="24"/>
          <w:szCs w:val="24"/>
          <w:lang w:eastAsia="pt-BR"/>
        </w:rPr>
        <w:t xml:space="preserve"> de até R$ </w:t>
      </w:r>
      <w:r>
        <w:rPr>
          <w:rFonts w:eastAsia="Times New Roman" w:cs="Times New Roman"/>
          <w:sz w:val="24"/>
          <w:szCs w:val="24"/>
          <w:lang w:eastAsia="pt-BR"/>
        </w:rPr>
        <w:t>126</w:t>
      </w:r>
      <w:r w:rsidRPr="003258C5">
        <w:rPr>
          <w:rFonts w:eastAsia="Times New Roman" w:cs="Times New Roman"/>
          <w:sz w:val="24"/>
          <w:szCs w:val="24"/>
          <w:lang w:eastAsia="pt-BR"/>
        </w:rPr>
        <w:t xml:space="preserve"> bilhões e R$ 1</w:t>
      </w:r>
      <w:r>
        <w:rPr>
          <w:rFonts w:eastAsia="Times New Roman" w:cs="Times New Roman"/>
          <w:sz w:val="24"/>
          <w:szCs w:val="24"/>
          <w:lang w:eastAsia="pt-BR"/>
        </w:rPr>
        <w:t>65</w:t>
      </w:r>
      <w:r w:rsidRPr="003258C5">
        <w:rPr>
          <w:rFonts w:eastAsia="Times New Roman" w:cs="Times New Roman"/>
          <w:sz w:val="24"/>
          <w:szCs w:val="24"/>
          <w:lang w:eastAsia="pt-BR"/>
        </w:rPr>
        <w:t xml:space="preserve"> bilhões, respectivamente, em relação </w:t>
      </w:r>
      <w:proofErr w:type="gramStart"/>
      <w:r>
        <w:rPr>
          <w:rFonts w:eastAsia="Times New Roman" w:cs="Times New Roman"/>
          <w:sz w:val="24"/>
          <w:szCs w:val="24"/>
          <w:lang w:eastAsia="pt-BR"/>
        </w:rPr>
        <w:t>a</w:t>
      </w:r>
      <w:proofErr w:type="gramEnd"/>
      <w:r>
        <w:rPr>
          <w:rFonts w:eastAsia="Times New Roman" w:cs="Times New Roman"/>
          <w:sz w:val="24"/>
          <w:szCs w:val="24"/>
          <w:lang w:eastAsia="pt-BR"/>
        </w:rPr>
        <w:t xml:space="preserve"> projeção central</w:t>
      </w:r>
      <w:r w:rsidRPr="003258C5">
        <w:rPr>
          <w:rFonts w:eastAsia="Times New Roman" w:cs="Times New Roman"/>
          <w:sz w:val="24"/>
          <w:szCs w:val="24"/>
          <w:lang w:eastAsia="pt-BR"/>
        </w:rPr>
        <w:t xml:space="preserve">, </w:t>
      </w:r>
      <w:r>
        <w:rPr>
          <w:rFonts w:eastAsia="Times New Roman" w:cs="Times New Roman"/>
          <w:sz w:val="24"/>
          <w:szCs w:val="24"/>
          <w:lang w:eastAsia="pt-BR"/>
        </w:rPr>
        <w:t>para os extremos superior e inferior.</w:t>
      </w:r>
      <w:r w:rsidRPr="003258C5">
        <w:rPr>
          <w:rFonts w:eastAsia="Times New Roman" w:cs="Times New Roman"/>
          <w:sz w:val="24"/>
          <w:szCs w:val="24"/>
          <w:lang w:eastAsia="pt-BR"/>
        </w:rPr>
        <w:t xml:space="preserve"> </w:t>
      </w:r>
    </w:p>
    <w:p w14:paraId="23A25B61" w14:textId="77777777" w:rsidR="008A7FD6" w:rsidRPr="000E42A7" w:rsidRDefault="008A7FD6" w:rsidP="008A7FD6">
      <w:pPr>
        <w:pStyle w:val="Recuodecorpodetexto"/>
        <w:spacing w:line="240" w:lineRule="auto"/>
        <w:ind w:left="0"/>
        <w:jc w:val="both"/>
        <w:rPr>
          <w:rFonts w:eastAsia="Times New Roman" w:cs="Times New Roman"/>
          <w:sz w:val="24"/>
          <w:szCs w:val="24"/>
          <w:lang w:eastAsia="pt-BR"/>
        </w:rPr>
      </w:pPr>
    </w:p>
    <w:p w14:paraId="2698565B" w14:textId="77777777" w:rsidR="00E112A2" w:rsidRPr="00312E53" w:rsidRDefault="00E112A2" w:rsidP="00B75FA8">
      <w:pPr>
        <w:pStyle w:val="Ttulo3"/>
        <w:keepNext w:val="0"/>
        <w:numPr>
          <w:ilvl w:val="2"/>
          <w:numId w:val="36"/>
        </w:numPr>
        <w:spacing w:after="120"/>
        <w:ind w:left="720" w:hanging="720"/>
        <w:rPr>
          <w:rFonts w:asciiTheme="minorHAnsi" w:hAnsiTheme="minorHAnsi"/>
          <w:b/>
          <w:smallCaps w:val="0"/>
        </w:rPr>
      </w:pPr>
      <w:bookmarkStart w:id="142" w:name="_Toc67317981"/>
      <w:bookmarkStart w:id="143" w:name="_Toc67929635"/>
      <w:bookmarkStart w:id="144" w:name="_Toc69121222"/>
      <w:r w:rsidRPr="00312E53">
        <w:rPr>
          <w:rFonts w:asciiTheme="minorHAnsi" w:hAnsiTheme="minorHAnsi"/>
          <w:b/>
          <w:smallCaps w:val="0"/>
        </w:rPr>
        <w:t>Despesas</w:t>
      </w:r>
      <w:bookmarkEnd w:id="142"/>
      <w:bookmarkEnd w:id="143"/>
      <w:bookmarkEnd w:id="144"/>
    </w:p>
    <w:p w14:paraId="3D35AACA" w14:textId="65B42786" w:rsidR="00E112A2" w:rsidRPr="00312E53" w:rsidRDefault="003A3CCD" w:rsidP="001A0861">
      <w:pPr>
        <w:pStyle w:val="Recuodecorpodetexto"/>
        <w:spacing w:line="240" w:lineRule="auto"/>
        <w:ind w:left="0" w:firstLine="1418"/>
        <w:jc w:val="both"/>
        <w:rPr>
          <w:rFonts w:eastAsia="Times New Roman" w:cs="Times New Roman"/>
          <w:sz w:val="24"/>
          <w:szCs w:val="24"/>
          <w:lang w:eastAsia="pt-BR"/>
        </w:rPr>
      </w:pPr>
      <w:r w:rsidRPr="00312E53">
        <w:rPr>
          <w:rFonts w:eastAsia="Times New Roman" w:cs="Times New Roman"/>
          <w:sz w:val="24"/>
          <w:szCs w:val="24"/>
          <w:lang w:eastAsia="pt-BR"/>
        </w:rPr>
        <w:t xml:space="preserve">As trajetórias de despesas foram construídas aplicando-se os diferentes cenários macroeconômicos às regras de despesas, especialmente as despesas com Benefícios Previdenciários, Benefícios Assistenciais (LOAS e RMV), Seguro-Desemprego e Abono Salarial. Para este exercício específico, não foram considerados os impactos em Pessoal e Encargos, uma vez que esta variável está sob o controle do </w:t>
      </w:r>
      <w:r w:rsidR="00E112A2" w:rsidRPr="00312E53">
        <w:rPr>
          <w:rFonts w:eastAsia="Times New Roman" w:cs="Times New Roman"/>
          <w:sz w:val="24"/>
          <w:szCs w:val="24"/>
          <w:lang w:eastAsia="pt-BR"/>
        </w:rPr>
        <w:t>governo</w:t>
      </w:r>
      <w:r w:rsidR="00E112A2" w:rsidRPr="00312E53">
        <w:rPr>
          <w:vertAlign w:val="superscript"/>
        </w:rPr>
        <w:footnoteReference w:id="13"/>
      </w:r>
      <w:r w:rsidR="00E112A2" w:rsidRPr="00312E53">
        <w:rPr>
          <w:rFonts w:eastAsia="Times New Roman" w:cs="Times New Roman"/>
          <w:sz w:val="24"/>
          <w:szCs w:val="24"/>
          <w:lang w:eastAsia="pt-BR"/>
        </w:rPr>
        <w:t xml:space="preserve">. </w:t>
      </w:r>
      <w:r w:rsidR="00312E53" w:rsidRPr="00312E53">
        <w:rPr>
          <w:rFonts w:eastAsia="Times New Roman" w:cs="Times New Roman"/>
          <w:sz w:val="24"/>
          <w:szCs w:val="24"/>
          <w:lang w:eastAsia="pt-BR"/>
        </w:rPr>
        <w:t xml:space="preserve">Por sua vez, as despesas com controle de fluxo do Poder Executivo variam de acordo com a inflação. As premissas utilizadas para realização deste exercício seguem as </w:t>
      </w:r>
      <w:r w:rsidR="00312E53" w:rsidRPr="00312E53">
        <w:rPr>
          <w:rFonts w:eastAsia="Times New Roman" w:cs="Times New Roman"/>
          <w:sz w:val="24"/>
          <w:szCs w:val="24"/>
          <w:lang w:eastAsia="pt-BR"/>
        </w:rPr>
        <w:lastRenderedPageBreak/>
        <w:t xml:space="preserve">mesmas detalhadas no Anexo de Metas Fiscais, ou seja, parte-se da legislação vigente, o que implica </w:t>
      </w:r>
      <w:r w:rsidR="00C76B7B">
        <w:rPr>
          <w:rFonts w:eastAsia="Times New Roman" w:cs="Times New Roman"/>
          <w:sz w:val="24"/>
          <w:szCs w:val="24"/>
          <w:lang w:eastAsia="pt-BR"/>
        </w:rPr>
        <w:t>a</w:t>
      </w:r>
      <w:r w:rsidR="00312E53" w:rsidRPr="00312E53">
        <w:rPr>
          <w:rFonts w:eastAsia="Times New Roman" w:cs="Times New Roman"/>
          <w:sz w:val="24"/>
          <w:szCs w:val="24"/>
          <w:lang w:eastAsia="pt-BR"/>
        </w:rPr>
        <w:t xml:space="preserve"> correção do salário</w:t>
      </w:r>
      <w:r w:rsidR="00C76B7B">
        <w:rPr>
          <w:rFonts w:eastAsia="Times New Roman" w:cs="Times New Roman"/>
          <w:sz w:val="24"/>
          <w:szCs w:val="24"/>
          <w:lang w:eastAsia="pt-BR"/>
        </w:rPr>
        <w:t>-</w:t>
      </w:r>
      <w:r w:rsidR="00312E53" w:rsidRPr="00312E53">
        <w:rPr>
          <w:rFonts w:eastAsia="Times New Roman" w:cs="Times New Roman"/>
          <w:sz w:val="24"/>
          <w:szCs w:val="24"/>
          <w:lang w:eastAsia="pt-BR"/>
        </w:rPr>
        <w:t>mínimo para manter seu poder de compra e ausência de reajuste para pessoal.</w:t>
      </w:r>
    </w:p>
    <w:p w14:paraId="62772AF7" w14:textId="0ABC258B" w:rsidR="00E112A2" w:rsidRPr="00EE47BD" w:rsidRDefault="00E112A2" w:rsidP="0042574A">
      <w:pPr>
        <w:spacing w:before="240" w:after="120" w:line="240" w:lineRule="auto"/>
        <w:jc w:val="center"/>
      </w:pPr>
      <w:bookmarkStart w:id="145" w:name="_Toc69121333"/>
      <w:r w:rsidRPr="00EE47BD">
        <w:t xml:space="preserve">Figura </w:t>
      </w:r>
      <w:r>
        <w:fldChar w:fldCharType="begin"/>
      </w:r>
      <w:r>
        <w:instrText>SEQ Figura \* ARABIC</w:instrText>
      </w:r>
      <w:r>
        <w:fldChar w:fldCharType="separate"/>
      </w:r>
      <w:r w:rsidR="00304F5F">
        <w:rPr>
          <w:noProof/>
        </w:rPr>
        <w:t>8</w:t>
      </w:r>
      <w:r>
        <w:fldChar w:fldCharType="end"/>
      </w:r>
      <w:r w:rsidR="00625877" w:rsidRPr="00EE47BD">
        <w:rPr>
          <w:noProof/>
        </w:rPr>
        <w:t xml:space="preserve"> -</w:t>
      </w:r>
      <w:r w:rsidRPr="00EE47BD">
        <w:t xml:space="preserve"> Espectro de cenários alternativos para Despesas Totais (R$ </w:t>
      </w:r>
      <w:r w:rsidR="00761072" w:rsidRPr="00EE47BD">
        <w:t>b</w:t>
      </w:r>
      <w:r w:rsidRPr="00EE47BD">
        <w:t>ilhões)</w:t>
      </w:r>
      <w:bookmarkEnd w:id="145"/>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604B79" w14:paraId="652CDA26" w14:textId="77777777" w:rsidTr="0063151A">
        <w:trPr>
          <w:jc w:val="center"/>
        </w:trPr>
        <w:tc>
          <w:tcPr>
            <w:tcW w:w="0" w:type="auto"/>
            <w:vAlign w:val="center"/>
          </w:tcPr>
          <w:p w14:paraId="14ADA8AE" w14:textId="0C390E3D" w:rsidR="00604B79" w:rsidRDefault="0042574A" w:rsidP="0042574A">
            <w:pPr>
              <w:pStyle w:val="Recuodecorpodetexto"/>
              <w:spacing w:after="0"/>
              <w:ind w:left="0"/>
              <w:jc w:val="center"/>
              <w:rPr>
                <w:rFonts w:eastAsia="Times New Roman" w:cs="Times New Roman"/>
                <w:sz w:val="24"/>
                <w:szCs w:val="24"/>
                <w:lang w:eastAsia="pt-BR"/>
              </w:rPr>
            </w:pPr>
            <w:r>
              <w:rPr>
                <w:rFonts w:eastAsia="Times New Roman" w:cs="Times New Roman"/>
                <w:noProof/>
                <w:sz w:val="24"/>
                <w:szCs w:val="24"/>
                <w:lang w:eastAsia="pt-BR"/>
              </w:rPr>
              <w:drawing>
                <wp:inline distT="0" distB="0" distL="0" distR="0" wp14:anchorId="1274391D" wp14:editId="3D12905D">
                  <wp:extent cx="5676900" cy="34061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406140"/>
                          </a:xfrm>
                          <a:prstGeom prst="rect">
                            <a:avLst/>
                          </a:prstGeom>
                          <a:noFill/>
                        </pic:spPr>
                      </pic:pic>
                    </a:graphicData>
                  </a:graphic>
                </wp:inline>
              </w:drawing>
            </w:r>
          </w:p>
        </w:tc>
      </w:tr>
      <w:tr w:rsidR="00604B79" w14:paraId="68000E55" w14:textId="77777777" w:rsidTr="0063151A">
        <w:trPr>
          <w:jc w:val="center"/>
        </w:trPr>
        <w:tc>
          <w:tcPr>
            <w:tcW w:w="0" w:type="auto"/>
          </w:tcPr>
          <w:p w14:paraId="04B9D3D4" w14:textId="11C8D094" w:rsidR="00604B79" w:rsidRPr="00CB5391" w:rsidRDefault="00604B79" w:rsidP="00CB5391">
            <w:pPr>
              <w:pStyle w:val="Recuodecorpodetexto"/>
              <w:spacing w:before="240" w:after="0"/>
              <w:ind w:left="0"/>
              <w:jc w:val="both"/>
              <w:rPr>
                <w:rFonts w:eastAsia="Times New Roman" w:cs="Times New Roman"/>
                <w:sz w:val="16"/>
                <w:szCs w:val="16"/>
                <w:lang w:eastAsia="pt-BR"/>
              </w:rPr>
            </w:pPr>
            <w:r w:rsidRPr="00CB5391">
              <w:rPr>
                <w:rFonts w:eastAsia="Times New Roman" w:cs="Times New Roman"/>
                <w:b/>
                <w:bCs/>
                <w:i/>
                <w:iCs/>
                <w:sz w:val="16"/>
                <w:szCs w:val="16"/>
                <w:lang w:eastAsia="pt-BR"/>
              </w:rPr>
              <w:t>Fonte e Elaboração</w:t>
            </w:r>
            <w:r w:rsidRPr="00CB5391">
              <w:rPr>
                <w:rFonts w:eastAsia="Times New Roman" w:cs="Times New Roman"/>
                <w:i/>
                <w:iCs/>
                <w:sz w:val="16"/>
                <w:szCs w:val="16"/>
                <w:lang w:eastAsia="pt-BR"/>
              </w:rPr>
              <w:t>: STN/ME.</w:t>
            </w:r>
          </w:p>
        </w:tc>
      </w:tr>
    </w:tbl>
    <w:p w14:paraId="14F1A9A8" w14:textId="77777777" w:rsidR="00604B79" w:rsidRPr="00EE47BD" w:rsidRDefault="00604B79" w:rsidP="00604B79">
      <w:pPr>
        <w:pStyle w:val="Recuodecorpodetexto"/>
        <w:spacing w:line="240" w:lineRule="auto"/>
        <w:ind w:left="0"/>
        <w:jc w:val="both"/>
        <w:rPr>
          <w:rFonts w:eastAsia="Times New Roman" w:cs="Times New Roman"/>
          <w:sz w:val="24"/>
          <w:szCs w:val="24"/>
          <w:lang w:eastAsia="pt-BR"/>
        </w:rPr>
      </w:pPr>
    </w:p>
    <w:p w14:paraId="2078608B" w14:textId="1C152FA0" w:rsidR="00B835D8" w:rsidRPr="00575C49" w:rsidRDefault="003914BB" w:rsidP="00B835D8">
      <w:pPr>
        <w:pStyle w:val="Recuodecorpodetexto"/>
        <w:spacing w:line="240" w:lineRule="auto"/>
        <w:ind w:left="0" w:firstLine="1418"/>
        <w:jc w:val="both"/>
        <w:rPr>
          <w:rFonts w:eastAsia="Times New Roman" w:cs="Times New Roman"/>
          <w:sz w:val="24"/>
          <w:szCs w:val="24"/>
          <w:lang w:eastAsia="pt-BR"/>
        </w:rPr>
      </w:pPr>
      <w:r>
        <w:rPr>
          <w:rFonts w:eastAsia="Times New Roman" w:cs="Times New Roman"/>
          <w:sz w:val="24"/>
          <w:szCs w:val="24"/>
          <w:lang w:eastAsia="pt-BR"/>
        </w:rPr>
        <w:t>É importante ressaltar que o alto volume de despesas em 2020, decorrente das medidas de combate à pandemia de Covid-19, provoca uma distorção na visualização dos efeitos dos choques macroeconômicos. De qualquer modo, o</w:t>
      </w:r>
      <w:r w:rsidRPr="003258C5">
        <w:rPr>
          <w:rFonts w:eastAsia="Times New Roman" w:cs="Times New Roman"/>
          <w:sz w:val="24"/>
          <w:szCs w:val="24"/>
          <w:lang w:eastAsia="pt-BR"/>
        </w:rPr>
        <w:t xml:space="preserve">s </w:t>
      </w:r>
      <w:r w:rsidR="009C4487" w:rsidRPr="00575C49">
        <w:rPr>
          <w:rFonts w:eastAsia="Times New Roman" w:cs="Times New Roman"/>
          <w:sz w:val="24"/>
          <w:szCs w:val="24"/>
          <w:lang w:eastAsia="pt-BR"/>
        </w:rPr>
        <w:t xml:space="preserve">resultados exibidos acima mostram que a variação nas despesas é relativamente menor em relação às receitas ao longo do período, o que graficamente se traduz em um leque de menor amplitude. Em linhas gerais, esse efeito ocorre porque a quantidade de beneficiários de previdência ou assistência social está associada a fatores demográficos, que pouco </w:t>
      </w:r>
      <w:proofErr w:type="gramStart"/>
      <w:r w:rsidR="009C4487" w:rsidRPr="00575C49">
        <w:rPr>
          <w:rFonts w:eastAsia="Times New Roman" w:cs="Times New Roman"/>
          <w:sz w:val="24"/>
          <w:szCs w:val="24"/>
          <w:lang w:eastAsia="pt-BR"/>
        </w:rPr>
        <w:t>variam</w:t>
      </w:r>
      <w:proofErr w:type="gramEnd"/>
      <w:r w:rsidR="009C4487" w:rsidRPr="00575C49">
        <w:rPr>
          <w:rFonts w:eastAsia="Times New Roman" w:cs="Times New Roman"/>
          <w:sz w:val="24"/>
          <w:szCs w:val="24"/>
          <w:lang w:eastAsia="pt-BR"/>
        </w:rPr>
        <w:t xml:space="preserve"> no curto prazo, e porque o valor desses benefícios é afetado por apenas duas variáveis</w:t>
      </w:r>
      <w:r w:rsidR="008F6D15">
        <w:rPr>
          <w:rFonts w:eastAsia="Times New Roman" w:cs="Times New Roman"/>
          <w:sz w:val="24"/>
          <w:szCs w:val="24"/>
          <w:lang w:eastAsia="pt-BR"/>
        </w:rPr>
        <w:t>:</w:t>
      </w:r>
      <w:r w:rsidR="009C4487" w:rsidRPr="00575C49">
        <w:rPr>
          <w:rFonts w:eastAsia="Times New Roman" w:cs="Times New Roman"/>
          <w:sz w:val="24"/>
          <w:szCs w:val="24"/>
          <w:lang w:eastAsia="pt-BR"/>
        </w:rPr>
        <w:t xml:space="preserve"> salário</w:t>
      </w:r>
      <w:r>
        <w:rPr>
          <w:rFonts w:eastAsia="Times New Roman" w:cs="Times New Roman"/>
          <w:sz w:val="24"/>
          <w:szCs w:val="24"/>
          <w:lang w:eastAsia="pt-BR"/>
        </w:rPr>
        <w:t>-</w:t>
      </w:r>
      <w:r w:rsidR="009C4487" w:rsidRPr="00575C49">
        <w:rPr>
          <w:rFonts w:eastAsia="Times New Roman" w:cs="Times New Roman"/>
          <w:sz w:val="24"/>
          <w:szCs w:val="24"/>
          <w:lang w:eastAsia="pt-BR"/>
        </w:rPr>
        <w:t>mínimo e INPC.</w:t>
      </w:r>
    </w:p>
    <w:p w14:paraId="67DF9CC4" w14:textId="77777777" w:rsidR="001C2728" w:rsidRPr="003258C5" w:rsidRDefault="001C2728" w:rsidP="001C2728">
      <w:pPr>
        <w:pStyle w:val="Recuodecorpodetexto"/>
        <w:spacing w:line="240" w:lineRule="auto"/>
        <w:ind w:left="0" w:firstLine="1418"/>
        <w:jc w:val="both"/>
        <w:rPr>
          <w:rFonts w:eastAsia="Times New Roman" w:cs="Times New Roman"/>
          <w:sz w:val="24"/>
          <w:szCs w:val="24"/>
          <w:lang w:eastAsia="pt-BR"/>
        </w:rPr>
      </w:pPr>
      <w:r>
        <w:rPr>
          <w:rFonts w:eastAsia="Times New Roman" w:cs="Times New Roman"/>
          <w:sz w:val="24"/>
          <w:szCs w:val="24"/>
          <w:lang w:eastAsia="pt-BR"/>
        </w:rPr>
        <w:t>Assim</w:t>
      </w:r>
      <w:r w:rsidRPr="003258C5">
        <w:rPr>
          <w:rFonts w:eastAsia="Times New Roman" w:cs="Times New Roman"/>
          <w:sz w:val="24"/>
          <w:szCs w:val="24"/>
          <w:lang w:eastAsia="pt-BR"/>
        </w:rPr>
        <w:t>, espera-se que em casos extremos, cuja probabilidade associada é pequena, haja uma variação nas despesas, para mais ou para menos, em torno de R$ 2</w:t>
      </w:r>
      <w:r>
        <w:rPr>
          <w:rFonts w:eastAsia="Times New Roman" w:cs="Times New Roman"/>
          <w:sz w:val="24"/>
          <w:szCs w:val="24"/>
          <w:lang w:eastAsia="pt-BR"/>
        </w:rPr>
        <w:t>6</w:t>
      </w:r>
      <w:r w:rsidRPr="003258C5">
        <w:rPr>
          <w:rFonts w:eastAsia="Times New Roman" w:cs="Times New Roman"/>
          <w:sz w:val="24"/>
          <w:szCs w:val="24"/>
          <w:lang w:eastAsia="pt-BR"/>
        </w:rPr>
        <w:t xml:space="preserve"> bilhões em 202</w:t>
      </w:r>
      <w:r>
        <w:rPr>
          <w:rFonts w:eastAsia="Times New Roman" w:cs="Times New Roman"/>
          <w:sz w:val="24"/>
          <w:szCs w:val="24"/>
          <w:lang w:eastAsia="pt-BR"/>
        </w:rPr>
        <w:t>2</w:t>
      </w:r>
      <w:r w:rsidRPr="003258C5">
        <w:rPr>
          <w:rFonts w:eastAsia="Times New Roman" w:cs="Times New Roman"/>
          <w:sz w:val="24"/>
          <w:szCs w:val="24"/>
          <w:lang w:eastAsia="pt-BR"/>
        </w:rPr>
        <w:t xml:space="preserve">, de R$ </w:t>
      </w:r>
      <w:r>
        <w:rPr>
          <w:rFonts w:eastAsia="Times New Roman" w:cs="Times New Roman"/>
          <w:sz w:val="24"/>
          <w:szCs w:val="24"/>
          <w:lang w:eastAsia="pt-BR"/>
        </w:rPr>
        <w:t>42</w:t>
      </w:r>
      <w:r w:rsidRPr="003258C5">
        <w:rPr>
          <w:rFonts w:eastAsia="Times New Roman" w:cs="Times New Roman"/>
          <w:sz w:val="24"/>
          <w:szCs w:val="24"/>
          <w:lang w:eastAsia="pt-BR"/>
        </w:rPr>
        <w:t xml:space="preserve"> bilhões em 202</w:t>
      </w:r>
      <w:r>
        <w:rPr>
          <w:rFonts w:eastAsia="Times New Roman" w:cs="Times New Roman"/>
          <w:sz w:val="24"/>
          <w:szCs w:val="24"/>
          <w:lang w:eastAsia="pt-BR"/>
        </w:rPr>
        <w:t>3</w:t>
      </w:r>
      <w:r w:rsidRPr="003258C5">
        <w:rPr>
          <w:rFonts w:eastAsia="Times New Roman" w:cs="Times New Roman"/>
          <w:sz w:val="24"/>
          <w:szCs w:val="24"/>
          <w:lang w:eastAsia="pt-BR"/>
        </w:rPr>
        <w:t xml:space="preserve"> e cerca de R$ </w:t>
      </w:r>
      <w:r>
        <w:rPr>
          <w:rFonts w:eastAsia="Times New Roman" w:cs="Times New Roman"/>
          <w:sz w:val="24"/>
          <w:szCs w:val="24"/>
          <w:lang w:eastAsia="pt-BR"/>
        </w:rPr>
        <w:t>53</w:t>
      </w:r>
      <w:r w:rsidRPr="003258C5">
        <w:rPr>
          <w:rFonts w:eastAsia="Times New Roman" w:cs="Times New Roman"/>
          <w:sz w:val="24"/>
          <w:szCs w:val="24"/>
          <w:lang w:eastAsia="pt-BR"/>
        </w:rPr>
        <w:t xml:space="preserve"> bilhões em 202</w:t>
      </w:r>
      <w:r>
        <w:rPr>
          <w:rFonts w:eastAsia="Times New Roman" w:cs="Times New Roman"/>
          <w:sz w:val="24"/>
          <w:szCs w:val="24"/>
          <w:lang w:eastAsia="pt-BR"/>
        </w:rPr>
        <w:t>4</w:t>
      </w:r>
      <w:r w:rsidRPr="003258C5">
        <w:rPr>
          <w:rFonts w:eastAsia="Times New Roman" w:cs="Times New Roman"/>
          <w:sz w:val="24"/>
          <w:szCs w:val="24"/>
          <w:lang w:eastAsia="pt-BR"/>
        </w:rPr>
        <w:t>. Esses valores não incluem eventuais cortes ou aumentos de despesas discricionárias, que podem ampliar ou reduzir os valores apresentados, mas que, por estarem sob o controle do governo, não são considerados nesta análise.</w:t>
      </w:r>
    </w:p>
    <w:p w14:paraId="6E8584D9" w14:textId="7A955EDD" w:rsidR="00E112A2" w:rsidRDefault="00575C49" w:rsidP="001A0861">
      <w:pPr>
        <w:pStyle w:val="Recuodecorpodetexto"/>
        <w:spacing w:line="240" w:lineRule="auto"/>
        <w:ind w:left="0" w:firstLine="1418"/>
        <w:jc w:val="both"/>
        <w:rPr>
          <w:rFonts w:eastAsia="Times New Roman" w:cs="Times New Roman"/>
          <w:sz w:val="24"/>
          <w:szCs w:val="24"/>
          <w:lang w:eastAsia="pt-BR"/>
        </w:rPr>
      </w:pPr>
      <w:r w:rsidRPr="00575C49">
        <w:rPr>
          <w:rFonts w:eastAsia="Times New Roman" w:cs="Times New Roman"/>
          <w:sz w:val="24"/>
          <w:szCs w:val="24"/>
          <w:lang w:eastAsia="pt-BR"/>
        </w:rPr>
        <w:t>É importante ressaltar que, neste exercício, não foi imposto qualquer limite ao gasto total, como aquele disciplinado pelo Novo Regime Fiscal (art. 106 a 114 do ADCT). Como a linha central corresponde ao valor da despesa total compatível com o teto de gasto, valores acima dessa linha apontam possíveis descumprimentos da limitação imposta pelo teto de gastos. Vale lembrar que a regra do teto de gastos prevê que, em caso de descumprimento, sejam aplicadas automaticamente vedações à criação de despesas obrigatórias e concessão de reajuste de remuneração de servidores públicos, dentre outras medidas elencadas no art. 109 do ADCT.</w:t>
      </w:r>
    </w:p>
    <w:p w14:paraId="70C26D2D" w14:textId="77777777" w:rsidR="001C2728" w:rsidRPr="00575C49" w:rsidRDefault="001C2728" w:rsidP="001C2728">
      <w:pPr>
        <w:pStyle w:val="Recuodecorpodetexto"/>
        <w:spacing w:line="240" w:lineRule="auto"/>
        <w:ind w:left="0"/>
        <w:jc w:val="both"/>
        <w:rPr>
          <w:rFonts w:eastAsia="Times New Roman" w:cs="Times New Roman"/>
          <w:sz w:val="24"/>
          <w:szCs w:val="24"/>
          <w:lang w:eastAsia="pt-BR"/>
        </w:rPr>
      </w:pPr>
    </w:p>
    <w:p w14:paraId="1244D885" w14:textId="77777777" w:rsidR="00E112A2" w:rsidRPr="00FA2B6C" w:rsidRDefault="00E112A2" w:rsidP="00B75FA8">
      <w:pPr>
        <w:pStyle w:val="Ttulo3"/>
        <w:keepNext w:val="0"/>
        <w:numPr>
          <w:ilvl w:val="2"/>
          <w:numId w:val="36"/>
        </w:numPr>
        <w:spacing w:after="120"/>
        <w:ind w:left="720" w:hanging="720"/>
        <w:rPr>
          <w:rFonts w:asciiTheme="minorHAnsi" w:hAnsiTheme="minorHAnsi"/>
          <w:b/>
          <w:smallCaps w:val="0"/>
        </w:rPr>
      </w:pPr>
      <w:bookmarkStart w:id="146" w:name="_Toc67317982"/>
      <w:bookmarkStart w:id="147" w:name="_Toc67929636"/>
      <w:bookmarkStart w:id="148" w:name="_Toc69121223"/>
      <w:r w:rsidRPr="00FA2B6C">
        <w:rPr>
          <w:rFonts w:asciiTheme="minorHAnsi" w:hAnsiTheme="minorHAnsi"/>
          <w:b/>
          <w:smallCaps w:val="0"/>
        </w:rPr>
        <w:lastRenderedPageBreak/>
        <w:t>Resultado Primário</w:t>
      </w:r>
      <w:bookmarkEnd w:id="146"/>
      <w:bookmarkEnd w:id="147"/>
      <w:bookmarkEnd w:id="148"/>
    </w:p>
    <w:p w14:paraId="76331777" w14:textId="5C1FA1C4" w:rsidR="00E112A2" w:rsidRPr="00FA2B6C" w:rsidRDefault="00FA2B6C" w:rsidP="001A0861">
      <w:pPr>
        <w:pStyle w:val="Recuodecorpodetexto"/>
        <w:spacing w:line="240" w:lineRule="auto"/>
        <w:ind w:left="0" w:firstLine="1418"/>
        <w:jc w:val="both"/>
        <w:rPr>
          <w:rFonts w:eastAsia="Times New Roman" w:cs="Times New Roman"/>
          <w:sz w:val="24"/>
          <w:szCs w:val="24"/>
          <w:lang w:eastAsia="pt-BR"/>
        </w:rPr>
      </w:pPr>
      <w:r w:rsidRPr="00FA2B6C">
        <w:rPr>
          <w:rFonts w:eastAsia="Times New Roman" w:cs="Times New Roman"/>
          <w:sz w:val="24"/>
          <w:szCs w:val="24"/>
          <w:lang w:eastAsia="pt-BR"/>
        </w:rPr>
        <w:t>O resultado primário decorre da combinação das curvas de receita e despesa geradas em cada cenário econômico distinto. Note-se que parâmetros macroeconômicos que geram receitas maiores podem gerar também despesas maiores e, portanto, o ordenamento dos cenários de resultado primário difere daqueles de receitas e despesas considerados separadamente.</w:t>
      </w:r>
    </w:p>
    <w:p w14:paraId="38ECD9BA" w14:textId="60AFDFB0" w:rsidR="00E112A2" w:rsidRPr="00532762" w:rsidRDefault="00E112A2" w:rsidP="00223747">
      <w:pPr>
        <w:spacing w:before="240" w:after="120" w:line="240" w:lineRule="auto"/>
        <w:jc w:val="center"/>
      </w:pPr>
      <w:bookmarkStart w:id="149" w:name="_Toc69121334"/>
      <w:r w:rsidRPr="00532762">
        <w:t xml:space="preserve">Figura </w:t>
      </w:r>
      <w:r>
        <w:fldChar w:fldCharType="begin"/>
      </w:r>
      <w:r>
        <w:instrText>SEQ Figura \* ARABIC</w:instrText>
      </w:r>
      <w:r>
        <w:fldChar w:fldCharType="separate"/>
      </w:r>
      <w:r w:rsidR="00304F5F">
        <w:rPr>
          <w:noProof/>
        </w:rPr>
        <w:t>9</w:t>
      </w:r>
      <w:r>
        <w:fldChar w:fldCharType="end"/>
      </w:r>
      <w:r w:rsidR="00625877" w:rsidRPr="00532762">
        <w:rPr>
          <w:noProof/>
        </w:rPr>
        <w:t xml:space="preserve"> -</w:t>
      </w:r>
      <w:r w:rsidRPr="00532762">
        <w:t xml:space="preserve"> Espectro de cenários alternativos para Resultado Primário (R$ </w:t>
      </w:r>
      <w:r w:rsidR="00223747">
        <w:t>b</w:t>
      </w:r>
      <w:r w:rsidRPr="00532762">
        <w:t>ilhões)</w:t>
      </w:r>
      <w:bookmarkEnd w:id="149"/>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9E5D33" w14:paraId="62C6A0DA" w14:textId="77777777" w:rsidTr="0063151A">
        <w:trPr>
          <w:jc w:val="center"/>
        </w:trPr>
        <w:tc>
          <w:tcPr>
            <w:tcW w:w="0" w:type="auto"/>
            <w:vAlign w:val="center"/>
          </w:tcPr>
          <w:p w14:paraId="2897CE00" w14:textId="1E2719A3" w:rsidR="009E5D33" w:rsidRDefault="00223747" w:rsidP="00223747">
            <w:pPr>
              <w:pStyle w:val="Recuodecorpodetexto"/>
              <w:spacing w:after="0"/>
              <w:ind w:left="0"/>
              <w:jc w:val="center"/>
              <w:rPr>
                <w:rFonts w:eastAsia="Times New Roman" w:cs="Times New Roman"/>
                <w:sz w:val="24"/>
                <w:szCs w:val="24"/>
                <w:lang w:eastAsia="pt-BR"/>
              </w:rPr>
            </w:pPr>
            <w:r>
              <w:rPr>
                <w:rFonts w:eastAsia="Times New Roman" w:cs="Times New Roman"/>
                <w:noProof/>
                <w:sz w:val="24"/>
                <w:szCs w:val="24"/>
                <w:lang w:eastAsia="pt-BR"/>
              </w:rPr>
              <w:drawing>
                <wp:inline distT="0" distB="0" distL="0" distR="0" wp14:anchorId="71CB872C" wp14:editId="5240E1E6">
                  <wp:extent cx="5516880" cy="358140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6880" cy="3581400"/>
                          </a:xfrm>
                          <a:prstGeom prst="rect">
                            <a:avLst/>
                          </a:prstGeom>
                          <a:noFill/>
                        </pic:spPr>
                      </pic:pic>
                    </a:graphicData>
                  </a:graphic>
                </wp:inline>
              </w:drawing>
            </w:r>
          </w:p>
        </w:tc>
      </w:tr>
      <w:tr w:rsidR="009E5D33" w14:paraId="510C9D8D" w14:textId="77777777" w:rsidTr="0063151A">
        <w:trPr>
          <w:jc w:val="center"/>
        </w:trPr>
        <w:tc>
          <w:tcPr>
            <w:tcW w:w="0" w:type="auto"/>
          </w:tcPr>
          <w:p w14:paraId="7915B6A4" w14:textId="03188734" w:rsidR="009E5D33" w:rsidRDefault="00223747" w:rsidP="00223747">
            <w:pPr>
              <w:pStyle w:val="Recuodecorpodetexto"/>
              <w:spacing w:before="240" w:after="0"/>
              <w:ind w:left="0"/>
              <w:jc w:val="both"/>
              <w:rPr>
                <w:rFonts w:eastAsia="Times New Roman" w:cs="Times New Roman"/>
                <w:sz w:val="24"/>
                <w:szCs w:val="24"/>
                <w:lang w:eastAsia="pt-BR"/>
              </w:rPr>
            </w:pPr>
            <w:r w:rsidRPr="006C1188">
              <w:rPr>
                <w:rFonts w:eastAsia="Times New Roman" w:cs="Times New Roman"/>
                <w:b/>
                <w:bCs/>
                <w:i/>
                <w:iCs/>
                <w:sz w:val="16"/>
                <w:szCs w:val="16"/>
                <w:lang w:eastAsia="pt-BR"/>
              </w:rPr>
              <w:t>Fonte e Elaboração</w:t>
            </w:r>
            <w:r w:rsidRPr="006C1188">
              <w:rPr>
                <w:rFonts w:eastAsia="Times New Roman" w:cs="Times New Roman"/>
                <w:i/>
                <w:iCs/>
                <w:sz w:val="16"/>
                <w:szCs w:val="16"/>
                <w:lang w:eastAsia="pt-BR"/>
              </w:rPr>
              <w:t>: STN/ME.</w:t>
            </w:r>
          </w:p>
        </w:tc>
      </w:tr>
    </w:tbl>
    <w:p w14:paraId="40CC263F" w14:textId="77777777" w:rsidR="001C2728" w:rsidRDefault="001C2728" w:rsidP="001A0861">
      <w:pPr>
        <w:pStyle w:val="Recuodecorpodetexto"/>
        <w:spacing w:line="240" w:lineRule="auto"/>
        <w:ind w:left="0" w:firstLine="1418"/>
        <w:jc w:val="both"/>
        <w:rPr>
          <w:rFonts w:eastAsia="Times New Roman" w:cs="Times New Roman"/>
          <w:sz w:val="24"/>
          <w:szCs w:val="24"/>
          <w:lang w:eastAsia="pt-BR"/>
        </w:rPr>
      </w:pPr>
    </w:p>
    <w:p w14:paraId="6749CE48" w14:textId="77777777" w:rsidR="00D55AF3" w:rsidRPr="003258C5" w:rsidRDefault="00D55AF3" w:rsidP="00D55AF3">
      <w:pPr>
        <w:pStyle w:val="Recuodecorpodetexto"/>
        <w:spacing w:line="240" w:lineRule="auto"/>
        <w:ind w:left="0" w:firstLine="1418"/>
        <w:jc w:val="both"/>
        <w:rPr>
          <w:rFonts w:eastAsia="Times New Roman" w:cs="Times New Roman"/>
          <w:sz w:val="24"/>
          <w:szCs w:val="24"/>
          <w:lang w:eastAsia="pt-BR"/>
        </w:rPr>
      </w:pPr>
      <w:r w:rsidRPr="003258C5">
        <w:rPr>
          <w:rFonts w:eastAsia="Times New Roman" w:cs="Times New Roman"/>
          <w:sz w:val="24"/>
          <w:szCs w:val="24"/>
          <w:lang w:eastAsia="pt-BR"/>
        </w:rPr>
        <w:t>As trajetórias de resultado primário apresentadas mostram que, no ano de 202</w:t>
      </w:r>
      <w:r>
        <w:rPr>
          <w:rFonts w:eastAsia="Times New Roman" w:cs="Times New Roman"/>
          <w:sz w:val="24"/>
          <w:szCs w:val="24"/>
          <w:lang w:eastAsia="pt-BR"/>
        </w:rPr>
        <w:t>2</w:t>
      </w:r>
      <w:r w:rsidRPr="003258C5">
        <w:rPr>
          <w:rFonts w:eastAsia="Times New Roman" w:cs="Times New Roman"/>
          <w:sz w:val="24"/>
          <w:szCs w:val="24"/>
          <w:lang w:eastAsia="pt-BR"/>
        </w:rPr>
        <w:t xml:space="preserve">, os cenários extremos superior e inferior, cuja probabilidade é muito baixa, se encontram em torno de R$ </w:t>
      </w:r>
      <w:r>
        <w:rPr>
          <w:rFonts w:eastAsia="Times New Roman" w:cs="Times New Roman"/>
          <w:sz w:val="24"/>
          <w:szCs w:val="24"/>
          <w:lang w:eastAsia="pt-BR"/>
        </w:rPr>
        <w:t>82</w:t>
      </w:r>
      <w:r w:rsidRPr="003258C5">
        <w:rPr>
          <w:rFonts w:eastAsia="Times New Roman" w:cs="Times New Roman"/>
          <w:sz w:val="24"/>
          <w:szCs w:val="24"/>
          <w:lang w:eastAsia="pt-BR"/>
        </w:rPr>
        <w:t xml:space="preserve"> bilhões acima ou abaixo da meta estabelecida para o Governo Central (R$ -</w:t>
      </w:r>
      <w:r>
        <w:rPr>
          <w:rFonts w:eastAsia="Times New Roman" w:cs="Times New Roman"/>
          <w:sz w:val="24"/>
          <w:szCs w:val="24"/>
          <w:lang w:eastAsia="pt-BR"/>
        </w:rPr>
        <w:t>170</w:t>
      </w:r>
      <w:r w:rsidRPr="003258C5">
        <w:rPr>
          <w:rFonts w:eastAsia="Times New Roman" w:cs="Times New Roman"/>
          <w:sz w:val="24"/>
          <w:szCs w:val="24"/>
          <w:lang w:eastAsia="pt-BR"/>
        </w:rPr>
        <w:t>,</w:t>
      </w:r>
      <w:r>
        <w:rPr>
          <w:rFonts w:eastAsia="Times New Roman" w:cs="Times New Roman"/>
          <w:sz w:val="24"/>
          <w:szCs w:val="24"/>
          <w:lang w:eastAsia="pt-BR"/>
        </w:rPr>
        <w:t>5</w:t>
      </w:r>
      <w:r w:rsidRPr="003258C5">
        <w:rPr>
          <w:rFonts w:eastAsia="Times New Roman" w:cs="Times New Roman"/>
          <w:sz w:val="24"/>
          <w:szCs w:val="24"/>
          <w:lang w:eastAsia="pt-BR"/>
        </w:rPr>
        <w:t xml:space="preserve"> bilhões). Já para os anos de 202</w:t>
      </w:r>
      <w:r>
        <w:rPr>
          <w:rFonts w:eastAsia="Times New Roman" w:cs="Times New Roman"/>
          <w:sz w:val="24"/>
          <w:szCs w:val="24"/>
          <w:lang w:eastAsia="pt-BR"/>
        </w:rPr>
        <w:t>3</w:t>
      </w:r>
      <w:r w:rsidRPr="003258C5">
        <w:rPr>
          <w:rFonts w:eastAsia="Times New Roman" w:cs="Times New Roman"/>
          <w:sz w:val="24"/>
          <w:szCs w:val="24"/>
          <w:lang w:eastAsia="pt-BR"/>
        </w:rPr>
        <w:t xml:space="preserve"> e 202</w:t>
      </w:r>
      <w:r>
        <w:rPr>
          <w:rFonts w:eastAsia="Times New Roman" w:cs="Times New Roman"/>
          <w:sz w:val="24"/>
          <w:szCs w:val="24"/>
          <w:lang w:eastAsia="pt-BR"/>
        </w:rPr>
        <w:t>4</w:t>
      </w:r>
      <w:r w:rsidRPr="003258C5">
        <w:rPr>
          <w:rFonts w:eastAsia="Times New Roman" w:cs="Times New Roman"/>
          <w:sz w:val="24"/>
          <w:szCs w:val="24"/>
          <w:lang w:eastAsia="pt-BR"/>
        </w:rPr>
        <w:t xml:space="preserve">, os resultados relacionados aos mesmos cenários mostram uma melhora ou piora de cerca de R$ </w:t>
      </w:r>
      <w:r>
        <w:rPr>
          <w:rFonts w:eastAsia="Times New Roman" w:cs="Times New Roman"/>
          <w:sz w:val="24"/>
          <w:szCs w:val="24"/>
          <w:lang w:eastAsia="pt-BR"/>
        </w:rPr>
        <w:t>118</w:t>
      </w:r>
      <w:r w:rsidRPr="003258C5">
        <w:rPr>
          <w:rFonts w:eastAsia="Times New Roman" w:cs="Times New Roman"/>
          <w:sz w:val="24"/>
          <w:szCs w:val="24"/>
          <w:lang w:eastAsia="pt-BR"/>
        </w:rPr>
        <w:t xml:space="preserve"> bilhões e 1</w:t>
      </w:r>
      <w:r>
        <w:rPr>
          <w:rFonts w:eastAsia="Times New Roman" w:cs="Times New Roman"/>
          <w:sz w:val="24"/>
          <w:szCs w:val="24"/>
          <w:lang w:eastAsia="pt-BR"/>
        </w:rPr>
        <w:t>52</w:t>
      </w:r>
      <w:r w:rsidRPr="003258C5">
        <w:rPr>
          <w:rFonts w:eastAsia="Times New Roman" w:cs="Times New Roman"/>
          <w:sz w:val="24"/>
          <w:szCs w:val="24"/>
          <w:lang w:eastAsia="pt-BR"/>
        </w:rPr>
        <w:t xml:space="preserve"> bilhões, havendo apenas uma baixa probabilidade de atingimento de um superávit fiscal em 202</w:t>
      </w:r>
      <w:r>
        <w:rPr>
          <w:rFonts w:eastAsia="Times New Roman" w:cs="Times New Roman"/>
          <w:sz w:val="24"/>
          <w:szCs w:val="24"/>
          <w:lang w:eastAsia="pt-BR"/>
        </w:rPr>
        <w:t>4</w:t>
      </w:r>
      <w:r w:rsidRPr="003258C5">
        <w:rPr>
          <w:rFonts w:eastAsia="Times New Roman" w:cs="Times New Roman"/>
          <w:sz w:val="24"/>
          <w:szCs w:val="24"/>
          <w:lang w:eastAsia="pt-BR"/>
        </w:rPr>
        <w:t>, na parte superior da distribuição apresentada acima.</w:t>
      </w:r>
    </w:p>
    <w:p w14:paraId="60BA868D" w14:textId="5BE106D0" w:rsidR="00E112A2" w:rsidRDefault="009028CD" w:rsidP="001A0861">
      <w:pPr>
        <w:pStyle w:val="Recuodecorpodetexto"/>
        <w:spacing w:line="240" w:lineRule="auto"/>
        <w:ind w:left="0" w:firstLine="1418"/>
        <w:jc w:val="both"/>
        <w:rPr>
          <w:rFonts w:eastAsia="Times New Roman" w:cs="Times New Roman"/>
          <w:sz w:val="24"/>
          <w:szCs w:val="24"/>
          <w:lang w:eastAsia="pt-BR"/>
        </w:rPr>
      </w:pPr>
      <w:r w:rsidRPr="009028CD">
        <w:rPr>
          <w:rFonts w:eastAsia="Times New Roman" w:cs="Times New Roman"/>
          <w:sz w:val="24"/>
          <w:szCs w:val="24"/>
          <w:lang w:eastAsia="pt-BR"/>
        </w:rPr>
        <w:t>Em geral, espera-se que cenários macroeconômicos com maior crescimento da atividade econômica e da massa salarial estejam entre aqueles que possibilitam o atingimento de superávits ao final do período. Isso reforça a importância</w:t>
      </w:r>
      <w:r w:rsidR="009D4C6A">
        <w:rPr>
          <w:rFonts w:eastAsia="Times New Roman" w:cs="Times New Roman"/>
          <w:sz w:val="24"/>
          <w:szCs w:val="24"/>
          <w:lang w:eastAsia="pt-BR"/>
        </w:rPr>
        <w:t xml:space="preserve"> tanto</w:t>
      </w:r>
      <w:r w:rsidRPr="009028CD">
        <w:rPr>
          <w:rFonts w:eastAsia="Times New Roman" w:cs="Times New Roman"/>
          <w:sz w:val="24"/>
          <w:szCs w:val="24"/>
          <w:lang w:eastAsia="pt-BR"/>
        </w:rPr>
        <w:t xml:space="preserve"> da realização de reformas estruturais, que permitam a consolidação fiscal no médio prazo, quanto </w:t>
      </w:r>
      <w:r w:rsidR="009D4C6A">
        <w:rPr>
          <w:rFonts w:eastAsia="Times New Roman" w:cs="Times New Roman"/>
          <w:sz w:val="24"/>
          <w:szCs w:val="24"/>
          <w:lang w:eastAsia="pt-BR"/>
        </w:rPr>
        <w:t>d</w:t>
      </w:r>
      <w:r w:rsidRPr="009028CD">
        <w:rPr>
          <w:rFonts w:eastAsia="Times New Roman" w:cs="Times New Roman"/>
          <w:sz w:val="24"/>
          <w:szCs w:val="24"/>
          <w:lang w:eastAsia="pt-BR"/>
        </w:rPr>
        <w:t>as microeconômicas, que aumentam a produtividade total da economia.</w:t>
      </w:r>
    </w:p>
    <w:p w14:paraId="38F6D64B" w14:textId="77777777" w:rsidR="006C1188" w:rsidRPr="003618DF" w:rsidRDefault="006C1188" w:rsidP="001A0861">
      <w:pPr>
        <w:pStyle w:val="Recuodecorpodetexto"/>
        <w:spacing w:line="240" w:lineRule="auto"/>
        <w:ind w:left="0" w:firstLine="1418"/>
        <w:jc w:val="both"/>
        <w:rPr>
          <w:rFonts w:eastAsia="Times New Roman" w:cs="Times New Roman"/>
          <w:sz w:val="24"/>
          <w:szCs w:val="24"/>
          <w:lang w:eastAsia="pt-BR"/>
        </w:rPr>
      </w:pPr>
    </w:p>
    <w:p w14:paraId="6EC8C8FB" w14:textId="77777777" w:rsidR="00E112A2" w:rsidRPr="00CF61E9" w:rsidRDefault="00E112A2" w:rsidP="00B75FA8">
      <w:pPr>
        <w:pStyle w:val="Ttulo3"/>
        <w:keepNext w:val="0"/>
        <w:numPr>
          <w:ilvl w:val="2"/>
          <w:numId w:val="36"/>
        </w:numPr>
        <w:spacing w:after="120"/>
        <w:ind w:left="720" w:hanging="720"/>
        <w:rPr>
          <w:rFonts w:asciiTheme="minorHAnsi" w:hAnsiTheme="minorHAnsi"/>
          <w:b/>
          <w:smallCaps w:val="0"/>
        </w:rPr>
      </w:pPr>
      <w:bookmarkStart w:id="150" w:name="_Toc67317983"/>
      <w:bookmarkStart w:id="151" w:name="_Toc67929637"/>
      <w:bookmarkStart w:id="152" w:name="_Toc69121224"/>
      <w:r w:rsidRPr="00CF61E9">
        <w:rPr>
          <w:rFonts w:asciiTheme="minorHAnsi" w:hAnsiTheme="minorHAnsi"/>
          <w:b/>
          <w:smallCaps w:val="0"/>
        </w:rPr>
        <w:t>Dívida Pública</w:t>
      </w:r>
      <w:bookmarkEnd w:id="150"/>
      <w:bookmarkEnd w:id="151"/>
      <w:bookmarkEnd w:id="152"/>
    </w:p>
    <w:p w14:paraId="27D32565" w14:textId="6A59CAC0" w:rsidR="0002557A" w:rsidRPr="003618DF" w:rsidRDefault="00CF61E9" w:rsidP="001A0861">
      <w:pPr>
        <w:spacing w:after="120" w:line="240" w:lineRule="auto"/>
        <w:ind w:firstLine="1418"/>
        <w:jc w:val="both"/>
        <w:rPr>
          <w:rFonts w:eastAsia="Times New Roman" w:cs="Times New Roman"/>
          <w:sz w:val="24"/>
          <w:szCs w:val="24"/>
          <w:lang w:eastAsia="pt-BR"/>
        </w:rPr>
      </w:pPr>
      <w:r w:rsidRPr="00CF61E9">
        <w:rPr>
          <w:rFonts w:eastAsia="Times New Roman" w:cs="Times New Roman"/>
          <w:sz w:val="24"/>
          <w:szCs w:val="24"/>
          <w:lang w:eastAsia="pt-BR"/>
        </w:rPr>
        <w:t xml:space="preserve">Na sequência são apresentados alguns testes de estresse, de forma a avaliar os efeitos potenciais sobre os indicadores de endividamento bruto e líquido. A atual composição da dívida acarreta maior sensibilidade do estoque de títulos públicos a alterações nas taxas de juros no curto </w:t>
      </w:r>
      <w:r w:rsidRPr="00CF61E9">
        <w:rPr>
          <w:rFonts w:eastAsia="Times New Roman" w:cs="Times New Roman"/>
          <w:sz w:val="24"/>
          <w:szCs w:val="24"/>
          <w:lang w:eastAsia="pt-BR"/>
        </w:rPr>
        <w:lastRenderedPageBreak/>
        <w:t xml:space="preserve">prazo, como visto na seção anterior. O exercício na </w:t>
      </w:r>
      <w:r w:rsidR="00382026" w:rsidRPr="00382026">
        <w:rPr>
          <w:rFonts w:eastAsia="Times New Roman" w:cs="Times New Roman"/>
          <w:sz w:val="24"/>
          <w:szCs w:val="24"/>
          <w:lang w:eastAsia="pt-BR"/>
        </w:rPr>
        <w:fldChar w:fldCharType="begin"/>
      </w:r>
      <w:r w:rsidR="00382026" w:rsidRPr="00382026">
        <w:rPr>
          <w:rFonts w:eastAsia="Times New Roman" w:cs="Times New Roman"/>
          <w:sz w:val="24"/>
          <w:szCs w:val="24"/>
          <w:lang w:eastAsia="pt-BR"/>
        </w:rPr>
        <w:instrText xml:space="preserve"> REF _Ref5629225 \h  \* MERGEFORMAT </w:instrText>
      </w:r>
      <w:r w:rsidR="00382026" w:rsidRPr="00382026">
        <w:rPr>
          <w:rFonts w:eastAsia="Times New Roman" w:cs="Times New Roman"/>
          <w:sz w:val="24"/>
          <w:szCs w:val="24"/>
          <w:lang w:eastAsia="pt-BR"/>
        </w:rPr>
      </w:r>
      <w:r w:rsidR="00382026" w:rsidRPr="00382026">
        <w:rPr>
          <w:rFonts w:eastAsia="Times New Roman" w:cs="Times New Roman"/>
          <w:sz w:val="24"/>
          <w:szCs w:val="24"/>
          <w:lang w:eastAsia="pt-BR"/>
        </w:rPr>
        <w:fldChar w:fldCharType="separate"/>
      </w:r>
      <w:r w:rsidR="00304F5F" w:rsidRPr="00304F5F">
        <w:rPr>
          <w:sz w:val="24"/>
          <w:szCs w:val="24"/>
        </w:rPr>
        <w:t xml:space="preserve">Figura </w:t>
      </w:r>
      <w:r w:rsidR="00304F5F" w:rsidRPr="00304F5F">
        <w:rPr>
          <w:noProof/>
          <w:sz w:val="24"/>
          <w:szCs w:val="24"/>
        </w:rPr>
        <w:t>10</w:t>
      </w:r>
      <w:r w:rsidR="00382026" w:rsidRPr="00382026">
        <w:rPr>
          <w:rFonts w:eastAsia="Times New Roman" w:cs="Times New Roman"/>
          <w:sz w:val="24"/>
          <w:szCs w:val="24"/>
          <w:lang w:eastAsia="pt-BR"/>
        </w:rPr>
        <w:fldChar w:fldCharType="end"/>
      </w:r>
      <w:r w:rsidR="00382026">
        <w:rPr>
          <w:rFonts w:eastAsia="Times New Roman" w:cs="Times New Roman"/>
          <w:sz w:val="24"/>
          <w:szCs w:val="24"/>
          <w:lang w:eastAsia="pt-BR"/>
        </w:rPr>
        <w:t xml:space="preserve"> </w:t>
      </w:r>
      <w:r w:rsidRPr="00CF61E9">
        <w:rPr>
          <w:rFonts w:eastAsia="Times New Roman" w:cs="Times New Roman"/>
          <w:sz w:val="24"/>
          <w:szCs w:val="24"/>
          <w:lang w:eastAsia="pt-BR"/>
        </w:rPr>
        <w:t>mostra o impacto na DBGG de estresses de 100, 200 e 300 pontos base sobre a taxa Selic subjacente ao cenário PLDO 2022 a partir de agosto de 2021. O impacto ao final de 2024 seria de uma dívida bruta superior ao cenário PLDO 2022 entre 1,9% e 5,7% do PIB.</w:t>
      </w:r>
    </w:p>
    <w:p w14:paraId="595A7F4A" w14:textId="4E1F7710" w:rsidR="00AE0B02" w:rsidRPr="0015108E" w:rsidRDefault="00E333CF" w:rsidP="00B60412">
      <w:pPr>
        <w:pStyle w:val="Legenda"/>
        <w:spacing w:before="240" w:after="120"/>
        <w:jc w:val="center"/>
        <w:rPr>
          <w:rFonts w:asciiTheme="minorHAnsi" w:hAnsiTheme="minorHAnsi"/>
          <w:i w:val="0"/>
          <w:color w:val="auto"/>
          <w:sz w:val="22"/>
          <w:szCs w:val="22"/>
        </w:rPr>
      </w:pPr>
      <w:bookmarkStart w:id="153" w:name="_Ref5629225"/>
      <w:bookmarkStart w:id="154" w:name="_Toc69121335"/>
      <w:r w:rsidRPr="0015108E">
        <w:rPr>
          <w:rFonts w:asciiTheme="minorHAnsi" w:hAnsiTheme="minorHAnsi"/>
          <w:i w:val="0"/>
          <w:color w:val="auto"/>
          <w:sz w:val="22"/>
          <w:szCs w:val="22"/>
        </w:rPr>
        <w:t xml:space="preserve">Figura </w:t>
      </w:r>
      <w:r w:rsidR="00A561BC">
        <w:rPr>
          <w:rFonts w:asciiTheme="minorHAnsi" w:hAnsiTheme="minorHAnsi"/>
          <w:i w:val="0"/>
          <w:color w:val="auto"/>
          <w:sz w:val="22"/>
          <w:szCs w:val="22"/>
        </w:rPr>
        <w:fldChar w:fldCharType="begin"/>
      </w:r>
      <w:r w:rsidR="00A561BC">
        <w:rPr>
          <w:rFonts w:asciiTheme="minorHAnsi" w:hAnsiTheme="minorHAnsi"/>
          <w:i w:val="0"/>
          <w:color w:val="auto"/>
          <w:sz w:val="22"/>
          <w:szCs w:val="22"/>
        </w:rPr>
        <w:instrText xml:space="preserve"> SEQ Figura \* ARABIC </w:instrText>
      </w:r>
      <w:r w:rsidR="00A561BC">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10</w:t>
      </w:r>
      <w:r w:rsidR="00A561BC">
        <w:rPr>
          <w:rFonts w:asciiTheme="minorHAnsi" w:hAnsiTheme="minorHAnsi"/>
          <w:i w:val="0"/>
          <w:color w:val="auto"/>
          <w:sz w:val="22"/>
          <w:szCs w:val="22"/>
        </w:rPr>
        <w:fldChar w:fldCharType="end"/>
      </w:r>
      <w:bookmarkEnd w:id="153"/>
      <w:r w:rsidR="001E6ECE" w:rsidRPr="0015108E">
        <w:rPr>
          <w:rFonts w:asciiTheme="minorHAnsi" w:hAnsiTheme="minorHAnsi"/>
          <w:i w:val="0"/>
          <w:color w:val="auto"/>
          <w:sz w:val="22"/>
          <w:szCs w:val="22"/>
        </w:rPr>
        <w:t xml:space="preserve"> -</w:t>
      </w:r>
      <w:r w:rsidRPr="0015108E">
        <w:rPr>
          <w:rFonts w:asciiTheme="minorHAnsi" w:hAnsiTheme="minorHAnsi"/>
          <w:i w:val="0"/>
          <w:color w:val="auto"/>
          <w:sz w:val="22"/>
          <w:szCs w:val="22"/>
        </w:rPr>
        <w:t xml:space="preserve"> </w:t>
      </w:r>
      <w:r w:rsidR="00CF61E9" w:rsidRPr="00CF61E9">
        <w:rPr>
          <w:rFonts w:asciiTheme="minorHAnsi" w:hAnsiTheme="minorHAnsi"/>
          <w:i w:val="0"/>
          <w:color w:val="auto"/>
          <w:sz w:val="22"/>
          <w:szCs w:val="22"/>
        </w:rPr>
        <w:t>Teste de estresse Selic – DBGG (% PIB)</w:t>
      </w:r>
      <w:bookmarkEnd w:id="154"/>
    </w:p>
    <w:tbl>
      <w:tblPr>
        <w:tblStyle w:val="Tabelacomgrade"/>
        <w:tblW w:w="11282" w:type="dxa"/>
        <w:tblLook w:val="04A0" w:firstRow="1" w:lastRow="0" w:firstColumn="1" w:lastColumn="0" w:noHBand="0" w:noVBand="1"/>
      </w:tblPr>
      <w:tblGrid>
        <w:gridCol w:w="9639"/>
        <w:gridCol w:w="1637"/>
        <w:gridCol w:w="6"/>
      </w:tblGrid>
      <w:tr w:rsidR="00D46AC6" w:rsidRPr="00D46AC6" w14:paraId="5CA7BCF5" w14:textId="77777777" w:rsidTr="7A50586E">
        <w:trPr>
          <w:gridAfter w:val="1"/>
          <w:wAfter w:w="6" w:type="dxa"/>
        </w:trPr>
        <w:tc>
          <w:tcPr>
            <w:tcW w:w="9639" w:type="dxa"/>
            <w:tcBorders>
              <w:top w:val="nil"/>
              <w:left w:val="nil"/>
              <w:bottom w:val="nil"/>
              <w:right w:val="nil"/>
            </w:tcBorders>
            <w:vAlign w:val="center"/>
          </w:tcPr>
          <w:p w14:paraId="191E18AB" w14:textId="07015C4B" w:rsidR="00620192" w:rsidRPr="00620192" w:rsidRDefault="00CF61E9" w:rsidP="00620192">
            <w:pPr>
              <w:jc w:val="center"/>
              <w:rPr>
                <w:lang w:eastAsia="pt-BR"/>
              </w:rPr>
            </w:pPr>
            <w:r>
              <w:rPr>
                <w:noProof/>
                <w:lang w:eastAsia="pt-BR"/>
              </w:rPr>
              <w:drawing>
                <wp:inline distT="0" distB="0" distL="0" distR="0" wp14:anchorId="335DD4EB" wp14:editId="22CBFEF9">
                  <wp:extent cx="4316095" cy="2969260"/>
                  <wp:effectExtent l="0" t="0" r="8255"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6095" cy="2969260"/>
                          </a:xfrm>
                          <a:prstGeom prst="rect">
                            <a:avLst/>
                          </a:prstGeom>
                          <a:noFill/>
                        </pic:spPr>
                      </pic:pic>
                    </a:graphicData>
                  </a:graphic>
                </wp:inline>
              </w:drawing>
            </w:r>
          </w:p>
          <w:p w14:paraId="7FD227F3" w14:textId="24206AA6" w:rsidR="0064797C" w:rsidRPr="00D46AC6" w:rsidRDefault="0064797C" w:rsidP="009E0A8D">
            <w:pPr>
              <w:jc w:val="center"/>
              <w:rPr>
                <w:color w:val="FF0000"/>
                <w:sz w:val="2"/>
                <w:szCs w:val="2"/>
                <w:lang w:eastAsia="pt-BR"/>
              </w:rPr>
            </w:pPr>
          </w:p>
        </w:tc>
        <w:tc>
          <w:tcPr>
            <w:tcW w:w="1637" w:type="dxa"/>
            <w:tcBorders>
              <w:top w:val="nil"/>
              <w:left w:val="nil"/>
              <w:bottom w:val="nil"/>
              <w:right w:val="nil"/>
            </w:tcBorders>
            <w:vAlign w:val="center"/>
          </w:tcPr>
          <w:p w14:paraId="3C538EF6" w14:textId="77777777" w:rsidR="0064797C" w:rsidRPr="00D46AC6" w:rsidRDefault="0064797C" w:rsidP="0064797C">
            <w:pPr>
              <w:jc w:val="right"/>
              <w:rPr>
                <w:color w:val="FF0000"/>
                <w:sz w:val="2"/>
                <w:szCs w:val="2"/>
                <w:lang w:eastAsia="pt-BR"/>
              </w:rPr>
            </w:pPr>
          </w:p>
          <w:p w14:paraId="6CA04C9B" w14:textId="77777777" w:rsidR="009E0A8D" w:rsidRPr="00D46AC6" w:rsidRDefault="009E0A8D" w:rsidP="0064797C">
            <w:pPr>
              <w:jc w:val="right"/>
              <w:rPr>
                <w:color w:val="FF0000"/>
                <w:sz w:val="2"/>
                <w:szCs w:val="2"/>
                <w:lang w:eastAsia="pt-BR"/>
              </w:rPr>
            </w:pPr>
          </w:p>
        </w:tc>
      </w:tr>
      <w:tr w:rsidR="0064797C" w:rsidRPr="00D46AC6" w14:paraId="35F263C1" w14:textId="77777777" w:rsidTr="7A50586E">
        <w:tc>
          <w:tcPr>
            <w:tcW w:w="11282" w:type="dxa"/>
            <w:gridSpan w:val="3"/>
            <w:tcBorders>
              <w:top w:val="nil"/>
              <w:left w:val="nil"/>
              <w:bottom w:val="nil"/>
              <w:right w:val="nil"/>
            </w:tcBorders>
          </w:tcPr>
          <w:p w14:paraId="2A08FD83" w14:textId="35BFB7D3" w:rsidR="0064797C" w:rsidRPr="00550C4E" w:rsidRDefault="00C567A4" w:rsidP="0064797C">
            <w:pPr>
              <w:rPr>
                <w:i/>
                <w:iCs/>
                <w:color w:val="FF0000"/>
                <w:sz w:val="16"/>
                <w:szCs w:val="16"/>
                <w:lang w:eastAsia="pt-BR"/>
              </w:rPr>
            </w:pPr>
            <w:r w:rsidRPr="00D46AC6">
              <w:rPr>
                <w:color w:val="FF0000"/>
                <w:sz w:val="20"/>
                <w:szCs w:val="20"/>
              </w:rPr>
              <w:t xml:space="preserve">                       </w:t>
            </w:r>
            <w:r w:rsidR="0064797C" w:rsidRPr="0015108E">
              <w:rPr>
                <w:b/>
                <w:i/>
                <w:iCs/>
                <w:sz w:val="16"/>
                <w:szCs w:val="16"/>
              </w:rPr>
              <w:t>Fonte</w:t>
            </w:r>
            <w:r w:rsidR="00382026">
              <w:rPr>
                <w:b/>
                <w:i/>
                <w:iCs/>
                <w:sz w:val="16"/>
                <w:szCs w:val="16"/>
              </w:rPr>
              <w:t xml:space="preserve">: </w:t>
            </w:r>
            <w:r w:rsidR="00382026" w:rsidRPr="00382026">
              <w:rPr>
                <w:i/>
                <w:iCs/>
                <w:sz w:val="16"/>
                <w:szCs w:val="16"/>
              </w:rPr>
              <w:t>Realizado, BCB. Projeções, STN.</w:t>
            </w:r>
            <w:r w:rsidR="00382026">
              <w:rPr>
                <w:b/>
                <w:i/>
                <w:iCs/>
                <w:sz w:val="16"/>
                <w:szCs w:val="16"/>
              </w:rPr>
              <w:t xml:space="preserve"> </w:t>
            </w:r>
            <w:r w:rsidR="0064797C" w:rsidRPr="0015108E">
              <w:rPr>
                <w:b/>
                <w:i/>
                <w:iCs/>
                <w:sz w:val="16"/>
                <w:szCs w:val="16"/>
              </w:rPr>
              <w:t>Elaboração</w:t>
            </w:r>
            <w:r w:rsidR="0064797C" w:rsidRPr="0015108E">
              <w:rPr>
                <w:i/>
                <w:iCs/>
                <w:sz w:val="16"/>
                <w:szCs w:val="16"/>
              </w:rPr>
              <w:t>: STN/ME.</w:t>
            </w:r>
          </w:p>
        </w:tc>
      </w:tr>
    </w:tbl>
    <w:p w14:paraId="2EE9C2CC" w14:textId="16FBE003" w:rsidR="0064797C" w:rsidRDefault="0064797C" w:rsidP="0064797C">
      <w:pPr>
        <w:spacing w:after="120" w:line="240" w:lineRule="auto"/>
        <w:rPr>
          <w:color w:val="FF0000"/>
          <w:sz w:val="24"/>
          <w:szCs w:val="24"/>
          <w:lang w:eastAsia="pt-BR"/>
        </w:rPr>
      </w:pPr>
    </w:p>
    <w:p w14:paraId="57CD9C12" w14:textId="238C59EB" w:rsidR="00382026" w:rsidRPr="00382026" w:rsidRDefault="00382026" w:rsidP="00382026">
      <w:pPr>
        <w:spacing w:after="120" w:line="240" w:lineRule="auto"/>
        <w:ind w:firstLine="1418"/>
        <w:jc w:val="both"/>
        <w:rPr>
          <w:sz w:val="24"/>
          <w:szCs w:val="24"/>
          <w:lang w:eastAsia="pt-BR"/>
        </w:rPr>
      </w:pPr>
      <w:r w:rsidRPr="00382026">
        <w:rPr>
          <w:sz w:val="24"/>
          <w:szCs w:val="24"/>
          <w:lang w:eastAsia="pt-BR"/>
        </w:rPr>
        <w:t xml:space="preserve">A </w:t>
      </w:r>
      <w:r w:rsidR="003212E7" w:rsidRPr="003212E7">
        <w:rPr>
          <w:sz w:val="24"/>
          <w:szCs w:val="24"/>
          <w:lang w:eastAsia="pt-BR"/>
        </w:rPr>
        <w:fldChar w:fldCharType="begin"/>
      </w:r>
      <w:r w:rsidR="003212E7" w:rsidRPr="003212E7">
        <w:rPr>
          <w:sz w:val="24"/>
          <w:szCs w:val="24"/>
          <w:lang w:eastAsia="pt-BR"/>
        </w:rPr>
        <w:instrText xml:space="preserve"> REF _Ref69119853 \h  \* MERGEFORMAT </w:instrText>
      </w:r>
      <w:r w:rsidR="003212E7" w:rsidRPr="003212E7">
        <w:rPr>
          <w:sz w:val="24"/>
          <w:szCs w:val="24"/>
          <w:lang w:eastAsia="pt-BR"/>
        </w:rPr>
      </w:r>
      <w:r w:rsidR="003212E7" w:rsidRPr="003212E7">
        <w:rPr>
          <w:sz w:val="24"/>
          <w:szCs w:val="24"/>
          <w:lang w:eastAsia="pt-BR"/>
        </w:rPr>
        <w:fldChar w:fldCharType="separate"/>
      </w:r>
      <w:r w:rsidR="00304F5F" w:rsidRPr="00304F5F">
        <w:rPr>
          <w:rFonts w:cstheme="minorHAnsi"/>
          <w:sz w:val="24"/>
          <w:szCs w:val="24"/>
        </w:rPr>
        <w:t xml:space="preserve">Figura </w:t>
      </w:r>
      <w:r w:rsidR="00304F5F" w:rsidRPr="00304F5F">
        <w:rPr>
          <w:rFonts w:cstheme="minorHAnsi"/>
          <w:noProof/>
          <w:sz w:val="24"/>
          <w:szCs w:val="24"/>
        </w:rPr>
        <w:t>11</w:t>
      </w:r>
      <w:r w:rsidR="003212E7" w:rsidRPr="003212E7">
        <w:rPr>
          <w:sz w:val="24"/>
          <w:szCs w:val="24"/>
          <w:lang w:eastAsia="pt-BR"/>
        </w:rPr>
        <w:fldChar w:fldCharType="end"/>
      </w:r>
      <w:r w:rsidR="003212E7">
        <w:rPr>
          <w:sz w:val="24"/>
          <w:szCs w:val="24"/>
          <w:lang w:eastAsia="pt-BR"/>
        </w:rPr>
        <w:t xml:space="preserve"> </w:t>
      </w:r>
      <w:r w:rsidRPr="00382026">
        <w:rPr>
          <w:sz w:val="24"/>
          <w:szCs w:val="24"/>
          <w:lang w:eastAsia="pt-BR"/>
        </w:rPr>
        <w:t>traz o resultado deste exercício para a DLSP, que ao final de 2024 apresentaria um endividamento líquido superior ao cenário PLDO 2022 entre 2,0% e 6,0% do PIB em decorrência de eventual estresse na taxa Selic.</w:t>
      </w:r>
    </w:p>
    <w:p w14:paraId="58E2E439" w14:textId="63960D72" w:rsidR="009E0A8D" w:rsidRPr="00617D6D" w:rsidRDefault="005A62C4" w:rsidP="005A62C4">
      <w:pPr>
        <w:pStyle w:val="Legenda"/>
        <w:jc w:val="center"/>
        <w:rPr>
          <w:rFonts w:asciiTheme="minorHAnsi" w:hAnsiTheme="minorHAnsi"/>
          <w:i w:val="0"/>
          <w:color w:val="auto"/>
          <w:sz w:val="22"/>
          <w:szCs w:val="22"/>
        </w:rPr>
      </w:pPr>
      <w:bookmarkStart w:id="155" w:name="_Ref69119853"/>
      <w:bookmarkStart w:id="156" w:name="_Toc69121336"/>
      <w:r w:rsidRPr="005A62C4">
        <w:rPr>
          <w:rFonts w:asciiTheme="minorHAnsi" w:hAnsiTheme="minorHAnsi" w:cstheme="minorHAnsi"/>
          <w:i w:val="0"/>
          <w:color w:val="auto"/>
          <w:sz w:val="22"/>
          <w:szCs w:val="22"/>
        </w:rPr>
        <w:t xml:space="preserve">Figura </w:t>
      </w:r>
      <w:r w:rsidRPr="005A62C4">
        <w:rPr>
          <w:rFonts w:asciiTheme="minorHAnsi" w:hAnsiTheme="minorHAnsi" w:cstheme="minorHAnsi"/>
          <w:i w:val="0"/>
          <w:color w:val="auto"/>
          <w:sz w:val="22"/>
          <w:szCs w:val="22"/>
        </w:rPr>
        <w:fldChar w:fldCharType="begin"/>
      </w:r>
      <w:r w:rsidRPr="005A62C4">
        <w:rPr>
          <w:rFonts w:asciiTheme="minorHAnsi" w:hAnsiTheme="minorHAnsi" w:cstheme="minorHAnsi"/>
          <w:i w:val="0"/>
          <w:color w:val="auto"/>
          <w:sz w:val="22"/>
          <w:szCs w:val="22"/>
        </w:rPr>
        <w:instrText xml:space="preserve"> SEQ Figura \* ARABIC </w:instrText>
      </w:r>
      <w:r w:rsidRPr="005A62C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11</w:t>
      </w:r>
      <w:r w:rsidRPr="005A62C4">
        <w:rPr>
          <w:rFonts w:asciiTheme="minorHAnsi" w:hAnsiTheme="minorHAnsi" w:cstheme="minorHAnsi"/>
          <w:i w:val="0"/>
          <w:color w:val="auto"/>
          <w:sz w:val="22"/>
          <w:szCs w:val="22"/>
        </w:rPr>
        <w:fldChar w:fldCharType="end"/>
      </w:r>
      <w:bookmarkEnd w:id="155"/>
      <w:r w:rsidR="00625877" w:rsidRPr="005A62C4">
        <w:rPr>
          <w:rFonts w:asciiTheme="minorHAnsi" w:hAnsiTheme="minorHAnsi" w:cstheme="minorHAnsi"/>
          <w:i w:val="0"/>
          <w:color w:val="auto"/>
          <w:sz w:val="22"/>
          <w:szCs w:val="22"/>
        </w:rPr>
        <w:t xml:space="preserve"> </w:t>
      </w:r>
      <w:r w:rsidR="00625877" w:rsidRPr="00617D6D">
        <w:rPr>
          <w:rFonts w:asciiTheme="minorHAnsi" w:hAnsiTheme="minorHAnsi"/>
          <w:i w:val="0"/>
          <w:color w:val="auto"/>
          <w:sz w:val="22"/>
          <w:szCs w:val="22"/>
        </w:rPr>
        <w:t>-</w:t>
      </w:r>
      <w:r w:rsidR="009E0A8D" w:rsidRPr="00617D6D">
        <w:rPr>
          <w:rFonts w:asciiTheme="minorHAnsi" w:hAnsiTheme="minorHAnsi"/>
          <w:i w:val="0"/>
          <w:color w:val="auto"/>
          <w:sz w:val="22"/>
          <w:szCs w:val="22"/>
        </w:rPr>
        <w:t xml:space="preserve"> </w:t>
      </w:r>
      <w:r w:rsidR="00382026" w:rsidRPr="00382026">
        <w:rPr>
          <w:rFonts w:asciiTheme="minorHAnsi" w:hAnsiTheme="minorHAnsi"/>
          <w:i w:val="0"/>
          <w:color w:val="auto"/>
          <w:sz w:val="22"/>
          <w:szCs w:val="22"/>
        </w:rPr>
        <w:t>Teste de estresse Selic – DLSP (% PIB)</w:t>
      </w:r>
      <w:bookmarkEnd w:id="156"/>
    </w:p>
    <w:p w14:paraId="135A4FED" w14:textId="08D65C08" w:rsidR="009E0A8D" w:rsidRPr="00D46AC6" w:rsidRDefault="00382026" w:rsidP="009E0A8D">
      <w:pPr>
        <w:jc w:val="center"/>
        <w:rPr>
          <w:color w:val="FF0000"/>
          <w:lang w:eastAsia="pt-BR"/>
        </w:rPr>
      </w:pPr>
      <w:r>
        <w:rPr>
          <w:noProof/>
          <w:color w:val="FF0000"/>
          <w:lang w:eastAsia="pt-BR"/>
        </w:rPr>
        <w:drawing>
          <wp:inline distT="0" distB="0" distL="0" distR="0" wp14:anchorId="6965B2BE" wp14:editId="23838D74">
            <wp:extent cx="4389755" cy="301752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755" cy="3017520"/>
                    </a:xfrm>
                    <a:prstGeom prst="rect">
                      <a:avLst/>
                    </a:prstGeom>
                    <a:noFill/>
                  </pic:spPr>
                </pic:pic>
              </a:graphicData>
            </a:graphic>
          </wp:inline>
        </w:drawing>
      </w:r>
    </w:p>
    <w:p w14:paraId="0AB8FC2F" w14:textId="2D9F5E96" w:rsidR="009E0A8D" w:rsidRDefault="00C567A4" w:rsidP="009E0A8D">
      <w:pPr>
        <w:ind w:firstLine="708"/>
        <w:rPr>
          <w:i/>
          <w:iCs/>
          <w:sz w:val="16"/>
          <w:szCs w:val="16"/>
        </w:rPr>
      </w:pPr>
      <w:r w:rsidRPr="00D46AC6">
        <w:rPr>
          <w:color w:val="FF0000"/>
          <w:sz w:val="20"/>
          <w:szCs w:val="20"/>
        </w:rPr>
        <w:t xml:space="preserve">        </w:t>
      </w:r>
      <w:r w:rsidR="009E0A8D" w:rsidRPr="00617D6D">
        <w:rPr>
          <w:b/>
          <w:i/>
          <w:iCs/>
          <w:sz w:val="16"/>
          <w:szCs w:val="16"/>
        </w:rPr>
        <w:t>Fonte</w:t>
      </w:r>
      <w:r w:rsidR="00382026">
        <w:rPr>
          <w:b/>
          <w:i/>
          <w:iCs/>
          <w:sz w:val="16"/>
          <w:szCs w:val="16"/>
        </w:rPr>
        <w:t xml:space="preserve">: </w:t>
      </w:r>
      <w:r w:rsidR="00382026" w:rsidRPr="00382026">
        <w:rPr>
          <w:i/>
          <w:iCs/>
          <w:sz w:val="16"/>
          <w:szCs w:val="16"/>
        </w:rPr>
        <w:t>Realizado, BCB. Projeções, STN/ME</w:t>
      </w:r>
      <w:r w:rsidR="00382026">
        <w:rPr>
          <w:b/>
          <w:i/>
          <w:iCs/>
          <w:sz w:val="16"/>
          <w:szCs w:val="16"/>
        </w:rPr>
        <w:t>.</w:t>
      </w:r>
      <w:r w:rsidR="009E0A8D" w:rsidRPr="00617D6D">
        <w:rPr>
          <w:b/>
          <w:i/>
          <w:iCs/>
          <w:sz w:val="16"/>
          <w:szCs w:val="16"/>
        </w:rPr>
        <w:t xml:space="preserve"> Elaboração</w:t>
      </w:r>
      <w:r w:rsidR="009E0A8D" w:rsidRPr="00617D6D">
        <w:rPr>
          <w:i/>
          <w:iCs/>
          <w:sz w:val="16"/>
          <w:szCs w:val="16"/>
        </w:rPr>
        <w:t>: STN/ME.</w:t>
      </w:r>
    </w:p>
    <w:p w14:paraId="55FC5E62" w14:textId="384F524F" w:rsidR="005A62C4" w:rsidRDefault="005A62C4" w:rsidP="005A62C4">
      <w:pPr>
        <w:spacing w:after="120" w:line="240" w:lineRule="auto"/>
        <w:ind w:firstLine="1418"/>
        <w:jc w:val="both"/>
        <w:rPr>
          <w:iCs/>
          <w:color w:val="FF0000"/>
          <w:sz w:val="24"/>
          <w:szCs w:val="24"/>
          <w:lang w:eastAsia="pt-BR"/>
        </w:rPr>
      </w:pPr>
    </w:p>
    <w:p w14:paraId="56157418" w14:textId="28E77358" w:rsidR="005A62C4" w:rsidRPr="005A62C4" w:rsidRDefault="005A62C4" w:rsidP="005A62C4">
      <w:pPr>
        <w:spacing w:after="120" w:line="240" w:lineRule="auto"/>
        <w:ind w:firstLine="1418"/>
        <w:jc w:val="both"/>
        <w:rPr>
          <w:iCs/>
          <w:sz w:val="24"/>
          <w:szCs w:val="24"/>
          <w:lang w:eastAsia="pt-BR"/>
        </w:rPr>
      </w:pPr>
      <w:r w:rsidRPr="005A62C4">
        <w:rPr>
          <w:iCs/>
          <w:sz w:val="24"/>
          <w:szCs w:val="24"/>
          <w:lang w:eastAsia="pt-BR"/>
        </w:rPr>
        <w:t xml:space="preserve">Na </w:t>
      </w:r>
      <w:r w:rsidRPr="005A62C4">
        <w:rPr>
          <w:iCs/>
          <w:sz w:val="24"/>
          <w:szCs w:val="24"/>
          <w:lang w:eastAsia="pt-BR"/>
        </w:rPr>
        <w:fldChar w:fldCharType="begin"/>
      </w:r>
      <w:r w:rsidRPr="005A62C4">
        <w:rPr>
          <w:iCs/>
          <w:sz w:val="24"/>
          <w:szCs w:val="24"/>
          <w:lang w:eastAsia="pt-BR"/>
        </w:rPr>
        <w:instrText xml:space="preserve"> REF _Ref68892600 \h  \* MERGEFORMAT </w:instrText>
      </w:r>
      <w:r w:rsidRPr="005A62C4">
        <w:rPr>
          <w:iCs/>
          <w:sz w:val="24"/>
          <w:szCs w:val="24"/>
          <w:lang w:eastAsia="pt-BR"/>
        </w:rPr>
      </w:r>
      <w:r w:rsidRPr="005A62C4">
        <w:rPr>
          <w:iCs/>
          <w:sz w:val="24"/>
          <w:szCs w:val="24"/>
          <w:lang w:eastAsia="pt-BR"/>
        </w:rPr>
        <w:fldChar w:fldCharType="separate"/>
      </w:r>
      <w:r w:rsidR="00304F5F" w:rsidRPr="00304F5F">
        <w:rPr>
          <w:sz w:val="24"/>
          <w:szCs w:val="24"/>
        </w:rPr>
        <w:t xml:space="preserve">Figura </w:t>
      </w:r>
      <w:r w:rsidR="00304F5F" w:rsidRPr="00304F5F">
        <w:rPr>
          <w:noProof/>
          <w:sz w:val="24"/>
          <w:szCs w:val="24"/>
        </w:rPr>
        <w:t>12</w:t>
      </w:r>
      <w:r w:rsidRPr="005A62C4">
        <w:rPr>
          <w:iCs/>
          <w:sz w:val="24"/>
          <w:szCs w:val="24"/>
          <w:lang w:eastAsia="pt-BR"/>
        </w:rPr>
        <w:fldChar w:fldCharType="end"/>
      </w:r>
      <w:r>
        <w:rPr>
          <w:iCs/>
          <w:sz w:val="24"/>
          <w:szCs w:val="24"/>
          <w:lang w:eastAsia="pt-BR"/>
        </w:rPr>
        <w:t xml:space="preserve"> </w:t>
      </w:r>
      <w:r w:rsidRPr="005A62C4">
        <w:rPr>
          <w:iCs/>
          <w:sz w:val="24"/>
          <w:szCs w:val="24"/>
          <w:lang w:eastAsia="pt-BR"/>
        </w:rPr>
        <w:t xml:space="preserve">combinamos um estresse de 100 pontos base na taxa Selic com choques negativos de </w:t>
      </w:r>
      <w:proofErr w:type="gramStart"/>
      <w:r w:rsidRPr="005A62C4">
        <w:rPr>
          <w:iCs/>
          <w:sz w:val="24"/>
          <w:szCs w:val="24"/>
          <w:lang w:eastAsia="pt-BR"/>
        </w:rPr>
        <w:t>1</w:t>
      </w:r>
      <w:proofErr w:type="gramEnd"/>
      <w:r w:rsidRPr="005A62C4">
        <w:rPr>
          <w:iCs/>
          <w:sz w:val="24"/>
          <w:szCs w:val="24"/>
          <w:lang w:eastAsia="pt-BR"/>
        </w:rPr>
        <w:t xml:space="preserve"> ponto percentual ao ano no crescimento real do PIB e 1 ponto percentual do PIB no primário em todo horizonte de projeção. Tal ambiente adverso resultaria em uma trajetória de endividamento bruto ainda mais desafiadora, em que a DBGG alcançaria </w:t>
      </w:r>
      <w:proofErr w:type="gramStart"/>
      <w:r w:rsidRPr="005A62C4">
        <w:rPr>
          <w:iCs/>
          <w:sz w:val="24"/>
          <w:szCs w:val="24"/>
          <w:lang w:eastAsia="pt-BR"/>
        </w:rPr>
        <w:t>cerca de 98</w:t>
      </w:r>
      <w:proofErr w:type="gramEnd"/>
      <w:r w:rsidRPr="005A62C4">
        <w:rPr>
          <w:iCs/>
          <w:sz w:val="24"/>
          <w:szCs w:val="24"/>
          <w:lang w:eastAsia="pt-BR"/>
        </w:rPr>
        <w:t>% ao final de 2024.</w:t>
      </w:r>
    </w:p>
    <w:p w14:paraId="007FD927" w14:textId="2C61C2DC" w:rsidR="005A62C4" w:rsidRPr="00617D6D" w:rsidRDefault="005A62C4" w:rsidP="005A62C4">
      <w:pPr>
        <w:pStyle w:val="Legenda"/>
        <w:spacing w:after="120"/>
        <w:jc w:val="center"/>
        <w:rPr>
          <w:rFonts w:asciiTheme="minorHAnsi" w:hAnsiTheme="minorHAnsi"/>
          <w:i w:val="0"/>
          <w:color w:val="auto"/>
          <w:sz w:val="22"/>
          <w:szCs w:val="22"/>
        </w:rPr>
      </w:pPr>
      <w:bookmarkStart w:id="157" w:name="_Ref68892600"/>
      <w:bookmarkStart w:id="158" w:name="_Toc69121337"/>
      <w:r w:rsidRPr="00617D6D">
        <w:rPr>
          <w:rFonts w:asciiTheme="minorHAnsi" w:hAnsiTheme="minorHAnsi"/>
          <w:i w:val="0"/>
          <w:color w:val="auto"/>
          <w:sz w:val="22"/>
          <w:szCs w:val="22"/>
        </w:rPr>
        <w:t xml:space="preserve">Figura </w:t>
      </w:r>
      <w:r>
        <w:rPr>
          <w:rFonts w:asciiTheme="minorHAnsi" w:hAnsiTheme="minorHAnsi"/>
          <w:i w:val="0"/>
          <w:color w:val="auto"/>
          <w:sz w:val="22"/>
          <w:szCs w:val="22"/>
        </w:rPr>
        <w:fldChar w:fldCharType="begin"/>
      </w:r>
      <w:r>
        <w:rPr>
          <w:rFonts w:asciiTheme="minorHAnsi" w:hAnsiTheme="minorHAnsi"/>
          <w:i w:val="0"/>
          <w:color w:val="auto"/>
          <w:sz w:val="22"/>
          <w:szCs w:val="22"/>
        </w:rPr>
        <w:instrText xml:space="preserve"> SEQ Figura \* ARABIC </w:instrText>
      </w:r>
      <w:r>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12</w:t>
      </w:r>
      <w:r>
        <w:rPr>
          <w:rFonts w:asciiTheme="minorHAnsi" w:hAnsiTheme="minorHAnsi"/>
          <w:i w:val="0"/>
          <w:color w:val="auto"/>
          <w:sz w:val="22"/>
          <w:szCs w:val="22"/>
        </w:rPr>
        <w:fldChar w:fldCharType="end"/>
      </w:r>
      <w:bookmarkEnd w:id="157"/>
      <w:r w:rsidRPr="00617D6D">
        <w:rPr>
          <w:rFonts w:asciiTheme="minorHAnsi" w:hAnsiTheme="minorHAnsi"/>
          <w:i w:val="0"/>
          <w:color w:val="auto"/>
          <w:sz w:val="22"/>
          <w:szCs w:val="22"/>
        </w:rPr>
        <w:t xml:space="preserve"> - </w:t>
      </w:r>
      <w:r w:rsidRPr="005A62C4">
        <w:rPr>
          <w:rFonts w:asciiTheme="minorHAnsi" w:hAnsiTheme="minorHAnsi"/>
          <w:i w:val="0"/>
          <w:color w:val="auto"/>
          <w:sz w:val="22"/>
          <w:szCs w:val="22"/>
        </w:rPr>
        <w:t>Teste de estresse combinado – DBGG (% PIB)</w:t>
      </w:r>
      <w:bookmarkEnd w:id="158"/>
    </w:p>
    <w:p w14:paraId="43BA4AFD" w14:textId="66249E03" w:rsidR="005A62C4" w:rsidRPr="00D46AC6" w:rsidRDefault="005A62C4" w:rsidP="005A62C4">
      <w:pPr>
        <w:jc w:val="center"/>
        <w:rPr>
          <w:color w:val="FF0000"/>
          <w:lang w:eastAsia="pt-BR"/>
        </w:rPr>
      </w:pPr>
      <w:r>
        <w:rPr>
          <w:noProof/>
          <w:color w:val="FF0000"/>
          <w:lang w:eastAsia="pt-BR"/>
        </w:rPr>
        <w:drawing>
          <wp:inline distT="0" distB="0" distL="0" distR="0" wp14:anchorId="33B98501" wp14:editId="14784CBD">
            <wp:extent cx="4529455" cy="3115310"/>
            <wp:effectExtent l="0" t="0" r="4445" b="889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9455" cy="3115310"/>
                    </a:xfrm>
                    <a:prstGeom prst="rect">
                      <a:avLst/>
                    </a:prstGeom>
                    <a:noFill/>
                  </pic:spPr>
                </pic:pic>
              </a:graphicData>
            </a:graphic>
          </wp:inline>
        </w:drawing>
      </w:r>
    </w:p>
    <w:p w14:paraId="5CDBB0FD" w14:textId="77777777" w:rsidR="005A62C4" w:rsidRDefault="005A62C4" w:rsidP="005A62C4">
      <w:pPr>
        <w:ind w:firstLine="708"/>
        <w:rPr>
          <w:i/>
          <w:iCs/>
          <w:sz w:val="16"/>
          <w:szCs w:val="16"/>
        </w:rPr>
      </w:pPr>
      <w:r w:rsidRPr="00D46AC6">
        <w:rPr>
          <w:color w:val="FF0000"/>
          <w:sz w:val="20"/>
          <w:szCs w:val="20"/>
        </w:rPr>
        <w:t xml:space="preserve">        </w:t>
      </w:r>
      <w:r w:rsidRPr="00617D6D">
        <w:rPr>
          <w:b/>
          <w:i/>
          <w:iCs/>
          <w:sz w:val="16"/>
          <w:szCs w:val="16"/>
        </w:rPr>
        <w:t>Fonte</w:t>
      </w:r>
      <w:r>
        <w:rPr>
          <w:b/>
          <w:i/>
          <w:iCs/>
          <w:sz w:val="16"/>
          <w:szCs w:val="16"/>
        </w:rPr>
        <w:t xml:space="preserve">: </w:t>
      </w:r>
      <w:r w:rsidRPr="00382026">
        <w:rPr>
          <w:i/>
          <w:iCs/>
          <w:sz w:val="16"/>
          <w:szCs w:val="16"/>
        </w:rPr>
        <w:t>Realizado, BCB. Projeções, STN/ME</w:t>
      </w:r>
      <w:r>
        <w:rPr>
          <w:b/>
          <w:i/>
          <w:iCs/>
          <w:sz w:val="16"/>
          <w:szCs w:val="16"/>
        </w:rPr>
        <w:t>.</w:t>
      </w:r>
      <w:r w:rsidRPr="00617D6D">
        <w:rPr>
          <w:b/>
          <w:i/>
          <w:iCs/>
          <w:sz w:val="16"/>
          <w:szCs w:val="16"/>
        </w:rPr>
        <w:t xml:space="preserve"> Elaboração</w:t>
      </w:r>
      <w:r w:rsidRPr="00617D6D">
        <w:rPr>
          <w:i/>
          <w:iCs/>
          <w:sz w:val="16"/>
          <w:szCs w:val="16"/>
        </w:rPr>
        <w:t>: STN/ME.</w:t>
      </w:r>
    </w:p>
    <w:p w14:paraId="586285A1" w14:textId="596C5405" w:rsidR="005A62C4" w:rsidRPr="005A62C4" w:rsidRDefault="005A62C4" w:rsidP="005A62C4">
      <w:pPr>
        <w:spacing w:after="120" w:line="240" w:lineRule="auto"/>
        <w:ind w:firstLine="1418"/>
        <w:jc w:val="both"/>
        <w:rPr>
          <w:iCs/>
          <w:sz w:val="24"/>
          <w:szCs w:val="24"/>
          <w:lang w:eastAsia="pt-BR"/>
        </w:rPr>
      </w:pPr>
      <w:r w:rsidRPr="005A62C4">
        <w:rPr>
          <w:iCs/>
          <w:sz w:val="24"/>
          <w:szCs w:val="24"/>
          <w:lang w:eastAsia="pt-BR"/>
        </w:rPr>
        <w:t>Por sua vez, o impacto combinado sobre o endividamento líquido poderia representar, ao final de 2024, até cerca de 9% do PIB, com a DLSP alcançando 81,7% do PIB.</w:t>
      </w:r>
    </w:p>
    <w:p w14:paraId="63F3B147" w14:textId="3DFE96ED" w:rsidR="005A62C4" w:rsidRPr="00617D6D" w:rsidRDefault="005A62C4" w:rsidP="005A62C4">
      <w:pPr>
        <w:pStyle w:val="Legenda"/>
        <w:spacing w:after="120"/>
        <w:jc w:val="center"/>
        <w:rPr>
          <w:rFonts w:asciiTheme="minorHAnsi" w:hAnsiTheme="minorHAnsi"/>
          <w:i w:val="0"/>
          <w:color w:val="auto"/>
          <w:sz w:val="22"/>
          <w:szCs w:val="22"/>
        </w:rPr>
      </w:pPr>
      <w:bookmarkStart w:id="159" w:name="_Toc69121338"/>
      <w:r w:rsidRPr="00617D6D">
        <w:rPr>
          <w:rFonts w:asciiTheme="minorHAnsi" w:hAnsiTheme="minorHAnsi"/>
          <w:i w:val="0"/>
          <w:color w:val="auto"/>
          <w:sz w:val="22"/>
          <w:szCs w:val="22"/>
        </w:rPr>
        <w:t xml:space="preserve">Figura </w:t>
      </w:r>
      <w:r>
        <w:rPr>
          <w:rFonts w:asciiTheme="minorHAnsi" w:hAnsiTheme="minorHAnsi"/>
          <w:i w:val="0"/>
          <w:color w:val="auto"/>
          <w:sz w:val="22"/>
          <w:szCs w:val="22"/>
        </w:rPr>
        <w:fldChar w:fldCharType="begin"/>
      </w:r>
      <w:r>
        <w:rPr>
          <w:rFonts w:asciiTheme="minorHAnsi" w:hAnsiTheme="minorHAnsi"/>
          <w:i w:val="0"/>
          <w:color w:val="auto"/>
          <w:sz w:val="22"/>
          <w:szCs w:val="22"/>
        </w:rPr>
        <w:instrText xml:space="preserve"> SEQ Figura \* ARABIC </w:instrText>
      </w:r>
      <w:r>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13</w:t>
      </w:r>
      <w:r>
        <w:rPr>
          <w:rFonts w:asciiTheme="minorHAnsi" w:hAnsiTheme="minorHAnsi"/>
          <w:i w:val="0"/>
          <w:color w:val="auto"/>
          <w:sz w:val="22"/>
          <w:szCs w:val="22"/>
        </w:rPr>
        <w:fldChar w:fldCharType="end"/>
      </w:r>
      <w:r w:rsidRPr="00617D6D">
        <w:rPr>
          <w:rFonts w:asciiTheme="minorHAnsi" w:hAnsiTheme="minorHAnsi"/>
          <w:i w:val="0"/>
          <w:color w:val="auto"/>
          <w:sz w:val="22"/>
          <w:szCs w:val="22"/>
        </w:rPr>
        <w:t xml:space="preserve"> - </w:t>
      </w:r>
      <w:r w:rsidRPr="005A62C4">
        <w:rPr>
          <w:rFonts w:asciiTheme="minorHAnsi" w:hAnsiTheme="minorHAnsi"/>
          <w:i w:val="0"/>
          <w:color w:val="auto"/>
          <w:sz w:val="22"/>
          <w:szCs w:val="22"/>
        </w:rPr>
        <w:t>Teste de estresse combinado – D</w:t>
      </w:r>
      <w:r>
        <w:rPr>
          <w:rFonts w:asciiTheme="minorHAnsi" w:hAnsiTheme="minorHAnsi"/>
          <w:i w:val="0"/>
          <w:color w:val="auto"/>
          <w:sz w:val="22"/>
          <w:szCs w:val="22"/>
        </w:rPr>
        <w:t>LSP</w:t>
      </w:r>
      <w:r w:rsidRPr="005A62C4">
        <w:rPr>
          <w:rFonts w:asciiTheme="minorHAnsi" w:hAnsiTheme="minorHAnsi"/>
          <w:i w:val="0"/>
          <w:color w:val="auto"/>
          <w:sz w:val="22"/>
          <w:szCs w:val="22"/>
        </w:rPr>
        <w:t xml:space="preserve"> (% PIB)</w:t>
      </w:r>
      <w:bookmarkEnd w:id="159"/>
    </w:p>
    <w:p w14:paraId="16E4DD4B" w14:textId="3634AEB9" w:rsidR="005A62C4" w:rsidRPr="00D46AC6" w:rsidRDefault="005A62C4" w:rsidP="005A62C4">
      <w:pPr>
        <w:jc w:val="center"/>
        <w:rPr>
          <w:color w:val="FF0000"/>
          <w:lang w:eastAsia="pt-BR"/>
        </w:rPr>
      </w:pPr>
      <w:r>
        <w:rPr>
          <w:noProof/>
          <w:color w:val="FF0000"/>
          <w:lang w:eastAsia="pt-BR"/>
        </w:rPr>
        <w:drawing>
          <wp:inline distT="0" distB="0" distL="0" distR="0" wp14:anchorId="52D2B54B" wp14:editId="41FA30F3">
            <wp:extent cx="4255135" cy="2926080"/>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5135" cy="2926080"/>
                    </a:xfrm>
                    <a:prstGeom prst="rect">
                      <a:avLst/>
                    </a:prstGeom>
                    <a:noFill/>
                  </pic:spPr>
                </pic:pic>
              </a:graphicData>
            </a:graphic>
          </wp:inline>
        </w:drawing>
      </w:r>
    </w:p>
    <w:p w14:paraId="650A3A52" w14:textId="77777777" w:rsidR="005A62C4" w:rsidRDefault="005A62C4" w:rsidP="005A62C4">
      <w:pPr>
        <w:ind w:firstLine="708"/>
        <w:rPr>
          <w:i/>
          <w:iCs/>
          <w:sz w:val="16"/>
          <w:szCs w:val="16"/>
        </w:rPr>
      </w:pPr>
      <w:r w:rsidRPr="00D46AC6">
        <w:rPr>
          <w:color w:val="FF0000"/>
          <w:sz w:val="20"/>
          <w:szCs w:val="20"/>
        </w:rPr>
        <w:t xml:space="preserve">        </w:t>
      </w:r>
      <w:r w:rsidRPr="00617D6D">
        <w:rPr>
          <w:b/>
          <w:i/>
          <w:iCs/>
          <w:sz w:val="16"/>
          <w:szCs w:val="16"/>
        </w:rPr>
        <w:t>Fonte</w:t>
      </w:r>
      <w:r>
        <w:rPr>
          <w:b/>
          <w:i/>
          <w:iCs/>
          <w:sz w:val="16"/>
          <w:szCs w:val="16"/>
        </w:rPr>
        <w:t xml:space="preserve">: </w:t>
      </w:r>
      <w:r w:rsidRPr="00382026">
        <w:rPr>
          <w:i/>
          <w:iCs/>
          <w:sz w:val="16"/>
          <w:szCs w:val="16"/>
        </w:rPr>
        <w:t>Realizado, BCB. Projeções, STN/ME</w:t>
      </w:r>
      <w:r>
        <w:rPr>
          <w:b/>
          <w:i/>
          <w:iCs/>
          <w:sz w:val="16"/>
          <w:szCs w:val="16"/>
        </w:rPr>
        <w:t>.</w:t>
      </w:r>
      <w:r w:rsidRPr="00617D6D">
        <w:rPr>
          <w:b/>
          <w:i/>
          <w:iCs/>
          <w:sz w:val="16"/>
          <w:szCs w:val="16"/>
        </w:rPr>
        <w:t xml:space="preserve"> Elaboração</w:t>
      </w:r>
      <w:r w:rsidRPr="00617D6D">
        <w:rPr>
          <w:i/>
          <w:iCs/>
          <w:sz w:val="16"/>
          <w:szCs w:val="16"/>
        </w:rPr>
        <w:t>: STN/ME.</w:t>
      </w:r>
    </w:p>
    <w:p w14:paraId="5CAE7EED" w14:textId="05038323" w:rsidR="005A62C4" w:rsidRDefault="005A62C4" w:rsidP="005A62C4">
      <w:pPr>
        <w:spacing w:after="120" w:line="240" w:lineRule="auto"/>
        <w:ind w:firstLine="1418"/>
        <w:jc w:val="both"/>
        <w:rPr>
          <w:iCs/>
          <w:color w:val="FF0000"/>
          <w:sz w:val="24"/>
          <w:szCs w:val="24"/>
          <w:lang w:eastAsia="pt-BR"/>
        </w:rPr>
      </w:pPr>
    </w:p>
    <w:p w14:paraId="72CA7CF9" w14:textId="2EECF1B9" w:rsidR="005A62C4" w:rsidRPr="00BF2C49" w:rsidRDefault="00BF2C49" w:rsidP="005A62C4">
      <w:pPr>
        <w:spacing w:after="120" w:line="240" w:lineRule="auto"/>
        <w:ind w:firstLine="1418"/>
        <w:jc w:val="both"/>
        <w:rPr>
          <w:iCs/>
          <w:sz w:val="24"/>
          <w:szCs w:val="24"/>
          <w:lang w:eastAsia="pt-BR"/>
        </w:rPr>
      </w:pPr>
      <w:r w:rsidRPr="00BF2C49">
        <w:rPr>
          <w:iCs/>
          <w:sz w:val="24"/>
          <w:szCs w:val="24"/>
          <w:lang w:eastAsia="pt-BR"/>
        </w:rPr>
        <w:t xml:space="preserve">Na </w:t>
      </w:r>
      <w:r w:rsidRPr="00BF2C49">
        <w:rPr>
          <w:iCs/>
          <w:sz w:val="24"/>
          <w:szCs w:val="24"/>
          <w:lang w:eastAsia="pt-BR"/>
        </w:rPr>
        <w:fldChar w:fldCharType="begin"/>
      </w:r>
      <w:r w:rsidRPr="00BF2C49">
        <w:rPr>
          <w:iCs/>
          <w:sz w:val="24"/>
          <w:szCs w:val="24"/>
          <w:lang w:eastAsia="pt-BR"/>
        </w:rPr>
        <w:instrText xml:space="preserve"> REF _Ref68893013 \h  \* MERGEFORMAT </w:instrText>
      </w:r>
      <w:r w:rsidRPr="00BF2C49">
        <w:rPr>
          <w:iCs/>
          <w:sz w:val="24"/>
          <w:szCs w:val="24"/>
          <w:lang w:eastAsia="pt-BR"/>
        </w:rPr>
      </w:r>
      <w:r w:rsidRPr="00BF2C49">
        <w:rPr>
          <w:iCs/>
          <w:sz w:val="24"/>
          <w:szCs w:val="24"/>
          <w:lang w:eastAsia="pt-BR"/>
        </w:rPr>
        <w:fldChar w:fldCharType="separate"/>
      </w:r>
      <w:r w:rsidR="00304F5F" w:rsidRPr="00304F5F">
        <w:rPr>
          <w:sz w:val="24"/>
          <w:szCs w:val="24"/>
        </w:rPr>
        <w:t xml:space="preserve">Figura </w:t>
      </w:r>
      <w:r w:rsidR="00304F5F" w:rsidRPr="00304F5F">
        <w:rPr>
          <w:noProof/>
          <w:sz w:val="24"/>
          <w:szCs w:val="24"/>
        </w:rPr>
        <w:t>14</w:t>
      </w:r>
      <w:r w:rsidRPr="00BF2C49">
        <w:rPr>
          <w:iCs/>
          <w:sz w:val="24"/>
          <w:szCs w:val="24"/>
          <w:lang w:eastAsia="pt-BR"/>
        </w:rPr>
        <w:fldChar w:fldCharType="end"/>
      </w:r>
      <w:r w:rsidRPr="00BF2C49">
        <w:rPr>
          <w:iCs/>
          <w:sz w:val="24"/>
          <w:szCs w:val="24"/>
          <w:lang w:eastAsia="pt-BR"/>
        </w:rPr>
        <w:t xml:space="preserve"> e na </w:t>
      </w:r>
      <w:r w:rsidRPr="00BF2C49">
        <w:rPr>
          <w:iCs/>
          <w:sz w:val="24"/>
          <w:szCs w:val="24"/>
          <w:lang w:eastAsia="pt-BR"/>
        </w:rPr>
        <w:fldChar w:fldCharType="begin"/>
      </w:r>
      <w:r w:rsidRPr="00BF2C49">
        <w:rPr>
          <w:iCs/>
          <w:sz w:val="24"/>
          <w:szCs w:val="24"/>
          <w:lang w:eastAsia="pt-BR"/>
        </w:rPr>
        <w:instrText xml:space="preserve"> REF _Ref68893028 \h  \* MERGEFORMAT </w:instrText>
      </w:r>
      <w:r w:rsidRPr="00BF2C49">
        <w:rPr>
          <w:iCs/>
          <w:sz w:val="24"/>
          <w:szCs w:val="24"/>
          <w:lang w:eastAsia="pt-BR"/>
        </w:rPr>
      </w:r>
      <w:r w:rsidRPr="00BF2C49">
        <w:rPr>
          <w:iCs/>
          <w:sz w:val="24"/>
          <w:szCs w:val="24"/>
          <w:lang w:eastAsia="pt-BR"/>
        </w:rPr>
        <w:fldChar w:fldCharType="separate"/>
      </w:r>
      <w:r w:rsidR="00304F5F" w:rsidRPr="00304F5F">
        <w:rPr>
          <w:sz w:val="24"/>
          <w:szCs w:val="24"/>
        </w:rPr>
        <w:t xml:space="preserve">Figura </w:t>
      </w:r>
      <w:r w:rsidR="00304F5F" w:rsidRPr="00304F5F">
        <w:rPr>
          <w:noProof/>
          <w:sz w:val="24"/>
          <w:szCs w:val="24"/>
        </w:rPr>
        <w:t>15</w:t>
      </w:r>
      <w:r w:rsidRPr="00BF2C49">
        <w:rPr>
          <w:iCs/>
          <w:sz w:val="24"/>
          <w:szCs w:val="24"/>
          <w:lang w:eastAsia="pt-BR"/>
        </w:rPr>
        <w:fldChar w:fldCharType="end"/>
      </w:r>
      <w:r w:rsidRPr="00BF2C49">
        <w:rPr>
          <w:iCs/>
          <w:sz w:val="24"/>
          <w:szCs w:val="24"/>
          <w:lang w:eastAsia="pt-BR"/>
        </w:rPr>
        <w:t xml:space="preserve"> são mostrados os resultados estocásticos das simulações de DLSP e DBGG. As linhas sólidas representam o cenário PLDO 2022 (Tabela 3 do Anexo de Metas Fiscais) e são muito próximas àquelas das medianas das distribuições. Estas figuras são conhecidas como </w:t>
      </w:r>
      <w:proofErr w:type="spellStart"/>
      <w:r w:rsidRPr="00296E28">
        <w:rPr>
          <w:i/>
          <w:sz w:val="24"/>
          <w:szCs w:val="24"/>
          <w:lang w:eastAsia="pt-BR"/>
        </w:rPr>
        <w:t>fan</w:t>
      </w:r>
      <w:proofErr w:type="spellEnd"/>
      <w:r w:rsidRPr="00296E28">
        <w:rPr>
          <w:i/>
          <w:sz w:val="24"/>
          <w:szCs w:val="24"/>
          <w:lang w:eastAsia="pt-BR"/>
        </w:rPr>
        <w:t xml:space="preserve"> </w:t>
      </w:r>
      <w:proofErr w:type="spellStart"/>
      <w:r w:rsidRPr="00296E28">
        <w:rPr>
          <w:i/>
          <w:sz w:val="24"/>
          <w:szCs w:val="24"/>
          <w:lang w:eastAsia="pt-BR"/>
        </w:rPr>
        <w:t>charts</w:t>
      </w:r>
      <w:proofErr w:type="spellEnd"/>
      <w:r w:rsidRPr="00BF2C49">
        <w:rPr>
          <w:iCs/>
          <w:sz w:val="24"/>
          <w:szCs w:val="24"/>
          <w:lang w:eastAsia="pt-BR"/>
        </w:rPr>
        <w:t xml:space="preserve"> e mostram o intervalo de confiança para as possíveis trajetórias da DBGG/PIB e DLSP/PIB diante de choques estocásticos no PIB e no resultado fiscal primário ao longo do tempo, mantendo-se constantes as demais variáveis, inclusive juros.</w:t>
      </w:r>
    </w:p>
    <w:p w14:paraId="5059E33D" w14:textId="4BFEDAF0" w:rsidR="00BF2C49" w:rsidRPr="00617D6D" w:rsidRDefault="00BF2C49" w:rsidP="00BF2C49">
      <w:pPr>
        <w:pStyle w:val="Legenda"/>
        <w:spacing w:after="120"/>
        <w:jc w:val="center"/>
        <w:rPr>
          <w:rFonts w:asciiTheme="minorHAnsi" w:hAnsiTheme="minorHAnsi"/>
          <w:i w:val="0"/>
          <w:color w:val="auto"/>
          <w:sz w:val="22"/>
          <w:szCs w:val="22"/>
        </w:rPr>
      </w:pPr>
      <w:bookmarkStart w:id="160" w:name="_Ref68893013"/>
      <w:bookmarkStart w:id="161" w:name="_Toc69121339"/>
      <w:r w:rsidRPr="00617D6D">
        <w:rPr>
          <w:rFonts w:asciiTheme="minorHAnsi" w:hAnsiTheme="minorHAnsi"/>
          <w:i w:val="0"/>
          <w:color w:val="auto"/>
          <w:sz w:val="22"/>
          <w:szCs w:val="22"/>
        </w:rPr>
        <w:t xml:space="preserve">Figura </w:t>
      </w:r>
      <w:r>
        <w:rPr>
          <w:rFonts w:asciiTheme="minorHAnsi" w:hAnsiTheme="minorHAnsi"/>
          <w:i w:val="0"/>
          <w:color w:val="auto"/>
          <w:sz w:val="22"/>
          <w:szCs w:val="22"/>
        </w:rPr>
        <w:fldChar w:fldCharType="begin"/>
      </w:r>
      <w:r>
        <w:rPr>
          <w:rFonts w:asciiTheme="minorHAnsi" w:hAnsiTheme="minorHAnsi"/>
          <w:i w:val="0"/>
          <w:color w:val="auto"/>
          <w:sz w:val="22"/>
          <w:szCs w:val="22"/>
        </w:rPr>
        <w:instrText xml:space="preserve"> SEQ Figura \* ARABIC </w:instrText>
      </w:r>
      <w:r>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14</w:t>
      </w:r>
      <w:r>
        <w:rPr>
          <w:rFonts w:asciiTheme="minorHAnsi" w:hAnsiTheme="minorHAnsi"/>
          <w:i w:val="0"/>
          <w:color w:val="auto"/>
          <w:sz w:val="22"/>
          <w:szCs w:val="22"/>
        </w:rPr>
        <w:fldChar w:fldCharType="end"/>
      </w:r>
      <w:bookmarkEnd w:id="160"/>
      <w:r w:rsidRPr="00617D6D">
        <w:rPr>
          <w:rFonts w:asciiTheme="minorHAnsi" w:hAnsiTheme="minorHAnsi"/>
          <w:i w:val="0"/>
          <w:color w:val="auto"/>
          <w:sz w:val="22"/>
          <w:szCs w:val="22"/>
        </w:rPr>
        <w:t xml:space="preserve"> - </w:t>
      </w:r>
      <w:r w:rsidRPr="00BF2C49">
        <w:rPr>
          <w:rFonts w:asciiTheme="minorHAnsi" w:hAnsiTheme="minorHAnsi"/>
          <w:i w:val="0"/>
          <w:color w:val="auto"/>
          <w:sz w:val="22"/>
          <w:szCs w:val="22"/>
        </w:rPr>
        <w:t>Cenários estocásticos para DBGG/PIB</w:t>
      </w:r>
      <w:bookmarkEnd w:id="161"/>
    </w:p>
    <w:p w14:paraId="236F8BC8" w14:textId="1FA153E2" w:rsidR="00BF2C49" w:rsidRPr="00D46AC6" w:rsidRDefault="00BF2C49" w:rsidP="00BF2C49">
      <w:pPr>
        <w:jc w:val="center"/>
        <w:rPr>
          <w:color w:val="FF0000"/>
          <w:lang w:eastAsia="pt-BR"/>
        </w:rPr>
      </w:pPr>
      <w:r>
        <w:rPr>
          <w:noProof/>
          <w:color w:val="FF0000"/>
          <w:lang w:eastAsia="pt-BR"/>
        </w:rPr>
        <w:drawing>
          <wp:inline distT="0" distB="0" distL="0" distR="0" wp14:anchorId="54BB8576" wp14:editId="592FF39B">
            <wp:extent cx="4706620" cy="32797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6620" cy="3279775"/>
                    </a:xfrm>
                    <a:prstGeom prst="rect">
                      <a:avLst/>
                    </a:prstGeom>
                    <a:noFill/>
                  </pic:spPr>
                </pic:pic>
              </a:graphicData>
            </a:graphic>
          </wp:inline>
        </w:drawing>
      </w:r>
    </w:p>
    <w:p w14:paraId="09522B5C" w14:textId="77777777" w:rsidR="00BF2C49" w:rsidRDefault="00BF2C49" w:rsidP="00BF2C49">
      <w:pPr>
        <w:ind w:firstLine="708"/>
        <w:rPr>
          <w:i/>
          <w:iCs/>
          <w:sz w:val="16"/>
          <w:szCs w:val="16"/>
        </w:rPr>
      </w:pPr>
      <w:r w:rsidRPr="00D46AC6">
        <w:rPr>
          <w:color w:val="FF0000"/>
          <w:sz w:val="20"/>
          <w:szCs w:val="20"/>
        </w:rPr>
        <w:t xml:space="preserve">        </w:t>
      </w:r>
      <w:r w:rsidRPr="00617D6D">
        <w:rPr>
          <w:b/>
          <w:i/>
          <w:iCs/>
          <w:sz w:val="16"/>
          <w:szCs w:val="16"/>
        </w:rPr>
        <w:t>Fonte</w:t>
      </w:r>
      <w:r>
        <w:rPr>
          <w:b/>
          <w:i/>
          <w:iCs/>
          <w:sz w:val="16"/>
          <w:szCs w:val="16"/>
        </w:rPr>
        <w:t xml:space="preserve">: </w:t>
      </w:r>
      <w:r w:rsidRPr="00382026">
        <w:rPr>
          <w:i/>
          <w:iCs/>
          <w:sz w:val="16"/>
          <w:szCs w:val="16"/>
        </w:rPr>
        <w:t>Realizado, BCB. Projeções, STN/ME</w:t>
      </w:r>
      <w:r>
        <w:rPr>
          <w:b/>
          <w:i/>
          <w:iCs/>
          <w:sz w:val="16"/>
          <w:szCs w:val="16"/>
        </w:rPr>
        <w:t>.</w:t>
      </w:r>
      <w:r w:rsidRPr="00617D6D">
        <w:rPr>
          <w:b/>
          <w:i/>
          <w:iCs/>
          <w:sz w:val="16"/>
          <w:szCs w:val="16"/>
        </w:rPr>
        <w:t xml:space="preserve"> Elaboração</w:t>
      </w:r>
      <w:r w:rsidRPr="00617D6D">
        <w:rPr>
          <w:i/>
          <w:iCs/>
          <w:sz w:val="16"/>
          <w:szCs w:val="16"/>
        </w:rPr>
        <w:t>: STN/ME.</w:t>
      </w:r>
    </w:p>
    <w:p w14:paraId="175C50BF" w14:textId="656593DF" w:rsidR="008F2123" w:rsidRDefault="008F2123" w:rsidP="005A62C4">
      <w:pPr>
        <w:spacing w:after="120" w:line="240" w:lineRule="auto"/>
        <w:ind w:firstLine="1418"/>
        <w:jc w:val="both"/>
        <w:rPr>
          <w:iCs/>
          <w:color w:val="FF0000"/>
          <w:sz w:val="24"/>
          <w:szCs w:val="24"/>
          <w:lang w:eastAsia="pt-BR"/>
        </w:rPr>
      </w:pPr>
    </w:p>
    <w:p w14:paraId="226C8413" w14:textId="129F1DA5" w:rsidR="00BF2C49" w:rsidRPr="00617D6D" w:rsidRDefault="00BF2C49" w:rsidP="00BF2C49">
      <w:pPr>
        <w:pStyle w:val="Legenda"/>
        <w:spacing w:after="120"/>
        <w:jc w:val="center"/>
        <w:rPr>
          <w:rFonts w:asciiTheme="minorHAnsi" w:hAnsiTheme="minorHAnsi"/>
          <w:i w:val="0"/>
          <w:color w:val="auto"/>
          <w:sz w:val="22"/>
          <w:szCs w:val="22"/>
        </w:rPr>
      </w:pPr>
      <w:bookmarkStart w:id="162" w:name="_Ref68893028"/>
      <w:bookmarkStart w:id="163" w:name="_Toc69121340"/>
      <w:r w:rsidRPr="00617D6D">
        <w:rPr>
          <w:rFonts w:asciiTheme="minorHAnsi" w:hAnsiTheme="minorHAnsi"/>
          <w:i w:val="0"/>
          <w:color w:val="auto"/>
          <w:sz w:val="22"/>
          <w:szCs w:val="22"/>
        </w:rPr>
        <w:t xml:space="preserve">Figura </w:t>
      </w:r>
      <w:r>
        <w:rPr>
          <w:rFonts w:asciiTheme="minorHAnsi" w:hAnsiTheme="minorHAnsi"/>
          <w:i w:val="0"/>
          <w:color w:val="auto"/>
          <w:sz w:val="22"/>
          <w:szCs w:val="22"/>
        </w:rPr>
        <w:fldChar w:fldCharType="begin"/>
      </w:r>
      <w:r>
        <w:rPr>
          <w:rFonts w:asciiTheme="minorHAnsi" w:hAnsiTheme="minorHAnsi"/>
          <w:i w:val="0"/>
          <w:color w:val="auto"/>
          <w:sz w:val="22"/>
          <w:szCs w:val="22"/>
        </w:rPr>
        <w:instrText xml:space="preserve"> SEQ Figura \* ARABIC </w:instrText>
      </w:r>
      <w:r>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15</w:t>
      </w:r>
      <w:r>
        <w:rPr>
          <w:rFonts w:asciiTheme="minorHAnsi" w:hAnsiTheme="minorHAnsi"/>
          <w:i w:val="0"/>
          <w:color w:val="auto"/>
          <w:sz w:val="22"/>
          <w:szCs w:val="22"/>
        </w:rPr>
        <w:fldChar w:fldCharType="end"/>
      </w:r>
      <w:bookmarkEnd w:id="162"/>
      <w:r w:rsidRPr="00617D6D">
        <w:rPr>
          <w:rFonts w:asciiTheme="minorHAnsi" w:hAnsiTheme="minorHAnsi"/>
          <w:i w:val="0"/>
          <w:color w:val="auto"/>
          <w:sz w:val="22"/>
          <w:szCs w:val="22"/>
        </w:rPr>
        <w:t xml:space="preserve"> - </w:t>
      </w:r>
      <w:r w:rsidRPr="00BF2C49">
        <w:rPr>
          <w:rFonts w:asciiTheme="minorHAnsi" w:hAnsiTheme="minorHAnsi"/>
          <w:i w:val="0"/>
          <w:color w:val="auto"/>
          <w:sz w:val="22"/>
          <w:szCs w:val="22"/>
        </w:rPr>
        <w:t>Cenários estocásticos para DLSP/PIB</w:t>
      </w:r>
      <w:bookmarkEnd w:id="163"/>
    </w:p>
    <w:p w14:paraId="381388EC" w14:textId="2827C149" w:rsidR="00BF2C49" w:rsidRPr="00D46AC6" w:rsidRDefault="00BF2C49" w:rsidP="00BF2C49">
      <w:pPr>
        <w:jc w:val="center"/>
        <w:rPr>
          <w:color w:val="FF0000"/>
          <w:lang w:eastAsia="pt-BR"/>
        </w:rPr>
      </w:pPr>
      <w:r>
        <w:rPr>
          <w:noProof/>
          <w:color w:val="FF0000"/>
          <w:lang w:eastAsia="pt-BR"/>
        </w:rPr>
        <w:lastRenderedPageBreak/>
        <w:drawing>
          <wp:inline distT="0" distB="0" distL="0" distR="0" wp14:anchorId="755CDBFB" wp14:editId="60F4BDF1">
            <wp:extent cx="4846955" cy="3389630"/>
            <wp:effectExtent l="0" t="0" r="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6955" cy="3389630"/>
                    </a:xfrm>
                    <a:prstGeom prst="rect">
                      <a:avLst/>
                    </a:prstGeom>
                    <a:noFill/>
                  </pic:spPr>
                </pic:pic>
              </a:graphicData>
            </a:graphic>
          </wp:inline>
        </w:drawing>
      </w:r>
    </w:p>
    <w:p w14:paraId="60788C2A" w14:textId="77777777" w:rsidR="00BF2C49" w:rsidRDefault="00BF2C49" w:rsidP="00BF2C49">
      <w:pPr>
        <w:ind w:firstLine="708"/>
        <w:rPr>
          <w:i/>
          <w:iCs/>
          <w:sz w:val="16"/>
          <w:szCs w:val="16"/>
        </w:rPr>
      </w:pPr>
      <w:r w:rsidRPr="00D46AC6">
        <w:rPr>
          <w:color w:val="FF0000"/>
          <w:sz w:val="20"/>
          <w:szCs w:val="20"/>
        </w:rPr>
        <w:t xml:space="preserve">        </w:t>
      </w:r>
      <w:r w:rsidRPr="00617D6D">
        <w:rPr>
          <w:b/>
          <w:i/>
          <w:iCs/>
          <w:sz w:val="16"/>
          <w:szCs w:val="16"/>
        </w:rPr>
        <w:t>Fonte</w:t>
      </w:r>
      <w:r>
        <w:rPr>
          <w:b/>
          <w:i/>
          <w:iCs/>
          <w:sz w:val="16"/>
          <w:szCs w:val="16"/>
        </w:rPr>
        <w:t xml:space="preserve">: </w:t>
      </w:r>
      <w:r w:rsidRPr="00382026">
        <w:rPr>
          <w:i/>
          <w:iCs/>
          <w:sz w:val="16"/>
          <w:szCs w:val="16"/>
        </w:rPr>
        <w:t>Realizado, BCB. Projeções, STN/ME</w:t>
      </w:r>
      <w:r>
        <w:rPr>
          <w:b/>
          <w:i/>
          <w:iCs/>
          <w:sz w:val="16"/>
          <w:szCs w:val="16"/>
        </w:rPr>
        <w:t>.</w:t>
      </w:r>
      <w:r w:rsidRPr="00617D6D">
        <w:rPr>
          <w:b/>
          <w:i/>
          <w:iCs/>
          <w:sz w:val="16"/>
          <w:szCs w:val="16"/>
        </w:rPr>
        <w:t xml:space="preserve"> Elaboração</w:t>
      </w:r>
      <w:r w:rsidRPr="00617D6D">
        <w:rPr>
          <w:i/>
          <w:iCs/>
          <w:sz w:val="16"/>
          <w:szCs w:val="16"/>
        </w:rPr>
        <w:t>: STN/ME.</w:t>
      </w:r>
    </w:p>
    <w:p w14:paraId="04E6B9A4" w14:textId="723CDB25" w:rsidR="00BF2C49" w:rsidRPr="00C470E5" w:rsidRDefault="00C470E5" w:rsidP="005A62C4">
      <w:pPr>
        <w:spacing w:after="120" w:line="240" w:lineRule="auto"/>
        <w:ind w:firstLine="1418"/>
        <w:jc w:val="both"/>
        <w:rPr>
          <w:iCs/>
          <w:sz w:val="24"/>
          <w:szCs w:val="24"/>
          <w:lang w:eastAsia="pt-BR"/>
        </w:rPr>
      </w:pPr>
      <w:r w:rsidRPr="00C470E5">
        <w:rPr>
          <w:iCs/>
          <w:sz w:val="24"/>
          <w:szCs w:val="24"/>
          <w:lang w:eastAsia="pt-BR"/>
        </w:rPr>
        <w:t>De forma complementar, são apresentados n</w:t>
      </w:r>
      <w:r w:rsidRPr="00474872">
        <w:rPr>
          <w:iCs/>
          <w:sz w:val="24"/>
          <w:szCs w:val="24"/>
          <w:lang w:eastAsia="pt-BR"/>
        </w:rPr>
        <w:t>a</w:t>
      </w:r>
      <w:r w:rsidR="00474872" w:rsidRPr="00474872">
        <w:rPr>
          <w:iCs/>
          <w:sz w:val="24"/>
          <w:szCs w:val="24"/>
          <w:lang w:eastAsia="pt-BR"/>
        </w:rPr>
        <w:t xml:space="preserve"> </w:t>
      </w:r>
      <w:r w:rsidR="00474872" w:rsidRPr="00474872">
        <w:rPr>
          <w:iCs/>
          <w:sz w:val="24"/>
          <w:szCs w:val="24"/>
          <w:lang w:eastAsia="pt-BR"/>
        </w:rPr>
        <w:fldChar w:fldCharType="begin"/>
      </w:r>
      <w:r w:rsidR="00474872" w:rsidRPr="00474872">
        <w:rPr>
          <w:iCs/>
          <w:sz w:val="24"/>
          <w:szCs w:val="24"/>
          <w:lang w:eastAsia="pt-BR"/>
        </w:rPr>
        <w:instrText xml:space="preserve"> REF _Ref68893833 \h  \* MERGEFORMAT </w:instrText>
      </w:r>
      <w:r w:rsidR="00474872" w:rsidRPr="00474872">
        <w:rPr>
          <w:iCs/>
          <w:sz w:val="24"/>
          <w:szCs w:val="24"/>
          <w:lang w:eastAsia="pt-BR"/>
        </w:rPr>
      </w:r>
      <w:r w:rsidR="00474872" w:rsidRPr="00474872">
        <w:rPr>
          <w:iCs/>
          <w:sz w:val="24"/>
          <w:szCs w:val="24"/>
          <w:lang w:eastAsia="pt-BR"/>
        </w:rPr>
        <w:fldChar w:fldCharType="separate"/>
      </w:r>
      <w:r w:rsidR="00304F5F" w:rsidRPr="00304F5F">
        <w:rPr>
          <w:sz w:val="24"/>
          <w:szCs w:val="24"/>
        </w:rPr>
        <w:t xml:space="preserve">Figura </w:t>
      </w:r>
      <w:r w:rsidR="00304F5F" w:rsidRPr="00304F5F">
        <w:rPr>
          <w:noProof/>
          <w:sz w:val="24"/>
          <w:szCs w:val="24"/>
        </w:rPr>
        <w:t>16</w:t>
      </w:r>
      <w:r w:rsidR="00474872" w:rsidRPr="00474872">
        <w:rPr>
          <w:iCs/>
          <w:sz w:val="24"/>
          <w:szCs w:val="24"/>
          <w:lang w:eastAsia="pt-BR"/>
        </w:rPr>
        <w:fldChar w:fldCharType="end"/>
      </w:r>
      <w:r w:rsidR="00474872" w:rsidRPr="00474872">
        <w:rPr>
          <w:iCs/>
          <w:sz w:val="24"/>
          <w:szCs w:val="24"/>
          <w:lang w:eastAsia="pt-BR"/>
        </w:rPr>
        <w:t xml:space="preserve"> e na </w:t>
      </w:r>
      <w:r w:rsidR="00474872" w:rsidRPr="00474872">
        <w:rPr>
          <w:iCs/>
          <w:sz w:val="24"/>
          <w:szCs w:val="24"/>
          <w:lang w:eastAsia="pt-BR"/>
        </w:rPr>
        <w:fldChar w:fldCharType="begin"/>
      </w:r>
      <w:r w:rsidR="00474872" w:rsidRPr="00474872">
        <w:rPr>
          <w:iCs/>
          <w:sz w:val="24"/>
          <w:szCs w:val="24"/>
          <w:lang w:eastAsia="pt-BR"/>
        </w:rPr>
        <w:instrText xml:space="preserve"> REF _Ref68893842 \h  \* MERGEFORMAT </w:instrText>
      </w:r>
      <w:r w:rsidR="00474872" w:rsidRPr="00474872">
        <w:rPr>
          <w:iCs/>
          <w:sz w:val="24"/>
          <w:szCs w:val="24"/>
          <w:lang w:eastAsia="pt-BR"/>
        </w:rPr>
      </w:r>
      <w:r w:rsidR="00474872" w:rsidRPr="00474872">
        <w:rPr>
          <w:iCs/>
          <w:sz w:val="24"/>
          <w:szCs w:val="24"/>
          <w:lang w:eastAsia="pt-BR"/>
        </w:rPr>
        <w:fldChar w:fldCharType="separate"/>
      </w:r>
      <w:r w:rsidR="00304F5F" w:rsidRPr="00304F5F">
        <w:rPr>
          <w:sz w:val="24"/>
          <w:szCs w:val="24"/>
        </w:rPr>
        <w:t xml:space="preserve">Figura </w:t>
      </w:r>
      <w:r w:rsidR="00304F5F" w:rsidRPr="00304F5F">
        <w:rPr>
          <w:noProof/>
          <w:sz w:val="24"/>
          <w:szCs w:val="24"/>
        </w:rPr>
        <w:t>17</w:t>
      </w:r>
      <w:r w:rsidR="00474872" w:rsidRPr="00474872">
        <w:rPr>
          <w:iCs/>
          <w:sz w:val="24"/>
          <w:szCs w:val="24"/>
          <w:lang w:eastAsia="pt-BR"/>
        </w:rPr>
        <w:fldChar w:fldCharType="end"/>
      </w:r>
      <w:r w:rsidRPr="00C470E5">
        <w:rPr>
          <w:iCs/>
          <w:sz w:val="24"/>
          <w:szCs w:val="24"/>
          <w:lang w:eastAsia="pt-BR"/>
        </w:rPr>
        <w:t xml:space="preserve"> </w:t>
      </w:r>
      <w:proofErr w:type="spellStart"/>
      <w:r w:rsidRPr="00C470E5">
        <w:rPr>
          <w:i/>
          <w:iCs/>
          <w:sz w:val="24"/>
          <w:szCs w:val="24"/>
          <w:lang w:eastAsia="pt-BR"/>
        </w:rPr>
        <w:t>fan</w:t>
      </w:r>
      <w:proofErr w:type="spellEnd"/>
      <w:r w:rsidRPr="00C470E5">
        <w:rPr>
          <w:i/>
          <w:iCs/>
          <w:sz w:val="24"/>
          <w:szCs w:val="24"/>
          <w:lang w:eastAsia="pt-BR"/>
        </w:rPr>
        <w:t xml:space="preserve"> </w:t>
      </w:r>
      <w:proofErr w:type="spellStart"/>
      <w:r w:rsidRPr="00C470E5">
        <w:rPr>
          <w:i/>
          <w:iCs/>
          <w:sz w:val="24"/>
          <w:szCs w:val="24"/>
          <w:lang w:eastAsia="pt-BR"/>
        </w:rPr>
        <w:t>charts</w:t>
      </w:r>
      <w:proofErr w:type="spellEnd"/>
      <w:r w:rsidRPr="00C470E5">
        <w:rPr>
          <w:iCs/>
          <w:sz w:val="24"/>
          <w:szCs w:val="24"/>
          <w:lang w:eastAsia="pt-BR"/>
        </w:rPr>
        <w:t xml:space="preserve"> da DBGG e DLSP assimétricos, em decorrência de uma taxa de Selic estressada em 200 pontos base a partir de agosto de 2021.  Trata-se de um exercício de avaliação de </w:t>
      </w:r>
      <w:proofErr w:type="spellStart"/>
      <w:r w:rsidRPr="00C470E5">
        <w:rPr>
          <w:i/>
          <w:iCs/>
          <w:sz w:val="24"/>
          <w:szCs w:val="24"/>
          <w:lang w:eastAsia="pt-BR"/>
        </w:rPr>
        <w:t>downside</w:t>
      </w:r>
      <w:proofErr w:type="spellEnd"/>
      <w:r w:rsidRPr="00C470E5">
        <w:rPr>
          <w:i/>
          <w:iCs/>
          <w:sz w:val="24"/>
          <w:szCs w:val="24"/>
          <w:lang w:eastAsia="pt-BR"/>
        </w:rPr>
        <w:t xml:space="preserve"> </w:t>
      </w:r>
      <w:proofErr w:type="spellStart"/>
      <w:r w:rsidRPr="00C470E5">
        <w:rPr>
          <w:i/>
          <w:iCs/>
          <w:sz w:val="24"/>
          <w:szCs w:val="24"/>
          <w:lang w:eastAsia="pt-BR"/>
        </w:rPr>
        <w:t>risk</w:t>
      </w:r>
      <w:proofErr w:type="spellEnd"/>
      <w:r w:rsidRPr="00C470E5">
        <w:rPr>
          <w:iCs/>
          <w:sz w:val="24"/>
          <w:szCs w:val="24"/>
          <w:lang w:eastAsia="pt-BR"/>
        </w:rPr>
        <w:t>.  Em um contexto de taxa Selic estressada, torna-se maior o risco de a DBGG e a DLSP superarem as projeções do cenário PLDO 2022 ao final de 2024 na presença de choques desfavoráveis à atividade e na ausência de consolidação fiscal.</w:t>
      </w:r>
    </w:p>
    <w:p w14:paraId="32BF125B" w14:textId="43D0BF0B" w:rsidR="00C470E5" w:rsidRPr="00617D6D" w:rsidRDefault="00C470E5" w:rsidP="00C470E5">
      <w:pPr>
        <w:pStyle w:val="Legenda"/>
        <w:spacing w:after="120"/>
        <w:jc w:val="center"/>
        <w:rPr>
          <w:rFonts w:asciiTheme="minorHAnsi" w:hAnsiTheme="minorHAnsi"/>
          <w:i w:val="0"/>
          <w:color w:val="auto"/>
          <w:sz w:val="22"/>
          <w:szCs w:val="22"/>
        </w:rPr>
      </w:pPr>
      <w:bookmarkStart w:id="164" w:name="_Ref68893833"/>
      <w:bookmarkStart w:id="165" w:name="_Toc69121341"/>
      <w:r w:rsidRPr="00617D6D">
        <w:rPr>
          <w:rFonts w:asciiTheme="minorHAnsi" w:hAnsiTheme="minorHAnsi"/>
          <w:i w:val="0"/>
          <w:color w:val="auto"/>
          <w:sz w:val="22"/>
          <w:szCs w:val="22"/>
        </w:rPr>
        <w:t xml:space="preserve">Figura </w:t>
      </w:r>
      <w:r>
        <w:rPr>
          <w:rFonts w:asciiTheme="minorHAnsi" w:hAnsiTheme="minorHAnsi"/>
          <w:i w:val="0"/>
          <w:color w:val="auto"/>
          <w:sz w:val="22"/>
          <w:szCs w:val="22"/>
        </w:rPr>
        <w:fldChar w:fldCharType="begin"/>
      </w:r>
      <w:r>
        <w:rPr>
          <w:rFonts w:asciiTheme="minorHAnsi" w:hAnsiTheme="minorHAnsi"/>
          <w:i w:val="0"/>
          <w:color w:val="auto"/>
          <w:sz w:val="22"/>
          <w:szCs w:val="22"/>
        </w:rPr>
        <w:instrText xml:space="preserve"> SEQ Figura \* ARABIC </w:instrText>
      </w:r>
      <w:r>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16</w:t>
      </w:r>
      <w:r>
        <w:rPr>
          <w:rFonts w:asciiTheme="minorHAnsi" w:hAnsiTheme="minorHAnsi"/>
          <w:i w:val="0"/>
          <w:color w:val="auto"/>
          <w:sz w:val="22"/>
          <w:szCs w:val="22"/>
        </w:rPr>
        <w:fldChar w:fldCharType="end"/>
      </w:r>
      <w:bookmarkEnd w:id="164"/>
      <w:r w:rsidRPr="00617D6D">
        <w:rPr>
          <w:rFonts w:asciiTheme="minorHAnsi" w:hAnsiTheme="minorHAnsi"/>
          <w:i w:val="0"/>
          <w:color w:val="auto"/>
          <w:sz w:val="22"/>
          <w:szCs w:val="22"/>
        </w:rPr>
        <w:t xml:space="preserve"> - </w:t>
      </w:r>
      <w:r w:rsidRPr="00C470E5">
        <w:rPr>
          <w:rFonts w:asciiTheme="minorHAnsi" w:hAnsiTheme="minorHAnsi"/>
          <w:i w:val="0"/>
          <w:color w:val="auto"/>
          <w:sz w:val="22"/>
          <w:szCs w:val="22"/>
        </w:rPr>
        <w:t>Cenários estocásticos assimétricos – DBGG (% PIB)</w:t>
      </w:r>
      <w:bookmarkEnd w:id="165"/>
    </w:p>
    <w:p w14:paraId="67300660" w14:textId="4920994C" w:rsidR="00C470E5" w:rsidRPr="00D46AC6" w:rsidRDefault="00C470E5" w:rsidP="00C470E5">
      <w:pPr>
        <w:jc w:val="center"/>
        <w:rPr>
          <w:color w:val="FF0000"/>
          <w:lang w:eastAsia="pt-BR"/>
        </w:rPr>
      </w:pPr>
      <w:r>
        <w:rPr>
          <w:noProof/>
          <w:color w:val="FF0000"/>
          <w:lang w:eastAsia="pt-BR"/>
        </w:rPr>
        <w:drawing>
          <wp:inline distT="0" distB="0" distL="0" distR="0" wp14:anchorId="711FE97E" wp14:editId="7467B1E5">
            <wp:extent cx="4084955" cy="284734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4955" cy="2847340"/>
                    </a:xfrm>
                    <a:prstGeom prst="rect">
                      <a:avLst/>
                    </a:prstGeom>
                    <a:noFill/>
                  </pic:spPr>
                </pic:pic>
              </a:graphicData>
            </a:graphic>
          </wp:inline>
        </w:drawing>
      </w:r>
    </w:p>
    <w:p w14:paraId="38716F23" w14:textId="77777777" w:rsidR="00C470E5" w:rsidRDefault="00C470E5" w:rsidP="00C470E5">
      <w:pPr>
        <w:ind w:firstLine="708"/>
        <w:rPr>
          <w:i/>
          <w:iCs/>
          <w:sz w:val="16"/>
          <w:szCs w:val="16"/>
        </w:rPr>
      </w:pPr>
      <w:r w:rsidRPr="00D46AC6">
        <w:rPr>
          <w:color w:val="FF0000"/>
          <w:sz w:val="20"/>
          <w:szCs w:val="20"/>
        </w:rPr>
        <w:t xml:space="preserve">        </w:t>
      </w:r>
      <w:r w:rsidRPr="00617D6D">
        <w:rPr>
          <w:b/>
          <w:i/>
          <w:iCs/>
          <w:sz w:val="16"/>
          <w:szCs w:val="16"/>
        </w:rPr>
        <w:t>Fonte</w:t>
      </w:r>
      <w:r>
        <w:rPr>
          <w:b/>
          <w:i/>
          <w:iCs/>
          <w:sz w:val="16"/>
          <w:szCs w:val="16"/>
        </w:rPr>
        <w:t xml:space="preserve">: </w:t>
      </w:r>
      <w:r w:rsidRPr="00382026">
        <w:rPr>
          <w:i/>
          <w:iCs/>
          <w:sz w:val="16"/>
          <w:szCs w:val="16"/>
        </w:rPr>
        <w:t>Realizado, BCB. Projeções, STN/ME</w:t>
      </w:r>
      <w:r>
        <w:rPr>
          <w:b/>
          <w:i/>
          <w:iCs/>
          <w:sz w:val="16"/>
          <w:szCs w:val="16"/>
        </w:rPr>
        <w:t>.</w:t>
      </w:r>
      <w:r w:rsidRPr="00617D6D">
        <w:rPr>
          <w:b/>
          <w:i/>
          <w:iCs/>
          <w:sz w:val="16"/>
          <w:szCs w:val="16"/>
        </w:rPr>
        <w:t xml:space="preserve"> Elaboração</w:t>
      </w:r>
      <w:r w:rsidRPr="00617D6D">
        <w:rPr>
          <w:i/>
          <w:iCs/>
          <w:sz w:val="16"/>
          <w:szCs w:val="16"/>
        </w:rPr>
        <w:t>: STN/ME.</w:t>
      </w:r>
    </w:p>
    <w:p w14:paraId="3A28D637" w14:textId="572EC523" w:rsidR="00BF2C49" w:rsidRDefault="00BF2C49" w:rsidP="005A62C4">
      <w:pPr>
        <w:spacing w:after="120" w:line="240" w:lineRule="auto"/>
        <w:ind w:firstLine="1418"/>
        <w:jc w:val="both"/>
        <w:rPr>
          <w:iCs/>
          <w:color w:val="FF0000"/>
          <w:sz w:val="24"/>
          <w:szCs w:val="24"/>
          <w:lang w:eastAsia="pt-BR"/>
        </w:rPr>
      </w:pPr>
    </w:p>
    <w:p w14:paraId="17B06FC7" w14:textId="14AD5DD8" w:rsidR="00C470E5" w:rsidRPr="00617D6D" w:rsidRDefault="00C470E5" w:rsidP="00C470E5">
      <w:pPr>
        <w:pStyle w:val="Legenda"/>
        <w:spacing w:after="120"/>
        <w:jc w:val="center"/>
        <w:rPr>
          <w:rFonts w:asciiTheme="minorHAnsi" w:hAnsiTheme="minorHAnsi"/>
          <w:i w:val="0"/>
          <w:color w:val="auto"/>
          <w:sz w:val="22"/>
          <w:szCs w:val="22"/>
        </w:rPr>
      </w:pPr>
      <w:bookmarkStart w:id="166" w:name="_Ref68893842"/>
      <w:bookmarkStart w:id="167" w:name="_Toc69121342"/>
      <w:r w:rsidRPr="00617D6D">
        <w:rPr>
          <w:rFonts w:asciiTheme="minorHAnsi" w:hAnsiTheme="minorHAnsi"/>
          <w:i w:val="0"/>
          <w:color w:val="auto"/>
          <w:sz w:val="22"/>
          <w:szCs w:val="22"/>
        </w:rPr>
        <w:t xml:space="preserve">Figura </w:t>
      </w:r>
      <w:r>
        <w:rPr>
          <w:rFonts w:asciiTheme="minorHAnsi" w:hAnsiTheme="minorHAnsi"/>
          <w:i w:val="0"/>
          <w:color w:val="auto"/>
          <w:sz w:val="22"/>
          <w:szCs w:val="22"/>
        </w:rPr>
        <w:fldChar w:fldCharType="begin"/>
      </w:r>
      <w:r>
        <w:rPr>
          <w:rFonts w:asciiTheme="minorHAnsi" w:hAnsiTheme="minorHAnsi"/>
          <w:i w:val="0"/>
          <w:color w:val="auto"/>
          <w:sz w:val="22"/>
          <w:szCs w:val="22"/>
        </w:rPr>
        <w:instrText xml:space="preserve"> SEQ Figura \* ARABIC </w:instrText>
      </w:r>
      <w:r>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17</w:t>
      </w:r>
      <w:r>
        <w:rPr>
          <w:rFonts w:asciiTheme="minorHAnsi" w:hAnsiTheme="minorHAnsi"/>
          <w:i w:val="0"/>
          <w:color w:val="auto"/>
          <w:sz w:val="22"/>
          <w:szCs w:val="22"/>
        </w:rPr>
        <w:fldChar w:fldCharType="end"/>
      </w:r>
      <w:bookmarkEnd w:id="166"/>
      <w:r w:rsidRPr="00617D6D">
        <w:rPr>
          <w:rFonts w:asciiTheme="minorHAnsi" w:hAnsiTheme="minorHAnsi"/>
          <w:i w:val="0"/>
          <w:color w:val="auto"/>
          <w:sz w:val="22"/>
          <w:szCs w:val="22"/>
        </w:rPr>
        <w:t xml:space="preserve"> - </w:t>
      </w:r>
      <w:r w:rsidRPr="00C470E5">
        <w:rPr>
          <w:rFonts w:asciiTheme="minorHAnsi" w:hAnsiTheme="minorHAnsi"/>
          <w:i w:val="0"/>
          <w:color w:val="auto"/>
          <w:sz w:val="22"/>
          <w:szCs w:val="22"/>
        </w:rPr>
        <w:t>Cenários estocásticos assimétricos – DLSP (% PIB)</w:t>
      </w:r>
      <w:bookmarkEnd w:id="167"/>
    </w:p>
    <w:p w14:paraId="66BCD71E" w14:textId="55A21D21" w:rsidR="00C470E5" w:rsidRPr="00D46AC6" w:rsidRDefault="00C470E5" w:rsidP="00C470E5">
      <w:pPr>
        <w:jc w:val="center"/>
        <w:rPr>
          <w:color w:val="FF0000"/>
          <w:lang w:eastAsia="pt-BR"/>
        </w:rPr>
      </w:pPr>
      <w:r>
        <w:rPr>
          <w:noProof/>
          <w:color w:val="FF0000"/>
          <w:lang w:eastAsia="pt-BR"/>
        </w:rPr>
        <w:lastRenderedPageBreak/>
        <w:drawing>
          <wp:inline distT="0" distB="0" distL="0" distR="0" wp14:anchorId="16CF57AE" wp14:editId="06D5DD94">
            <wp:extent cx="4097020" cy="2871470"/>
            <wp:effectExtent l="0" t="0" r="0"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7020" cy="2871470"/>
                    </a:xfrm>
                    <a:prstGeom prst="rect">
                      <a:avLst/>
                    </a:prstGeom>
                    <a:noFill/>
                  </pic:spPr>
                </pic:pic>
              </a:graphicData>
            </a:graphic>
          </wp:inline>
        </w:drawing>
      </w:r>
    </w:p>
    <w:p w14:paraId="75959215" w14:textId="77777777" w:rsidR="00C470E5" w:rsidRDefault="00C470E5" w:rsidP="00C470E5">
      <w:pPr>
        <w:ind w:firstLine="708"/>
        <w:rPr>
          <w:i/>
          <w:iCs/>
          <w:sz w:val="16"/>
          <w:szCs w:val="16"/>
        </w:rPr>
      </w:pPr>
      <w:r w:rsidRPr="00D46AC6">
        <w:rPr>
          <w:color w:val="FF0000"/>
          <w:sz w:val="20"/>
          <w:szCs w:val="20"/>
        </w:rPr>
        <w:t xml:space="preserve">        </w:t>
      </w:r>
      <w:r w:rsidRPr="00617D6D">
        <w:rPr>
          <w:b/>
          <w:i/>
          <w:iCs/>
          <w:sz w:val="16"/>
          <w:szCs w:val="16"/>
        </w:rPr>
        <w:t>Fonte</w:t>
      </w:r>
      <w:r>
        <w:rPr>
          <w:b/>
          <w:i/>
          <w:iCs/>
          <w:sz w:val="16"/>
          <w:szCs w:val="16"/>
        </w:rPr>
        <w:t xml:space="preserve">: </w:t>
      </w:r>
      <w:r w:rsidRPr="00382026">
        <w:rPr>
          <w:i/>
          <w:iCs/>
          <w:sz w:val="16"/>
          <w:szCs w:val="16"/>
        </w:rPr>
        <w:t>Realizado, BCB. Projeções, STN/ME</w:t>
      </w:r>
      <w:r>
        <w:rPr>
          <w:b/>
          <w:i/>
          <w:iCs/>
          <w:sz w:val="16"/>
          <w:szCs w:val="16"/>
        </w:rPr>
        <w:t>.</w:t>
      </w:r>
      <w:r w:rsidRPr="00617D6D">
        <w:rPr>
          <w:b/>
          <w:i/>
          <w:iCs/>
          <w:sz w:val="16"/>
          <w:szCs w:val="16"/>
        </w:rPr>
        <w:t xml:space="preserve"> Elaboração</w:t>
      </w:r>
      <w:r w:rsidRPr="00617D6D">
        <w:rPr>
          <w:i/>
          <w:iCs/>
          <w:sz w:val="16"/>
          <w:szCs w:val="16"/>
        </w:rPr>
        <w:t>: STN/ME.</w:t>
      </w:r>
    </w:p>
    <w:p w14:paraId="384DB1F2" w14:textId="17A09205" w:rsidR="00C470E5" w:rsidRPr="00256396" w:rsidRDefault="00256396" w:rsidP="005A62C4">
      <w:pPr>
        <w:spacing w:after="120" w:line="240" w:lineRule="auto"/>
        <w:ind w:firstLine="1418"/>
        <w:jc w:val="both"/>
        <w:rPr>
          <w:iCs/>
          <w:sz w:val="24"/>
          <w:szCs w:val="24"/>
          <w:lang w:eastAsia="pt-BR"/>
        </w:rPr>
      </w:pPr>
      <w:r w:rsidRPr="00256396">
        <w:rPr>
          <w:iCs/>
          <w:sz w:val="24"/>
          <w:szCs w:val="24"/>
          <w:lang w:eastAsia="pt-BR"/>
        </w:rPr>
        <w:t>Em síntese, a exposição a riscos da dívida pública se torna mais crítica a partir dos acontecimentos de 2020 e os desdobramentos ainda incertos ao longo de 2021, decorrentes dos impactos da pandemia do novo coronavírus. Torna-se ainda mais urgente a aprovação de reformas estruturantes, que contribuam para a redução do endividamento no médio prazo, condição fundamental o crescimento econômico sustentável.</w:t>
      </w:r>
    </w:p>
    <w:p w14:paraId="39C3F97C" w14:textId="77777777" w:rsidR="00C470E5" w:rsidRDefault="00C470E5" w:rsidP="005A62C4">
      <w:pPr>
        <w:spacing w:after="120" w:line="240" w:lineRule="auto"/>
        <w:ind w:firstLine="1418"/>
        <w:jc w:val="both"/>
        <w:rPr>
          <w:iCs/>
          <w:color w:val="FF0000"/>
          <w:sz w:val="24"/>
          <w:szCs w:val="24"/>
          <w:lang w:eastAsia="pt-BR"/>
        </w:rPr>
      </w:pPr>
    </w:p>
    <w:p w14:paraId="4132A96C" w14:textId="1B8D0B05" w:rsidR="00AE0B02" w:rsidRPr="001A584F" w:rsidRDefault="00AE0B02" w:rsidP="000F54C3">
      <w:pPr>
        <w:pStyle w:val="Ttulo4"/>
        <w:keepLines/>
        <w:numPr>
          <w:ilvl w:val="3"/>
          <w:numId w:val="36"/>
        </w:numPr>
        <w:spacing w:before="240" w:after="120"/>
        <w:ind w:left="862" w:hanging="862"/>
        <w:jc w:val="left"/>
        <w:rPr>
          <w:rFonts w:asciiTheme="minorHAnsi" w:hAnsiTheme="minorHAnsi"/>
        </w:rPr>
      </w:pPr>
      <w:bookmarkStart w:id="168" w:name="_Hlk5371982"/>
      <w:r w:rsidRPr="001A584F">
        <w:rPr>
          <w:rFonts w:asciiTheme="minorHAnsi" w:hAnsiTheme="minorHAnsi"/>
        </w:rPr>
        <w:t>Riscos Legais</w:t>
      </w:r>
    </w:p>
    <w:p w14:paraId="75F1BBFE" w14:textId="77777777" w:rsidR="00256396" w:rsidRPr="00256396" w:rsidRDefault="00256396" w:rsidP="00256396">
      <w:pPr>
        <w:spacing w:after="120" w:line="240" w:lineRule="auto"/>
        <w:ind w:firstLine="1418"/>
        <w:jc w:val="both"/>
        <w:rPr>
          <w:sz w:val="24"/>
          <w:szCs w:val="24"/>
        </w:rPr>
      </w:pPr>
      <w:r w:rsidRPr="00256396">
        <w:rPr>
          <w:sz w:val="24"/>
          <w:szCs w:val="24"/>
        </w:rPr>
        <w:t>Para fins desta seção, consideramos como riscos legais para a gestão da Dívida Pública Federal aqueles decorrentes de eventual descumprimento de algum limite ou condição para a realização de operações de crédito, estabelecido pelo atual arcabouço legal. Nesse caso, ficaria vedada a realização de operações de crédito pelo governo, podendo impedir, em algumas situações, até mesmo as emissões de títulos no âmbito da dívida pública mobiliária federal.</w:t>
      </w:r>
    </w:p>
    <w:p w14:paraId="55C5ECAB" w14:textId="77777777" w:rsidR="00256396" w:rsidRPr="00256396" w:rsidRDefault="00256396" w:rsidP="00256396">
      <w:pPr>
        <w:spacing w:after="120" w:line="240" w:lineRule="auto"/>
        <w:ind w:firstLine="1418"/>
        <w:jc w:val="both"/>
        <w:rPr>
          <w:sz w:val="24"/>
          <w:szCs w:val="24"/>
        </w:rPr>
      </w:pPr>
      <w:r w:rsidRPr="00256396">
        <w:rPr>
          <w:sz w:val="24"/>
          <w:szCs w:val="24"/>
        </w:rPr>
        <w:t>Portanto, em um cenário de descumprimento de algum desses limites e condições, não seria possível a utilização de recursos de emissão de títulos para o pagamento de nenhuma despesa orçamentária, exceto a amortização do principal da dívida mobiliária. Essa restrição, principalmente em um cenário de déficit primário, implica possibilidade de interrupção de serviços públicos, impactando não só as despesas discricionárias, como possivelmente as obrigatórias. Também limitaria a execução no âmbito de programas públicos voltados à educação, benefícios sociais, agricultura, entre outros. No Projeto de Lei Orçamentária de 2021, por exemplo, estavam previstas nas dotações iniciais a execução de R$ 468,2 bilhões de despesas correntes primárias com recursos de emissão de dívida.</w:t>
      </w:r>
    </w:p>
    <w:p w14:paraId="25153D74" w14:textId="77777777" w:rsidR="00256396" w:rsidRPr="00256396" w:rsidRDefault="00256396" w:rsidP="00256396">
      <w:pPr>
        <w:spacing w:after="120" w:line="240" w:lineRule="auto"/>
        <w:ind w:firstLine="1418"/>
        <w:jc w:val="both"/>
        <w:rPr>
          <w:sz w:val="24"/>
          <w:szCs w:val="24"/>
        </w:rPr>
      </w:pPr>
      <w:r w:rsidRPr="00256396">
        <w:rPr>
          <w:sz w:val="24"/>
          <w:szCs w:val="24"/>
        </w:rPr>
        <w:t>Vale destacar também que os juros reais da dívida, ou seja, as despesas financeiras com vencimentos da dívida que superem os valores do principal corrigido pela inflação, também não poderiam ser pagos com recursos de emissão de títulos em caso de descumprimento de algum limite ou condição legal para a realização de operações de crédito. Neste cenário, o Tesouro Nacional não poderia contar com emissões de títulos para fazer frente a esses vencimentos.</w:t>
      </w:r>
    </w:p>
    <w:p w14:paraId="3AE3631B" w14:textId="77777777" w:rsidR="00256396" w:rsidRPr="00256396" w:rsidRDefault="00256396" w:rsidP="00256396">
      <w:pPr>
        <w:spacing w:after="120" w:line="240" w:lineRule="auto"/>
        <w:ind w:firstLine="1418"/>
        <w:jc w:val="both"/>
        <w:rPr>
          <w:sz w:val="24"/>
          <w:szCs w:val="24"/>
        </w:rPr>
      </w:pPr>
      <w:r w:rsidRPr="00256396">
        <w:rPr>
          <w:sz w:val="24"/>
          <w:szCs w:val="24"/>
        </w:rPr>
        <w:lastRenderedPageBreak/>
        <w:t xml:space="preserve">Este risco, contudo, </w:t>
      </w:r>
      <w:proofErr w:type="gramStart"/>
      <w:r w:rsidRPr="00256396">
        <w:rPr>
          <w:sz w:val="24"/>
          <w:szCs w:val="24"/>
        </w:rPr>
        <w:t>foi</w:t>
      </w:r>
      <w:proofErr w:type="gramEnd"/>
      <w:r w:rsidRPr="00256396">
        <w:rPr>
          <w:sz w:val="24"/>
          <w:szCs w:val="24"/>
        </w:rPr>
        <w:t xml:space="preserve"> mitigado em 2021 por meio de alterações introduzidas na Lei Complementar n. 101 de 2000 (LRF), por meio da Lei Complementar n. 178 de 2021. Em particular, a mudança no disposto no inciso III do §3º do artigo 23 da LRF simplificou a verificação do limite de despesas de pessoal como condição para a realização de operações de crédito da União. </w:t>
      </w:r>
    </w:p>
    <w:p w14:paraId="405DE617" w14:textId="77777777" w:rsidR="00256396" w:rsidRPr="00256396" w:rsidRDefault="00256396" w:rsidP="00256396">
      <w:pPr>
        <w:spacing w:after="120" w:line="240" w:lineRule="auto"/>
        <w:ind w:firstLine="1418"/>
        <w:jc w:val="both"/>
        <w:rPr>
          <w:sz w:val="24"/>
          <w:szCs w:val="24"/>
        </w:rPr>
      </w:pPr>
      <w:r w:rsidRPr="00256396">
        <w:rPr>
          <w:sz w:val="24"/>
          <w:szCs w:val="24"/>
        </w:rPr>
        <w:t xml:space="preserve">A partir de 2022, entrará em vigência a modificação introduzida no §2º do art. 51 também da LRF, representando simplificação e redução adicional dos riscos para a gestão da Dívida Pública Federal decorrente da verificação de limites e condições para a realização de operações de crédito da União. Nesse caso, a não verificação das condições atreladas ao §2º supracitado impediriam hoje que o Tesouro Nacional realizasse emissões de títulos, exceto aquelas destinadas ao refinanciamento do principal. Com o novo dispositivo, vigente a partir de 2022, em caso de algum descumprimento haverá </w:t>
      </w:r>
      <w:proofErr w:type="spellStart"/>
      <w:r w:rsidRPr="00256396">
        <w:rPr>
          <w:sz w:val="24"/>
          <w:szCs w:val="24"/>
        </w:rPr>
        <w:t>excepcionalização</w:t>
      </w:r>
      <w:proofErr w:type="spellEnd"/>
      <w:r w:rsidRPr="00256396">
        <w:rPr>
          <w:sz w:val="24"/>
          <w:szCs w:val="24"/>
        </w:rPr>
        <w:t xml:space="preserve"> para todo o pagamento da dívida mobiliária, incluindo seus encargos. Além disso, a verificação recairá sobre obrigações do Poder ou órgão que deseja realizar a operação de crédito, em vez de se verificar todo o Ente, como se faz atualmente. </w:t>
      </w:r>
    </w:p>
    <w:p w14:paraId="69A44570" w14:textId="71304BEF" w:rsidR="00AE0B02" w:rsidRPr="001A584F" w:rsidRDefault="00256396" w:rsidP="00256396">
      <w:pPr>
        <w:spacing w:after="120" w:line="240" w:lineRule="auto"/>
        <w:ind w:firstLine="1418"/>
        <w:jc w:val="both"/>
        <w:rPr>
          <w:sz w:val="24"/>
          <w:szCs w:val="24"/>
        </w:rPr>
      </w:pPr>
      <w:r w:rsidRPr="00256396">
        <w:rPr>
          <w:sz w:val="24"/>
          <w:szCs w:val="24"/>
        </w:rPr>
        <w:t xml:space="preserve">Na </w:t>
      </w:r>
      <w:r w:rsidRPr="00256396">
        <w:rPr>
          <w:sz w:val="24"/>
          <w:szCs w:val="24"/>
        </w:rPr>
        <w:fldChar w:fldCharType="begin"/>
      </w:r>
      <w:r w:rsidRPr="00256396">
        <w:rPr>
          <w:sz w:val="24"/>
          <w:szCs w:val="24"/>
        </w:rPr>
        <w:instrText xml:space="preserve"> REF _Ref5629624 \h  \* MERGEFORMAT </w:instrText>
      </w:r>
      <w:r w:rsidRPr="00256396">
        <w:rPr>
          <w:sz w:val="24"/>
          <w:szCs w:val="24"/>
        </w:rPr>
      </w:r>
      <w:r w:rsidRPr="00256396">
        <w:rPr>
          <w:sz w:val="24"/>
          <w:szCs w:val="24"/>
        </w:rPr>
        <w:fldChar w:fldCharType="separate"/>
      </w:r>
      <w:r w:rsidR="00304F5F" w:rsidRPr="00304F5F">
        <w:rPr>
          <w:sz w:val="24"/>
          <w:szCs w:val="24"/>
        </w:rPr>
        <w:t xml:space="preserve">Tabela </w:t>
      </w:r>
      <w:r w:rsidR="00304F5F" w:rsidRPr="00304F5F">
        <w:rPr>
          <w:noProof/>
          <w:sz w:val="24"/>
          <w:szCs w:val="24"/>
        </w:rPr>
        <w:t>13</w:t>
      </w:r>
      <w:r w:rsidRPr="00256396">
        <w:rPr>
          <w:sz w:val="24"/>
          <w:szCs w:val="24"/>
        </w:rPr>
        <w:fldChar w:fldCharType="end"/>
      </w:r>
      <w:r w:rsidRPr="00256396">
        <w:rPr>
          <w:sz w:val="24"/>
          <w:szCs w:val="24"/>
        </w:rPr>
        <w:t>, destacamos os limites e condições, com a indicação do respectivo dispositivo legal, que devem ser verificados para a realização de operações de crédito.</w:t>
      </w:r>
    </w:p>
    <w:p w14:paraId="0FD62877" w14:textId="30DDADF3" w:rsidR="00AE0B02" w:rsidRPr="00E7793D" w:rsidRDefault="00AE0B02" w:rsidP="00611675">
      <w:pPr>
        <w:pStyle w:val="Legenda"/>
        <w:spacing w:after="120"/>
        <w:jc w:val="center"/>
        <w:rPr>
          <w:rFonts w:asciiTheme="minorHAnsi" w:hAnsiTheme="minorHAnsi"/>
          <w:i w:val="0"/>
          <w:color w:val="auto"/>
          <w:sz w:val="22"/>
          <w:szCs w:val="22"/>
        </w:rPr>
      </w:pPr>
      <w:bookmarkStart w:id="169" w:name="_Ref5629624"/>
      <w:bookmarkStart w:id="170" w:name="_Toc69121359"/>
      <w:r w:rsidRPr="00E7793D">
        <w:rPr>
          <w:rFonts w:asciiTheme="minorHAnsi" w:hAnsiTheme="minorHAnsi"/>
          <w:i w:val="0"/>
          <w:color w:val="auto"/>
          <w:sz w:val="22"/>
          <w:szCs w:val="22"/>
        </w:rPr>
        <w:t xml:space="preserve">Tabela </w:t>
      </w:r>
      <w:r w:rsidRPr="00E7793D">
        <w:rPr>
          <w:rFonts w:asciiTheme="minorHAnsi" w:hAnsiTheme="minorHAnsi"/>
          <w:i w:val="0"/>
          <w:color w:val="auto"/>
          <w:sz w:val="22"/>
          <w:szCs w:val="22"/>
        </w:rPr>
        <w:fldChar w:fldCharType="begin"/>
      </w:r>
      <w:r w:rsidRPr="00E7793D">
        <w:rPr>
          <w:rFonts w:asciiTheme="minorHAnsi" w:hAnsiTheme="minorHAnsi"/>
          <w:i w:val="0"/>
          <w:color w:val="auto"/>
          <w:sz w:val="22"/>
          <w:szCs w:val="22"/>
        </w:rPr>
        <w:instrText xml:space="preserve"> SEQ Tabela \* ARABIC </w:instrText>
      </w:r>
      <w:r w:rsidRPr="00E7793D">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13</w:t>
      </w:r>
      <w:r w:rsidRPr="00E7793D">
        <w:rPr>
          <w:rFonts w:asciiTheme="minorHAnsi" w:hAnsiTheme="minorHAnsi"/>
          <w:i w:val="0"/>
          <w:color w:val="auto"/>
          <w:sz w:val="22"/>
          <w:szCs w:val="22"/>
        </w:rPr>
        <w:fldChar w:fldCharType="end"/>
      </w:r>
      <w:bookmarkEnd w:id="169"/>
      <w:r w:rsidR="0079696B" w:rsidRPr="00E7793D">
        <w:rPr>
          <w:rFonts w:asciiTheme="minorHAnsi" w:hAnsiTheme="minorHAnsi"/>
          <w:i w:val="0"/>
          <w:color w:val="auto"/>
          <w:sz w:val="22"/>
          <w:szCs w:val="22"/>
        </w:rPr>
        <w:t xml:space="preserve"> -</w:t>
      </w:r>
      <w:r w:rsidRPr="00E7793D">
        <w:rPr>
          <w:rFonts w:asciiTheme="minorHAnsi" w:hAnsiTheme="minorHAnsi"/>
          <w:i w:val="0"/>
          <w:color w:val="auto"/>
          <w:sz w:val="22"/>
          <w:szCs w:val="22"/>
        </w:rPr>
        <w:t xml:space="preserve"> Limites e Condições para a realização de operações de crédito</w:t>
      </w:r>
      <w:bookmarkEnd w:id="170"/>
    </w:p>
    <w:tbl>
      <w:tblPr>
        <w:tblW w:w="9204" w:type="dxa"/>
        <w:jc w:val="center"/>
        <w:tblCellMar>
          <w:left w:w="70" w:type="dxa"/>
          <w:right w:w="70" w:type="dxa"/>
        </w:tblCellMar>
        <w:tblLook w:val="04A0" w:firstRow="1" w:lastRow="0" w:firstColumn="1" w:lastColumn="0" w:noHBand="0" w:noVBand="1"/>
      </w:tblPr>
      <w:tblGrid>
        <w:gridCol w:w="6086"/>
        <w:gridCol w:w="3118"/>
      </w:tblGrid>
      <w:tr w:rsidR="00E36354" w:rsidRPr="0022645B" w14:paraId="4CD6A50A" w14:textId="77777777" w:rsidTr="00E7793D">
        <w:trPr>
          <w:trHeight w:val="20"/>
          <w:tblHeader/>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404040" w:themeFill="text1" w:themeFillTint="BF"/>
            <w:noWrap/>
            <w:hideMark/>
          </w:tcPr>
          <w:p w14:paraId="68A3F8FE" w14:textId="77777777" w:rsidR="00E36354" w:rsidRPr="00E7793D" w:rsidRDefault="00E36354" w:rsidP="00E36354">
            <w:pPr>
              <w:spacing w:after="0" w:line="240" w:lineRule="auto"/>
              <w:jc w:val="center"/>
              <w:rPr>
                <w:rFonts w:eastAsia="Times New Roman" w:cs="Times New Roman"/>
                <w:color w:val="FFFFFF" w:themeColor="background1"/>
                <w:sz w:val="20"/>
                <w:szCs w:val="20"/>
                <w:lang w:eastAsia="pt-BR"/>
              </w:rPr>
            </w:pPr>
            <w:r w:rsidRPr="00E7793D">
              <w:rPr>
                <w:rFonts w:eastAsia="Times New Roman" w:cs="Times New Roman"/>
                <w:color w:val="FFFFFF" w:themeColor="background1"/>
                <w:sz w:val="20"/>
                <w:szCs w:val="20"/>
                <w:lang w:eastAsia="pt-BR"/>
              </w:rPr>
              <w:t>Limites e Condições</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noWrap/>
            <w:hideMark/>
          </w:tcPr>
          <w:p w14:paraId="7594142B" w14:textId="77777777" w:rsidR="00E36354" w:rsidRPr="00E7793D" w:rsidRDefault="00E36354" w:rsidP="00E36354">
            <w:pPr>
              <w:spacing w:after="0" w:line="240" w:lineRule="auto"/>
              <w:jc w:val="center"/>
              <w:rPr>
                <w:rFonts w:eastAsia="Times New Roman" w:cs="Times New Roman"/>
                <w:color w:val="FFFFFF" w:themeColor="background1"/>
                <w:sz w:val="20"/>
                <w:szCs w:val="20"/>
                <w:lang w:eastAsia="pt-BR"/>
              </w:rPr>
            </w:pPr>
            <w:r w:rsidRPr="00E7793D">
              <w:rPr>
                <w:rFonts w:eastAsia="Times New Roman" w:cs="Times New Roman"/>
                <w:color w:val="FFFFFF" w:themeColor="background1"/>
                <w:sz w:val="20"/>
                <w:szCs w:val="20"/>
                <w:lang w:eastAsia="pt-BR"/>
              </w:rPr>
              <w:t>Norma</w:t>
            </w:r>
          </w:p>
        </w:tc>
      </w:tr>
      <w:tr w:rsidR="00E36354" w:rsidRPr="0022645B" w14:paraId="5C1E1B36"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hideMark/>
          </w:tcPr>
          <w:p w14:paraId="6ED2F64C"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Publicação do RREO até 30 dias após encerramento do bimestre</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hideMark/>
          </w:tcPr>
          <w:p w14:paraId="2E3FAEB5"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 xml:space="preserve">At. 165, § 3o da CF e Art. 52, caput e § 2 da </w:t>
            </w:r>
            <w:proofErr w:type="gramStart"/>
            <w:r w:rsidRPr="00E36354">
              <w:rPr>
                <w:rFonts w:eastAsia="Times New Roman" w:cs="Times New Roman"/>
                <w:color w:val="000000"/>
                <w:sz w:val="18"/>
                <w:szCs w:val="18"/>
                <w:lang w:eastAsia="pt-BR"/>
              </w:rPr>
              <w:t>LRF</w:t>
            </w:r>
            <w:proofErr w:type="gramEnd"/>
          </w:p>
        </w:tc>
      </w:tr>
      <w:tr w:rsidR="00E36354" w:rsidRPr="0022645B" w14:paraId="1125B26B"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2F2F2" w:themeFill="background1" w:themeFillShade="F2"/>
            <w:hideMark/>
          </w:tcPr>
          <w:p w14:paraId="0A06CF12"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Regra de Ouro</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hideMark/>
          </w:tcPr>
          <w:p w14:paraId="4242A0F5"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 xml:space="preserve">Art. 167, inciso III da CF; Art. 32 da LRF; Art. 6º da RSF </w:t>
            </w:r>
            <w:proofErr w:type="gramStart"/>
            <w:r w:rsidRPr="00E36354">
              <w:rPr>
                <w:rFonts w:eastAsia="Times New Roman" w:cs="Times New Roman"/>
                <w:color w:val="000000"/>
                <w:sz w:val="18"/>
                <w:szCs w:val="18"/>
                <w:lang w:eastAsia="pt-BR"/>
              </w:rPr>
              <w:t>48</w:t>
            </w:r>
            <w:proofErr w:type="gramEnd"/>
          </w:p>
        </w:tc>
      </w:tr>
      <w:tr w:rsidR="00E36354" w:rsidRPr="0022645B" w14:paraId="455D043A"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hideMark/>
          </w:tcPr>
          <w:p w14:paraId="6E3A7D6C"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 xml:space="preserve">Autorização, no texto da lei orçamentária, para contratação de operação de </w:t>
            </w:r>
            <w:proofErr w:type="gramStart"/>
            <w:r w:rsidRPr="00E36354">
              <w:rPr>
                <w:rFonts w:eastAsia="Times New Roman" w:cs="Times New Roman"/>
                <w:color w:val="000000"/>
                <w:sz w:val="18"/>
                <w:szCs w:val="18"/>
                <w:lang w:eastAsia="pt-BR"/>
              </w:rPr>
              <w:t>crédito</w:t>
            </w:r>
            <w:proofErr w:type="gramEnd"/>
            <w:r w:rsidRPr="00E36354">
              <w:rPr>
                <w:rFonts w:eastAsia="Times New Roman" w:cs="Times New Roman"/>
                <w:color w:val="000000"/>
                <w:sz w:val="18"/>
                <w:szCs w:val="18"/>
                <w:lang w:eastAsia="pt-BR"/>
              </w:rPr>
              <w:t xml:space="preserve"> </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54EA8E2C"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 xml:space="preserve">Art. 32, inciso I da </w:t>
            </w:r>
            <w:proofErr w:type="gramStart"/>
            <w:r w:rsidRPr="00E36354">
              <w:rPr>
                <w:rFonts w:eastAsia="Times New Roman" w:cs="Times New Roman"/>
                <w:color w:val="000000"/>
                <w:sz w:val="18"/>
                <w:szCs w:val="18"/>
                <w:lang w:eastAsia="pt-BR"/>
              </w:rPr>
              <w:t>LRF</w:t>
            </w:r>
            <w:proofErr w:type="gramEnd"/>
          </w:p>
        </w:tc>
      </w:tr>
      <w:tr w:rsidR="00E36354" w:rsidRPr="0022645B" w14:paraId="17B530FE"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2F2F2" w:themeFill="background1" w:themeFillShade="F2"/>
            <w:hideMark/>
          </w:tcPr>
          <w:p w14:paraId="1C780189"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Limite de Operações de Crédito</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hideMark/>
          </w:tcPr>
          <w:p w14:paraId="42DF9DCA" w14:textId="77777777" w:rsidR="00E36354" w:rsidRPr="00E36354" w:rsidRDefault="00E36354" w:rsidP="00C050C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 xml:space="preserve">Art. 32, § 1º, inciso III da LRF; Art. 7º, inciso I da RSF </w:t>
            </w:r>
            <w:proofErr w:type="gramStart"/>
            <w:r w:rsidRPr="00E36354">
              <w:rPr>
                <w:rFonts w:eastAsia="Times New Roman" w:cs="Times New Roman"/>
                <w:color w:val="000000"/>
                <w:sz w:val="18"/>
                <w:szCs w:val="18"/>
                <w:lang w:eastAsia="pt-BR"/>
              </w:rPr>
              <w:t>48</w:t>
            </w:r>
            <w:proofErr w:type="gramEnd"/>
          </w:p>
        </w:tc>
      </w:tr>
      <w:tr w:rsidR="00256396" w:rsidRPr="0022645B" w14:paraId="29B719B7" w14:textId="77777777" w:rsidTr="00256396">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tcPr>
          <w:p w14:paraId="6B083F08" w14:textId="5290F193"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Limite de despesas de pessoal da União</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6670853" w14:textId="53A5DECC" w:rsidR="00256396" w:rsidRPr="00E36354" w:rsidRDefault="00256396" w:rsidP="00256396">
            <w:pPr>
              <w:spacing w:after="0" w:line="240" w:lineRule="auto"/>
              <w:rPr>
                <w:rFonts w:eastAsia="Times New Roman" w:cs="Times New Roman"/>
                <w:color w:val="000000"/>
                <w:sz w:val="18"/>
                <w:szCs w:val="18"/>
                <w:lang w:eastAsia="pt-BR"/>
              </w:rPr>
            </w:pPr>
            <w:proofErr w:type="spellStart"/>
            <w:r w:rsidRPr="00E36354">
              <w:rPr>
                <w:rFonts w:eastAsia="Times New Roman" w:cs="Times New Roman"/>
                <w:color w:val="000000"/>
                <w:sz w:val="18"/>
                <w:szCs w:val="18"/>
                <w:lang w:eastAsia="pt-BR"/>
              </w:rPr>
              <w:t>Arts</w:t>
            </w:r>
            <w:proofErr w:type="spellEnd"/>
            <w:r w:rsidRPr="00E36354">
              <w:rPr>
                <w:rFonts w:eastAsia="Times New Roman" w:cs="Times New Roman"/>
                <w:color w:val="000000"/>
                <w:sz w:val="18"/>
                <w:szCs w:val="18"/>
                <w:lang w:eastAsia="pt-BR"/>
              </w:rPr>
              <w:t>. 20,22 e 23 da LRF</w:t>
            </w:r>
          </w:p>
        </w:tc>
      </w:tr>
      <w:tr w:rsidR="00256396" w:rsidRPr="0022645B" w14:paraId="1B7CA16A"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2F2F2" w:themeFill="background1" w:themeFillShade="F2"/>
            <w:hideMark/>
          </w:tcPr>
          <w:p w14:paraId="2EF33E73" w14:textId="77777777"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Ausência de operações nulas e/ou vedadas.</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noWrap/>
            <w:hideMark/>
          </w:tcPr>
          <w:p w14:paraId="44AF7DDF" w14:textId="77777777" w:rsidR="00256396" w:rsidRPr="00E36354" w:rsidRDefault="00256396" w:rsidP="00256396">
            <w:pPr>
              <w:spacing w:after="0" w:line="240" w:lineRule="auto"/>
              <w:rPr>
                <w:rFonts w:eastAsia="Times New Roman" w:cs="Times New Roman"/>
                <w:color w:val="000000"/>
                <w:sz w:val="18"/>
                <w:szCs w:val="18"/>
                <w:lang w:eastAsia="pt-BR"/>
              </w:rPr>
            </w:pPr>
            <w:proofErr w:type="spellStart"/>
            <w:r w:rsidRPr="00E36354">
              <w:rPr>
                <w:rFonts w:eastAsia="Times New Roman" w:cs="Times New Roman"/>
                <w:color w:val="000000"/>
                <w:sz w:val="18"/>
                <w:szCs w:val="18"/>
                <w:lang w:eastAsia="pt-BR"/>
              </w:rPr>
              <w:t>Arts</w:t>
            </w:r>
            <w:proofErr w:type="spellEnd"/>
            <w:r w:rsidRPr="00E36354">
              <w:rPr>
                <w:rFonts w:eastAsia="Times New Roman" w:cs="Times New Roman"/>
                <w:color w:val="000000"/>
                <w:sz w:val="18"/>
                <w:szCs w:val="18"/>
                <w:lang w:eastAsia="pt-BR"/>
              </w:rPr>
              <w:t xml:space="preserve">. </w:t>
            </w:r>
            <w:proofErr w:type="gramStart"/>
            <w:r w:rsidRPr="00E36354">
              <w:rPr>
                <w:rFonts w:eastAsia="Times New Roman" w:cs="Times New Roman"/>
                <w:color w:val="000000"/>
                <w:sz w:val="18"/>
                <w:szCs w:val="18"/>
                <w:lang w:eastAsia="pt-BR"/>
              </w:rPr>
              <w:t>33, 35 e 37</w:t>
            </w:r>
            <w:proofErr w:type="gramEnd"/>
            <w:r w:rsidRPr="00E36354">
              <w:rPr>
                <w:rFonts w:eastAsia="Times New Roman" w:cs="Times New Roman"/>
                <w:color w:val="000000"/>
                <w:sz w:val="18"/>
                <w:szCs w:val="18"/>
                <w:lang w:eastAsia="pt-BR"/>
              </w:rPr>
              <w:t xml:space="preserve"> da LRF</w:t>
            </w:r>
          </w:p>
        </w:tc>
      </w:tr>
      <w:tr w:rsidR="00256396" w:rsidRPr="0022645B" w14:paraId="26A0EF33"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hideMark/>
          </w:tcPr>
          <w:p w14:paraId="17492B57" w14:textId="77777777"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Consolidação pelo Poder Executivo das Contas Anuais</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6D10552F" w14:textId="77777777"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Art. 51, § 2º da LRF</w:t>
            </w:r>
          </w:p>
        </w:tc>
      </w:tr>
      <w:tr w:rsidR="00256396" w:rsidRPr="0022645B" w14:paraId="3F9B5CAD"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2F2F2" w:themeFill="background1" w:themeFillShade="F2"/>
            <w:hideMark/>
          </w:tcPr>
          <w:p w14:paraId="07054C93" w14:textId="77777777"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Publicação do RGF até 30 dias após encerramento do quadrimestre</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hideMark/>
          </w:tcPr>
          <w:p w14:paraId="71575D18" w14:textId="77777777"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 xml:space="preserve">Art. 54, caput e Art. 55, §§ 2º e 3º da </w:t>
            </w:r>
            <w:proofErr w:type="gramStart"/>
            <w:r w:rsidRPr="00E36354">
              <w:rPr>
                <w:rFonts w:eastAsia="Times New Roman" w:cs="Times New Roman"/>
                <w:color w:val="000000"/>
                <w:sz w:val="18"/>
                <w:szCs w:val="18"/>
                <w:lang w:eastAsia="pt-BR"/>
              </w:rPr>
              <w:t>LRF</w:t>
            </w:r>
            <w:proofErr w:type="gramEnd"/>
          </w:p>
        </w:tc>
      </w:tr>
      <w:tr w:rsidR="00256396" w:rsidRPr="0022645B" w14:paraId="45A300E8" w14:textId="77777777" w:rsidTr="00884E39">
        <w:trPr>
          <w:trHeight w:val="20"/>
          <w:jc w:val="center"/>
        </w:trPr>
        <w:tc>
          <w:tcPr>
            <w:tcW w:w="608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hideMark/>
          </w:tcPr>
          <w:p w14:paraId="463F3589" w14:textId="77777777"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Transparência da Gestão Fiscal</w:t>
            </w:r>
          </w:p>
        </w:tc>
        <w:tc>
          <w:tcPr>
            <w:tcW w:w="3118"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hideMark/>
          </w:tcPr>
          <w:p w14:paraId="01F596B3" w14:textId="77777777" w:rsidR="00256396" w:rsidRPr="00E36354" w:rsidRDefault="00256396" w:rsidP="00256396">
            <w:pPr>
              <w:spacing w:after="0" w:line="240" w:lineRule="auto"/>
              <w:rPr>
                <w:rFonts w:eastAsia="Times New Roman" w:cs="Times New Roman"/>
                <w:color w:val="000000"/>
                <w:sz w:val="18"/>
                <w:szCs w:val="18"/>
                <w:lang w:eastAsia="pt-BR"/>
              </w:rPr>
            </w:pPr>
            <w:r w:rsidRPr="00E36354">
              <w:rPr>
                <w:rFonts w:eastAsia="Times New Roman" w:cs="Times New Roman"/>
                <w:color w:val="000000"/>
                <w:sz w:val="18"/>
                <w:szCs w:val="18"/>
                <w:lang w:eastAsia="pt-BR"/>
              </w:rPr>
              <w:t xml:space="preserve">Art. 48, §§ 2º, 3º e 4º da </w:t>
            </w:r>
            <w:proofErr w:type="gramStart"/>
            <w:r w:rsidRPr="00E36354">
              <w:rPr>
                <w:rFonts w:eastAsia="Times New Roman" w:cs="Times New Roman"/>
                <w:color w:val="000000"/>
                <w:sz w:val="18"/>
                <w:szCs w:val="18"/>
                <w:lang w:eastAsia="pt-BR"/>
              </w:rPr>
              <w:t>LRF</w:t>
            </w:r>
            <w:proofErr w:type="gramEnd"/>
          </w:p>
        </w:tc>
      </w:tr>
      <w:tr w:rsidR="00256396" w:rsidRPr="0022645B" w14:paraId="11318F6A" w14:textId="77777777" w:rsidTr="00E36354">
        <w:trPr>
          <w:trHeight w:val="20"/>
          <w:jc w:val="center"/>
        </w:trPr>
        <w:tc>
          <w:tcPr>
            <w:tcW w:w="9204" w:type="dxa"/>
            <w:gridSpan w:val="2"/>
            <w:tcBorders>
              <w:top w:val="single" w:sz="8" w:space="0" w:color="BFBFBF" w:themeColor="background1" w:themeShade="BF"/>
            </w:tcBorders>
            <w:shd w:val="clear" w:color="auto" w:fill="auto"/>
          </w:tcPr>
          <w:p w14:paraId="1966A0BF" w14:textId="77777777" w:rsidR="00256396" w:rsidRPr="006C1188" w:rsidRDefault="00256396" w:rsidP="00256396">
            <w:pPr>
              <w:spacing w:after="0" w:line="240" w:lineRule="auto"/>
              <w:rPr>
                <w:rFonts w:eastAsia="Times New Roman" w:cs="Times New Roman"/>
                <w:i/>
                <w:iCs/>
                <w:color w:val="000000"/>
                <w:sz w:val="16"/>
                <w:szCs w:val="16"/>
                <w:lang w:eastAsia="pt-BR"/>
              </w:rPr>
            </w:pPr>
            <w:r w:rsidRPr="006C1188">
              <w:rPr>
                <w:b/>
                <w:bCs/>
                <w:i/>
                <w:iCs/>
                <w:sz w:val="16"/>
                <w:szCs w:val="16"/>
              </w:rPr>
              <w:t>Fonte e Elaboração</w:t>
            </w:r>
            <w:r w:rsidRPr="006C1188">
              <w:rPr>
                <w:i/>
                <w:iCs/>
                <w:sz w:val="16"/>
                <w:szCs w:val="16"/>
              </w:rPr>
              <w:t>: STN/ME.</w:t>
            </w:r>
          </w:p>
        </w:tc>
      </w:tr>
    </w:tbl>
    <w:p w14:paraId="3C1F5193" w14:textId="77777777" w:rsidR="00AE0B02" w:rsidRPr="00D46AC6" w:rsidRDefault="00AE0B02" w:rsidP="00277569">
      <w:pPr>
        <w:spacing w:after="120" w:line="240" w:lineRule="auto"/>
        <w:jc w:val="both"/>
        <w:rPr>
          <w:color w:val="FF0000"/>
          <w:sz w:val="24"/>
          <w:szCs w:val="24"/>
        </w:rPr>
      </w:pPr>
    </w:p>
    <w:p w14:paraId="1889470D" w14:textId="6B4EA0BB" w:rsidR="00AE0B02" w:rsidRPr="00AC3A21" w:rsidRDefault="00DB28A0" w:rsidP="00AE0B02">
      <w:pPr>
        <w:spacing w:after="120" w:line="240" w:lineRule="auto"/>
        <w:ind w:firstLine="1418"/>
        <w:jc w:val="both"/>
        <w:rPr>
          <w:sz w:val="24"/>
          <w:szCs w:val="24"/>
        </w:rPr>
      </w:pPr>
      <w:r w:rsidRPr="00DB28A0">
        <w:rPr>
          <w:sz w:val="24"/>
          <w:szCs w:val="24"/>
        </w:rPr>
        <w:t xml:space="preserve">Dentre esses riscos, destaca-se aquele relativo ao descumprimento da regra de ouro, estabelecida pelo inciso III do art. 167 da Constituição Federal, que veda a realização de operações de crédito que excedam o montante das despesas de </w:t>
      </w:r>
      <w:proofErr w:type="gramStart"/>
      <w:r w:rsidRPr="00DB28A0">
        <w:rPr>
          <w:sz w:val="24"/>
          <w:szCs w:val="24"/>
        </w:rPr>
        <w:t>capital, ressalvadas</w:t>
      </w:r>
      <w:proofErr w:type="gramEnd"/>
      <w:r w:rsidRPr="00DB28A0">
        <w:rPr>
          <w:sz w:val="24"/>
          <w:szCs w:val="24"/>
        </w:rPr>
        <w:t xml:space="preserve"> as autorizadas mediante créditos suplementares ou especiais com finalidade precisa, aprovados pelo Poder Legislativo por maioria absoluta. Isso porque as projeções apontam que, dado o cenário fiscal esperado, haveria necessidade de se recorrer a operações de crédito em montante superior ao das despesas de capital tanto para 2022 quanto para 2023 e 2024,</w:t>
      </w:r>
      <w:r w:rsidR="006E2E6C" w:rsidRPr="00AC3A21">
        <w:rPr>
          <w:sz w:val="24"/>
          <w:szCs w:val="24"/>
        </w:rPr>
        <w:t xml:space="preserve"> conforme</w:t>
      </w:r>
      <w:r w:rsidR="00E0018C" w:rsidRPr="00AC3A21">
        <w:rPr>
          <w:sz w:val="24"/>
          <w:szCs w:val="24"/>
        </w:rPr>
        <w:t xml:space="preserve"> </w:t>
      </w:r>
      <w:r w:rsidR="00E0018C" w:rsidRPr="00AC3A21">
        <w:rPr>
          <w:sz w:val="24"/>
          <w:szCs w:val="24"/>
        </w:rPr>
        <w:fldChar w:fldCharType="begin"/>
      </w:r>
      <w:r w:rsidR="00E0018C" w:rsidRPr="00AC3A21">
        <w:rPr>
          <w:sz w:val="24"/>
          <w:szCs w:val="24"/>
        </w:rPr>
        <w:instrText xml:space="preserve"> REF _Ref5629752 \h  \* MERGEFORMAT </w:instrText>
      </w:r>
      <w:r w:rsidR="00E0018C" w:rsidRPr="00AC3A21">
        <w:rPr>
          <w:sz w:val="24"/>
          <w:szCs w:val="24"/>
        </w:rPr>
      </w:r>
      <w:r w:rsidR="00E0018C" w:rsidRPr="00AC3A21">
        <w:rPr>
          <w:sz w:val="24"/>
          <w:szCs w:val="24"/>
        </w:rPr>
        <w:fldChar w:fldCharType="separate"/>
      </w:r>
      <w:r w:rsidR="00304F5F" w:rsidRPr="00304F5F">
        <w:rPr>
          <w:sz w:val="24"/>
          <w:szCs w:val="24"/>
        </w:rPr>
        <w:t>Tabela 14</w:t>
      </w:r>
      <w:r w:rsidR="00E0018C" w:rsidRPr="00AC3A21">
        <w:rPr>
          <w:sz w:val="24"/>
          <w:szCs w:val="24"/>
        </w:rPr>
        <w:fldChar w:fldCharType="end"/>
      </w:r>
      <w:r w:rsidR="00E0018C" w:rsidRPr="00AC3A21">
        <w:rPr>
          <w:sz w:val="24"/>
          <w:szCs w:val="24"/>
        </w:rPr>
        <w:t>.</w:t>
      </w:r>
    </w:p>
    <w:p w14:paraId="34410C0D" w14:textId="34D26063" w:rsidR="004B7AB3" w:rsidRPr="00AC3A21" w:rsidRDefault="004B7AB3" w:rsidP="00840E93">
      <w:pPr>
        <w:pStyle w:val="Legenda"/>
        <w:spacing w:after="120"/>
        <w:jc w:val="center"/>
        <w:rPr>
          <w:rFonts w:asciiTheme="minorHAnsi" w:hAnsiTheme="minorHAnsi"/>
          <w:i w:val="0"/>
          <w:color w:val="auto"/>
          <w:sz w:val="22"/>
          <w:szCs w:val="22"/>
        </w:rPr>
      </w:pPr>
      <w:bookmarkStart w:id="171" w:name="_Ref5629752"/>
      <w:bookmarkStart w:id="172" w:name="_Toc69121360"/>
      <w:r w:rsidRPr="00AC3A21">
        <w:rPr>
          <w:rFonts w:asciiTheme="minorHAnsi" w:hAnsiTheme="minorHAnsi"/>
          <w:i w:val="0"/>
          <w:color w:val="auto"/>
          <w:sz w:val="22"/>
          <w:szCs w:val="22"/>
        </w:rPr>
        <w:t xml:space="preserve">Tabela </w:t>
      </w:r>
      <w:r w:rsidR="00B048F2" w:rsidRPr="00AC3A21">
        <w:rPr>
          <w:rFonts w:asciiTheme="minorHAnsi" w:hAnsiTheme="minorHAnsi"/>
          <w:i w:val="0"/>
          <w:color w:val="auto"/>
          <w:sz w:val="22"/>
          <w:szCs w:val="22"/>
        </w:rPr>
        <w:fldChar w:fldCharType="begin"/>
      </w:r>
      <w:r w:rsidR="00B048F2" w:rsidRPr="00AC3A21">
        <w:rPr>
          <w:rFonts w:asciiTheme="minorHAnsi" w:hAnsiTheme="minorHAnsi"/>
          <w:i w:val="0"/>
          <w:color w:val="auto"/>
          <w:sz w:val="22"/>
          <w:szCs w:val="22"/>
        </w:rPr>
        <w:instrText xml:space="preserve"> SEQ Tabela \* ARABIC </w:instrText>
      </w:r>
      <w:r w:rsidR="00B048F2" w:rsidRPr="00AC3A21">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14</w:t>
      </w:r>
      <w:r w:rsidR="00B048F2" w:rsidRPr="00AC3A21">
        <w:rPr>
          <w:rFonts w:asciiTheme="minorHAnsi" w:hAnsiTheme="minorHAnsi"/>
          <w:i w:val="0"/>
          <w:color w:val="auto"/>
          <w:sz w:val="22"/>
          <w:szCs w:val="22"/>
        </w:rPr>
        <w:fldChar w:fldCharType="end"/>
      </w:r>
      <w:bookmarkEnd w:id="171"/>
      <w:r w:rsidR="00625877" w:rsidRPr="00AC3A21">
        <w:rPr>
          <w:rFonts w:asciiTheme="minorHAnsi" w:hAnsiTheme="minorHAnsi"/>
          <w:i w:val="0"/>
          <w:color w:val="auto"/>
          <w:sz w:val="22"/>
          <w:szCs w:val="22"/>
        </w:rPr>
        <w:t xml:space="preserve"> -</w:t>
      </w:r>
      <w:r w:rsidRPr="00AC3A21">
        <w:rPr>
          <w:rFonts w:asciiTheme="minorHAnsi" w:hAnsiTheme="minorHAnsi"/>
          <w:i w:val="0"/>
          <w:color w:val="auto"/>
          <w:sz w:val="22"/>
          <w:szCs w:val="22"/>
        </w:rPr>
        <w:t xml:space="preserve"> Projeção da insuficiência da Regra de Ouro</w:t>
      </w:r>
      <w:bookmarkEnd w:id="172"/>
    </w:p>
    <w:tbl>
      <w:tblPr>
        <w:tblStyle w:val="Tabelacomgrade"/>
        <w:tblW w:w="6804" w:type="dxa"/>
        <w:jc w:val="center"/>
        <w:tblLook w:val="04A0" w:firstRow="1" w:lastRow="0" w:firstColumn="1" w:lastColumn="0" w:noHBand="0" w:noVBand="1"/>
      </w:tblPr>
      <w:tblGrid>
        <w:gridCol w:w="1782"/>
        <w:gridCol w:w="1674"/>
        <w:gridCol w:w="1674"/>
        <w:gridCol w:w="1674"/>
      </w:tblGrid>
      <w:tr w:rsidR="00C050C6" w:rsidRPr="00850710" w14:paraId="5F99A2F2" w14:textId="77777777" w:rsidTr="001F4B23">
        <w:trPr>
          <w:tblHeader/>
          <w:jc w:val="center"/>
        </w:trPr>
        <w:tc>
          <w:tcPr>
            <w:tcW w:w="0" w:type="auto"/>
            <w:gridSpan w:val="4"/>
            <w:tcBorders>
              <w:top w:val="nil"/>
              <w:left w:val="nil"/>
              <w:bottom w:val="single" w:sz="8" w:space="0" w:color="BFBFBF" w:themeColor="background1" w:themeShade="BF"/>
              <w:right w:val="nil"/>
            </w:tcBorders>
            <w:vAlign w:val="center"/>
          </w:tcPr>
          <w:p w14:paraId="4CF14966" w14:textId="77777777" w:rsidR="00C050C6" w:rsidRPr="00847CE8" w:rsidRDefault="00C050C6" w:rsidP="00C050C6">
            <w:pPr>
              <w:jc w:val="right"/>
              <w:rPr>
                <w:rFonts w:eastAsia="Times New Roman" w:cs="Times New Roman"/>
                <w:i/>
                <w:iCs/>
                <w:sz w:val="16"/>
                <w:szCs w:val="16"/>
                <w:lang w:eastAsia="pt-BR"/>
              </w:rPr>
            </w:pPr>
            <w:r w:rsidRPr="00847CE8">
              <w:rPr>
                <w:rFonts w:eastAsia="Times New Roman" w:cs="Times New Roman"/>
                <w:i/>
                <w:iCs/>
                <w:sz w:val="16"/>
                <w:szCs w:val="16"/>
                <w:lang w:eastAsia="pt-BR"/>
              </w:rPr>
              <w:t>Em R$ milhões</w:t>
            </w:r>
          </w:p>
        </w:tc>
      </w:tr>
      <w:tr w:rsidR="00C050C6" w:rsidRPr="0022645B" w14:paraId="4E31502F" w14:textId="77777777" w:rsidTr="001F4B23">
        <w:trPr>
          <w:tblHeade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240D1667" w14:textId="77777777" w:rsidR="00C050C6" w:rsidRPr="00850710" w:rsidRDefault="00C050C6" w:rsidP="00C050C6">
            <w:pPr>
              <w:jc w:val="center"/>
              <w:rPr>
                <w:rFonts w:eastAsia="Times New Roman" w:cs="Times New Roman"/>
                <w:bCs/>
                <w:color w:val="FFFFFF" w:themeColor="background1"/>
                <w:sz w:val="20"/>
                <w:szCs w:val="20"/>
                <w:lang w:eastAsia="pt-BR"/>
              </w:rPr>
            </w:pPr>
            <w:r w:rsidRPr="00850710">
              <w:rPr>
                <w:rFonts w:eastAsia="Times New Roman" w:cs="Times New Roman"/>
                <w:bCs/>
                <w:color w:val="FFFFFF" w:themeColor="background1"/>
                <w:sz w:val="20"/>
                <w:szCs w:val="20"/>
                <w:lang w:eastAsia="pt-BR"/>
              </w:rPr>
              <w:t>Cenário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52123E5" w14:textId="4784F690" w:rsidR="00C050C6" w:rsidRPr="00850710" w:rsidRDefault="00DB28A0" w:rsidP="00C050C6">
            <w:pPr>
              <w:jc w:val="center"/>
              <w:rPr>
                <w:rFonts w:eastAsia="Times New Roman" w:cs="Times New Roman"/>
                <w:bCs/>
                <w:color w:val="FFFFFF" w:themeColor="background1"/>
                <w:sz w:val="20"/>
                <w:szCs w:val="20"/>
                <w:lang w:eastAsia="pt-BR"/>
              </w:rPr>
            </w:pPr>
            <w:r>
              <w:rPr>
                <w:rFonts w:eastAsia="Times New Roman" w:cs="Times New Roman"/>
                <w:bCs/>
                <w:color w:val="FFFFFF" w:themeColor="background1"/>
                <w:sz w:val="20"/>
                <w:szCs w:val="20"/>
                <w:lang w:eastAsia="pt-BR"/>
              </w:rPr>
              <w:t>2022</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036ABDB2" w14:textId="2DA61A3C" w:rsidR="00C050C6" w:rsidRPr="00850710" w:rsidRDefault="00DB28A0" w:rsidP="00C050C6">
            <w:pPr>
              <w:jc w:val="center"/>
              <w:rPr>
                <w:rFonts w:eastAsia="Times New Roman" w:cs="Times New Roman"/>
                <w:bCs/>
                <w:color w:val="FFFFFF" w:themeColor="background1"/>
                <w:sz w:val="20"/>
                <w:szCs w:val="20"/>
                <w:lang w:eastAsia="pt-BR"/>
              </w:rPr>
            </w:pPr>
            <w:r>
              <w:rPr>
                <w:rFonts w:eastAsia="Times New Roman" w:cs="Times New Roman"/>
                <w:bCs/>
                <w:color w:val="FFFFFF" w:themeColor="background1"/>
                <w:sz w:val="20"/>
                <w:szCs w:val="20"/>
                <w:lang w:eastAsia="pt-BR"/>
              </w:rPr>
              <w:t>2023</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0FBFD4D" w14:textId="12B9CF45" w:rsidR="00C050C6" w:rsidRPr="00850710" w:rsidRDefault="00DB28A0" w:rsidP="00C050C6">
            <w:pPr>
              <w:jc w:val="center"/>
              <w:rPr>
                <w:rFonts w:eastAsia="Times New Roman" w:cs="Times New Roman"/>
                <w:bCs/>
                <w:color w:val="FFFFFF" w:themeColor="background1"/>
                <w:sz w:val="20"/>
                <w:szCs w:val="20"/>
                <w:lang w:eastAsia="pt-BR"/>
              </w:rPr>
            </w:pPr>
            <w:r>
              <w:rPr>
                <w:rFonts w:eastAsia="Times New Roman" w:cs="Times New Roman"/>
                <w:bCs/>
                <w:color w:val="FFFFFF" w:themeColor="background1"/>
                <w:sz w:val="20"/>
                <w:szCs w:val="20"/>
                <w:lang w:eastAsia="pt-BR"/>
              </w:rPr>
              <w:t>2024</w:t>
            </w:r>
          </w:p>
        </w:tc>
      </w:tr>
      <w:tr w:rsidR="00C050C6" w:rsidRPr="0022645B" w14:paraId="34C2945C" w14:textId="77777777" w:rsidTr="001F4B23">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4DDF36A" w14:textId="77777777" w:rsidR="00C050C6" w:rsidRPr="00C050C6" w:rsidRDefault="00C050C6" w:rsidP="00C050C6">
            <w:pPr>
              <w:jc w:val="both"/>
              <w:rPr>
                <w:rFonts w:eastAsia="Times New Roman" w:cs="Times New Roman"/>
                <w:sz w:val="18"/>
                <w:szCs w:val="18"/>
                <w:lang w:eastAsia="pt-BR"/>
              </w:rPr>
            </w:pPr>
            <w:proofErr w:type="gramStart"/>
            <w:r w:rsidRPr="00C050C6">
              <w:rPr>
                <w:rFonts w:eastAsia="Times New Roman" w:cs="Times New Roman"/>
                <w:sz w:val="18"/>
                <w:szCs w:val="18"/>
                <w:lang w:eastAsia="pt-BR"/>
              </w:rPr>
              <w:t>Cenário base</w:t>
            </w:r>
            <w:proofErr w:type="gramEnd"/>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1D00944" w14:textId="1CAF6E60" w:rsidR="00C050C6" w:rsidRPr="00C050C6" w:rsidRDefault="00DB28A0" w:rsidP="00C050C6">
            <w:pPr>
              <w:jc w:val="center"/>
              <w:rPr>
                <w:rFonts w:eastAsia="Times New Roman" w:cs="Times New Roman"/>
                <w:sz w:val="18"/>
                <w:szCs w:val="18"/>
                <w:lang w:eastAsia="pt-BR"/>
              </w:rPr>
            </w:pPr>
            <w:r>
              <w:rPr>
                <w:sz w:val="18"/>
                <w:szCs w:val="18"/>
              </w:rPr>
              <w:t>293.457,0</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50054CB" w14:textId="55646BCE" w:rsidR="00C050C6" w:rsidRPr="00C050C6" w:rsidRDefault="00DB28A0" w:rsidP="00C050C6">
            <w:pPr>
              <w:jc w:val="center"/>
              <w:rPr>
                <w:rFonts w:eastAsia="Times New Roman" w:cs="Times New Roman"/>
                <w:sz w:val="18"/>
                <w:szCs w:val="18"/>
                <w:lang w:eastAsia="pt-BR"/>
              </w:rPr>
            </w:pPr>
            <w:r>
              <w:rPr>
                <w:sz w:val="18"/>
                <w:szCs w:val="18"/>
              </w:rPr>
              <w:t>231.001,8</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C1901D" w14:textId="678B5B05" w:rsidR="00C050C6" w:rsidRPr="00C050C6" w:rsidRDefault="00DB28A0" w:rsidP="00C050C6">
            <w:pPr>
              <w:jc w:val="center"/>
              <w:rPr>
                <w:rFonts w:eastAsia="Times New Roman" w:cs="Times New Roman"/>
                <w:sz w:val="18"/>
                <w:szCs w:val="18"/>
                <w:lang w:eastAsia="pt-BR"/>
              </w:rPr>
            </w:pPr>
            <w:r>
              <w:rPr>
                <w:sz w:val="18"/>
                <w:szCs w:val="18"/>
              </w:rPr>
              <w:t>278.985,4</w:t>
            </w:r>
          </w:p>
        </w:tc>
      </w:tr>
      <w:tr w:rsidR="00C050C6" w:rsidRPr="0022645B" w14:paraId="4EC66207" w14:textId="77777777" w:rsidTr="001F4B23">
        <w:trPr>
          <w:jc w:val="center"/>
        </w:trPr>
        <w:tc>
          <w:tcPr>
            <w:tcW w:w="0" w:type="auto"/>
            <w:gridSpan w:val="4"/>
            <w:tcBorders>
              <w:top w:val="single" w:sz="8" w:space="0" w:color="BFBFBF" w:themeColor="background1" w:themeShade="BF"/>
              <w:left w:val="nil"/>
              <w:bottom w:val="nil"/>
              <w:right w:val="nil"/>
            </w:tcBorders>
          </w:tcPr>
          <w:p w14:paraId="27C24F96" w14:textId="77777777" w:rsidR="00C050C6" w:rsidRPr="00847CE8" w:rsidRDefault="00C050C6" w:rsidP="00C050C6">
            <w:pPr>
              <w:jc w:val="both"/>
              <w:rPr>
                <w:rFonts w:eastAsia="Times New Roman" w:cs="Times New Roman"/>
                <w:i/>
                <w:iCs/>
                <w:sz w:val="16"/>
                <w:szCs w:val="16"/>
                <w:lang w:eastAsia="pt-BR"/>
              </w:rPr>
            </w:pPr>
            <w:proofErr w:type="gramStart"/>
            <w:r w:rsidRPr="00847CE8">
              <w:rPr>
                <w:rFonts w:eastAsia="Times New Roman" w:cs="Times New Roman"/>
                <w:i/>
                <w:iCs/>
                <w:sz w:val="16"/>
                <w:szCs w:val="16"/>
                <w:lang w:eastAsia="pt-BR"/>
              </w:rPr>
              <w:t>O Cenário Base</w:t>
            </w:r>
            <w:proofErr w:type="gramEnd"/>
            <w:r w:rsidRPr="00847CE8">
              <w:rPr>
                <w:rFonts w:eastAsia="Times New Roman" w:cs="Times New Roman"/>
                <w:i/>
                <w:iCs/>
                <w:sz w:val="16"/>
                <w:szCs w:val="16"/>
                <w:lang w:eastAsia="pt-BR"/>
              </w:rPr>
              <w:t xml:space="preserve"> contempla estimativas preliminares, com base em hipóteses simplificadas. O mesmo deve ser atualizado quando da elaboração do Projeto de Lei Orçamentária, momento em que </w:t>
            </w:r>
            <w:proofErr w:type="gramStart"/>
            <w:r w:rsidRPr="00847CE8">
              <w:rPr>
                <w:rFonts w:eastAsia="Times New Roman" w:cs="Times New Roman"/>
                <w:i/>
                <w:iCs/>
                <w:sz w:val="16"/>
                <w:szCs w:val="16"/>
                <w:lang w:eastAsia="pt-BR"/>
              </w:rPr>
              <w:t>serão</w:t>
            </w:r>
            <w:proofErr w:type="gramEnd"/>
            <w:r w:rsidRPr="00847CE8">
              <w:rPr>
                <w:rFonts w:eastAsia="Times New Roman" w:cs="Times New Roman"/>
                <w:i/>
                <w:iCs/>
                <w:sz w:val="16"/>
                <w:szCs w:val="16"/>
                <w:lang w:eastAsia="pt-BR"/>
              </w:rPr>
              <w:t xml:space="preserve"> definidas com maior exatidão a necessidade de operações de crédito para o financiamento das despesas orçamentárias, bem como serão atualizados os parâmetros macroeconômicos que afetam as projeções de despesas de capital.</w:t>
            </w:r>
          </w:p>
          <w:p w14:paraId="6473EFE0" w14:textId="77777777" w:rsidR="00C050C6" w:rsidRPr="0022645B" w:rsidRDefault="00C050C6" w:rsidP="00C050C6">
            <w:pPr>
              <w:jc w:val="both"/>
              <w:rPr>
                <w:rFonts w:eastAsia="Times New Roman" w:cs="Times New Roman"/>
                <w:sz w:val="20"/>
                <w:szCs w:val="20"/>
                <w:lang w:eastAsia="pt-BR"/>
              </w:rPr>
            </w:pPr>
            <w:r w:rsidRPr="00847CE8">
              <w:rPr>
                <w:rFonts w:eastAsia="Times New Roman" w:cs="Times New Roman"/>
                <w:b/>
                <w:bCs/>
                <w:i/>
                <w:iCs/>
                <w:sz w:val="16"/>
                <w:szCs w:val="16"/>
                <w:lang w:eastAsia="pt-BR"/>
              </w:rPr>
              <w:t>Fonte e Elaboração:</w:t>
            </w:r>
            <w:r w:rsidRPr="00847CE8">
              <w:rPr>
                <w:rFonts w:eastAsia="Times New Roman" w:cs="Times New Roman"/>
                <w:i/>
                <w:iCs/>
                <w:sz w:val="16"/>
                <w:szCs w:val="16"/>
                <w:lang w:eastAsia="pt-BR"/>
              </w:rPr>
              <w:t xml:space="preserve"> STN/ME.</w:t>
            </w:r>
          </w:p>
        </w:tc>
      </w:tr>
    </w:tbl>
    <w:p w14:paraId="07FA685F" w14:textId="77777777" w:rsidR="00DB07EC" w:rsidRPr="00D46AC6" w:rsidRDefault="00DB07EC" w:rsidP="00DB07EC">
      <w:pPr>
        <w:spacing w:after="120" w:line="240" w:lineRule="auto"/>
        <w:jc w:val="both"/>
        <w:rPr>
          <w:color w:val="FF0000"/>
          <w:sz w:val="24"/>
          <w:szCs w:val="24"/>
        </w:rPr>
      </w:pPr>
    </w:p>
    <w:bookmarkEnd w:id="168"/>
    <w:p w14:paraId="106E2062" w14:textId="77777777" w:rsidR="00DB28A0" w:rsidRPr="00DB28A0" w:rsidRDefault="00DB28A0" w:rsidP="00DB28A0">
      <w:pPr>
        <w:spacing w:after="120" w:line="240" w:lineRule="auto"/>
        <w:ind w:firstLine="1418"/>
        <w:jc w:val="both"/>
        <w:rPr>
          <w:sz w:val="24"/>
          <w:szCs w:val="24"/>
        </w:rPr>
      </w:pPr>
      <w:r w:rsidRPr="00DB28A0">
        <w:rPr>
          <w:sz w:val="24"/>
          <w:szCs w:val="24"/>
        </w:rPr>
        <w:t xml:space="preserve">Portanto, para que esse cenário não implique em um descumprimento da Constituição Federal e, consequentemente, uma vedação à realização de novas operações de crédito, busca-se autorização junto ao Poder Legislativo para a realização dessas operações de crédito que estariam em excesso nos termos estabelecidos no próprio dispositivo legal. Nesse sentido, caso o Poder Legislativo não aprove tais créditos suplementares ou especiais, não seria possível realizar as respectivas despesas, cuja fonte de recursos </w:t>
      </w:r>
      <w:proofErr w:type="gramStart"/>
      <w:r w:rsidRPr="00DB28A0">
        <w:rPr>
          <w:sz w:val="24"/>
          <w:szCs w:val="24"/>
        </w:rPr>
        <w:t>seriam</w:t>
      </w:r>
      <w:proofErr w:type="gramEnd"/>
      <w:r w:rsidRPr="00DB28A0">
        <w:rPr>
          <w:sz w:val="24"/>
          <w:szCs w:val="24"/>
        </w:rPr>
        <w:t xml:space="preserve"> emissão de títulos da dívida pública, o que levaria a um dos cenários descritos acima, com a possibilidade de interrupção de serviços públicos ou risco de não pagamento de alguma despesa obrigatória.</w:t>
      </w:r>
    </w:p>
    <w:p w14:paraId="6BDD0B51" w14:textId="77777777" w:rsidR="00DB28A0" w:rsidRPr="00DB28A0" w:rsidRDefault="00DB28A0" w:rsidP="00DB28A0">
      <w:pPr>
        <w:spacing w:after="120" w:line="240" w:lineRule="auto"/>
        <w:ind w:firstLine="1418"/>
        <w:jc w:val="both"/>
        <w:rPr>
          <w:sz w:val="24"/>
          <w:szCs w:val="24"/>
        </w:rPr>
      </w:pPr>
      <w:r w:rsidRPr="00DB28A0">
        <w:rPr>
          <w:sz w:val="24"/>
          <w:szCs w:val="24"/>
        </w:rPr>
        <w:t>É importante destacar que este cenário de excesso de operações de crédito já ocorreu nos orçamentos de 2019 e 2020 e ocorre também no orçamento deste ano de 2021. O projeto de Lei Orçamentária de 2021 indica que R$ 453,7 bilhões de despesas a serem pagas com recursos da dívida estão condicionadas a aprovação de crédito suplementar ou especial nos termos do inciso III do art. 167 da Constituição Federal, pois tais operações de crédito estariam acima do montante previsto para as despesas de capital do exercício.</w:t>
      </w:r>
    </w:p>
    <w:p w14:paraId="3FDE1F46" w14:textId="1A0819B7" w:rsidR="00AE0B02" w:rsidRPr="00D466AA" w:rsidRDefault="00DB28A0" w:rsidP="00DB28A0">
      <w:pPr>
        <w:spacing w:after="120" w:line="240" w:lineRule="auto"/>
        <w:ind w:firstLine="1418"/>
        <w:jc w:val="both"/>
        <w:rPr>
          <w:sz w:val="24"/>
          <w:szCs w:val="24"/>
        </w:rPr>
      </w:pPr>
      <w:r w:rsidRPr="00DB28A0">
        <w:rPr>
          <w:sz w:val="24"/>
          <w:szCs w:val="24"/>
        </w:rPr>
        <w:t>Além da regra de ouro, a observação dos demais limites e condições, em particular dos limites de pessoal, é essencial. O não atendimento de algum item pode acarretar riscos caso tal situação venha a restringir a emissão de títulos da dívida pública mobiliária.</w:t>
      </w:r>
    </w:p>
    <w:p w14:paraId="47629240" w14:textId="77777777" w:rsidR="00AE0B02" w:rsidRDefault="00AE0B02" w:rsidP="00277569">
      <w:pPr>
        <w:spacing w:after="120" w:line="240" w:lineRule="auto"/>
        <w:jc w:val="both"/>
        <w:rPr>
          <w:sz w:val="24"/>
          <w:szCs w:val="24"/>
        </w:rPr>
      </w:pPr>
    </w:p>
    <w:p w14:paraId="2B918894" w14:textId="77777777" w:rsidR="001A36C9" w:rsidRDefault="001A36C9" w:rsidP="00CF024B">
      <w:pPr>
        <w:pStyle w:val="Ttulo1"/>
        <w:numPr>
          <w:ilvl w:val="0"/>
          <w:numId w:val="36"/>
        </w:numPr>
        <w:spacing w:before="0" w:after="120" w:line="240" w:lineRule="auto"/>
        <w:ind w:left="431" w:hanging="431"/>
        <w:rPr>
          <w:rFonts w:asciiTheme="minorHAnsi" w:hAnsiTheme="minorHAnsi"/>
          <w:b/>
          <w:color w:val="auto"/>
          <w:sz w:val="28"/>
          <w:szCs w:val="28"/>
          <w:lang w:eastAsia="pt-BR"/>
        </w:rPr>
      </w:pPr>
      <w:bookmarkStart w:id="173" w:name="_Toc67317988"/>
      <w:bookmarkStart w:id="174" w:name="_Toc67929642"/>
      <w:bookmarkStart w:id="175" w:name="_Toc69121225"/>
      <w:r w:rsidRPr="0022645B">
        <w:rPr>
          <w:rFonts w:asciiTheme="minorHAnsi" w:hAnsiTheme="minorHAnsi"/>
          <w:b/>
          <w:color w:val="auto"/>
          <w:sz w:val="28"/>
          <w:szCs w:val="28"/>
          <w:lang w:eastAsia="pt-BR"/>
        </w:rPr>
        <w:t>ANÁLISE DOS RISCOS ESPECÍFICOS</w:t>
      </w:r>
      <w:bookmarkEnd w:id="135"/>
      <w:bookmarkEnd w:id="173"/>
      <w:bookmarkEnd w:id="174"/>
      <w:bookmarkEnd w:id="175"/>
    </w:p>
    <w:p w14:paraId="07060B19" w14:textId="77777777" w:rsidR="00087132" w:rsidRPr="00087132" w:rsidRDefault="00087132" w:rsidP="00087132">
      <w:pPr>
        <w:spacing w:after="120" w:line="240" w:lineRule="auto"/>
        <w:ind w:firstLine="1418"/>
        <w:jc w:val="both"/>
        <w:rPr>
          <w:w w:val="105"/>
          <w:sz w:val="24"/>
          <w:szCs w:val="24"/>
        </w:rPr>
      </w:pPr>
      <w:r w:rsidRPr="00087132">
        <w:rPr>
          <w:w w:val="105"/>
          <w:sz w:val="24"/>
          <w:szCs w:val="24"/>
        </w:rPr>
        <w:t>Os riscos específicos caracterizam-se por passivos contingentes do governo e por riscos associados aos ativos, e se relacionam a eventos que ocorrem de maneira irregular. Sua análise envolve avaliação qualitativa das particularidades de cada tema, buscando identificar a materialização do risco no curto prazo, bem como mensurar seu custo.</w:t>
      </w:r>
    </w:p>
    <w:p w14:paraId="0DE47A07" w14:textId="35EBAD27" w:rsidR="00087132" w:rsidRDefault="00087132" w:rsidP="00087132">
      <w:pPr>
        <w:spacing w:after="120" w:line="240" w:lineRule="auto"/>
        <w:ind w:firstLine="1418"/>
        <w:jc w:val="both"/>
        <w:rPr>
          <w:w w:val="105"/>
          <w:sz w:val="24"/>
          <w:szCs w:val="24"/>
        </w:rPr>
      </w:pPr>
      <w:r w:rsidRPr="00087132">
        <w:rPr>
          <w:w w:val="105"/>
          <w:sz w:val="24"/>
          <w:szCs w:val="24"/>
        </w:rPr>
        <w:t>A análise dos riscos específicos está, em grande parte, submetida a um arcabouço institucional e normativo cuja gestão se dá no desempenho das atribuições de órgãos competentes. Nesse sentido, a consolidação das informações neste documento pauta-se pela harmonização de conceitos e padronização dos impactos fiscais. Busca-se distinguir, em cada caso, os impactos primários dos impactos financeiros, os valores de fluxos dos valores de estoques, os exercícios financeiros</w:t>
      </w:r>
      <w:r w:rsidR="0024141A">
        <w:rPr>
          <w:w w:val="105"/>
          <w:sz w:val="24"/>
          <w:szCs w:val="24"/>
        </w:rPr>
        <w:t xml:space="preserve"> de incidência</w:t>
      </w:r>
      <w:r w:rsidRPr="00087132">
        <w:rPr>
          <w:w w:val="105"/>
          <w:sz w:val="24"/>
          <w:szCs w:val="24"/>
        </w:rPr>
        <w:t>, bem como apresentar a explicitação dos critérios utilizados para a mensuração dos riscos e para a construção de projeções.</w:t>
      </w:r>
    </w:p>
    <w:p w14:paraId="2D5E7940" w14:textId="38A31793" w:rsidR="00F02AE0" w:rsidRPr="00087132" w:rsidRDefault="00F02AE0" w:rsidP="00087132">
      <w:pPr>
        <w:spacing w:after="120" w:line="240" w:lineRule="auto"/>
        <w:ind w:firstLine="1418"/>
        <w:jc w:val="both"/>
        <w:rPr>
          <w:w w:val="105"/>
          <w:sz w:val="24"/>
          <w:szCs w:val="24"/>
        </w:rPr>
      </w:pPr>
      <w:r>
        <w:rPr>
          <w:w w:val="105"/>
          <w:sz w:val="24"/>
          <w:szCs w:val="24"/>
        </w:rPr>
        <w:t>Deve-se ressaltar que a pandemia do COVID-19 também estende seus efeitos aos riscos específicos tratados na presente seção, que podem se</w:t>
      </w:r>
      <w:r w:rsidR="00F0207E">
        <w:rPr>
          <w:w w:val="105"/>
          <w:sz w:val="24"/>
          <w:szCs w:val="24"/>
        </w:rPr>
        <w:t>r ampliados em função de</w:t>
      </w:r>
      <w:r>
        <w:rPr>
          <w:w w:val="105"/>
          <w:sz w:val="24"/>
          <w:szCs w:val="24"/>
        </w:rPr>
        <w:t xml:space="preserve"> diferentes canais, como inadimplência de dívidas, elevação do pagamento de honras de garantias pela União</w:t>
      </w:r>
      <w:r w:rsidR="00F0207E">
        <w:rPr>
          <w:w w:val="105"/>
          <w:sz w:val="24"/>
          <w:szCs w:val="24"/>
        </w:rPr>
        <w:t xml:space="preserve">, deterioração da situação financeira dos entes subnacionais e suas consequências sobre a </w:t>
      </w:r>
      <w:r w:rsidR="00F0207E">
        <w:rPr>
          <w:w w:val="105"/>
          <w:sz w:val="24"/>
          <w:szCs w:val="24"/>
        </w:rPr>
        <w:br/>
        <w:t xml:space="preserve">União, entre diversos outros fatores potenciais. Entretanto, no atual estágio da crise ainda se observa a presença de elevada incerteza que impede a previsão da extensão dos seus efeitos. </w:t>
      </w:r>
    </w:p>
    <w:p w14:paraId="7B65516A" w14:textId="112A1E03" w:rsidR="00CB2765" w:rsidRPr="00640A94" w:rsidRDefault="00087132" w:rsidP="00087132">
      <w:pPr>
        <w:spacing w:after="120" w:line="240" w:lineRule="auto"/>
        <w:ind w:firstLine="1418"/>
        <w:jc w:val="both"/>
        <w:rPr>
          <w:w w:val="105"/>
          <w:sz w:val="24"/>
          <w:szCs w:val="24"/>
        </w:rPr>
      </w:pPr>
      <w:r w:rsidRPr="00087132">
        <w:rPr>
          <w:w w:val="105"/>
          <w:sz w:val="24"/>
          <w:szCs w:val="24"/>
        </w:rPr>
        <w:t>A seguir serão apresentadas análises dos riscos específicos nas subseções de Passivos Contingentes, Riscos Associados a Ativos e Outros Riscos Específicos.</w:t>
      </w:r>
    </w:p>
    <w:p w14:paraId="4E7035EB" w14:textId="77777777" w:rsidR="00640A94" w:rsidRPr="00640A94" w:rsidRDefault="00640A94" w:rsidP="00640A94">
      <w:pPr>
        <w:spacing w:after="120" w:line="240" w:lineRule="auto"/>
        <w:ind w:firstLine="1418"/>
        <w:jc w:val="both"/>
        <w:rPr>
          <w:w w:val="105"/>
          <w:sz w:val="24"/>
          <w:szCs w:val="24"/>
        </w:rPr>
      </w:pPr>
    </w:p>
    <w:p w14:paraId="09315BC1" w14:textId="77777777" w:rsidR="0034533F" w:rsidRPr="0022645B" w:rsidRDefault="0034533F" w:rsidP="0034533F">
      <w:pPr>
        <w:pStyle w:val="Ttulo2"/>
        <w:keepLines/>
        <w:numPr>
          <w:ilvl w:val="1"/>
          <w:numId w:val="36"/>
        </w:numPr>
        <w:spacing w:after="120"/>
        <w:ind w:left="578" w:hanging="578"/>
        <w:jc w:val="left"/>
        <w:rPr>
          <w:rFonts w:asciiTheme="minorHAnsi" w:hAnsiTheme="minorHAnsi" w:cs="Times New Roman"/>
          <w:color w:val="auto"/>
          <w:sz w:val="24"/>
          <w:szCs w:val="24"/>
        </w:rPr>
      </w:pPr>
      <w:bookmarkStart w:id="176" w:name="_Toc2926242"/>
      <w:bookmarkStart w:id="177" w:name="_Toc5180284"/>
      <w:bookmarkStart w:id="178" w:name="_Ref5713403"/>
      <w:bookmarkStart w:id="179" w:name="_Ref36457384"/>
      <w:bookmarkStart w:id="180" w:name="_Toc67317989"/>
      <w:bookmarkStart w:id="181" w:name="_Toc67929643"/>
      <w:bookmarkStart w:id="182" w:name="_Toc69121226"/>
      <w:r w:rsidRPr="0022645B">
        <w:rPr>
          <w:rFonts w:asciiTheme="minorHAnsi" w:hAnsiTheme="minorHAnsi" w:cs="Times New Roman"/>
          <w:color w:val="auto"/>
          <w:sz w:val="24"/>
          <w:szCs w:val="24"/>
        </w:rPr>
        <w:lastRenderedPageBreak/>
        <w:t>PASSIVOS CONTINGENTES</w:t>
      </w:r>
      <w:bookmarkEnd w:id="176"/>
      <w:bookmarkEnd w:id="177"/>
      <w:bookmarkEnd w:id="178"/>
      <w:bookmarkEnd w:id="179"/>
      <w:bookmarkEnd w:id="180"/>
      <w:bookmarkEnd w:id="181"/>
      <w:bookmarkEnd w:id="182"/>
    </w:p>
    <w:bookmarkEnd w:id="136"/>
    <w:bookmarkEnd w:id="137"/>
    <w:p w14:paraId="4599A140" w14:textId="2AA952A1" w:rsidR="000D17A6" w:rsidRPr="006E79F9" w:rsidRDefault="002735F2" w:rsidP="007409B3">
      <w:pPr>
        <w:spacing w:after="120" w:line="240" w:lineRule="auto"/>
        <w:ind w:firstLine="1418"/>
        <w:jc w:val="both"/>
        <w:rPr>
          <w:w w:val="105"/>
          <w:sz w:val="24"/>
          <w:szCs w:val="24"/>
        </w:rPr>
      </w:pPr>
      <w:r w:rsidRPr="006E79F9">
        <w:rPr>
          <w:w w:val="105"/>
          <w:sz w:val="24"/>
          <w:szCs w:val="24"/>
        </w:rPr>
        <w:t xml:space="preserve">Os passivos </w:t>
      </w:r>
      <w:r w:rsidR="0015091A" w:rsidRPr="006E79F9">
        <w:rPr>
          <w:w w:val="105"/>
          <w:sz w:val="24"/>
          <w:szCs w:val="24"/>
        </w:rPr>
        <w:t>contingentes referem</w:t>
      </w:r>
      <w:r w:rsidRPr="006E79F9">
        <w:rPr>
          <w:w w:val="105"/>
          <w:sz w:val="24"/>
          <w:szCs w:val="24"/>
        </w:rPr>
        <w:t xml:space="preserve">-se a possíveis novas obrigações cuja confirmação depende da ocorrência de um ou mais eventos futuros, ou cuja probabilidade de ocorrência e magnitude dependam de condições exógenas imprevisíveis. São também </w:t>
      </w:r>
      <w:proofErr w:type="gramStart"/>
      <w:r w:rsidRPr="006E79F9">
        <w:rPr>
          <w:w w:val="105"/>
          <w:sz w:val="24"/>
          <w:szCs w:val="24"/>
        </w:rPr>
        <w:t>considerados passivos contingentes</w:t>
      </w:r>
      <w:proofErr w:type="gramEnd"/>
      <w:r w:rsidRPr="006E79F9">
        <w:rPr>
          <w:w w:val="105"/>
          <w:sz w:val="24"/>
          <w:szCs w:val="24"/>
        </w:rPr>
        <w:t xml:space="preserve"> as obrigações que surgem de eventos passados, mas que ainda não são reconhecidas no corpo das demonstrações contábeis por ser improvável a necessidade de liquidação ou porque o valor ainda não pode ser mensurado com suficiente segurança.</w:t>
      </w:r>
    </w:p>
    <w:p w14:paraId="1E7C719A" w14:textId="02658283" w:rsidR="00B237DA" w:rsidRPr="006E79F9" w:rsidRDefault="00B237DA" w:rsidP="007409B3">
      <w:pPr>
        <w:spacing w:after="120" w:line="240" w:lineRule="auto"/>
        <w:ind w:firstLine="1418"/>
        <w:jc w:val="both"/>
        <w:rPr>
          <w:w w:val="105"/>
          <w:sz w:val="24"/>
          <w:szCs w:val="24"/>
        </w:rPr>
      </w:pPr>
      <w:r w:rsidRPr="006E79F9">
        <w:rPr>
          <w:w w:val="105"/>
          <w:sz w:val="24"/>
          <w:szCs w:val="24"/>
        </w:rPr>
        <w:t xml:space="preserve">São espécies de passivos contingentes tratados neste documento: (1) Demandas Judiciais; (2) Passivos Contingentes em Fase de Reconhecimento; (3) Garantias Prestadas pelo Tesouro Nacional; (4) </w:t>
      </w:r>
      <w:proofErr w:type="spellStart"/>
      <w:r w:rsidRPr="006E79F9">
        <w:rPr>
          <w:w w:val="105"/>
          <w:sz w:val="24"/>
          <w:szCs w:val="24"/>
        </w:rPr>
        <w:t>Contragarantias</w:t>
      </w:r>
      <w:proofErr w:type="spellEnd"/>
      <w:r w:rsidRPr="006E79F9">
        <w:rPr>
          <w:w w:val="105"/>
          <w:sz w:val="24"/>
          <w:szCs w:val="24"/>
        </w:rPr>
        <w:t xml:space="preserve"> </w:t>
      </w:r>
      <w:r w:rsidR="006206D1">
        <w:rPr>
          <w:w w:val="105"/>
          <w:sz w:val="24"/>
          <w:szCs w:val="24"/>
        </w:rPr>
        <w:t>da União</w:t>
      </w:r>
      <w:r w:rsidRPr="006E79F9">
        <w:rPr>
          <w:w w:val="105"/>
          <w:sz w:val="24"/>
          <w:szCs w:val="24"/>
        </w:rPr>
        <w:t>; (5) Fundos Constitucionais de Financiamento do Nordeste, do Norte e do Centro-Oeste; (</w:t>
      </w:r>
      <w:r w:rsidR="006206D1">
        <w:rPr>
          <w:w w:val="105"/>
          <w:sz w:val="24"/>
          <w:szCs w:val="24"/>
        </w:rPr>
        <w:t>6</w:t>
      </w:r>
      <w:r w:rsidRPr="006E79F9">
        <w:rPr>
          <w:w w:val="105"/>
          <w:sz w:val="24"/>
          <w:szCs w:val="24"/>
        </w:rPr>
        <w:t>) Seguro de Crédito à Exportação - Fundo de Garantia à Exportação</w:t>
      </w:r>
      <w:r w:rsidR="006206D1">
        <w:rPr>
          <w:w w:val="105"/>
          <w:sz w:val="24"/>
          <w:szCs w:val="24"/>
        </w:rPr>
        <w:t>; e (7) Fundos Garantidores.</w:t>
      </w:r>
    </w:p>
    <w:p w14:paraId="4110900B" w14:textId="79143680" w:rsidR="0005464E" w:rsidRPr="006E79F9" w:rsidRDefault="004E6A70" w:rsidP="007409B3">
      <w:pPr>
        <w:spacing w:after="120" w:line="240" w:lineRule="auto"/>
        <w:ind w:firstLine="1418"/>
        <w:jc w:val="both"/>
        <w:rPr>
          <w:w w:val="105"/>
          <w:sz w:val="24"/>
          <w:szCs w:val="24"/>
        </w:rPr>
      </w:pPr>
      <w:r w:rsidRPr="006E79F9">
        <w:rPr>
          <w:w w:val="105"/>
          <w:sz w:val="24"/>
          <w:szCs w:val="24"/>
        </w:rPr>
        <w:t>Ressalta-se que os passivos contingentes não são mensuráveis com suficiente segurança em razão de ainda não terem sido apurados, auditados ou periciados, por restarem dúvidas sobre sua exigibilidade total ou parcial, ou por envolverem análises e decisões que não se podem prever. Por isso, conforme recomenda a Norma Brasileira de Contabilidade NBC TSP 03 (Provisões, Passivos Contingentes e Ativos Contingentes), editada pelo Conselho Federal de Contabilidade, e o Manual de Contabilidade Aplicada ao Setor Público, editado pela Secretaria do Tesouro Nacional do Ministério da Economia, são incluídas no presente Anexo de Riscos Fiscais informações adicionais acerca dos passivos contingentes disponibilizadas segundo respectiva temática, como objeto da ação, natureza da ação ou passivo e instância judicial.</w:t>
      </w:r>
    </w:p>
    <w:p w14:paraId="1902E722" w14:textId="77777777" w:rsidR="0034533F" w:rsidRPr="006E79F9" w:rsidRDefault="0034533F" w:rsidP="00B75FA8">
      <w:pPr>
        <w:pStyle w:val="Ttulo3"/>
        <w:keepNext w:val="0"/>
        <w:numPr>
          <w:ilvl w:val="2"/>
          <w:numId w:val="36"/>
        </w:numPr>
        <w:spacing w:before="240" w:after="120"/>
        <w:ind w:left="720" w:hanging="720"/>
        <w:rPr>
          <w:rFonts w:asciiTheme="minorHAnsi" w:hAnsiTheme="minorHAnsi"/>
          <w:b/>
          <w:smallCaps w:val="0"/>
        </w:rPr>
      </w:pPr>
      <w:bookmarkStart w:id="183" w:name="_Toc2926243"/>
      <w:bookmarkStart w:id="184" w:name="_Toc5180285"/>
      <w:bookmarkStart w:id="185" w:name="_Toc67317990"/>
      <w:bookmarkStart w:id="186" w:name="_Toc67929644"/>
      <w:bookmarkStart w:id="187" w:name="_Toc69121227"/>
      <w:r w:rsidRPr="006E79F9">
        <w:rPr>
          <w:rFonts w:asciiTheme="minorHAnsi" w:hAnsiTheme="minorHAnsi"/>
          <w:b/>
          <w:smallCaps w:val="0"/>
        </w:rPr>
        <w:t>Demandas Judiciais</w:t>
      </w:r>
      <w:bookmarkEnd w:id="183"/>
      <w:bookmarkEnd w:id="184"/>
      <w:bookmarkEnd w:id="185"/>
      <w:bookmarkEnd w:id="186"/>
      <w:bookmarkEnd w:id="187"/>
    </w:p>
    <w:p w14:paraId="41BB1DC3" w14:textId="2107E104" w:rsidR="0012398B" w:rsidRPr="006E79F9" w:rsidRDefault="00C93891" w:rsidP="00983745">
      <w:pPr>
        <w:spacing w:after="120" w:line="240" w:lineRule="auto"/>
        <w:ind w:firstLine="1418"/>
        <w:jc w:val="both"/>
        <w:rPr>
          <w:w w:val="105"/>
          <w:sz w:val="24"/>
          <w:szCs w:val="24"/>
        </w:rPr>
      </w:pPr>
      <w:r w:rsidRPr="00C93891">
        <w:rPr>
          <w:w w:val="105"/>
          <w:sz w:val="24"/>
          <w:szCs w:val="24"/>
        </w:rPr>
        <w:t>Os passivos contingentes relacionados aos riscos fiscais das demandas judiciais são aqueles em que a Advocacia Geral da União (AGU) desempenha representação judicial, e são divididos segundo atuação dos seguintes órgãos:</w:t>
      </w:r>
    </w:p>
    <w:p w14:paraId="2DAA3D13" w14:textId="77777777" w:rsidR="00867AB1" w:rsidRPr="006E79F9" w:rsidRDefault="00477019" w:rsidP="00507970">
      <w:pPr>
        <w:pStyle w:val="PargrafodaLista"/>
        <w:numPr>
          <w:ilvl w:val="0"/>
          <w:numId w:val="16"/>
        </w:numPr>
        <w:spacing w:after="120" w:line="240" w:lineRule="auto"/>
        <w:ind w:left="1775" w:hanging="357"/>
        <w:jc w:val="both"/>
        <w:rPr>
          <w:rFonts w:cs="Times New Roman"/>
          <w:sz w:val="24"/>
          <w:szCs w:val="24"/>
          <w:lang w:eastAsia="pt-BR"/>
        </w:rPr>
      </w:pPr>
      <w:r w:rsidRPr="006E79F9">
        <w:rPr>
          <w:rFonts w:cs="Times New Roman"/>
          <w:sz w:val="24"/>
          <w:szCs w:val="24"/>
          <w:lang w:eastAsia="pt-BR"/>
        </w:rPr>
        <w:t>Advogado-Geral da União: representa a União junto ao Supremo Tribunal Federal (art. 4º, III, da Lei Complementar nº 73/1993);</w:t>
      </w:r>
    </w:p>
    <w:p w14:paraId="0AA5DD93" w14:textId="7C9C7C2A" w:rsidR="00867AB1" w:rsidRPr="006E79F9" w:rsidRDefault="00477019" w:rsidP="00507970">
      <w:pPr>
        <w:pStyle w:val="PargrafodaLista"/>
        <w:numPr>
          <w:ilvl w:val="0"/>
          <w:numId w:val="16"/>
        </w:numPr>
        <w:spacing w:after="120" w:line="240" w:lineRule="auto"/>
        <w:ind w:left="1775" w:hanging="357"/>
        <w:jc w:val="both"/>
        <w:rPr>
          <w:rFonts w:cs="Times New Roman"/>
          <w:sz w:val="24"/>
          <w:szCs w:val="24"/>
          <w:lang w:eastAsia="pt-BR"/>
        </w:rPr>
      </w:pPr>
      <w:r w:rsidRPr="006E79F9">
        <w:rPr>
          <w:rFonts w:cs="Times New Roman"/>
          <w:sz w:val="24"/>
          <w:szCs w:val="24"/>
          <w:lang w:eastAsia="pt-BR"/>
        </w:rPr>
        <w:t>Procuradoria-Geral da União</w:t>
      </w:r>
      <w:r w:rsidR="00B82993" w:rsidRPr="006E79F9">
        <w:rPr>
          <w:rFonts w:cs="Times New Roman"/>
          <w:sz w:val="24"/>
          <w:szCs w:val="24"/>
          <w:lang w:eastAsia="pt-BR"/>
        </w:rPr>
        <w:t xml:space="preserve"> (PGU)</w:t>
      </w:r>
      <w:r w:rsidRPr="006E79F9">
        <w:rPr>
          <w:rFonts w:cs="Times New Roman"/>
          <w:sz w:val="24"/>
          <w:szCs w:val="24"/>
          <w:lang w:eastAsia="pt-BR"/>
        </w:rPr>
        <w:t>: representa a União junto ao Poder Judiciário nas suas diferentes instâncias, com exceção do STF (art. 9º da Lei Complementar nº 73/1993);</w:t>
      </w:r>
    </w:p>
    <w:p w14:paraId="78736DC9" w14:textId="3DC4F435" w:rsidR="00350B4E" w:rsidRPr="006E79F9" w:rsidRDefault="00477019" w:rsidP="00507970">
      <w:pPr>
        <w:pStyle w:val="PargrafodaLista"/>
        <w:numPr>
          <w:ilvl w:val="0"/>
          <w:numId w:val="16"/>
        </w:numPr>
        <w:spacing w:after="120" w:line="240" w:lineRule="auto"/>
        <w:ind w:left="1775" w:hanging="357"/>
        <w:jc w:val="both"/>
        <w:rPr>
          <w:rFonts w:cs="Times New Roman"/>
          <w:sz w:val="24"/>
          <w:szCs w:val="24"/>
          <w:lang w:eastAsia="pt-BR"/>
        </w:rPr>
      </w:pPr>
      <w:r w:rsidRPr="006E79F9">
        <w:rPr>
          <w:rFonts w:cs="Times New Roman"/>
          <w:sz w:val="24"/>
          <w:szCs w:val="24"/>
          <w:lang w:eastAsia="pt-BR"/>
        </w:rPr>
        <w:t>Procuradoria-Geral da Fazenda Nacional</w:t>
      </w:r>
      <w:r w:rsidR="00B144D1" w:rsidRPr="006E79F9">
        <w:rPr>
          <w:rFonts w:cs="Times New Roman"/>
          <w:sz w:val="24"/>
          <w:szCs w:val="24"/>
          <w:lang w:eastAsia="pt-BR"/>
        </w:rPr>
        <w:t xml:space="preserve"> (PGFN</w:t>
      </w:r>
      <w:r w:rsidR="00040927" w:rsidRPr="006E79F9">
        <w:rPr>
          <w:rFonts w:cs="Times New Roman"/>
          <w:sz w:val="24"/>
          <w:szCs w:val="24"/>
          <w:lang w:eastAsia="pt-BR"/>
        </w:rPr>
        <w:t>)</w:t>
      </w:r>
      <w:r w:rsidRPr="006E79F9">
        <w:rPr>
          <w:rFonts w:cs="Times New Roman"/>
          <w:sz w:val="24"/>
          <w:szCs w:val="24"/>
          <w:lang w:eastAsia="pt-BR"/>
        </w:rPr>
        <w:t>: apura a liquidez e certeza da dívida ativa da União e realiza a sua inscrição para fins de cobrança, amigável ou judicial e representa judicialmente a União nas causas de natureza fiscal (art. 12 da Lei Complementar nº 73/1993);</w:t>
      </w:r>
    </w:p>
    <w:p w14:paraId="3B6E3117" w14:textId="3BCCD1A6" w:rsidR="001B37B5" w:rsidRPr="006E79F9" w:rsidRDefault="00C462A4" w:rsidP="00507970">
      <w:pPr>
        <w:pStyle w:val="PargrafodaLista"/>
        <w:numPr>
          <w:ilvl w:val="0"/>
          <w:numId w:val="16"/>
        </w:numPr>
        <w:spacing w:after="120" w:line="240" w:lineRule="auto"/>
        <w:ind w:left="1775" w:hanging="357"/>
        <w:jc w:val="both"/>
        <w:rPr>
          <w:rFonts w:cs="Times New Roman"/>
          <w:sz w:val="24"/>
          <w:szCs w:val="24"/>
          <w:lang w:eastAsia="pt-BR"/>
        </w:rPr>
      </w:pPr>
      <w:r w:rsidRPr="00C462A4">
        <w:rPr>
          <w:rFonts w:cs="Times New Roman"/>
          <w:sz w:val="24"/>
          <w:szCs w:val="24"/>
          <w:lang w:eastAsia="pt-BR"/>
        </w:rPr>
        <w:t xml:space="preserve">Procuradoria-Geral Federal (PGF): representa as autarquias e fundações públicas junto ao Poder Judiciário (art. 10 da Lei nº 10.480, de 02 de julho de 2002); </w:t>
      </w:r>
      <w:proofErr w:type="gramStart"/>
      <w:r w:rsidRPr="00C462A4">
        <w:rPr>
          <w:rFonts w:cs="Times New Roman"/>
          <w:sz w:val="24"/>
          <w:szCs w:val="24"/>
          <w:lang w:eastAsia="pt-BR"/>
        </w:rPr>
        <w:t>e</w:t>
      </w:r>
      <w:proofErr w:type="gramEnd"/>
    </w:p>
    <w:p w14:paraId="184C37F8" w14:textId="62CF33A0" w:rsidR="002D5E5A" w:rsidRPr="006E79F9" w:rsidRDefault="00B001FC" w:rsidP="00507970">
      <w:pPr>
        <w:pStyle w:val="PargrafodaLista"/>
        <w:numPr>
          <w:ilvl w:val="0"/>
          <w:numId w:val="16"/>
        </w:numPr>
        <w:spacing w:after="120" w:line="240" w:lineRule="auto"/>
        <w:ind w:left="1775" w:hanging="357"/>
        <w:jc w:val="both"/>
        <w:rPr>
          <w:rFonts w:cs="Times New Roman"/>
          <w:sz w:val="24"/>
          <w:szCs w:val="24"/>
          <w:lang w:eastAsia="pt-BR"/>
        </w:rPr>
      </w:pPr>
      <w:r w:rsidRPr="00B001FC">
        <w:rPr>
          <w:rFonts w:cs="Times New Roman"/>
          <w:sz w:val="24"/>
          <w:szCs w:val="24"/>
          <w:lang w:eastAsia="pt-BR"/>
        </w:rPr>
        <w:t>Procuradoria-Geral do Banco Central do Brasil: representação judicial e extrajudicial do Banco Central do Brasil (art. 4º da Lei nº 9.650, de 27 de maio de 1998).</w:t>
      </w:r>
    </w:p>
    <w:p w14:paraId="286DCAC7" w14:textId="16CA2DF8" w:rsidR="00D6009B" w:rsidRPr="006E79F9" w:rsidRDefault="00D6009B" w:rsidP="00922E22">
      <w:pPr>
        <w:pStyle w:val="PargrafodaLista"/>
        <w:spacing w:after="120" w:line="240" w:lineRule="auto"/>
        <w:ind w:left="1775"/>
        <w:jc w:val="both"/>
        <w:rPr>
          <w:rFonts w:cs="Times New Roman"/>
          <w:sz w:val="24"/>
          <w:szCs w:val="24"/>
          <w:lang w:eastAsia="pt-BR"/>
        </w:rPr>
      </w:pPr>
    </w:p>
    <w:p w14:paraId="15857CB0" w14:textId="1F87C0DB" w:rsidR="00F8567C" w:rsidRDefault="00CB27E6" w:rsidP="00F8567C">
      <w:pPr>
        <w:spacing w:after="120" w:line="240" w:lineRule="auto"/>
        <w:ind w:firstLine="1418"/>
        <w:jc w:val="both"/>
        <w:rPr>
          <w:w w:val="105"/>
          <w:sz w:val="24"/>
          <w:szCs w:val="24"/>
        </w:rPr>
      </w:pPr>
      <w:r w:rsidRPr="006E79F9" w:rsidDel="00D6009B">
        <w:rPr>
          <w:w w:val="105"/>
          <w:sz w:val="24"/>
          <w:szCs w:val="24"/>
        </w:rPr>
        <w:t>Vale dizer que os</w:t>
      </w:r>
      <w:r w:rsidR="00A435C3" w:rsidRPr="006E79F9" w:rsidDel="00D6009B">
        <w:rPr>
          <w:w w:val="105"/>
          <w:sz w:val="24"/>
          <w:szCs w:val="24"/>
        </w:rPr>
        <w:t xml:space="preserve"> órgãos do Poder Judiciário são os responsáveis pela tramitação e julgamento das ações judiciais (art. 102 e seguintes da Constituição Federal de 1988). Nesse sentido, o evento "pagamento judicial" pode ser classificado como um "risco", na medida em </w:t>
      </w:r>
      <w:r w:rsidR="00A435C3" w:rsidRPr="006E79F9" w:rsidDel="00D6009B">
        <w:rPr>
          <w:w w:val="105"/>
          <w:sz w:val="24"/>
          <w:szCs w:val="24"/>
        </w:rPr>
        <w:lastRenderedPageBreak/>
        <w:t xml:space="preserve">que ele é um evento futuro e incerto. É de responsabilidade da AGU atuar perante os órgãos judiciários para obter decisões judiciais que sejam favoráveis </w:t>
      </w:r>
      <w:r w:rsidR="008034A4" w:rsidDel="00D6009B">
        <w:rPr>
          <w:w w:val="105"/>
          <w:sz w:val="24"/>
          <w:szCs w:val="24"/>
        </w:rPr>
        <w:t>à</w:t>
      </w:r>
      <w:r w:rsidR="00A435C3" w:rsidRPr="006E79F9" w:rsidDel="00D6009B">
        <w:rPr>
          <w:w w:val="105"/>
          <w:sz w:val="24"/>
          <w:szCs w:val="24"/>
        </w:rPr>
        <w:t xml:space="preserve"> Fazenda Pública no sentido de evitar a realização de pagamentos judiciais.</w:t>
      </w:r>
    </w:p>
    <w:p w14:paraId="1EE018FF" w14:textId="77777777" w:rsidR="00B535D1" w:rsidRPr="00B535D1" w:rsidRDefault="00B535D1" w:rsidP="00B535D1">
      <w:pPr>
        <w:spacing w:after="120" w:line="240" w:lineRule="auto"/>
        <w:ind w:firstLine="1418"/>
        <w:jc w:val="both"/>
        <w:rPr>
          <w:w w:val="105"/>
          <w:sz w:val="24"/>
          <w:szCs w:val="24"/>
        </w:rPr>
      </w:pPr>
      <w:r w:rsidRPr="00B535D1">
        <w:rPr>
          <w:w w:val="105"/>
          <w:sz w:val="24"/>
          <w:szCs w:val="24"/>
        </w:rPr>
        <w:t>Quanto à análise das demandas judiciais em relação ao risco fiscal, a AGU orienta-se conforme normativos que definem critérios e procedimentos na prestação de informações sobre as ações judiciais. São eles: Portaria AGU nº 40/2015, de 10 de fevereiro de 2015, Portaria AGU nº 318/2018, de 25 de outubro de 2018, e Portaria AGU nº 514/2019, de 24 de outubro de 2019.</w:t>
      </w:r>
    </w:p>
    <w:p w14:paraId="1F87B6BB" w14:textId="162BADBB" w:rsidR="00B535D1" w:rsidRPr="006E79F9" w:rsidRDefault="00B535D1" w:rsidP="00B535D1">
      <w:pPr>
        <w:spacing w:after="120" w:line="240" w:lineRule="auto"/>
        <w:ind w:firstLine="1418"/>
        <w:jc w:val="both"/>
        <w:rPr>
          <w:w w:val="105"/>
          <w:sz w:val="24"/>
          <w:szCs w:val="24"/>
        </w:rPr>
      </w:pPr>
      <w:r w:rsidRPr="00B535D1">
        <w:rPr>
          <w:w w:val="105"/>
          <w:sz w:val="24"/>
          <w:szCs w:val="24"/>
        </w:rPr>
        <w:t>Além das demandas judiciais cuja gestão é de competência da AGU, considera-se, ainda, na análise dos riscos fiscais relacionados a passivos contingentes, as ações judiciais das Empresas Estatais Dependentes da União e contra o Banco Central do Brasil (BCB). Enquanto esta é administrada pela própria área jurídica do BCB, que avalia as demandas judiciais levando em consideração o valor em discussão, a fase processual e o risco de perda, calculado com base em decisões ocorridas no processo, na jurisprudência aplicável e em precedentes para casos similares, aquela é analisada pela SEST, que provê informações das demandas judiciais de natureza trabalhista, tributária, previdenciária e cível das empresas federais dependentes.</w:t>
      </w:r>
    </w:p>
    <w:p w14:paraId="32F97EAC" w14:textId="061ED6E8" w:rsidR="00A07B1D" w:rsidRPr="006E79F9" w:rsidRDefault="00B03627" w:rsidP="00E53B17">
      <w:pPr>
        <w:pStyle w:val="Ttulo4"/>
        <w:keepLines/>
        <w:numPr>
          <w:ilvl w:val="3"/>
          <w:numId w:val="36"/>
        </w:numPr>
        <w:spacing w:before="240" w:after="120"/>
        <w:ind w:left="862" w:hanging="862"/>
        <w:jc w:val="left"/>
        <w:rPr>
          <w:rFonts w:asciiTheme="minorHAnsi" w:hAnsiTheme="minorHAnsi"/>
        </w:rPr>
      </w:pPr>
      <w:r w:rsidRPr="00B03627">
        <w:rPr>
          <w:rFonts w:asciiTheme="minorHAnsi" w:hAnsiTheme="minorHAnsi"/>
        </w:rPr>
        <w:t>Critérios e Procedimentos na prestação de informações sobre Demandas Judiciais</w:t>
      </w:r>
    </w:p>
    <w:p w14:paraId="1456A2FC" w14:textId="19443D0A" w:rsidR="008D1239" w:rsidRPr="006E79F9" w:rsidRDefault="00C436D3" w:rsidP="008D1239">
      <w:pPr>
        <w:spacing w:after="120" w:line="240" w:lineRule="auto"/>
        <w:ind w:firstLine="1418"/>
        <w:jc w:val="both"/>
        <w:rPr>
          <w:w w:val="105"/>
          <w:sz w:val="24"/>
          <w:szCs w:val="24"/>
        </w:rPr>
      </w:pPr>
      <w:r w:rsidRPr="00C436D3">
        <w:rPr>
          <w:w w:val="105"/>
          <w:sz w:val="24"/>
          <w:szCs w:val="24"/>
        </w:rPr>
        <w:t xml:space="preserve">Conforme citado anteriormente, a classificação das ações judiciais ajuizadas contra a União, suas autarquias e fundações públicas, que possam representar riscos fiscais, é </w:t>
      </w:r>
      <w:proofErr w:type="gramStart"/>
      <w:r w:rsidRPr="00C436D3">
        <w:rPr>
          <w:w w:val="105"/>
          <w:sz w:val="24"/>
          <w:szCs w:val="24"/>
        </w:rPr>
        <w:t>estabelecida</w:t>
      </w:r>
      <w:proofErr w:type="gramEnd"/>
      <w:r w:rsidRPr="00C436D3">
        <w:rPr>
          <w:w w:val="105"/>
          <w:sz w:val="24"/>
          <w:szCs w:val="24"/>
        </w:rPr>
        <w:t xml:space="preserve"> pelo conjunto de normativos legais formados pelas Portarias AGU nº 40/2015, nº 318/2018 e nº 514/2019. A Portaria AGU nº 40/2015, atualizada pela Portaria AGU nº 318/2018, estabeleceu os critérios para a apresentação de informações sobre riscos fiscais relacionados a demandas judiciais. O artigo 2º da Portaria AGU nº 40/2015 delimitou a abrangência das informações às ações em tramitação em tribunais superiores ou já transitadas em julgado (estas por estarem em execução ou cumprimento de sentença), e que sejam de valor estimado superior a R$ 1,00 bilhão. Também foram incluídas as ações judiciais que tratem de questões idênticas de direito e tenham o seu valor somado em conjunto.</w:t>
      </w:r>
      <w:r w:rsidR="00851CB4" w:rsidRPr="006E79F9">
        <w:rPr>
          <w:w w:val="105"/>
          <w:sz w:val="24"/>
          <w:szCs w:val="24"/>
        </w:rPr>
        <w:t xml:space="preserve"> </w:t>
      </w:r>
    </w:p>
    <w:p w14:paraId="5D4C850A" w14:textId="0EF0483A" w:rsidR="00A34E75" w:rsidRPr="006E79F9" w:rsidRDefault="00BD3636" w:rsidP="008D1239">
      <w:pPr>
        <w:spacing w:after="120" w:line="240" w:lineRule="auto"/>
        <w:ind w:firstLine="1418"/>
        <w:jc w:val="both"/>
        <w:rPr>
          <w:w w:val="105"/>
          <w:sz w:val="24"/>
          <w:szCs w:val="24"/>
        </w:rPr>
      </w:pPr>
      <w:r w:rsidRPr="006E79F9">
        <w:rPr>
          <w:w w:val="105"/>
          <w:sz w:val="24"/>
          <w:szCs w:val="24"/>
        </w:rPr>
        <w:t>A</w:t>
      </w:r>
      <w:r w:rsidR="00A34E75" w:rsidRPr="006E79F9">
        <w:rPr>
          <w:w w:val="105"/>
          <w:sz w:val="24"/>
          <w:szCs w:val="24"/>
        </w:rPr>
        <w:t xml:space="preserve"> classificação das ações judiciais quanto à probabilidade de perda</w:t>
      </w:r>
      <w:r w:rsidR="005F7A8A" w:rsidRPr="006E79F9">
        <w:rPr>
          <w:w w:val="105"/>
          <w:sz w:val="24"/>
          <w:szCs w:val="24"/>
        </w:rPr>
        <w:t xml:space="preserve"> também é estabelecida</w:t>
      </w:r>
      <w:r w:rsidR="001C5C07" w:rsidRPr="006E79F9">
        <w:rPr>
          <w:w w:val="105"/>
          <w:sz w:val="24"/>
          <w:szCs w:val="24"/>
        </w:rPr>
        <w:t xml:space="preserve"> pela </w:t>
      </w:r>
      <w:r w:rsidR="00035409" w:rsidRPr="006E79F9">
        <w:rPr>
          <w:w w:val="105"/>
          <w:sz w:val="24"/>
          <w:szCs w:val="24"/>
        </w:rPr>
        <w:t>Portaria</w:t>
      </w:r>
      <w:r w:rsidR="00406FC0" w:rsidRPr="006E79F9">
        <w:rPr>
          <w:w w:val="105"/>
          <w:sz w:val="24"/>
          <w:szCs w:val="24"/>
        </w:rPr>
        <w:t xml:space="preserve"> AGU</w:t>
      </w:r>
      <w:r w:rsidR="00035409" w:rsidRPr="006E79F9">
        <w:rPr>
          <w:w w:val="105"/>
          <w:sz w:val="24"/>
          <w:szCs w:val="24"/>
        </w:rPr>
        <w:t xml:space="preserve"> nº 40/2015</w:t>
      </w:r>
      <w:r w:rsidR="00A34E75" w:rsidRPr="006E79F9">
        <w:rPr>
          <w:w w:val="105"/>
          <w:sz w:val="24"/>
          <w:szCs w:val="24"/>
        </w:rPr>
        <w:t>.  Nesse ponto, é importante destacar a alteração recente promovida pela Portaria AGU nº 514, de 24 de outubro de 2019, que resultou em nova redação do § 1º do art. 3º</w:t>
      </w:r>
      <w:r w:rsidR="009B1454" w:rsidRPr="006E79F9">
        <w:rPr>
          <w:w w:val="105"/>
          <w:sz w:val="24"/>
          <w:szCs w:val="24"/>
        </w:rPr>
        <w:t xml:space="preserve"> da Portaria AGU nº 40/2015</w:t>
      </w:r>
      <w:r w:rsidR="00823EC2" w:rsidRPr="006E79F9">
        <w:rPr>
          <w:w w:val="105"/>
          <w:sz w:val="24"/>
          <w:szCs w:val="24"/>
        </w:rPr>
        <w:t>:</w:t>
      </w:r>
    </w:p>
    <w:p w14:paraId="657448BD" w14:textId="77777777" w:rsidR="00320FC0" w:rsidRPr="006E79F9" w:rsidRDefault="0088497D" w:rsidP="00B16E6D">
      <w:pPr>
        <w:spacing w:after="120" w:line="240" w:lineRule="auto"/>
        <w:ind w:left="1985"/>
        <w:jc w:val="both"/>
        <w:rPr>
          <w:i/>
          <w:w w:val="105"/>
        </w:rPr>
      </w:pPr>
      <w:proofErr w:type="gramStart"/>
      <w:r w:rsidRPr="006E79F9">
        <w:rPr>
          <w:w w:val="105"/>
        </w:rPr>
        <w:t>“</w:t>
      </w:r>
      <w:r w:rsidR="00DA7259" w:rsidRPr="006E79F9">
        <w:rPr>
          <w:i/>
          <w:w w:val="105"/>
        </w:rPr>
        <w:t>Art. 3º A classificação das ações quanto à probabilidade de perda observará os seguintes critérios:</w:t>
      </w:r>
    </w:p>
    <w:p w14:paraId="1ADEE8CF" w14:textId="77777777" w:rsidR="00320FC0" w:rsidRPr="006E79F9" w:rsidRDefault="00DA7259" w:rsidP="00B16E6D">
      <w:pPr>
        <w:spacing w:after="120" w:line="240" w:lineRule="auto"/>
        <w:ind w:left="1985"/>
        <w:jc w:val="both"/>
        <w:rPr>
          <w:i/>
          <w:w w:val="105"/>
        </w:rPr>
      </w:pPr>
      <w:proofErr w:type="gramEnd"/>
      <w:r w:rsidRPr="006E79F9">
        <w:rPr>
          <w:i/>
          <w:w w:val="105"/>
        </w:rPr>
        <w:t>I - do Risco Provável, que abrange:</w:t>
      </w:r>
    </w:p>
    <w:p w14:paraId="6C5CAEC1" w14:textId="77777777" w:rsidR="00C02EB1" w:rsidRPr="006E79F9" w:rsidRDefault="00DA7259" w:rsidP="00B16E6D">
      <w:pPr>
        <w:spacing w:after="120" w:line="240" w:lineRule="auto"/>
        <w:ind w:left="1985"/>
        <w:jc w:val="both"/>
        <w:rPr>
          <w:i/>
          <w:w w:val="105"/>
        </w:rPr>
      </w:pPr>
      <w:r w:rsidRPr="006E79F9">
        <w:rPr>
          <w:i/>
          <w:w w:val="105"/>
        </w:rPr>
        <w:t xml:space="preserve">a) ação judicial de conhecimento, ação de controle concentrado de constitucionalidade ou recurso extraordinário com repercussão geral reconhecida sobre conjunto de ações judiciais fundadas em idêntica questão de direito com decisão de órgão colegiado do STF desfavorável à Fazenda Pública; </w:t>
      </w:r>
      <w:proofErr w:type="gramStart"/>
      <w:r w:rsidRPr="006E79F9">
        <w:rPr>
          <w:i/>
          <w:w w:val="105"/>
        </w:rPr>
        <w:t>e</w:t>
      </w:r>
      <w:proofErr w:type="gramEnd"/>
    </w:p>
    <w:p w14:paraId="3ABEA18F" w14:textId="77777777" w:rsidR="00AC2471" w:rsidRPr="006E79F9" w:rsidRDefault="00DA7259" w:rsidP="00B16E6D">
      <w:pPr>
        <w:spacing w:after="120" w:line="240" w:lineRule="auto"/>
        <w:ind w:left="1985"/>
        <w:jc w:val="both"/>
        <w:rPr>
          <w:i/>
          <w:w w:val="105"/>
        </w:rPr>
      </w:pPr>
      <w:r w:rsidRPr="006E79F9">
        <w:rPr>
          <w:i/>
          <w:w w:val="105"/>
        </w:rPr>
        <w:t>b) ação judicial de conhecimento ou recurso representativo de controvérsia com decisão de órgão colegiado do Superior Tribunal de Justiça - STJ ou do Tribunal Superior do Trabalho - TST desfavorável à Fazenda Pública, que não tenha matéria passível de apreciação pelo STF. (NR)</w:t>
      </w:r>
    </w:p>
    <w:p w14:paraId="0033E011" w14:textId="77777777" w:rsidR="00AC2471" w:rsidRPr="006E79F9" w:rsidRDefault="00DA7259" w:rsidP="00B16E6D">
      <w:pPr>
        <w:spacing w:after="120" w:line="240" w:lineRule="auto"/>
        <w:ind w:left="1985"/>
        <w:jc w:val="both"/>
        <w:rPr>
          <w:i/>
          <w:w w:val="105"/>
        </w:rPr>
      </w:pPr>
      <w:r w:rsidRPr="006E79F9">
        <w:rPr>
          <w:i/>
          <w:w w:val="105"/>
        </w:rPr>
        <w:t>II - do Risco Possível, que abrange:</w:t>
      </w:r>
    </w:p>
    <w:p w14:paraId="4ADE1D09" w14:textId="77777777" w:rsidR="008341C1" w:rsidRPr="006E79F9" w:rsidRDefault="00DA7259" w:rsidP="00B16E6D">
      <w:pPr>
        <w:spacing w:after="120" w:line="240" w:lineRule="auto"/>
        <w:ind w:left="1985"/>
        <w:jc w:val="both"/>
        <w:rPr>
          <w:i/>
          <w:w w:val="105"/>
        </w:rPr>
      </w:pPr>
      <w:r w:rsidRPr="006E79F9">
        <w:rPr>
          <w:i/>
          <w:w w:val="105"/>
        </w:rPr>
        <w:lastRenderedPageBreak/>
        <w:t xml:space="preserve">a) ação judicial de conhecimento, recurso extraordinário sobre processo individual ou recurso extraordinário desde o reconhecimento da repercussão geral sobre conjunto de ações judiciais fundadas em idêntica questão de direito até a decisão de órgão colegiado do STF desfavorável à Fazenda Pública; </w:t>
      </w:r>
      <w:proofErr w:type="gramStart"/>
      <w:r w:rsidRPr="006E79F9">
        <w:rPr>
          <w:i/>
          <w:w w:val="105"/>
        </w:rPr>
        <w:t>e</w:t>
      </w:r>
      <w:proofErr w:type="gramEnd"/>
    </w:p>
    <w:p w14:paraId="04C48A9F" w14:textId="77777777" w:rsidR="00D31E4F" w:rsidRPr="006E79F9" w:rsidRDefault="00DA7259" w:rsidP="00B16E6D">
      <w:pPr>
        <w:spacing w:after="120" w:line="240" w:lineRule="auto"/>
        <w:ind w:left="1985"/>
        <w:jc w:val="both"/>
        <w:rPr>
          <w:i/>
          <w:w w:val="105"/>
        </w:rPr>
      </w:pPr>
      <w:r w:rsidRPr="006E79F9">
        <w:rPr>
          <w:i/>
          <w:w w:val="105"/>
        </w:rPr>
        <w:t>b) ação judicial de conhecimento ou recurso representativo de controvérsia com decisão de órgão colegiado do Superior Tribunal de Justiça - STJ ou do Tribunal Superior do Trabalho - TST desfavorável à Fazenda Pública, que tenha matéria passível de apreciação pelo STF. (NR)</w:t>
      </w:r>
    </w:p>
    <w:p w14:paraId="7CD236D6" w14:textId="77777777" w:rsidR="00B91BD0" w:rsidRPr="006E79F9" w:rsidRDefault="00DA7259" w:rsidP="00B16E6D">
      <w:pPr>
        <w:spacing w:after="120" w:line="240" w:lineRule="auto"/>
        <w:ind w:left="1985"/>
        <w:jc w:val="both"/>
        <w:rPr>
          <w:i/>
          <w:w w:val="105"/>
        </w:rPr>
      </w:pPr>
      <w:r w:rsidRPr="006E79F9">
        <w:rPr>
          <w:i/>
          <w:w w:val="105"/>
        </w:rPr>
        <w:t>III - do Risco Remoto, que abrange as ações judiciais que não se enquadrem nas classificações previstas nos incisos I e II.</w:t>
      </w:r>
    </w:p>
    <w:p w14:paraId="08C46E2A" w14:textId="4B09157B" w:rsidR="00DA7259" w:rsidRPr="00F8682B" w:rsidRDefault="00DA7259" w:rsidP="00B16E6D">
      <w:pPr>
        <w:spacing w:after="120" w:line="240" w:lineRule="auto"/>
        <w:ind w:left="1985"/>
        <w:jc w:val="both"/>
        <w:rPr>
          <w:b/>
          <w:bCs/>
          <w:i/>
          <w:w w:val="105"/>
        </w:rPr>
      </w:pPr>
      <w:r w:rsidRPr="00F8682B">
        <w:rPr>
          <w:b/>
          <w:bCs/>
          <w:i/>
          <w:w w:val="105"/>
        </w:rPr>
        <w:t>(NR) § 1º Nas hipóteses do inciso I, quando no processo estiver pendente o julgamento dos</w:t>
      </w:r>
      <w:r w:rsidR="00BC2EE7" w:rsidRPr="00F8682B">
        <w:rPr>
          <w:b/>
          <w:bCs/>
          <w:i/>
          <w:w w:val="105"/>
        </w:rPr>
        <w:t xml:space="preserve"> </w:t>
      </w:r>
      <w:r w:rsidRPr="00F8682B">
        <w:rPr>
          <w:b/>
          <w:bCs/>
          <w:i/>
          <w:w w:val="105"/>
        </w:rPr>
        <w:t>embargos de declaração ou o pedido de modulação dos efeitos, excepcionalmente o risco poderá ser classificado como possível, devendo constar da manifestação do órgão competente as circunstâncias que</w:t>
      </w:r>
      <w:r w:rsidR="00BC2EE7" w:rsidRPr="00F8682B">
        <w:rPr>
          <w:b/>
          <w:bCs/>
          <w:i/>
          <w:w w:val="105"/>
        </w:rPr>
        <w:t xml:space="preserve"> </w:t>
      </w:r>
      <w:r w:rsidRPr="00F8682B">
        <w:rPr>
          <w:b/>
          <w:bCs/>
          <w:i/>
          <w:w w:val="105"/>
        </w:rPr>
        <w:t>justificam essa classificação. (NR)</w:t>
      </w:r>
      <w:r w:rsidR="00C3771A">
        <w:rPr>
          <w:b/>
          <w:bCs/>
          <w:i/>
          <w:w w:val="105"/>
        </w:rPr>
        <w:t xml:space="preserve"> (nosso grifo)</w:t>
      </w:r>
    </w:p>
    <w:p w14:paraId="4C05F2A2" w14:textId="77777777" w:rsidR="00B44529" w:rsidRPr="006E79F9" w:rsidRDefault="00DA7259" w:rsidP="00B16E6D">
      <w:pPr>
        <w:spacing w:after="120" w:line="240" w:lineRule="auto"/>
        <w:ind w:left="1985"/>
        <w:jc w:val="both"/>
        <w:rPr>
          <w:i/>
          <w:w w:val="105"/>
        </w:rPr>
      </w:pPr>
      <w:r w:rsidRPr="006E79F9">
        <w:rPr>
          <w:i/>
          <w:w w:val="105"/>
        </w:rPr>
        <w:t>§ 2º Para os efeitos da estimativa de risco, devem ser excluídas:</w:t>
      </w:r>
    </w:p>
    <w:p w14:paraId="02CB0FA8" w14:textId="77777777" w:rsidR="00B44529" w:rsidRPr="006E79F9" w:rsidRDefault="00DA7259" w:rsidP="00B16E6D">
      <w:pPr>
        <w:spacing w:after="120" w:line="240" w:lineRule="auto"/>
        <w:ind w:left="1985"/>
        <w:jc w:val="both"/>
        <w:rPr>
          <w:i/>
          <w:w w:val="105"/>
        </w:rPr>
      </w:pPr>
      <w:r w:rsidRPr="006E79F9">
        <w:rPr>
          <w:i/>
          <w:w w:val="105"/>
        </w:rPr>
        <w:t>I - as ações em fase de execução cujo título judicial exequendo tenha sido declarado inválido ou tenha sido suspenso por decisão judicial;</w:t>
      </w:r>
    </w:p>
    <w:p w14:paraId="69E7B5E3" w14:textId="77777777" w:rsidR="00B44529" w:rsidRPr="006E79F9" w:rsidRDefault="00DA7259" w:rsidP="00B16E6D">
      <w:pPr>
        <w:spacing w:after="120" w:line="240" w:lineRule="auto"/>
        <w:ind w:left="1985"/>
        <w:jc w:val="both"/>
        <w:rPr>
          <w:i/>
          <w:w w:val="105"/>
        </w:rPr>
      </w:pPr>
      <w:r w:rsidRPr="006E79F9">
        <w:rPr>
          <w:i/>
          <w:w w:val="105"/>
        </w:rPr>
        <w:t xml:space="preserve">II - as ações judiciais para as quais já exista inscrição em precatório ou já tenha havido o pagamento judicial ou administrativo; </w:t>
      </w:r>
      <w:proofErr w:type="gramStart"/>
      <w:r w:rsidRPr="006E79F9">
        <w:rPr>
          <w:i/>
          <w:w w:val="105"/>
        </w:rPr>
        <w:t>e</w:t>
      </w:r>
      <w:proofErr w:type="gramEnd"/>
    </w:p>
    <w:p w14:paraId="7CE7DF13" w14:textId="77777777" w:rsidR="002C4843" w:rsidRPr="006E79F9" w:rsidRDefault="00DA7259" w:rsidP="00B16E6D">
      <w:pPr>
        <w:spacing w:after="120" w:line="240" w:lineRule="auto"/>
        <w:ind w:left="1985"/>
        <w:jc w:val="both"/>
        <w:rPr>
          <w:i/>
          <w:w w:val="105"/>
        </w:rPr>
      </w:pPr>
      <w:r w:rsidRPr="006E79F9">
        <w:rPr>
          <w:i/>
          <w:w w:val="105"/>
        </w:rPr>
        <w:t>III - as ações judiciais de conhecimento com julgamento desfavorável para a Fazenda Pública, com trânsito em julgado,</w:t>
      </w:r>
      <w:r w:rsidR="002C4843" w:rsidRPr="006E79F9">
        <w:rPr>
          <w:i/>
          <w:w w:val="105"/>
        </w:rPr>
        <w:t xml:space="preserve"> </w:t>
      </w:r>
      <w:proofErr w:type="gramStart"/>
      <w:r w:rsidRPr="006E79F9">
        <w:rPr>
          <w:i/>
          <w:w w:val="105"/>
        </w:rPr>
        <w:t>após</w:t>
      </w:r>
      <w:proofErr w:type="gramEnd"/>
      <w:r w:rsidRPr="006E79F9">
        <w:rPr>
          <w:i/>
          <w:w w:val="105"/>
        </w:rPr>
        <w:t xml:space="preserve"> decorrida a estimativa temporal do impacto financeiro de que trata o art. 5º. (NR)</w:t>
      </w:r>
    </w:p>
    <w:p w14:paraId="72C2FEB2" w14:textId="21761E18" w:rsidR="00DA7259" w:rsidRPr="006E79F9" w:rsidRDefault="00DA7259" w:rsidP="00B16E6D">
      <w:pPr>
        <w:spacing w:after="120" w:line="240" w:lineRule="auto"/>
        <w:ind w:left="1985"/>
        <w:jc w:val="both"/>
        <w:rPr>
          <w:w w:val="105"/>
          <w:sz w:val="24"/>
          <w:szCs w:val="24"/>
        </w:rPr>
      </w:pPr>
      <w:r w:rsidRPr="006E79F9">
        <w:rPr>
          <w:i/>
          <w:w w:val="105"/>
        </w:rPr>
        <w:t>§ 3º Excepcionalmente, desde que devidamente justificado, poderão ser incluídas na classificação dos incisos I ou II do caput outras ações judiciais não abrangidas pelos critérios ali fixados. (</w:t>
      </w:r>
      <w:proofErr w:type="gramStart"/>
      <w:r w:rsidRPr="006E79F9">
        <w:rPr>
          <w:i/>
          <w:w w:val="105"/>
        </w:rPr>
        <w:t>NR)</w:t>
      </w:r>
      <w:r w:rsidR="009D0DDF" w:rsidRPr="006E79F9">
        <w:rPr>
          <w:w w:val="105"/>
        </w:rPr>
        <w:t>”</w:t>
      </w:r>
      <w:proofErr w:type="gramEnd"/>
    </w:p>
    <w:p w14:paraId="2EAAC9CE" w14:textId="1AD9BD39" w:rsidR="00572886" w:rsidRDefault="006A4BEB" w:rsidP="000D04F7">
      <w:pPr>
        <w:spacing w:after="120" w:line="240" w:lineRule="auto"/>
        <w:ind w:firstLine="1418"/>
        <w:jc w:val="both"/>
        <w:rPr>
          <w:w w:val="105"/>
          <w:sz w:val="24"/>
          <w:szCs w:val="24"/>
        </w:rPr>
      </w:pPr>
      <w:r w:rsidRPr="006A4BEB">
        <w:rPr>
          <w:w w:val="105"/>
          <w:sz w:val="24"/>
          <w:szCs w:val="24"/>
        </w:rPr>
        <w:t xml:space="preserve">O conjunto de normativos em vigor, utilizado </w:t>
      </w:r>
      <w:r w:rsidR="00D747A4">
        <w:rPr>
          <w:w w:val="105"/>
          <w:sz w:val="24"/>
          <w:szCs w:val="24"/>
        </w:rPr>
        <w:t>p</w:t>
      </w:r>
      <w:r w:rsidRPr="006A4BEB">
        <w:rPr>
          <w:w w:val="105"/>
          <w:sz w:val="24"/>
          <w:szCs w:val="24"/>
        </w:rPr>
        <w:t>ela AGU na classificação das demandas judiciais quanto à probabilidade, auxilia a estimativa do risco e a composição do impacto financeiro das respectivas ações judiciais. Salienta-se que a atualização da Portaria nº 40/2015, realizada pela Portaria nº 514/2019 e destacada acima, amplia a metodologia de classificação no que tange à categoria do “</w:t>
      </w:r>
      <w:r w:rsidRPr="006A4BEB">
        <w:rPr>
          <w:i/>
          <w:iCs/>
          <w:w w:val="105"/>
          <w:sz w:val="24"/>
          <w:szCs w:val="24"/>
        </w:rPr>
        <w:t>risco possível</w:t>
      </w:r>
      <w:r w:rsidRPr="006A4BEB">
        <w:rPr>
          <w:w w:val="105"/>
          <w:sz w:val="24"/>
          <w:szCs w:val="24"/>
        </w:rPr>
        <w:t>”.</w:t>
      </w:r>
    </w:p>
    <w:p w14:paraId="1651ED21" w14:textId="56EF5D92" w:rsidR="000D04F7" w:rsidRPr="006E79F9" w:rsidRDefault="00542F39" w:rsidP="000D04F7">
      <w:pPr>
        <w:spacing w:after="120" w:line="240" w:lineRule="auto"/>
        <w:ind w:firstLine="1418"/>
        <w:jc w:val="both"/>
        <w:rPr>
          <w:w w:val="105"/>
          <w:sz w:val="24"/>
          <w:szCs w:val="24"/>
        </w:rPr>
      </w:pPr>
      <w:r w:rsidRPr="00542F39">
        <w:rPr>
          <w:w w:val="105"/>
          <w:sz w:val="24"/>
          <w:szCs w:val="24"/>
        </w:rPr>
        <w:t xml:space="preserve">No que se refere à composição e cálculo do impacto financeiro, a Portaria nº 40/2015, nos </w:t>
      </w:r>
      <w:proofErr w:type="spellStart"/>
      <w:r w:rsidRPr="00542F39">
        <w:rPr>
          <w:w w:val="105"/>
          <w:sz w:val="24"/>
          <w:szCs w:val="24"/>
        </w:rPr>
        <w:t>arts</w:t>
      </w:r>
      <w:proofErr w:type="spellEnd"/>
      <w:r w:rsidRPr="00542F39">
        <w:rPr>
          <w:w w:val="105"/>
          <w:sz w:val="24"/>
          <w:szCs w:val="24"/>
        </w:rPr>
        <w:t>. 4º e 5º, adota os seguintes parâmetros:</w:t>
      </w:r>
    </w:p>
    <w:p w14:paraId="33679A1C" w14:textId="77777777" w:rsidR="00F93EFA" w:rsidRPr="006E79F9" w:rsidRDefault="00F93EFA" w:rsidP="00F93EFA">
      <w:pPr>
        <w:spacing w:after="120" w:line="240" w:lineRule="auto"/>
        <w:ind w:left="1985"/>
        <w:jc w:val="both"/>
        <w:rPr>
          <w:i/>
          <w:w w:val="105"/>
        </w:rPr>
      </w:pPr>
      <w:proofErr w:type="gramStart"/>
      <w:r w:rsidRPr="006E79F9">
        <w:rPr>
          <w:w w:val="105"/>
        </w:rPr>
        <w:t>“</w:t>
      </w:r>
      <w:r w:rsidR="003E6683" w:rsidRPr="006E79F9">
        <w:rPr>
          <w:i/>
          <w:w w:val="105"/>
        </w:rPr>
        <w:t>Art. 4º A composição do impacto financeiro dos riscos será:</w:t>
      </w:r>
    </w:p>
    <w:p w14:paraId="12CD5283" w14:textId="77777777" w:rsidR="00F93EFA" w:rsidRPr="006E79F9" w:rsidRDefault="003E6683" w:rsidP="00F93EFA">
      <w:pPr>
        <w:spacing w:after="120" w:line="240" w:lineRule="auto"/>
        <w:ind w:left="1985"/>
        <w:jc w:val="both"/>
        <w:rPr>
          <w:i/>
          <w:w w:val="105"/>
        </w:rPr>
      </w:pPr>
      <w:proofErr w:type="gramEnd"/>
      <w:r w:rsidRPr="006E79F9">
        <w:rPr>
          <w:i/>
          <w:w w:val="105"/>
        </w:rPr>
        <w:t>I - nas condenações da Fazenda Pública para pagamento, o resultado da soma dos valores estimados:</w:t>
      </w:r>
    </w:p>
    <w:p w14:paraId="7CB1C093" w14:textId="77777777" w:rsidR="00F93EFA" w:rsidRPr="006E79F9" w:rsidRDefault="003E6683" w:rsidP="00F93EFA">
      <w:pPr>
        <w:spacing w:after="120" w:line="240" w:lineRule="auto"/>
        <w:ind w:left="1985"/>
        <w:jc w:val="both"/>
        <w:rPr>
          <w:i/>
          <w:w w:val="105"/>
        </w:rPr>
      </w:pPr>
      <w:r w:rsidRPr="006E79F9">
        <w:rPr>
          <w:i/>
          <w:w w:val="105"/>
        </w:rPr>
        <w:t xml:space="preserve">a) de pagamentos judiciais constituídos pelas parcelas vencidas constantes na condenação judicial transitada em julgado como obrigação de pagar; </w:t>
      </w:r>
      <w:proofErr w:type="gramStart"/>
      <w:r w:rsidRPr="006E79F9">
        <w:rPr>
          <w:i/>
          <w:w w:val="105"/>
        </w:rPr>
        <w:t>e</w:t>
      </w:r>
      <w:proofErr w:type="gramEnd"/>
    </w:p>
    <w:p w14:paraId="0455F8D2" w14:textId="77777777" w:rsidR="00973AE0" w:rsidRPr="006E79F9" w:rsidRDefault="003E6683" w:rsidP="00F93EFA">
      <w:pPr>
        <w:spacing w:after="120" w:line="240" w:lineRule="auto"/>
        <w:ind w:left="1985"/>
        <w:jc w:val="both"/>
        <w:rPr>
          <w:i/>
          <w:w w:val="105"/>
        </w:rPr>
      </w:pPr>
      <w:r w:rsidRPr="006E79F9">
        <w:rPr>
          <w:i/>
          <w:w w:val="105"/>
        </w:rPr>
        <w:t>b) de pagamentos administrativos constituídos pelas parcelas vincendas na hipótese em que forem previstas pela decisão judicial transitada em julgado como obrigação de fazer.</w:t>
      </w:r>
    </w:p>
    <w:p w14:paraId="4A7C5A98" w14:textId="77777777" w:rsidR="006820E5" w:rsidRPr="006E79F9" w:rsidRDefault="003E6683" w:rsidP="00F93EFA">
      <w:pPr>
        <w:spacing w:after="120" w:line="240" w:lineRule="auto"/>
        <w:ind w:left="1985"/>
        <w:jc w:val="both"/>
        <w:rPr>
          <w:i/>
          <w:w w:val="105"/>
        </w:rPr>
      </w:pPr>
      <w:r w:rsidRPr="006E79F9">
        <w:rPr>
          <w:i/>
          <w:w w:val="105"/>
        </w:rPr>
        <w:t xml:space="preserve">II - nas condenações da Fazenda Pública que resultem em perda de arrecadação, o resultado da soma dos valores estimados de redução da arrecadação em virtude do cumprimento de decisão judicial, assim considerados o equivalente à estimativa de </w:t>
      </w:r>
      <w:r w:rsidRPr="006E79F9">
        <w:rPr>
          <w:i/>
          <w:w w:val="105"/>
        </w:rPr>
        <w:lastRenderedPageBreak/>
        <w:t xml:space="preserve">arrecadação de </w:t>
      </w:r>
      <w:proofErr w:type="gramStart"/>
      <w:r w:rsidRPr="006E79F9">
        <w:rPr>
          <w:i/>
          <w:w w:val="105"/>
        </w:rPr>
        <w:t>1</w:t>
      </w:r>
      <w:proofErr w:type="gramEnd"/>
      <w:r w:rsidRPr="006E79F9">
        <w:rPr>
          <w:i/>
          <w:w w:val="105"/>
        </w:rPr>
        <w:t xml:space="preserve"> (um) ano para o futuro e de 5 (cinco) anos de parcelas pretéritas. (NR)</w:t>
      </w:r>
    </w:p>
    <w:p w14:paraId="233E78D4" w14:textId="77777777" w:rsidR="007329CA" w:rsidRPr="006E79F9" w:rsidRDefault="003E6683" w:rsidP="00F93EFA">
      <w:pPr>
        <w:spacing w:after="120" w:line="240" w:lineRule="auto"/>
        <w:ind w:left="1985"/>
        <w:jc w:val="both"/>
        <w:rPr>
          <w:i/>
          <w:w w:val="105"/>
        </w:rPr>
      </w:pPr>
      <w:r w:rsidRPr="006E79F9">
        <w:rPr>
          <w:i/>
          <w:w w:val="105"/>
        </w:rPr>
        <w:t>Art. 5º A estimativa de impacto financeiro da ação judicial será aferida com base nos elementos constantes no processo e</w:t>
      </w:r>
      <w:r w:rsidR="00EF78E6" w:rsidRPr="006E79F9">
        <w:rPr>
          <w:i/>
          <w:w w:val="105"/>
        </w:rPr>
        <w:t xml:space="preserve"> </w:t>
      </w:r>
      <w:r w:rsidRPr="006E79F9">
        <w:rPr>
          <w:i/>
          <w:w w:val="105"/>
        </w:rPr>
        <w:t>nas informações e documentos apresentados pelos órgãos e entidades envolvidas no processo judicial.</w:t>
      </w:r>
    </w:p>
    <w:p w14:paraId="25DA048D" w14:textId="77777777" w:rsidR="007329CA" w:rsidRPr="006E79F9" w:rsidRDefault="003E6683" w:rsidP="00F93EFA">
      <w:pPr>
        <w:spacing w:after="120" w:line="240" w:lineRule="auto"/>
        <w:ind w:left="1985"/>
        <w:jc w:val="both"/>
        <w:rPr>
          <w:i/>
          <w:w w:val="105"/>
        </w:rPr>
      </w:pPr>
      <w:r w:rsidRPr="006E79F9">
        <w:rPr>
          <w:i/>
          <w:w w:val="105"/>
        </w:rPr>
        <w:t>§ 1º Os órgãos de direção superior da AGU poderão solicitar aos órgãos ou entidades da Administração Federal direta,</w:t>
      </w:r>
      <w:r w:rsidR="007329CA" w:rsidRPr="006E79F9">
        <w:rPr>
          <w:i/>
          <w:w w:val="105"/>
        </w:rPr>
        <w:t xml:space="preserve"> </w:t>
      </w:r>
      <w:r w:rsidRPr="006E79F9">
        <w:rPr>
          <w:i/>
          <w:w w:val="105"/>
        </w:rPr>
        <w:t>autárquica ou fundacional, envolvidos no caso, subsídios fáticos ou mesmo a elaboração da estimativa do impacto.</w:t>
      </w:r>
    </w:p>
    <w:p w14:paraId="4A57391F" w14:textId="77777777" w:rsidR="00102E2E" w:rsidRPr="006E79F9" w:rsidRDefault="003E6683" w:rsidP="00F93EFA">
      <w:pPr>
        <w:spacing w:after="120" w:line="240" w:lineRule="auto"/>
        <w:ind w:left="1985"/>
        <w:jc w:val="both"/>
        <w:rPr>
          <w:i/>
          <w:w w:val="105"/>
        </w:rPr>
      </w:pPr>
      <w:r w:rsidRPr="006E79F9">
        <w:rPr>
          <w:i/>
          <w:w w:val="105"/>
        </w:rPr>
        <w:t>§ 2º A estimativa de impacto financeiro poderá ser feita com base nos dados e relatórios disponíveis nos sistemas informatizados da AGU quando houver elementos suficientes à adequada verificação do impacto financeiro.</w:t>
      </w:r>
    </w:p>
    <w:p w14:paraId="2474E38F" w14:textId="77777777" w:rsidR="00102E2E" w:rsidRPr="006E79F9" w:rsidRDefault="003E6683" w:rsidP="00F93EFA">
      <w:pPr>
        <w:spacing w:after="120" w:line="240" w:lineRule="auto"/>
        <w:ind w:left="1985"/>
        <w:jc w:val="both"/>
        <w:rPr>
          <w:i/>
          <w:w w:val="105"/>
        </w:rPr>
      </w:pPr>
      <w:r w:rsidRPr="006E79F9">
        <w:rPr>
          <w:i/>
          <w:w w:val="105"/>
        </w:rPr>
        <w:t>§ 3º Os órgãos da AGU poderão solicitar o auxílio técnico do Departamento de Cálculos e Perícias da Procuradoria-Geral</w:t>
      </w:r>
      <w:r w:rsidR="00102E2E" w:rsidRPr="006E79F9">
        <w:rPr>
          <w:i/>
          <w:w w:val="105"/>
        </w:rPr>
        <w:t xml:space="preserve"> </w:t>
      </w:r>
      <w:r w:rsidRPr="006E79F9">
        <w:rPr>
          <w:i/>
          <w:w w:val="105"/>
        </w:rPr>
        <w:t>da União para a elaboração de laudo técnico com a estimativa de impacto financeiro, desde que indiquem os parâmetros a serem considerados.</w:t>
      </w:r>
    </w:p>
    <w:p w14:paraId="4F153123" w14:textId="77777777" w:rsidR="000C552B" w:rsidRPr="006E79F9" w:rsidRDefault="003E6683" w:rsidP="00F93EFA">
      <w:pPr>
        <w:spacing w:after="120" w:line="240" w:lineRule="auto"/>
        <w:ind w:left="1985"/>
        <w:jc w:val="both"/>
        <w:rPr>
          <w:i/>
          <w:w w:val="105"/>
        </w:rPr>
      </w:pPr>
      <w:r w:rsidRPr="006E79F9">
        <w:rPr>
          <w:i/>
          <w:w w:val="105"/>
        </w:rPr>
        <w:t>§ 4º A estimativa de impacto financeiro deve ser adequadamente fundamentada, indicando-se as fontes dos valores informados ou os critérios utilizados.</w:t>
      </w:r>
    </w:p>
    <w:p w14:paraId="17128F76" w14:textId="491F68CB" w:rsidR="003E6683" w:rsidRPr="006E79F9" w:rsidRDefault="003E6683" w:rsidP="00F93EFA">
      <w:pPr>
        <w:spacing w:after="120" w:line="240" w:lineRule="auto"/>
        <w:ind w:left="1985"/>
        <w:jc w:val="both"/>
        <w:rPr>
          <w:w w:val="105"/>
        </w:rPr>
      </w:pPr>
      <w:r w:rsidRPr="006E79F9">
        <w:rPr>
          <w:i/>
          <w:w w:val="105"/>
        </w:rPr>
        <w:t xml:space="preserve">§ </w:t>
      </w:r>
      <w:proofErr w:type="gramStart"/>
      <w:r w:rsidRPr="006E79F9">
        <w:rPr>
          <w:i/>
          <w:w w:val="105"/>
        </w:rPr>
        <w:t>5º Quando não for possível estimar o impacto financeiro com razoável segurança, devem ser indicadas as razões dessa impossibilidade.</w:t>
      </w:r>
      <w:r w:rsidR="000C552B" w:rsidRPr="006E79F9">
        <w:rPr>
          <w:w w:val="105"/>
        </w:rPr>
        <w:t>”</w:t>
      </w:r>
      <w:proofErr w:type="gramEnd"/>
    </w:p>
    <w:p w14:paraId="38B5DE51" w14:textId="12C7138E" w:rsidR="00CD09FF" w:rsidRPr="006E79F9" w:rsidRDefault="002F0D56" w:rsidP="00983745">
      <w:pPr>
        <w:spacing w:after="120" w:line="240" w:lineRule="auto"/>
        <w:ind w:firstLine="1418"/>
        <w:jc w:val="both"/>
        <w:rPr>
          <w:w w:val="105"/>
          <w:sz w:val="24"/>
          <w:szCs w:val="24"/>
        </w:rPr>
      </w:pPr>
      <w:r w:rsidRPr="002F0D56">
        <w:rPr>
          <w:w w:val="105"/>
          <w:sz w:val="24"/>
          <w:szCs w:val="24"/>
        </w:rPr>
        <w:t>Com exceção da Procuradoria-Geral do Banco Central (PGBC), que utiliza critérios próprios, a avaliação dos passivos contingentes de demandas judiciais contra a União toma por base os parâmetros definidos pelas portarias da AGU nº 40/2015, nº 318/2018 e nº 514/2019, conforme citado anteriormente.</w:t>
      </w:r>
    </w:p>
    <w:p w14:paraId="36F0A52B" w14:textId="2721047C" w:rsidR="00983745" w:rsidRPr="006E79F9" w:rsidRDefault="00983745" w:rsidP="00983745">
      <w:pPr>
        <w:spacing w:after="120" w:line="240" w:lineRule="auto"/>
        <w:ind w:firstLine="1418"/>
        <w:jc w:val="both"/>
        <w:rPr>
          <w:w w:val="105"/>
          <w:sz w:val="24"/>
          <w:szCs w:val="24"/>
        </w:rPr>
      </w:pPr>
      <w:r w:rsidRPr="006E79F9">
        <w:rPr>
          <w:w w:val="105"/>
          <w:sz w:val="24"/>
          <w:szCs w:val="24"/>
        </w:rPr>
        <w:t>Em que pese ser possível traçar um panorama em instâncias atuais dos processos, não há precisão em qualquer estimativa temporal a respeito do término e do pagamento das ações judiciais, haja vista que o tempo de tramitação de cada processo é variável, podendo durar vários anos ou ser resolvido no curto prazo.</w:t>
      </w:r>
    </w:p>
    <w:p w14:paraId="48FD4035" w14:textId="77777777" w:rsidR="0086672D" w:rsidRPr="006E79F9" w:rsidRDefault="0086672D" w:rsidP="00983745">
      <w:pPr>
        <w:spacing w:after="120" w:line="240" w:lineRule="auto"/>
        <w:ind w:firstLine="1418"/>
        <w:jc w:val="both"/>
        <w:rPr>
          <w:w w:val="105"/>
          <w:sz w:val="24"/>
          <w:szCs w:val="24"/>
        </w:rPr>
      </w:pPr>
      <w:r w:rsidRPr="006E79F9">
        <w:rPr>
          <w:w w:val="105"/>
          <w:sz w:val="24"/>
          <w:szCs w:val="24"/>
        </w:rPr>
        <w:t xml:space="preserve">Ressalta-se que, em se tratando de demandas judiciais, nem sempre é possível estimar com clareza o montante real envolvido, uma vez que é normal que as partes que litigam contra a Fazenda Pública subestimem os valores informados nas causas, visando reduzir as despesas processuais ou mesmo os superestimem, nos casos de isenção de despesas processuais, acarretando um alto índice de imprecisão de valores. Nas ações listadas, as fontes para informação a respeito dos montantes são: os valores pedidos pelas partes, </w:t>
      </w:r>
      <w:proofErr w:type="gramStart"/>
      <w:r w:rsidRPr="006E79F9">
        <w:rPr>
          <w:w w:val="105"/>
          <w:sz w:val="24"/>
          <w:szCs w:val="24"/>
        </w:rPr>
        <w:t>as</w:t>
      </w:r>
      <w:proofErr w:type="gramEnd"/>
      <w:r w:rsidRPr="006E79F9">
        <w:rPr>
          <w:w w:val="105"/>
          <w:sz w:val="24"/>
          <w:szCs w:val="24"/>
        </w:rPr>
        <w:t xml:space="preserve"> estimativas dos órgãos públicos federais envolvidos nas causas ou grupos de causas semelhantes e as estimativas da área técnica responsável pelos cálculos na AGU.</w:t>
      </w:r>
    </w:p>
    <w:p w14:paraId="4A7F0C6B" w14:textId="436B7FF0" w:rsidR="00D5278C" w:rsidRPr="006E79F9" w:rsidRDefault="00D5278C" w:rsidP="00D5278C">
      <w:pPr>
        <w:spacing w:after="120" w:line="240" w:lineRule="auto"/>
        <w:ind w:firstLine="1418"/>
        <w:jc w:val="both"/>
        <w:rPr>
          <w:w w:val="105"/>
          <w:sz w:val="24"/>
          <w:szCs w:val="24"/>
        </w:rPr>
      </w:pPr>
      <w:r w:rsidRPr="006E79F9">
        <w:rPr>
          <w:w w:val="105"/>
          <w:sz w:val="24"/>
          <w:szCs w:val="24"/>
        </w:rPr>
        <w:t xml:space="preserve">Nesse contexto, cabe destacar que este </w:t>
      </w:r>
      <w:r w:rsidR="00FC2991" w:rsidRPr="006E79F9">
        <w:rPr>
          <w:w w:val="105"/>
          <w:sz w:val="24"/>
          <w:szCs w:val="24"/>
        </w:rPr>
        <w:t>An</w:t>
      </w:r>
      <w:r w:rsidRPr="006E79F9">
        <w:rPr>
          <w:w w:val="105"/>
          <w:sz w:val="24"/>
          <w:szCs w:val="24"/>
        </w:rPr>
        <w:t>exo</w:t>
      </w:r>
      <w:r w:rsidR="00FC2991" w:rsidRPr="006E79F9">
        <w:rPr>
          <w:w w:val="105"/>
          <w:sz w:val="24"/>
          <w:szCs w:val="24"/>
        </w:rPr>
        <w:t xml:space="preserve"> de Riscos Fiscais</w:t>
      </w:r>
      <w:r w:rsidRPr="006E79F9">
        <w:rPr>
          <w:w w:val="105"/>
          <w:sz w:val="24"/>
          <w:szCs w:val="24"/>
        </w:rPr>
        <w:t xml:space="preserve"> engloba processos com probabilidade de perda considerada possível, tendo em vista que, de acordo com o Tribunal de Contas da União (TCU), por meio do Ofício nº 171/2014-TCU/SEMAG, processos com risco considerado como provável deverão constituir provisão e a mesma também deve ser reconhecida nas demonstrações contábeis elaboradas pela STN.</w:t>
      </w:r>
    </w:p>
    <w:p w14:paraId="0E16D20F" w14:textId="01241DE4" w:rsidR="00050B1E" w:rsidRPr="006E79F9" w:rsidRDefault="00050B1E" w:rsidP="00050B1E">
      <w:pPr>
        <w:spacing w:after="120" w:line="240" w:lineRule="auto"/>
        <w:ind w:firstLine="1418"/>
        <w:jc w:val="both"/>
        <w:rPr>
          <w:w w:val="105"/>
          <w:sz w:val="24"/>
          <w:szCs w:val="24"/>
        </w:rPr>
      </w:pPr>
      <w:r w:rsidRPr="006E79F9">
        <w:rPr>
          <w:w w:val="105"/>
          <w:sz w:val="24"/>
          <w:szCs w:val="24"/>
        </w:rPr>
        <w:t xml:space="preserve">É importante </w:t>
      </w:r>
      <w:r w:rsidR="00F149EF" w:rsidRPr="006E79F9">
        <w:rPr>
          <w:w w:val="105"/>
          <w:sz w:val="24"/>
          <w:szCs w:val="24"/>
        </w:rPr>
        <w:t>ressaltar, ainda,</w:t>
      </w:r>
      <w:r w:rsidRPr="006E79F9">
        <w:rPr>
          <w:w w:val="105"/>
          <w:sz w:val="24"/>
          <w:szCs w:val="24"/>
        </w:rPr>
        <w:t xml:space="preserve"> que as informações apresentadas n</w:t>
      </w:r>
      <w:r w:rsidR="00F72A7D" w:rsidRPr="006E79F9">
        <w:rPr>
          <w:w w:val="105"/>
          <w:sz w:val="24"/>
          <w:szCs w:val="24"/>
        </w:rPr>
        <w:t xml:space="preserve">este Anexo </w:t>
      </w:r>
      <w:r w:rsidRPr="006E79F9">
        <w:rPr>
          <w:w w:val="105"/>
          <w:sz w:val="24"/>
          <w:szCs w:val="24"/>
        </w:rPr>
        <w:t>não implicam</w:t>
      </w:r>
      <w:r w:rsidRPr="006E79F9">
        <w:rPr>
          <w:spacing w:val="-6"/>
          <w:w w:val="105"/>
          <w:sz w:val="24"/>
          <w:szCs w:val="24"/>
        </w:rPr>
        <w:t xml:space="preserve"> </w:t>
      </w:r>
      <w:r w:rsidRPr="006E79F9">
        <w:rPr>
          <w:w w:val="105"/>
          <w:sz w:val="24"/>
          <w:szCs w:val="24"/>
        </w:rPr>
        <w:t>qualquer</w:t>
      </w:r>
      <w:r w:rsidRPr="006E79F9">
        <w:rPr>
          <w:spacing w:val="-3"/>
          <w:w w:val="105"/>
          <w:sz w:val="24"/>
          <w:szCs w:val="24"/>
        </w:rPr>
        <w:t xml:space="preserve"> </w:t>
      </w:r>
      <w:r w:rsidRPr="006E79F9">
        <w:rPr>
          <w:w w:val="105"/>
          <w:sz w:val="24"/>
          <w:szCs w:val="24"/>
        </w:rPr>
        <w:t>reconhecimento</w:t>
      </w:r>
      <w:r w:rsidRPr="006E79F9">
        <w:rPr>
          <w:spacing w:val="-4"/>
          <w:w w:val="105"/>
          <w:sz w:val="24"/>
          <w:szCs w:val="24"/>
        </w:rPr>
        <w:t xml:space="preserve"> </w:t>
      </w:r>
      <w:r w:rsidRPr="006E79F9">
        <w:rPr>
          <w:w w:val="105"/>
          <w:sz w:val="24"/>
          <w:szCs w:val="24"/>
        </w:rPr>
        <w:t>pela</w:t>
      </w:r>
      <w:r w:rsidRPr="006E79F9">
        <w:rPr>
          <w:spacing w:val="-3"/>
          <w:w w:val="105"/>
          <w:sz w:val="24"/>
          <w:szCs w:val="24"/>
        </w:rPr>
        <w:t xml:space="preserve"> </w:t>
      </w:r>
      <w:r w:rsidRPr="006E79F9">
        <w:rPr>
          <w:w w:val="105"/>
          <w:sz w:val="24"/>
          <w:szCs w:val="24"/>
        </w:rPr>
        <w:t>União</w:t>
      </w:r>
      <w:r w:rsidRPr="006E79F9">
        <w:rPr>
          <w:spacing w:val="-5"/>
          <w:w w:val="105"/>
          <w:sz w:val="24"/>
          <w:szCs w:val="24"/>
        </w:rPr>
        <w:t xml:space="preserve"> </w:t>
      </w:r>
      <w:r w:rsidRPr="006E79F9">
        <w:rPr>
          <w:w w:val="105"/>
          <w:sz w:val="24"/>
          <w:szCs w:val="24"/>
        </w:rPr>
        <w:t>quanto</w:t>
      </w:r>
      <w:r w:rsidRPr="006E79F9">
        <w:rPr>
          <w:spacing w:val="-2"/>
          <w:w w:val="105"/>
          <w:sz w:val="24"/>
          <w:szCs w:val="24"/>
        </w:rPr>
        <w:t xml:space="preserve"> </w:t>
      </w:r>
      <w:r w:rsidRPr="006E79F9">
        <w:rPr>
          <w:w w:val="105"/>
          <w:sz w:val="24"/>
          <w:szCs w:val="24"/>
        </w:rPr>
        <w:t>à</w:t>
      </w:r>
      <w:r w:rsidRPr="006E79F9">
        <w:rPr>
          <w:spacing w:val="-5"/>
          <w:w w:val="105"/>
          <w:sz w:val="24"/>
          <w:szCs w:val="24"/>
        </w:rPr>
        <w:t xml:space="preserve"> </w:t>
      </w:r>
      <w:r w:rsidRPr="006E79F9">
        <w:rPr>
          <w:w w:val="105"/>
          <w:sz w:val="24"/>
          <w:szCs w:val="24"/>
        </w:rPr>
        <w:t>efetiva</w:t>
      </w:r>
      <w:r w:rsidRPr="006E79F9">
        <w:rPr>
          <w:spacing w:val="-4"/>
          <w:w w:val="105"/>
          <w:sz w:val="24"/>
          <w:szCs w:val="24"/>
        </w:rPr>
        <w:t xml:space="preserve"> </w:t>
      </w:r>
      <w:r w:rsidRPr="006E79F9">
        <w:rPr>
          <w:w w:val="105"/>
          <w:sz w:val="24"/>
          <w:szCs w:val="24"/>
        </w:rPr>
        <w:t>sucumbência</w:t>
      </w:r>
      <w:r w:rsidRPr="006E79F9">
        <w:rPr>
          <w:spacing w:val="-4"/>
          <w:w w:val="105"/>
          <w:sz w:val="24"/>
          <w:szCs w:val="24"/>
        </w:rPr>
        <w:t xml:space="preserve"> </w:t>
      </w:r>
      <w:r w:rsidRPr="006E79F9">
        <w:rPr>
          <w:w w:val="105"/>
          <w:sz w:val="24"/>
          <w:szCs w:val="24"/>
        </w:rPr>
        <w:t>ou</w:t>
      </w:r>
      <w:r w:rsidRPr="006E79F9">
        <w:rPr>
          <w:spacing w:val="-5"/>
          <w:w w:val="105"/>
          <w:sz w:val="24"/>
          <w:szCs w:val="24"/>
        </w:rPr>
        <w:t xml:space="preserve"> </w:t>
      </w:r>
      <w:r w:rsidRPr="006E79F9">
        <w:rPr>
          <w:w w:val="105"/>
          <w:sz w:val="24"/>
          <w:szCs w:val="24"/>
        </w:rPr>
        <w:t>mesmo</w:t>
      </w:r>
      <w:r w:rsidRPr="006E79F9">
        <w:rPr>
          <w:spacing w:val="-4"/>
          <w:w w:val="105"/>
          <w:sz w:val="24"/>
          <w:szCs w:val="24"/>
        </w:rPr>
        <w:t xml:space="preserve"> </w:t>
      </w:r>
      <w:r w:rsidRPr="006E79F9">
        <w:rPr>
          <w:w w:val="105"/>
          <w:sz w:val="24"/>
          <w:szCs w:val="24"/>
        </w:rPr>
        <w:t>acerca</w:t>
      </w:r>
      <w:r w:rsidRPr="006E79F9">
        <w:rPr>
          <w:spacing w:val="-4"/>
          <w:w w:val="105"/>
          <w:sz w:val="24"/>
          <w:szCs w:val="24"/>
        </w:rPr>
        <w:t xml:space="preserve"> </w:t>
      </w:r>
      <w:r w:rsidRPr="006E79F9">
        <w:rPr>
          <w:w w:val="105"/>
          <w:sz w:val="24"/>
          <w:szCs w:val="24"/>
        </w:rPr>
        <w:t>das</w:t>
      </w:r>
      <w:r w:rsidRPr="006E79F9">
        <w:rPr>
          <w:spacing w:val="-5"/>
          <w:w w:val="105"/>
          <w:sz w:val="24"/>
          <w:szCs w:val="24"/>
        </w:rPr>
        <w:t xml:space="preserve"> </w:t>
      </w:r>
      <w:r w:rsidRPr="006E79F9">
        <w:rPr>
          <w:w w:val="105"/>
          <w:sz w:val="24"/>
          <w:szCs w:val="24"/>
        </w:rPr>
        <w:t>teses</w:t>
      </w:r>
      <w:r w:rsidRPr="006E79F9">
        <w:rPr>
          <w:spacing w:val="-2"/>
          <w:w w:val="105"/>
          <w:sz w:val="24"/>
          <w:szCs w:val="24"/>
        </w:rPr>
        <w:t xml:space="preserve"> </w:t>
      </w:r>
      <w:r w:rsidRPr="006E79F9">
        <w:rPr>
          <w:w w:val="105"/>
          <w:sz w:val="24"/>
          <w:szCs w:val="24"/>
        </w:rPr>
        <w:t>em</w:t>
      </w:r>
      <w:r w:rsidRPr="006E79F9">
        <w:rPr>
          <w:spacing w:val="-6"/>
          <w:w w:val="105"/>
          <w:sz w:val="24"/>
          <w:szCs w:val="24"/>
        </w:rPr>
        <w:t xml:space="preserve"> </w:t>
      </w:r>
      <w:r w:rsidRPr="006E79F9">
        <w:rPr>
          <w:w w:val="105"/>
          <w:sz w:val="24"/>
          <w:szCs w:val="24"/>
        </w:rPr>
        <w:t>debate,</w:t>
      </w:r>
      <w:r w:rsidRPr="006E79F9">
        <w:rPr>
          <w:spacing w:val="-3"/>
          <w:w w:val="105"/>
          <w:sz w:val="24"/>
          <w:szCs w:val="24"/>
        </w:rPr>
        <w:t xml:space="preserve"> </w:t>
      </w:r>
      <w:r w:rsidRPr="006E79F9">
        <w:rPr>
          <w:w w:val="105"/>
          <w:sz w:val="24"/>
          <w:szCs w:val="24"/>
        </w:rPr>
        <w:t>mas</w:t>
      </w:r>
      <w:r w:rsidRPr="006E79F9">
        <w:rPr>
          <w:spacing w:val="-4"/>
          <w:w w:val="105"/>
          <w:sz w:val="24"/>
          <w:szCs w:val="24"/>
        </w:rPr>
        <w:t xml:space="preserve"> </w:t>
      </w:r>
      <w:r w:rsidRPr="006E79F9">
        <w:rPr>
          <w:w w:val="105"/>
          <w:sz w:val="24"/>
          <w:szCs w:val="24"/>
        </w:rPr>
        <w:t xml:space="preserve">apenas </w:t>
      </w:r>
      <w:proofErr w:type="gramStart"/>
      <w:r w:rsidRPr="006E79F9">
        <w:rPr>
          <w:w w:val="105"/>
          <w:sz w:val="24"/>
          <w:szCs w:val="24"/>
        </w:rPr>
        <w:t>eventual risco que tais demandas possam</w:t>
      </w:r>
      <w:r w:rsidRPr="006E79F9">
        <w:rPr>
          <w:spacing w:val="-3"/>
          <w:w w:val="105"/>
          <w:sz w:val="24"/>
          <w:szCs w:val="24"/>
        </w:rPr>
        <w:t xml:space="preserve"> </w:t>
      </w:r>
      <w:r w:rsidRPr="006E79F9">
        <w:rPr>
          <w:w w:val="105"/>
          <w:sz w:val="24"/>
          <w:szCs w:val="24"/>
        </w:rPr>
        <w:t xml:space="preserve">oferecer ao orçamento federal, em face de seu elevado </w:t>
      </w:r>
      <w:r w:rsidRPr="006E79F9">
        <w:rPr>
          <w:spacing w:val="-3"/>
          <w:w w:val="105"/>
          <w:sz w:val="24"/>
          <w:szCs w:val="24"/>
        </w:rPr>
        <w:t>valor,</w:t>
      </w:r>
      <w:r w:rsidRPr="006E79F9">
        <w:rPr>
          <w:w w:val="105"/>
          <w:sz w:val="24"/>
          <w:szCs w:val="24"/>
        </w:rPr>
        <w:t xml:space="preserve"> caso</w:t>
      </w:r>
      <w:proofErr w:type="gramEnd"/>
      <w:r w:rsidRPr="006E79F9">
        <w:rPr>
          <w:w w:val="105"/>
          <w:sz w:val="24"/>
          <w:szCs w:val="24"/>
        </w:rPr>
        <w:t xml:space="preserve"> a União não saia vencedora.</w:t>
      </w:r>
    </w:p>
    <w:p w14:paraId="3F90357C" w14:textId="0E2C34CC" w:rsidR="0034533F" w:rsidRPr="006E79F9" w:rsidRDefault="0034533F" w:rsidP="00B138CE">
      <w:pPr>
        <w:pStyle w:val="Ttulo4"/>
        <w:keepLines/>
        <w:numPr>
          <w:ilvl w:val="3"/>
          <w:numId w:val="36"/>
        </w:numPr>
        <w:spacing w:before="240" w:after="120"/>
        <w:ind w:left="862" w:hanging="862"/>
        <w:jc w:val="left"/>
        <w:rPr>
          <w:rFonts w:asciiTheme="minorHAnsi" w:hAnsiTheme="minorHAnsi"/>
        </w:rPr>
      </w:pPr>
      <w:bookmarkStart w:id="188" w:name="_Toc5012235"/>
      <w:bookmarkStart w:id="189" w:name="_Toc5030481"/>
      <w:r w:rsidRPr="006E79F9">
        <w:rPr>
          <w:rFonts w:asciiTheme="minorHAnsi" w:hAnsiTheme="minorHAnsi"/>
        </w:rPr>
        <w:lastRenderedPageBreak/>
        <w:t>Demandas Judiciais Contra a Administração Direta da União</w:t>
      </w:r>
    </w:p>
    <w:bookmarkEnd w:id="188"/>
    <w:bookmarkEnd w:id="189"/>
    <w:p w14:paraId="19B3B427" w14:textId="24FE5DEF" w:rsidR="00A43B07" w:rsidRPr="006E79F9" w:rsidRDefault="000D17A6" w:rsidP="00A43B07">
      <w:pPr>
        <w:spacing w:after="120" w:line="240" w:lineRule="auto"/>
        <w:ind w:firstLine="1418"/>
        <w:jc w:val="both"/>
        <w:rPr>
          <w:w w:val="105"/>
          <w:sz w:val="24"/>
          <w:szCs w:val="24"/>
        </w:rPr>
      </w:pPr>
      <w:r w:rsidRPr="006E79F9">
        <w:rPr>
          <w:w w:val="105"/>
          <w:sz w:val="24"/>
          <w:szCs w:val="24"/>
        </w:rPr>
        <w:t>Compete à AGU, por intermédio da PGU, a representação judicial e extrajudicial da Administração Direta da União.</w:t>
      </w:r>
      <w:r w:rsidR="00050B1E" w:rsidRPr="006E79F9">
        <w:rPr>
          <w:w w:val="105"/>
          <w:sz w:val="24"/>
          <w:szCs w:val="24"/>
        </w:rPr>
        <w:t xml:space="preserve"> </w:t>
      </w:r>
      <w:r w:rsidR="006F519C" w:rsidRPr="006E79F9">
        <w:rPr>
          <w:w w:val="105"/>
          <w:sz w:val="24"/>
          <w:szCs w:val="24"/>
        </w:rPr>
        <w:t xml:space="preserve">A </w:t>
      </w:r>
      <w:r w:rsidR="006F519C" w:rsidRPr="006E79F9">
        <w:rPr>
          <w:w w:val="105"/>
          <w:sz w:val="24"/>
          <w:szCs w:val="24"/>
        </w:rPr>
        <w:fldChar w:fldCharType="begin"/>
      </w:r>
      <w:r w:rsidR="006F519C" w:rsidRPr="006E79F9">
        <w:rPr>
          <w:w w:val="105"/>
          <w:sz w:val="24"/>
          <w:szCs w:val="24"/>
        </w:rPr>
        <w:instrText xml:space="preserve"> REF _Ref5263852 \h  \* MERGEFORMAT </w:instrText>
      </w:r>
      <w:r w:rsidR="006F519C" w:rsidRPr="006E79F9">
        <w:rPr>
          <w:w w:val="105"/>
          <w:sz w:val="24"/>
          <w:szCs w:val="24"/>
        </w:rPr>
      </w:r>
      <w:r w:rsidR="006F519C" w:rsidRPr="006E79F9">
        <w:rPr>
          <w:w w:val="105"/>
          <w:sz w:val="24"/>
          <w:szCs w:val="24"/>
        </w:rPr>
        <w:fldChar w:fldCharType="separate"/>
      </w:r>
      <w:r w:rsidR="00304F5F" w:rsidRPr="00304F5F">
        <w:rPr>
          <w:w w:val="105"/>
          <w:sz w:val="24"/>
          <w:szCs w:val="24"/>
        </w:rPr>
        <w:t>Tabela 15</w:t>
      </w:r>
      <w:r w:rsidR="006F519C" w:rsidRPr="006E79F9">
        <w:rPr>
          <w:w w:val="105"/>
          <w:sz w:val="24"/>
          <w:szCs w:val="24"/>
        </w:rPr>
        <w:fldChar w:fldCharType="end"/>
      </w:r>
      <w:r w:rsidR="006F519C" w:rsidRPr="006E79F9">
        <w:rPr>
          <w:w w:val="105"/>
          <w:sz w:val="24"/>
          <w:szCs w:val="24"/>
        </w:rPr>
        <w:t xml:space="preserve"> </w:t>
      </w:r>
      <w:r w:rsidRPr="006E79F9">
        <w:rPr>
          <w:w w:val="105"/>
          <w:sz w:val="24"/>
          <w:szCs w:val="24"/>
        </w:rPr>
        <w:t>rela</w:t>
      </w:r>
      <w:r w:rsidR="000564BE" w:rsidRPr="006E79F9">
        <w:rPr>
          <w:w w:val="105"/>
          <w:sz w:val="24"/>
          <w:szCs w:val="24"/>
        </w:rPr>
        <w:t>ciona</w:t>
      </w:r>
      <w:r w:rsidRPr="006E79F9">
        <w:rPr>
          <w:w w:val="105"/>
          <w:sz w:val="24"/>
          <w:szCs w:val="24"/>
        </w:rPr>
        <w:t xml:space="preserve"> </w:t>
      </w:r>
      <w:r w:rsidR="003174A5" w:rsidRPr="006E79F9">
        <w:rPr>
          <w:w w:val="105"/>
          <w:sz w:val="24"/>
          <w:szCs w:val="24"/>
        </w:rPr>
        <w:t>as ações judiciais</w:t>
      </w:r>
      <w:r w:rsidRPr="006E79F9">
        <w:rPr>
          <w:w w:val="105"/>
          <w:sz w:val="24"/>
          <w:szCs w:val="24"/>
        </w:rPr>
        <w:t xml:space="preserve"> </w:t>
      </w:r>
      <w:r w:rsidR="00050B1E" w:rsidRPr="006E79F9">
        <w:rPr>
          <w:w w:val="105"/>
          <w:sz w:val="24"/>
          <w:szCs w:val="24"/>
        </w:rPr>
        <w:t xml:space="preserve">sob a responsabilidade da PGU </w:t>
      </w:r>
      <w:r w:rsidRPr="006E79F9">
        <w:rPr>
          <w:w w:val="105"/>
          <w:sz w:val="24"/>
          <w:szCs w:val="24"/>
        </w:rPr>
        <w:t xml:space="preserve">que </w:t>
      </w:r>
      <w:r w:rsidR="00050B1E" w:rsidRPr="006E79F9">
        <w:rPr>
          <w:w w:val="105"/>
          <w:sz w:val="24"/>
          <w:szCs w:val="24"/>
        </w:rPr>
        <w:t>são classificadas com</w:t>
      </w:r>
      <w:r w:rsidRPr="006E79F9">
        <w:rPr>
          <w:w w:val="105"/>
          <w:sz w:val="24"/>
          <w:szCs w:val="24"/>
        </w:rPr>
        <w:t xml:space="preserve"> risco possíve</w:t>
      </w:r>
      <w:r w:rsidR="00050B1E" w:rsidRPr="006E79F9">
        <w:rPr>
          <w:w w:val="105"/>
          <w:sz w:val="24"/>
          <w:szCs w:val="24"/>
        </w:rPr>
        <w:t>l</w:t>
      </w:r>
      <w:r w:rsidR="00213D2A" w:rsidRPr="006E79F9">
        <w:rPr>
          <w:w w:val="105"/>
          <w:sz w:val="24"/>
          <w:szCs w:val="24"/>
        </w:rPr>
        <w:t xml:space="preserve">, </w:t>
      </w:r>
      <w:r w:rsidR="00653DE4" w:rsidRPr="00653DE4">
        <w:rPr>
          <w:w w:val="105"/>
          <w:sz w:val="24"/>
          <w:szCs w:val="24"/>
        </w:rPr>
        <w:t>conforme os parâmetros definidos nas Portarias AGU nº 40/2015 e AGU nº 318/2018, e suas respectivas estimativas de impacto fiscal caso se concretizem.</w:t>
      </w:r>
    </w:p>
    <w:p w14:paraId="1A60A792" w14:textId="5B97DBAA" w:rsidR="000D17A6" w:rsidRPr="006E79F9" w:rsidRDefault="00A43B07" w:rsidP="00A43B07">
      <w:pPr>
        <w:spacing w:after="120" w:line="240" w:lineRule="auto"/>
        <w:ind w:firstLine="1418"/>
        <w:jc w:val="both"/>
        <w:rPr>
          <w:w w:val="105"/>
          <w:sz w:val="24"/>
          <w:szCs w:val="24"/>
        </w:rPr>
      </w:pPr>
      <w:r w:rsidRPr="006E79F9">
        <w:rPr>
          <w:w w:val="105"/>
          <w:sz w:val="24"/>
          <w:szCs w:val="24"/>
        </w:rPr>
        <w:t xml:space="preserve">Observa-se </w:t>
      </w:r>
      <w:r w:rsidR="00792C5E" w:rsidRPr="00792C5E">
        <w:rPr>
          <w:w w:val="105"/>
          <w:sz w:val="24"/>
          <w:szCs w:val="24"/>
        </w:rPr>
        <w:t xml:space="preserve">que o risco fiscal relativo a demandas judiciais contra a Administração Direta da União é estimado em R$ </w:t>
      </w:r>
      <w:r w:rsidR="006C1835">
        <w:rPr>
          <w:w w:val="105"/>
          <w:sz w:val="24"/>
          <w:szCs w:val="24"/>
        </w:rPr>
        <w:t>230</w:t>
      </w:r>
      <w:r w:rsidR="00792C5E" w:rsidRPr="00792C5E">
        <w:rPr>
          <w:w w:val="105"/>
          <w:sz w:val="24"/>
          <w:szCs w:val="24"/>
        </w:rPr>
        <w:t xml:space="preserve">,6 bilhões. Destaca-se, porém, que algumas ações judiciais apresentam estimativa de impacto não disponível. Dessa forma, o valor de impacto </w:t>
      </w:r>
      <w:r w:rsidR="00D747A4">
        <w:rPr>
          <w:w w:val="105"/>
          <w:sz w:val="24"/>
          <w:szCs w:val="24"/>
        </w:rPr>
        <w:t xml:space="preserve">potencial </w:t>
      </w:r>
      <w:r w:rsidR="00792C5E" w:rsidRPr="00792C5E">
        <w:rPr>
          <w:w w:val="105"/>
          <w:sz w:val="24"/>
          <w:szCs w:val="24"/>
        </w:rPr>
        <w:t>seria mais elevado que o valor mencionado.</w:t>
      </w:r>
    </w:p>
    <w:p w14:paraId="466E533E" w14:textId="5D666B55" w:rsidR="000564BE" w:rsidRPr="0022645B" w:rsidRDefault="00AF3612" w:rsidP="0034400A">
      <w:pPr>
        <w:pStyle w:val="Legenda"/>
        <w:spacing w:before="240" w:after="120"/>
        <w:jc w:val="center"/>
        <w:rPr>
          <w:rFonts w:asciiTheme="minorHAnsi" w:hAnsiTheme="minorHAnsi"/>
          <w:i w:val="0"/>
          <w:color w:val="auto"/>
          <w:sz w:val="22"/>
          <w:szCs w:val="22"/>
        </w:rPr>
      </w:pPr>
      <w:bookmarkStart w:id="190" w:name="_Ref5263852"/>
      <w:bookmarkStart w:id="191" w:name="_Ref5263029"/>
      <w:bookmarkStart w:id="192" w:name="_Toc5263375"/>
      <w:bookmarkStart w:id="193" w:name="_Toc69121361"/>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15</w:t>
      </w:r>
      <w:r w:rsidRPr="0022645B">
        <w:rPr>
          <w:rFonts w:asciiTheme="minorHAnsi" w:hAnsiTheme="minorHAnsi"/>
          <w:i w:val="0"/>
          <w:color w:val="auto"/>
          <w:sz w:val="22"/>
          <w:szCs w:val="22"/>
        </w:rPr>
        <w:fldChar w:fldCharType="end"/>
      </w:r>
      <w:bookmarkEnd w:id="190"/>
      <w:bookmarkEnd w:id="191"/>
      <w:r w:rsidR="00A242C8">
        <w:rPr>
          <w:rFonts w:asciiTheme="minorHAnsi" w:hAnsiTheme="minorHAnsi"/>
          <w:i w:val="0"/>
          <w:color w:val="auto"/>
          <w:sz w:val="22"/>
          <w:szCs w:val="22"/>
        </w:rPr>
        <w:t xml:space="preserve"> -</w:t>
      </w:r>
      <w:r w:rsidR="00B84840" w:rsidRPr="0022645B">
        <w:rPr>
          <w:rFonts w:asciiTheme="minorHAnsi" w:hAnsiTheme="minorHAnsi"/>
          <w:i w:val="0"/>
          <w:color w:val="auto"/>
          <w:sz w:val="22"/>
          <w:szCs w:val="22"/>
        </w:rPr>
        <w:t xml:space="preserve"> </w:t>
      </w:r>
      <w:r w:rsidR="00887145" w:rsidRPr="0022645B">
        <w:rPr>
          <w:rFonts w:asciiTheme="minorHAnsi" w:hAnsiTheme="minorHAnsi"/>
          <w:i w:val="0"/>
          <w:color w:val="auto"/>
          <w:sz w:val="22"/>
          <w:szCs w:val="22"/>
        </w:rPr>
        <w:t>Demandas Judiciais</w:t>
      </w:r>
      <w:r w:rsidR="00E24C33">
        <w:rPr>
          <w:rFonts w:asciiTheme="minorHAnsi" w:hAnsiTheme="minorHAnsi"/>
          <w:i w:val="0"/>
          <w:color w:val="auto"/>
          <w:sz w:val="22"/>
          <w:szCs w:val="22"/>
        </w:rPr>
        <w:t xml:space="preserve"> no âmbito da </w:t>
      </w:r>
      <w:r w:rsidR="00887145" w:rsidRPr="0022645B">
        <w:rPr>
          <w:rFonts w:asciiTheme="minorHAnsi" w:hAnsiTheme="minorHAnsi"/>
          <w:i w:val="0"/>
          <w:color w:val="auto"/>
          <w:sz w:val="22"/>
          <w:szCs w:val="22"/>
        </w:rPr>
        <w:t>PGU</w:t>
      </w:r>
      <w:bookmarkEnd w:id="192"/>
      <w:bookmarkEnd w:id="193"/>
    </w:p>
    <w:tbl>
      <w:tblPr>
        <w:tblStyle w:val="Tabelacomgrade"/>
        <w:tblW w:w="514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73"/>
        <w:gridCol w:w="2384"/>
        <w:gridCol w:w="1372"/>
      </w:tblGrid>
      <w:tr w:rsidR="00F21638" w:rsidRPr="00E3173D" w14:paraId="61D9FE46" w14:textId="77777777" w:rsidTr="00020344">
        <w:trPr>
          <w:tblHeader/>
          <w:jc w:val="center"/>
        </w:trPr>
        <w:tc>
          <w:tcPr>
            <w:tcW w:w="5000" w:type="pct"/>
            <w:gridSpan w:val="3"/>
            <w:tcBorders>
              <w:top w:val="nil"/>
              <w:left w:val="nil"/>
              <w:bottom w:val="single" w:sz="4" w:space="0" w:color="BFBFBF" w:themeColor="background1" w:themeShade="BF"/>
              <w:right w:val="nil"/>
            </w:tcBorders>
            <w:shd w:val="clear" w:color="auto" w:fill="auto"/>
          </w:tcPr>
          <w:p w14:paraId="0F80F8EB" w14:textId="77777777" w:rsidR="00F21638" w:rsidRPr="00DF15BB" w:rsidRDefault="00F21638" w:rsidP="00020344">
            <w:pPr>
              <w:autoSpaceDE w:val="0"/>
              <w:autoSpaceDN w:val="0"/>
              <w:adjustRightInd w:val="0"/>
              <w:jc w:val="right"/>
              <w:rPr>
                <w:rFonts w:cs="Times New Roman"/>
                <w:b/>
                <w:i/>
                <w:iCs/>
                <w:sz w:val="16"/>
                <w:szCs w:val="16"/>
              </w:rPr>
            </w:pPr>
            <w:r w:rsidRPr="00DF15BB">
              <w:rPr>
                <w:i/>
                <w:iCs/>
                <w:sz w:val="16"/>
                <w:szCs w:val="16"/>
              </w:rPr>
              <w:t>Em R$ bilhões</w:t>
            </w:r>
          </w:p>
        </w:tc>
      </w:tr>
      <w:tr w:rsidR="00F21638" w:rsidRPr="00143798" w14:paraId="2DA9D273" w14:textId="77777777" w:rsidTr="00020344">
        <w:trPr>
          <w:tblHeader/>
          <w:jc w:val="center"/>
        </w:trPr>
        <w:tc>
          <w:tcPr>
            <w:tcW w:w="3199" w:type="pct"/>
            <w:tcBorders>
              <w:top w:val="single" w:sz="4" w:space="0" w:color="BFBFBF" w:themeColor="background1" w:themeShade="BF"/>
            </w:tcBorders>
            <w:shd w:val="clear" w:color="auto" w:fill="404040" w:themeFill="text1" w:themeFillTint="BF"/>
            <w:vAlign w:val="center"/>
          </w:tcPr>
          <w:p w14:paraId="02FCB866" w14:textId="77777777" w:rsidR="00F21638" w:rsidRPr="00143798" w:rsidRDefault="00F21638" w:rsidP="00020344">
            <w:pPr>
              <w:autoSpaceDE w:val="0"/>
              <w:autoSpaceDN w:val="0"/>
              <w:adjustRightInd w:val="0"/>
              <w:jc w:val="center"/>
              <w:rPr>
                <w:rFonts w:cs="Times New Roman"/>
                <w:b/>
                <w:bCs/>
                <w:color w:val="FFFFFF" w:themeColor="background1"/>
                <w:sz w:val="20"/>
                <w:szCs w:val="20"/>
              </w:rPr>
            </w:pPr>
            <w:r w:rsidRPr="00143798">
              <w:rPr>
                <w:rFonts w:cs="Times New Roman"/>
                <w:b/>
                <w:bCs/>
                <w:color w:val="FFFFFF" w:themeColor="background1"/>
                <w:sz w:val="20"/>
                <w:szCs w:val="20"/>
              </w:rPr>
              <w:t>Ações Judiciais</w:t>
            </w:r>
          </w:p>
        </w:tc>
        <w:tc>
          <w:tcPr>
            <w:tcW w:w="1143" w:type="pct"/>
            <w:tcBorders>
              <w:top w:val="single" w:sz="4" w:space="0" w:color="BFBFBF" w:themeColor="background1" w:themeShade="BF"/>
            </w:tcBorders>
            <w:shd w:val="clear" w:color="auto" w:fill="404040" w:themeFill="text1" w:themeFillTint="BF"/>
            <w:vAlign w:val="center"/>
          </w:tcPr>
          <w:p w14:paraId="343AC2EC" w14:textId="77777777" w:rsidR="00F21638" w:rsidRPr="00143798" w:rsidRDefault="00F21638" w:rsidP="00020344">
            <w:pPr>
              <w:autoSpaceDE w:val="0"/>
              <w:autoSpaceDN w:val="0"/>
              <w:adjustRightInd w:val="0"/>
              <w:jc w:val="center"/>
              <w:rPr>
                <w:rFonts w:cs="Times New Roman"/>
                <w:b/>
                <w:bCs/>
                <w:color w:val="FFFFFF" w:themeColor="background1"/>
                <w:sz w:val="20"/>
                <w:szCs w:val="20"/>
              </w:rPr>
            </w:pPr>
            <w:r w:rsidRPr="00143798">
              <w:rPr>
                <w:rFonts w:cs="Times New Roman"/>
                <w:b/>
                <w:bCs/>
                <w:color w:val="FFFFFF" w:themeColor="background1"/>
                <w:sz w:val="20"/>
                <w:szCs w:val="20"/>
              </w:rPr>
              <w:t>Processo</w:t>
            </w:r>
          </w:p>
          <w:p w14:paraId="4D54B579" w14:textId="77777777" w:rsidR="00F21638" w:rsidRPr="00143798" w:rsidRDefault="00F21638" w:rsidP="00020344">
            <w:pPr>
              <w:autoSpaceDE w:val="0"/>
              <w:autoSpaceDN w:val="0"/>
              <w:adjustRightInd w:val="0"/>
              <w:jc w:val="center"/>
              <w:rPr>
                <w:rFonts w:cs="Times New Roman"/>
                <w:b/>
                <w:bCs/>
                <w:color w:val="FFFFFF" w:themeColor="background1"/>
                <w:sz w:val="20"/>
                <w:szCs w:val="20"/>
              </w:rPr>
            </w:pPr>
            <w:proofErr w:type="gramStart"/>
            <w:r w:rsidRPr="00143798">
              <w:rPr>
                <w:rFonts w:cs="Times New Roman"/>
                <w:b/>
                <w:bCs/>
                <w:color w:val="FFFFFF" w:themeColor="background1"/>
                <w:sz w:val="20"/>
                <w:szCs w:val="20"/>
              </w:rPr>
              <w:t>de</w:t>
            </w:r>
            <w:proofErr w:type="gramEnd"/>
            <w:r w:rsidRPr="00143798">
              <w:rPr>
                <w:rFonts w:cs="Times New Roman"/>
                <w:b/>
                <w:bCs/>
                <w:color w:val="FFFFFF" w:themeColor="background1"/>
                <w:sz w:val="20"/>
                <w:szCs w:val="20"/>
              </w:rPr>
              <w:t xml:space="preserve"> referência</w:t>
            </w:r>
          </w:p>
        </w:tc>
        <w:tc>
          <w:tcPr>
            <w:tcW w:w="658" w:type="pct"/>
            <w:tcBorders>
              <w:top w:val="single" w:sz="4" w:space="0" w:color="BFBFBF" w:themeColor="background1" w:themeShade="BF"/>
            </w:tcBorders>
            <w:shd w:val="clear" w:color="auto" w:fill="404040" w:themeFill="text1" w:themeFillTint="BF"/>
            <w:vAlign w:val="center"/>
          </w:tcPr>
          <w:p w14:paraId="45C2B65A" w14:textId="77777777" w:rsidR="00F21638" w:rsidRPr="00143798" w:rsidRDefault="00F21638" w:rsidP="00020344">
            <w:pPr>
              <w:autoSpaceDE w:val="0"/>
              <w:autoSpaceDN w:val="0"/>
              <w:adjustRightInd w:val="0"/>
              <w:jc w:val="center"/>
              <w:rPr>
                <w:rFonts w:cs="Times New Roman"/>
                <w:b/>
                <w:bCs/>
                <w:color w:val="FFFFFF" w:themeColor="background1"/>
                <w:sz w:val="20"/>
                <w:szCs w:val="20"/>
              </w:rPr>
            </w:pPr>
            <w:r w:rsidRPr="00143798">
              <w:rPr>
                <w:rFonts w:cs="Times New Roman"/>
                <w:b/>
                <w:bCs/>
                <w:color w:val="FFFFFF" w:themeColor="background1"/>
                <w:sz w:val="20"/>
                <w:szCs w:val="20"/>
              </w:rPr>
              <w:t>Estimativa</w:t>
            </w:r>
          </w:p>
          <w:p w14:paraId="59DA7AE7" w14:textId="77777777" w:rsidR="00F21638" w:rsidRPr="00143798" w:rsidRDefault="00F21638" w:rsidP="00020344">
            <w:pPr>
              <w:autoSpaceDE w:val="0"/>
              <w:autoSpaceDN w:val="0"/>
              <w:adjustRightInd w:val="0"/>
              <w:jc w:val="center"/>
              <w:rPr>
                <w:rFonts w:cs="Times New Roman"/>
                <w:b/>
                <w:bCs/>
                <w:color w:val="FFFFFF" w:themeColor="background1"/>
                <w:sz w:val="20"/>
                <w:szCs w:val="20"/>
              </w:rPr>
            </w:pPr>
            <w:proofErr w:type="gramStart"/>
            <w:r w:rsidRPr="00143798">
              <w:rPr>
                <w:rFonts w:cs="Times New Roman"/>
                <w:b/>
                <w:bCs/>
                <w:color w:val="FFFFFF" w:themeColor="background1"/>
                <w:sz w:val="20"/>
                <w:szCs w:val="20"/>
              </w:rPr>
              <w:t>de</w:t>
            </w:r>
            <w:proofErr w:type="gramEnd"/>
            <w:r w:rsidRPr="00143798">
              <w:rPr>
                <w:rFonts w:cs="Times New Roman"/>
                <w:b/>
                <w:bCs/>
                <w:color w:val="FFFFFF" w:themeColor="background1"/>
                <w:sz w:val="20"/>
                <w:szCs w:val="20"/>
              </w:rPr>
              <w:t xml:space="preserve"> impacto</w:t>
            </w:r>
          </w:p>
        </w:tc>
      </w:tr>
      <w:tr w:rsidR="00F21638" w:rsidRPr="00E3173D" w14:paraId="0240AAE3" w14:textId="77777777" w:rsidTr="00020344">
        <w:trPr>
          <w:jc w:val="center"/>
        </w:trPr>
        <w:tc>
          <w:tcPr>
            <w:tcW w:w="3199" w:type="pct"/>
            <w:shd w:val="clear" w:color="auto" w:fill="F2F2F2" w:themeFill="background1" w:themeFillShade="F2"/>
          </w:tcPr>
          <w:p w14:paraId="66FB5A25" w14:textId="77777777" w:rsidR="00F21638" w:rsidRPr="004B4EBE" w:rsidRDefault="00F21638" w:rsidP="00020344">
            <w:pPr>
              <w:rPr>
                <w:rFonts w:cs="Times New Roman"/>
                <w:sz w:val="18"/>
                <w:szCs w:val="18"/>
              </w:rPr>
            </w:pPr>
            <w:r w:rsidRPr="004B4EBE">
              <w:rPr>
                <w:rFonts w:cs="Times New Roman"/>
                <w:sz w:val="18"/>
                <w:szCs w:val="18"/>
              </w:rPr>
              <w:t>Política tarifária do setor aéreo. Indenização de prejuízos sofridos pelas empresas aéreas em razão da política tarifária estabelecida no período de outubro de 1987 a janeiro de 1992.</w:t>
            </w:r>
          </w:p>
        </w:tc>
        <w:tc>
          <w:tcPr>
            <w:tcW w:w="1143" w:type="pct"/>
            <w:shd w:val="clear" w:color="auto" w:fill="F2F2F2" w:themeFill="background1" w:themeFillShade="F2"/>
          </w:tcPr>
          <w:p w14:paraId="53BE2B83" w14:textId="77777777" w:rsidR="00F21638" w:rsidRPr="004B4EBE" w:rsidRDefault="00F21638" w:rsidP="00020344">
            <w:pPr>
              <w:jc w:val="both"/>
              <w:rPr>
                <w:sz w:val="18"/>
                <w:szCs w:val="18"/>
              </w:rPr>
            </w:pPr>
            <w:r w:rsidRPr="004B4EBE">
              <w:rPr>
                <w:sz w:val="18"/>
                <w:szCs w:val="18"/>
              </w:rPr>
              <w:t>ARE 1265503</w:t>
            </w:r>
          </w:p>
        </w:tc>
        <w:tc>
          <w:tcPr>
            <w:tcW w:w="658" w:type="pct"/>
            <w:shd w:val="clear" w:color="auto" w:fill="F2F2F2" w:themeFill="background1" w:themeFillShade="F2"/>
          </w:tcPr>
          <w:p w14:paraId="419813E9" w14:textId="77777777" w:rsidR="00F21638" w:rsidRPr="004B4EBE" w:rsidRDefault="00F21638" w:rsidP="00020344">
            <w:pPr>
              <w:jc w:val="right"/>
              <w:rPr>
                <w:rFonts w:cs="Times New Roman"/>
                <w:sz w:val="18"/>
                <w:szCs w:val="18"/>
              </w:rPr>
            </w:pPr>
            <w:r w:rsidRPr="004B4EBE">
              <w:rPr>
                <w:rFonts w:cs="Times New Roman"/>
                <w:sz w:val="18"/>
                <w:szCs w:val="18"/>
              </w:rPr>
              <w:t>8,0</w:t>
            </w:r>
          </w:p>
        </w:tc>
      </w:tr>
      <w:tr w:rsidR="00F21638" w:rsidRPr="00E3173D" w14:paraId="180A9445" w14:textId="77777777" w:rsidTr="00020344">
        <w:trPr>
          <w:jc w:val="center"/>
        </w:trPr>
        <w:tc>
          <w:tcPr>
            <w:tcW w:w="3199" w:type="pct"/>
            <w:shd w:val="clear" w:color="auto" w:fill="auto"/>
          </w:tcPr>
          <w:p w14:paraId="05E886C2" w14:textId="77777777" w:rsidR="00F21638" w:rsidRPr="004E14B3" w:rsidRDefault="00F21638" w:rsidP="00020344">
            <w:pPr>
              <w:rPr>
                <w:rFonts w:cs="Times New Roman"/>
                <w:sz w:val="18"/>
                <w:szCs w:val="18"/>
              </w:rPr>
            </w:pPr>
            <w:r w:rsidRPr="004E14B3">
              <w:rPr>
                <w:rFonts w:cs="Times New Roman"/>
                <w:sz w:val="18"/>
                <w:szCs w:val="18"/>
              </w:rPr>
              <w:t>Reintegração de empregados públicos aposentados.</w:t>
            </w:r>
          </w:p>
        </w:tc>
        <w:tc>
          <w:tcPr>
            <w:tcW w:w="1143" w:type="pct"/>
            <w:shd w:val="clear" w:color="auto" w:fill="auto"/>
          </w:tcPr>
          <w:p w14:paraId="44866E1C" w14:textId="77777777" w:rsidR="00F21638" w:rsidRPr="00E3173D" w:rsidRDefault="00F21638" w:rsidP="00020344">
            <w:pPr>
              <w:jc w:val="both"/>
              <w:rPr>
                <w:sz w:val="18"/>
                <w:szCs w:val="18"/>
              </w:rPr>
            </w:pPr>
            <w:r w:rsidRPr="00E3173D">
              <w:rPr>
                <w:sz w:val="18"/>
                <w:szCs w:val="18"/>
              </w:rPr>
              <w:t>RE 655.283</w:t>
            </w:r>
          </w:p>
        </w:tc>
        <w:tc>
          <w:tcPr>
            <w:tcW w:w="658" w:type="pct"/>
            <w:shd w:val="clear" w:color="auto" w:fill="auto"/>
          </w:tcPr>
          <w:p w14:paraId="743B0A64" w14:textId="77777777" w:rsidR="00F21638" w:rsidRPr="00E3173D" w:rsidRDefault="00F21638" w:rsidP="00020344">
            <w:pPr>
              <w:jc w:val="right"/>
              <w:rPr>
                <w:rFonts w:cs="Times New Roman"/>
                <w:sz w:val="18"/>
                <w:szCs w:val="18"/>
              </w:rPr>
            </w:pPr>
            <w:r w:rsidRPr="00E3173D">
              <w:rPr>
                <w:rFonts w:cs="Times New Roman"/>
                <w:sz w:val="18"/>
                <w:szCs w:val="18"/>
              </w:rPr>
              <w:t>Não disponível</w:t>
            </w:r>
          </w:p>
        </w:tc>
      </w:tr>
      <w:tr w:rsidR="00F21638" w:rsidRPr="00E3173D" w14:paraId="564DD2A8" w14:textId="77777777" w:rsidTr="00020344">
        <w:trPr>
          <w:jc w:val="center"/>
        </w:trPr>
        <w:tc>
          <w:tcPr>
            <w:tcW w:w="3199" w:type="pct"/>
            <w:shd w:val="clear" w:color="auto" w:fill="F2F2F2" w:themeFill="background1" w:themeFillShade="F2"/>
          </w:tcPr>
          <w:p w14:paraId="68E6CAF2" w14:textId="77777777" w:rsidR="00F21638" w:rsidRPr="004E14B3" w:rsidRDefault="00F21638" w:rsidP="00020344">
            <w:pPr>
              <w:rPr>
                <w:rFonts w:cs="Times New Roman"/>
                <w:sz w:val="18"/>
                <w:szCs w:val="18"/>
              </w:rPr>
            </w:pPr>
            <w:r w:rsidRPr="004E14B3">
              <w:rPr>
                <w:rFonts w:cs="Times New Roman"/>
                <w:sz w:val="18"/>
                <w:szCs w:val="18"/>
              </w:rPr>
              <w:t>Equiparação do valor das diárias devidas a membros do Ministério Público e do Poder Judiciário.</w:t>
            </w:r>
          </w:p>
        </w:tc>
        <w:tc>
          <w:tcPr>
            <w:tcW w:w="1143" w:type="pct"/>
            <w:shd w:val="clear" w:color="auto" w:fill="F2F2F2" w:themeFill="background1" w:themeFillShade="F2"/>
          </w:tcPr>
          <w:p w14:paraId="7904825F" w14:textId="77777777" w:rsidR="00F21638" w:rsidRPr="00E3173D" w:rsidRDefault="00F21638" w:rsidP="00020344">
            <w:pPr>
              <w:jc w:val="both"/>
              <w:rPr>
                <w:sz w:val="18"/>
                <w:szCs w:val="18"/>
              </w:rPr>
            </w:pPr>
            <w:r w:rsidRPr="00E3173D">
              <w:rPr>
                <w:sz w:val="18"/>
                <w:szCs w:val="18"/>
              </w:rPr>
              <w:t>RE 968.646</w:t>
            </w:r>
          </w:p>
        </w:tc>
        <w:tc>
          <w:tcPr>
            <w:tcW w:w="658" w:type="pct"/>
            <w:shd w:val="clear" w:color="auto" w:fill="F2F2F2" w:themeFill="background1" w:themeFillShade="F2"/>
          </w:tcPr>
          <w:p w14:paraId="3D0A7C42" w14:textId="77777777" w:rsidR="00F21638" w:rsidRPr="00E3173D" w:rsidRDefault="00F21638" w:rsidP="00020344">
            <w:pPr>
              <w:jc w:val="right"/>
              <w:rPr>
                <w:rFonts w:cs="Times New Roman"/>
                <w:sz w:val="18"/>
                <w:szCs w:val="18"/>
              </w:rPr>
            </w:pPr>
            <w:r w:rsidRPr="00E3173D">
              <w:rPr>
                <w:rFonts w:cs="Times New Roman"/>
                <w:sz w:val="18"/>
                <w:szCs w:val="18"/>
              </w:rPr>
              <w:t>Não disponível</w:t>
            </w:r>
          </w:p>
        </w:tc>
      </w:tr>
      <w:tr w:rsidR="00F21638" w:rsidRPr="00E3173D" w14:paraId="2ACC85DE" w14:textId="77777777" w:rsidTr="00020344">
        <w:trPr>
          <w:jc w:val="center"/>
        </w:trPr>
        <w:tc>
          <w:tcPr>
            <w:tcW w:w="3199" w:type="pct"/>
            <w:shd w:val="clear" w:color="auto" w:fill="auto"/>
          </w:tcPr>
          <w:p w14:paraId="02975957" w14:textId="77777777" w:rsidR="00F21638" w:rsidRPr="004E14B3" w:rsidRDefault="00F21638" w:rsidP="00020344">
            <w:pPr>
              <w:rPr>
                <w:rFonts w:cs="Times New Roman"/>
                <w:sz w:val="18"/>
                <w:szCs w:val="18"/>
              </w:rPr>
            </w:pPr>
            <w:r w:rsidRPr="004E14B3">
              <w:rPr>
                <w:rFonts w:cs="Times New Roman"/>
                <w:sz w:val="18"/>
                <w:szCs w:val="18"/>
              </w:rPr>
              <w:t>Isonomia entre Magistratura e Ministério Público para Licença prêmio.</w:t>
            </w:r>
          </w:p>
        </w:tc>
        <w:tc>
          <w:tcPr>
            <w:tcW w:w="1143" w:type="pct"/>
            <w:shd w:val="clear" w:color="auto" w:fill="auto"/>
          </w:tcPr>
          <w:p w14:paraId="034B1E13" w14:textId="77777777" w:rsidR="00F21638" w:rsidRPr="00E3173D" w:rsidRDefault="00F21638" w:rsidP="00020344">
            <w:pPr>
              <w:jc w:val="both"/>
              <w:rPr>
                <w:sz w:val="18"/>
                <w:szCs w:val="18"/>
              </w:rPr>
            </w:pPr>
            <w:r w:rsidRPr="00E3173D">
              <w:rPr>
                <w:sz w:val="18"/>
                <w:szCs w:val="18"/>
              </w:rPr>
              <w:t>RE 1.059.466</w:t>
            </w:r>
          </w:p>
        </w:tc>
        <w:tc>
          <w:tcPr>
            <w:tcW w:w="658" w:type="pct"/>
            <w:shd w:val="clear" w:color="auto" w:fill="auto"/>
          </w:tcPr>
          <w:p w14:paraId="73CD6C9C" w14:textId="77777777" w:rsidR="00F21638" w:rsidRPr="00E3173D" w:rsidRDefault="00F21638" w:rsidP="00020344">
            <w:pPr>
              <w:jc w:val="right"/>
              <w:rPr>
                <w:rFonts w:cs="Times New Roman"/>
                <w:sz w:val="18"/>
                <w:szCs w:val="18"/>
              </w:rPr>
            </w:pPr>
            <w:r w:rsidRPr="00E3173D">
              <w:rPr>
                <w:rFonts w:cs="Times New Roman"/>
                <w:sz w:val="18"/>
                <w:szCs w:val="18"/>
              </w:rPr>
              <w:t>Não disponível</w:t>
            </w:r>
          </w:p>
        </w:tc>
      </w:tr>
      <w:tr w:rsidR="00F21638" w:rsidRPr="00E3173D" w14:paraId="1B2C9634" w14:textId="77777777" w:rsidTr="00020344">
        <w:trPr>
          <w:jc w:val="center"/>
        </w:trPr>
        <w:tc>
          <w:tcPr>
            <w:tcW w:w="3199" w:type="pct"/>
            <w:shd w:val="clear" w:color="auto" w:fill="F2F2F2" w:themeFill="background1" w:themeFillShade="F2"/>
          </w:tcPr>
          <w:p w14:paraId="033868E6" w14:textId="77777777" w:rsidR="00F21638" w:rsidRPr="004E14B3" w:rsidRDefault="00F21638" w:rsidP="00020344">
            <w:pPr>
              <w:rPr>
                <w:rFonts w:cs="Times New Roman"/>
                <w:sz w:val="18"/>
                <w:szCs w:val="18"/>
              </w:rPr>
            </w:pPr>
            <w:r w:rsidRPr="004E14B3">
              <w:rPr>
                <w:rFonts w:cs="Times New Roman"/>
                <w:sz w:val="18"/>
                <w:szCs w:val="18"/>
              </w:rPr>
              <w:t>Pagamento de serviços de saúde prestados por hospital particular mediante ordem judicial.</w:t>
            </w:r>
          </w:p>
        </w:tc>
        <w:tc>
          <w:tcPr>
            <w:tcW w:w="1143" w:type="pct"/>
            <w:shd w:val="clear" w:color="auto" w:fill="F2F2F2" w:themeFill="background1" w:themeFillShade="F2"/>
          </w:tcPr>
          <w:p w14:paraId="261CEB77" w14:textId="77777777" w:rsidR="00F21638" w:rsidRPr="00E3173D" w:rsidRDefault="00F21638" w:rsidP="00020344">
            <w:pPr>
              <w:jc w:val="both"/>
              <w:rPr>
                <w:sz w:val="18"/>
                <w:szCs w:val="18"/>
              </w:rPr>
            </w:pPr>
            <w:r w:rsidRPr="00E3173D">
              <w:rPr>
                <w:sz w:val="18"/>
                <w:szCs w:val="18"/>
              </w:rPr>
              <w:t>RE 666.094</w:t>
            </w:r>
          </w:p>
        </w:tc>
        <w:tc>
          <w:tcPr>
            <w:tcW w:w="658" w:type="pct"/>
            <w:shd w:val="clear" w:color="auto" w:fill="F2F2F2" w:themeFill="background1" w:themeFillShade="F2"/>
          </w:tcPr>
          <w:p w14:paraId="3E81F8A5" w14:textId="77777777" w:rsidR="00F21638" w:rsidRPr="00E3173D" w:rsidRDefault="00F21638" w:rsidP="00020344">
            <w:pPr>
              <w:jc w:val="right"/>
              <w:rPr>
                <w:rFonts w:cs="Times New Roman"/>
                <w:sz w:val="18"/>
                <w:szCs w:val="18"/>
              </w:rPr>
            </w:pPr>
            <w:r w:rsidRPr="00E3173D">
              <w:rPr>
                <w:rFonts w:cs="Times New Roman"/>
                <w:sz w:val="18"/>
                <w:szCs w:val="18"/>
              </w:rPr>
              <w:t>Não disponível</w:t>
            </w:r>
          </w:p>
        </w:tc>
      </w:tr>
      <w:tr w:rsidR="00F21638" w:rsidRPr="00E3173D" w14:paraId="70F7BAB5" w14:textId="77777777" w:rsidTr="00020344">
        <w:trPr>
          <w:jc w:val="center"/>
        </w:trPr>
        <w:tc>
          <w:tcPr>
            <w:tcW w:w="3199" w:type="pct"/>
            <w:tcBorders>
              <w:bottom w:val="single" w:sz="4" w:space="0" w:color="BFBFBF" w:themeColor="background1" w:themeShade="BF"/>
            </w:tcBorders>
            <w:shd w:val="clear" w:color="auto" w:fill="auto"/>
          </w:tcPr>
          <w:p w14:paraId="188B0E94" w14:textId="77777777" w:rsidR="00F21638" w:rsidRPr="004E14B3" w:rsidRDefault="00F21638" w:rsidP="00020344">
            <w:pPr>
              <w:rPr>
                <w:sz w:val="18"/>
                <w:szCs w:val="18"/>
              </w:rPr>
            </w:pPr>
            <w:r w:rsidRPr="00A15859">
              <w:rPr>
                <w:sz w:val="18"/>
                <w:szCs w:val="18"/>
              </w:rPr>
              <w:t>Legitimidade para execução de acórdão do TCU que aplica multa a agente público municipal.</w:t>
            </w:r>
          </w:p>
        </w:tc>
        <w:tc>
          <w:tcPr>
            <w:tcW w:w="1143" w:type="pct"/>
            <w:tcBorders>
              <w:bottom w:val="single" w:sz="4" w:space="0" w:color="BFBFBF" w:themeColor="background1" w:themeShade="BF"/>
            </w:tcBorders>
            <w:shd w:val="clear" w:color="auto" w:fill="auto"/>
          </w:tcPr>
          <w:p w14:paraId="29BAF465" w14:textId="77777777" w:rsidR="00F21638" w:rsidRPr="00E3173D" w:rsidRDefault="00F21638" w:rsidP="00020344">
            <w:pPr>
              <w:jc w:val="both"/>
              <w:rPr>
                <w:sz w:val="18"/>
                <w:szCs w:val="18"/>
              </w:rPr>
            </w:pPr>
            <w:r w:rsidRPr="00A15859">
              <w:rPr>
                <w:sz w:val="18"/>
                <w:szCs w:val="18"/>
              </w:rPr>
              <w:t>RE 1</w:t>
            </w:r>
            <w:r>
              <w:rPr>
                <w:sz w:val="18"/>
                <w:szCs w:val="18"/>
              </w:rPr>
              <w:t>.</w:t>
            </w:r>
            <w:r w:rsidRPr="00A15859">
              <w:rPr>
                <w:sz w:val="18"/>
                <w:szCs w:val="18"/>
              </w:rPr>
              <w:t>003</w:t>
            </w:r>
            <w:r>
              <w:rPr>
                <w:sz w:val="18"/>
                <w:szCs w:val="18"/>
              </w:rPr>
              <w:t>.</w:t>
            </w:r>
            <w:r w:rsidRPr="00A15859">
              <w:rPr>
                <w:sz w:val="18"/>
                <w:szCs w:val="18"/>
              </w:rPr>
              <w:t>433</w:t>
            </w:r>
          </w:p>
        </w:tc>
        <w:tc>
          <w:tcPr>
            <w:tcW w:w="658" w:type="pct"/>
            <w:tcBorders>
              <w:bottom w:val="single" w:sz="4" w:space="0" w:color="BFBFBF" w:themeColor="background1" w:themeShade="BF"/>
            </w:tcBorders>
            <w:shd w:val="clear" w:color="auto" w:fill="auto"/>
          </w:tcPr>
          <w:p w14:paraId="043E9C1D" w14:textId="77777777" w:rsidR="00F21638" w:rsidRPr="00E3173D" w:rsidRDefault="00F21638" w:rsidP="00020344">
            <w:pPr>
              <w:jc w:val="right"/>
              <w:rPr>
                <w:sz w:val="18"/>
                <w:szCs w:val="18"/>
              </w:rPr>
            </w:pPr>
            <w:r w:rsidRPr="00E3173D">
              <w:rPr>
                <w:rFonts w:cs="Times New Roman"/>
                <w:sz w:val="18"/>
                <w:szCs w:val="18"/>
              </w:rPr>
              <w:t>Não disponível</w:t>
            </w:r>
          </w:p>
        </w:tc>
      </w:tr>
      <w:tr w:rsidR="00F21638" w:rsidRPr="00E3173D" w14:paraId="534224D6" w14:textId="77777777" w:rsidTr="00020344">
        <w:trPr>
          <w:jc w:val="center"/>
        </w:trPr>
        <w:tc>
          <w:tcPr>
            <w:tcW w:w="3199" w:type="pct"/>
            <w:tcBorders>
              <w:bottom w:val="single" w:sz="4" w:space="0" w:color="BFBFBF" w:themeColor="background1" w:themeShade="BF"/>
            </w:tcBorders>
            <w:shd w:val="clear" w:color="auto" w:fill="F2F2F2" w:themeFill="background1" w:themeFillShade="F2"/>
          </w:tcPr>
          <w:p w14:paraId="46522271" w14:textId="51F9045A" w:rsidR="00F21638" w:rsidRPr="004E14B3" w:rsidRDefault="00F21638" w:rsidP="00F66C3D">
            <w:pPr>
              <w:rPr>
                <w:sz w:val="18"/>
                <w:szCs w:val="18"/>
              </w:rPr>
            </w:pPr>
            <w:r>
              <w:rPr>
                <w:rFonts w:ascii="Calibri" w:hAnsi="Calibri" w:cs="Calibri"/>
                <w:sz w:val="18"/>
                <w:szCs w:val="18"/>
              </w:rPr>
              <w:t>Indenização em pecúnia por férias não gozadas por servidor ativo.</w:t>
            </w:r>
          </w:p>
        </w:tc>
        <w:tc>
          <w:tcPr>
            <w:tcW w:w="1143" w:type="pct"/>
            <w:tcBorders>
              <w:bottom w:val="single" w:sz="4" w:space="0" w:color="BFBFBF" w:themeColor="background1" w:themeShade="BF"/>
            </w:tcBorders>
            <w:shd w:val="clear" w:color="auto" w:fill="F2F2F2" w:themeFill="background1" w:themeFillShade="F2"/>
          </w:tcPr>
          <w:p w14:paraId="1AA5DB37" w14:textId="3583BA3F" w:rsidR="00F21638" w:rsidRPr="00E3173D" w:rsidRDefault="00F21638" w:rsidP="00F66C3D">
            <w:pPr>
              <w:jc w:val="both"/>
              <w:rPr>
                <w:sz w:val="18"/>
                <w:szCs w:val="18"/>
              </w:rPr>
            </w:pPr>
            <w:r>
              <w:rPr>
                <w:rFonts w:ascii="Calibri" w:hAnsi="Calibri" w:cs="Calibri"/>
                <w:color w:val="000000"/>
                <w:sz w:val="18"/>
                <w:szCs w:val="18"/>
              </w:rPr>
              <w:t>ARE 721.001</w:t>
            </w:r>
          </w:p>
        </w:tc>
        <w:tc>
          <w:tcPr>
            <w:tcW w:w="658" w:type="pct"/>
            <w:tcBorders>
              <w:bottom w:val="single" w:sz="4" w:space="0" w:color="BFBFBF" w:themeColor="background1" w:themeShade="BF"/>
            </w:tcBorders>
            <w:shd w:val="clear" w:color="auto" w:fill="F2F2F2" w:themeFill="background1" w:themeFillShade="F2"/>
          </w:tcPr>
          <w:p w14:paraId="67D78CD1" w14:textId="77777777" w:rsidR="00F21638" w:rsidRPr="00E3173D" w:rsidRDefault="00F21638" w:rsidP="00020344">
            <w:pPr>
              <w:jc w:val="right"/>
              <w:rPr>
                <w:sz w:val="18"/>
                <w:szCs w:val="18"/>
              </w:rPr>
            </w:pPr>
            <w:r>
              <w:rPr>
                <w:sz w:val="18"/>
                <w:szCs w:val="18"/>
              </w:rPr>
              <w:t>3,9</w:t>
            </w:r>
          </w:p>
        </w:tc>
      </w:tr>
      <w:tr w:rsidR="00F21638" w:rsidRPr="00E3173D" w14:paraId="37DC4677" w14:textId="77777777" w:rsidTr="00020344">
        <w:trPr>
          <w:jc w:val="center"/>
        </w:trPr>
        <w:tc>
          <w:tcPr>
            <w:tcW w:w="3199" w:type="pct"/>
            <w:tcBorders>
              <w:bottom w:val="single" w:sz="4" w:space="0" w:color="BFBFBF" w:themeColor="background1" w:themeShade="BF"/>
            </w:tcBorders>
            <w:shd w:val="clear" w:color="auto" w:fill="auto"/>
          </w:tcPr>
          <w:p w14:paraId="2B8C09B3" w14:textId="77777777" w:rsidR="00F21638" w:rsidRPr="004E14B3" w:rsidRDefault="00F21638" w:rsidP="00020344">
            <w:pPr>
              <w:rPr>
                <w:sz w:val="18"/>
                <w:szCs w:val="18"/>
              </w:rPr>
            </w:pPr>
            <w:r w:rsidRPr="00473C54">
              <w:rPr>
                <w:sz w:val="18"/>
                <w:szCs w:val="18"/>
              </w:rPr>
              <w:t>Arbitragem - Trata-se de duas arbitragens (instância única) reunidas por conexão, em curso na Câmara de Arbitragem do Mercado (CAM). Atuação processual do NEA.</w:t>
            </w:r>
          </w:p>
        </w:tc>
        <w:tc>
          <w:tcPr>
            <w:tcW w:w="1143" w:type="pct"/>
            <w:tcBorders>
              <w:bottom w:val="single" w:sz="4" w:space="0" w:color="BFBFBF" w:themeColor="background1" w:themeShade="BF"/>
            </w:tcBorders>
            <w:shd w:val="clear" w:color="auto" w:fill="auto"/>
          </w:tcPr>
          <w:p w14:paraId="365CD758" w14:textId="77777777" w:rsidR="00F21638" w:rsidRDefault="00F21638" w:rsidP="00020344">
            <w:pPr>
              <w:jc w:val="both"/>
              <w:rPr>
                <w:rFonts w:ascii="Calibri" w:hAnsi="Calibri" w:cs="Calibri"/>
                <w:sz w:val="18"/>
                <w:szCs w:val="18"/>
              </w:rPr>
            </w:pPr>
            <w:r>
              <w:rPr>
                <w:rFonts w:ascii="Calibri" w:hAnsi="Calibri" w:cs="Calibri"/>
                <w:sz w:val="18"/>
                <w:szCs w:val="18"/>
              </w:rPr>
              <w:t>85/2017 e 97/2017</w:t>
            </w:r>
          </w:p>
          <w:p w14:paraId="22BE111B" w14:textId="77777777" w:rsidR="00F21638" w:rsidRPr="00E3173D" w:rsidRDefault="00F21638" w:rsidP="00020344">
            <w:pPr>
              <w:jc w:val="both"/>
              <w:rPr>
                <w:sz w:val="18"/>
                <w:szCs w:val="18"/>
              </w:rPr>
            </w:pPr>
          </w:p>
        </w:tc>
        <w:tc>
          <w:tcPr>
            <w:tcW w:w="658" w:type="pct"/>
            <w:tcBorders>
              <w:bottom w:val="single" w:sz="4" w:space="0" w:color="BFBFBF" w:themeColor="background1" w:themeShade="BF"/>
            </w:tcBorders>
            <w:shd w:val="clear" w:color="auto" w:fill="auto"/>
          </w:tcPr>
          <w:p w14:paraId="70A2ECE2" w14:textId="77777777" w:rsidR="00F21638" w:rsidRDefault="00F21638" w:rsidP="00020344">
            <w:pPr>
              <w:jc w:val="right"/>
              <w:rPr>
                <w:rFonts w:ascii="Calibri" w:hAnsi="Calibri" w:cs="Calibri"/>
                <w:sz w:val="18"/>
                <w:szCs w:val="18"/>
              </w:rPr>
            </w:pPr>
            <w:r>
              <w:rPr>
                <w:rFonts w:ascii="Calibri" w:hAnsi="Calibri" w:cs="Calibri"/>
                <w:sz w:val="18"/>
                <w:szCs w:val="18"/>
              </w:rPr>
              <w:t>166,0</w:t>
            </w:r>
          </w:p>
          <w:p w14:paraId="35667D28" w14:textId="77777777" w:rsidR="00F21638" w:rsidRPr="00E3173D" w:rsidRDefault="00F21638" w:rsidP="00020344">
            <w:pPr>
              <w:jc w:val="right"/>
              <w:rPr>
                <w:sz w:val="18"/>
                <w:szCs w:val="18"/>
              </w:rPr>
            </w:pPr>
          </w:p>
        </w:tc>
      </w:tr>
      <w:tr w:rsidR="00F21638" w:rsidRPr="00E3173D" w14:paraId="5F8C1B59" w14:textId="77777777" w:rsidTr="00020344">
        <w:trPr>
          <w:jc w:val="center"/>
        </w:trPr>
        <w:tc>
          <w:tcPr>
            <w:tcW w:w="3199" w:type="pct"/>
            <w:tcBorders>
              <w:bottom w:val="single" w:sz="4" w:space="0" w:color="BFBFBF" w:themeColor="background1" w:themeShade="BF"/>
            </w:tcBorders>
            <w:shd w:val="clear" w:color="auto" w:fill="F2F2F2" w:themeFill="background1" w:themeFillShade="F2"/>
          </w:tcPr>
          <w:p w14:paraId="18882264" w14:textId="4A2E5C28" w:rsidR="00F21638" w:rsidRPr="004E14B3" w:rsidRDefault="00F21638" w:rsidP="00020344">
            <w:pPr>
              <w:rPr>
                <w:sz w:val="18"/>
                <w:szCs w:val="18"/>
              </w:rPr>
            </w:pPr>
            <w:r w:rsidRPr="00473C54">
              <w:rPr>
                <w:sz w:val="18"/>
                <w:szCs w:val="18"/>
              </w:rPr>
              <w:t xml:space="preserve">Ação Ordinária - </w:t>
            </w:r>
            <w:proofErr w:type="spellStart"/>
            <w:r w:rsidRPr="00473C54">
              <w:rPr>
                <w:sz w:val="18"/>
                <w:szCs w:val="18"/>
              </w:rPr>
              <w:t>Sucro</w:t>
            </w:r>
            <w:proofErr w:type="spellEnd"/>
            <w:r w:rsidRPr="00473C54">
              <w:rPr>
                <w:sz w:val="18"/>
                <w:szCs w:val="18"/>
              </w:rPr>
              <w:t xml:space="preserve"> - Indenização por danos</w:t>
            </w:r>
            <w:r w:rsidR="00F66C3D">
              <w:rPr>
                <w:sz w:val="18"/>
                <w:szCs w:val="18"/>
              </w:rPr>
              <w:t>.</w:t>
            </w:r>
          </w:p>
        </w:tc>
        <w:tc>
          <w:tcPr>
            <w:tcW w:w="1143" w:type="pct"/>
            <w:tcBorders>
              <w:bottom w:val="single" w:sz="4" w:space="0" w:color="BFBFBF" w:themeColor="background1" w:themeShade="BF"/>
            </w:tcBorders>
            <w:shd w:val="clear" w:color="auto" w:fill="F2F2F2" w:themeFill="background1" w:themeFillShade="F2"/>
          </w:tcPr>
          <w:p w14:paraId="399C2408" w14:textId="77777777" w:rsidR="00F21638" w:rsidRPr="00E3173D" w:rsidRDefault="00F21638" w:rsidP="00020344">
            <w:pPr>
              <w:jc w:val="both"/>
              <w:rPr>
                <w:sz w:val="18"/>
                <w:szCs w:val="18"/>
              </w:rPr>
            </w:pPr>
            <w:r w:rsidRPr="00473C54">
              <w:rPr>
                <w:sz w:val="18"/>
                <w:szCs w:val="18"/>
              </w:rPr>
              <w:t>0022411-76.2008.4.01.3400</w:t>
            </w:r>
          </w:p>
        </w:tc>
        <w:tc>
          <w:tcPr>
            <w:tcW w:w="658" w:type="pct"/>
            <w:tcBorders>
              <w:bottom w:val="single" w:sz="4" w:space="0" w:color="BFBFBF" w:themeColor="background1" w:themeShade="BF"/>
            </w:tcBorders>
            <w:shd w:val="clear" w:color="auto" w:fill="F2F2F2" w:themeFill="background1" w:themeFillShade="F2"/>
          </w:tcPr>
          <w:p w14:paraId="361F083F" w14:textId="77777777" w:rsidR="00F21638" w:rsidRPr="00E3173D" w:rsidRDefault="00F21638" w:rsidP="00020344">
            <w:pPr>
              <w:jc w:val="right"/>
              <w:rPr>
                <w:sz w:val="18"/>
                <w:szCs w:val="18"/>
              </w:rPr>
            </w:pPr>
            <w:r>
              <w:rPr>
                <w:sz w:val="18"/>
                <w:szCs w:val="18"/>
              </w:rPr>
              <w:t>1,0</w:t>
            </w:r>
          </w:p>
        </w:tc>
      </w:tr>
      <w:tr w:rsidR="00F21638" w:rsidRPr="00E3173D" w14:paraId="1A6C136D" w14:textId="77777777" w:rsidTr="00020344">
        <w:trPr>
          <w:jc w:val="center"/>
        </w:trPr>
        <w:tc>
          <w:tcPr>
            <w:tcW w:w="3199" w:type="pct"/>
            <w:tcBorders>
              <w:bottom w:val="single" w:sz="4" w:space="0" w:color="BFBFBF" w:themeColor="background1" w:themeShade="BF"/>
            </w:tcBorders>
            <w:shd w:val="clear" w:color="auto" w:fill="auto"/>
          </w:tcPr>
          <w:p w14:paraId="1D020398" w14:textId="6F9251B4" w:rsidR="00F21638" w:rsidRPr="004E14B3" w:rsidRDefault="00F21638" w:rsidP="00020344">
            <w:pPr>
              <w:rPr>
                <w:sz w:val="18"/>
                <w:szCs w:val="18"/>
              </w:rPr>
            </w:pPr>
            <w:r w:rsidRPr="00473C54">
              <w:rPr>
                <w:sz w:val="18"/>
                <w:szCs w:val="18"/>
              </w:rPr>
              <w:t>Ação de Desapropriação (área do sítio aeroportuário de Vitória)</w:t>
            </w:r>
            <w:r w:rsidR="00F66C3D">
              <w:rPr>
                <w:sz w:val="18"/>
                <w:szCs w:val="18"/>
              </w:rPr>
              <w:t>.</w:t>
            </w:r>
          </w:p>
        </w:tc>
        <w:tc>
          <w:tcPr>
            <w:tcW w:w="1143" w:type="pct"/>
            <w:tcBorders>
              <w:bottom w:val="single" w:sz="4" w:space="0" w:color="BFBFBF" w:themeColor="background1" w:themeShade="BF"/>
            </w:tcBorders>
            <w:shd w:val="clear" w:color="auto" w:fill="auto"/>
          </w:tcPr>
          <w:p w14:paraId="7150A506" w14:textId="77777777" w:rsidR="00F21638" w:rsidRPr="00E3173D" w:rsidRDefault="00F21638" w:rsidP="00020344">
            <w:pPr>
              <w:jc w:val="both"/>
              <w:rPr>
                <w:sz w:val="18"/>
                <w:szCs w:val="18"/>
              </w:rPr>
            </w:pPr>
            <w:r w:rsidRPr="00473C54">
              <w:rPr>
                <w:sz w:val="18"/>
                <w:szCs w:val="18"/>
              </w:rPr>
              <w:t>0020465-75.1900.4.02.5001</w:t>
            </w:r>
          </w:p>
        </w:tc>
        <w:tc>
          <w:tcPr>
            <w:tcW w:w="658" w:type="pct"/>
            <w:tcBorders>
              <w:bottom w:val="single" w:sz="4" w:space="0" w:color="BFBFBF" w:themeColor="background1" w:themeShade="BF"/>
            </w:tcBorders>
            <w:shd w:val="clear" w:color="auto" w:fill="auto"/>
          </w:tcPr>
          <w:p w14:paraId="3DD7C9F8" w14:textId="77777777" w:rsidR="00F21638" w:rsidRPr="00E3173D" w:rsidRDefault="00F21638" w:rsidP="00020344">
            <w:pPr>
              <w:jc w:val="right"/>
              <w:rPr>
                <w:sz w:val="18"/>
                <w:szCs w:val="18"/>
              </w:rPr>
            </w:pPr>
            <w:r>
              <w:rPr>
                <w:sz w:val="18"/>
                <w:szCs w:val="18"/>
              </w:rPr>
              <w:t>1,3</w:t>
            </w:r>
          </w:p>
        </w:tc>
      </w:tr>
      <w:tr w:rsidR="00F21638" w:rsidRPr="00E3173D" w14:paraId="47758A7A" w14:textId="77777777" w:rsidTr="00020344">
        <w:trPr>
          <w:jc w:val="center"/>
        </w:trPr>
        <w:tc>
          <w:tcPr>
            <w:tcW w:w="3199" w:type="pct"/>
            <w:tcBorders>
              <w:bottom w:val="single" w:sz="4" w:space="0" w:color="BFBFBF" w:themeColor="background1" w:themeShade="BF"/>
            </w:tcBorders>
            <w:shd w:val="clear" w:color="auto" w:fill="F2F2F2" w:themeFill="background1" w:themeFillShade="F2"/>
          </w:tcPr>
          <w:p w14:paraId="3F31F864" w14:textId="5B556B2A" w:rsidR="00F21638" w:rsidRPr="004E14B3" w:rsidRDefault="00F21638" w:rsidP="00020344">
            <w:pPr>
              <w:rPr>
                <w:sz w:val="18"/>
                <w:szCs w:val="18"/>
              </w:rPr>
            </w:pPr>
            <w:r w:rsidRPr="00473C54">
              <w:rPr>
                <w:sz w:val="18"/>
                <w:szCs w:val="18"/>
              </w:rPr>
              <w:t>Ação Civil Pública - Contrato Concessão</w:t>
            </w:r>
            <w:r w:rsidR="00F66C3D">
              <w:rPr>
                <w:sz w:val="18"/>
                <w:szCs w:val="18"/>
              </w:rPr>
              <w:t>.</w:t>
            </w:r>
          </w:p>
        </w:tc>
        <w:tc>
          <w:tcPr>
            <w:tcW w:w="1143" w:type="pct"/>
            <w:tcBorders>
              <w:bottom w:val="single" w:sz="4" w:space="0" w:color="BFBFBF" w:themeColor="background1" w:themeShade="BF"/>
            </w:tcBorders>
            <w:shd w:val="clear" w:color="auto" w:fill="F2F2F2" w:themeFill="background1" w:themeFillShade="F2"/>
          </w:tcPr>
          <w:p w14:paraId="7B12EC37" w14:textId="77777777" w:rsidR="00F21638" w:rsidRPr="00E3173D" w:rsidRDefault="00F21638" w:rsidP="00020344">
            <w:pPr>
              <w:jc w:val="both"/>
              <w:rPr>
                <w:sz w:val="18"/>
                <w:szCs w:val="18"/>
              </w:rPr>
            </w:pPr>
            <w:r w:rsidRPr="00473C54">
              <w:rPr>
                <w:sz w:val="18"/>
                <w:szCs w:val="18"/>
              </w:rPr>
              <w:t>5006063-63.2018.4.02.5001</w:t>
            </w:r>
          </w:p>
        </w:tc>
        <w:tc>
          <w:tcPr>
            <w:tcW w:w="658" w:type="pct"/>
            <w:tcBorders>
              <w:bottom w:val="single" w:sz="4" w:space="0" w:color="BFBFBF" w:themeColor="background1" w:themeShade="BF"/>
            </w:tcBorders>
            <w:shd w:val="clear" w:color="auto" w:fill="F2F2F2" w:themeFill="background1" w:themeFillShade="F2"/>
          </w:tcPr>
          <w:p w14:paraId="1FFCFCA8" w14:textId="77777777" w:rsidR="00F21638" w:rsidRPr="00E3173D" w:rsidRDefault="00F21638" w:rsidP="00020344">
            <w:pPr>
              <w:jc w:val="right"/>
              <w:rPr>
                <w:sz w:val="18"/>
                <w:szCs w:val="18"/>
              </w:rPr>
            </w:pPr>
            <w:r>
              <w:rPr>
                <w:sz w:val="18"/>
                <w:szCs w:val="18"/>
              </w:rPr>
              <w:t>14,0</w:t>
            </w:r>
          </w:p>
        </w:tc>
      </w:tr>
      <w:tr w:rsidR="00F21638" w:rsidRPr="00E3173D" w14:paraId="126ACD83" w14:textId="77777777" w:rsidTr="00020344">
        <w:trPr>
          <w:jc w:val="center"/>
        </w:trPr>
        <w:tc>
          <w:tcPr>
            <w:tcW w:w="3199" w:type="pct"/>
            <w:tcBorders>
              <w:bottom w:val="single" w:sz="4" w:space="0" w:color="BFBFBF" w:themeColor="background1" w:themeShade="BF"/>
            </w:tcBorders>
            <w:shd w:val="clear" w:color="auto" w:fill="auto"/>
          </w:tcPr>
          <w:p w14:paraId="034E552C" w14:textId="4F761916" w:rsidR="00F21638" w:rsidRPr="004E14B3" w:rsidRDefault="00F21638" w:rsidP="00020344">
            <w:pPr>
              <w:rPr>
                <w:sz w:val="18"/>
                <w:szCs w:val="18"/>
              </w:rPr>
            </w:pPr>
            <w:r w:rsidRPr="00473C54">
              <w:rPr>
                <w:sz w:val="18"/>
                <w:szCs w:val="18"/>
              </w:rPr>
              <w:t xml:space="preserve">Indenização </w:t>
            </w:r>
            <w:r w:rsidR="00F66C3D">
              <w:rPr>
                <w:sz w:val="18"/>
                <w:szCs w:val="18"/>
              </w:rPr>
              <w:t>–</w:t>
            </w:r>
            <w:r w:rsidRPr="00473C54">
              <w:rPr>
                <w:sz w:val="18"/>
                <w:szCs w:val="18"/>
              </w:rPr>
              <w:t xml:space="preserve"> </w:t>
            </w:r>
            <w:proofErr w:type="spellStart"/>
            <w:r w:rsidRPr="00473C54">
              <w:rPr>
                <w:sz w:val="18"/>
                <w:szCs w:val="18"/>
              </w:rPr>
              <w:t>Sucro</w:t>
            </w:r>
            <w:proofErr w:type="spellEnd"/>
            <w:r w:rsidR="00F66C3D">
              <w:rPr>
                <w:sz w:val="18"/>
                <w:szCs w:val="18"/>
              </w:rPr>
              <w:t>.</w:t>
            </w:r>
          </w:p>
        </w:tc>
        <w:tc>
          <w:tcPr>
            <w:tcW w:w="1143" w:type="pct"/>
            <w:tcBorders>
              <w:bottom w:val="single" w:sz="4" w:space="0" w:color="BFBFBF" w:themeColor="background1" w:themeShade="BF"/>
            </w:tcBorders>
            <w:shd w:val="clear" w:color="auto" w:fill="auto"/>
          </w:tcPr>
          <w:p w14:paraId="6F262D35" w14:textId="77777777" w:rsidR="00F21638" w:rsidRPr="00E3173D" w:rsidRDefault="00F21638" w:rsidP="00020344">
            <w:pPr>
              <w:jc w:val="both"/>
              <w:rPr>
                <w:sz w:val="18"/>
                <w:szCs w:val="18"/>
              </w:rPr>
            </w:pPr>
            <w:r w:rsidRPr="00473C54">
              <w:rPr>
                <w:sz w:val="18"/>
                <w:szCs w:val="18"/>
              </w:rPr>
              <w:t>0008101-43.1989.4.02.5101</w:t>
            </w:r>
          </w:p>
        </w:tc>
        <w:tc>
          <w:tcPr>
            <w:tcW w:w="658" w:type="pct"/>
            <w:tcBorders>
              <w:bottom w:val="single" w:sz="4" w:space="0" w:color="BFBFBF" w:themeColor="background1" w:themeShade="BF"/>
            </w:tcBorders>
            <w:shd w:val="clear" w:color="auto" w:fill="auto"/>
          </w:tcPr>
          <w:p w14:paraId="26A13B40" w14:textId="77777777" w:rsidR="00F21638" w:rsidRPr="00E3173D" w:rsidRDefault="00F21638" w:rsidP="00020344">
            <w:pPr>
              <w:jc w:val="right"/>
              <w:rPr>
                <w:sz w:val="18"/>
                <w:szCs w:val="18"/>
              </w:rPr>
            </w:pPr>
            <w:r>
              <w:rPr>
                <w:sz w:val="18"/>
                <w:szCs w:val="18"/>
              </w:rPr>
              <w:t>1,0</w:t>
            </w:r>
          </w:p>
        </w:tc>
      </w:tr>
      <w:tr w:rsidR="00F21638" w:rsidRPr="00E3173D" w14:paraId="744DDEF7" w14:textId="77777777" w:rsidTr="00020344">
        <w:trPr>
          <w:jc w:val="center"/>
        </w:trPr>
        <w:tc>
          <w:tcPr>
            <w:tcW w:w="3199" w:type="pct"/>
            <w:tcBorders>
              <w:bottom w:val="single" w:sz="4" w:space="0" w:color="BFBFBF" w:themeColor="background1" w:themeShade="BF"/>
            </w:tcBorders>
            <w:shd w:val="clear" w:color="auto" w:fill="F2F2F2" w:themeFill="background1" w:themeFillShade="F2"/>
          </w:tcPr>
          <w:p w14:paraId="265AC41A" w14:textId="00AD4A0C" w:rsidR="00F21638" w:rsidRPr="00473C54" w:rsidRDefault="00F21638" w:rsidP="00020344">
            <w:pPr>
              <w:rPr>
                <w:sz w:val="18"/>
                <w:szCs w:val="18"/>
              </w:rPr>
            </w:pPr>
            <w:r w:rsidRPr="00473C54">
              <w:rPr>
                <w:sz w:val="18"/>
                <w:szCs w:val="18"/>
              </w:rPr>
              <w:t>Ação Ordinária - Fundos de Pensão</w:t>
            </w:r>
            <w:r w:rsidR="00F66C3D">
              <w:rPr>
                <w:sz w:val="18"/>
                <w:szCs w:val="18"/>
              </w:rPr>
              <w:t>.</w:t>
            </w:r>
          </w:p>
        </w:tc>
        <w:tc>
          <w:tcPr>
            <w:tcW w:w="1143" w:type="pct"/>
            <w:tcBorders>
              <w:bottom w:val="single" w:sz="4" w:space="0" w:color="BFBFBF" w:themeColor="background1" w:themeShade="BF"/>
            </w:tcBorders>
            <w:shd w:val="clear" w:color="auto" w:fill="F2F2F2" w:themeFill="background1" w:themeFillShade="F2"/>
          </w:tcPr>
          <w:p w14:paraId="0321E50D" w14:textId="77777777" w:rsidR="00F21638" w:rsidRPr="00473C54" w:rsidRDefault="00F21638" w:rsidP="00020344">
            <w:pPr>
              <w:jc w:val="both"/>
              <w:rPr>
                <w:sz w:val="18"/>
                <w:szCs w:val="18"/>
              </w:rPr>
            </w:pPr>
            <w:r w:rsidRPr="00473C54">
              <w:rPr>
                <w:sz w:val="18"/>
                <w:szCs w:val="18"/>
              </w:rPr>
              <w:t>0008839-79.1999.4.02.5101</w:t>
            </w:r>
          </w:p>
        </w:tc>
        <w:tc>
          <w:tcPr>
            <w:tcW w:w="658" w:type="pct"/>
            <w:tcBorders>
              <w:bottom w:val="single" w:sz="4" w:space="0" w:color="BFBFBF" w:themeColor="background1" w:themeShade="BF"/>
            </w:tcBorders>
            <w:shd w:val="clear" w:color="auto" w:fill="F2F2F2" w:themeFill="background1" w:themeFillShade="F2"/>
          </w:tcPr>
          <w:p w14:paraId="465CE1C3" w14:textId="77777777" w:rsidR="00F21638" w:rsidRDefault="00F21638" w:rsidP="00020344">
            <w:pPr>
              <w:jc w:val="right"/>
              <w:rPr>
                <w:sz w:val="18"/>
                <w:szCs w:val="18"/>
              </w:rPr>
            </w:pPr>
            <w:r>
              <w:rPr>
                <w:sz w:val="18"/>
                <w:szCs w:val="18"/>
              </w:rPr>
              <w:t>1,2</w:t>
            </w:r>
          </w:p>
        </w:tc>
      </w:tr>
      <w:tr w:rsidR="00F21638" w:rsidRPr="00E3173D" w14:paraId="2A20152B" w14:textId="77777777" w:rsidTr="00020344">
        <w:trPr>
          <w:jc w:val="center"/>
        </w:trPr>
        <w:tc>
          <w:tcPr>
            <w:tcW w:w="3199" w:type="pct"/>
            <w:tcBorders>
              <w:bottom w:val="single" w:sz="4" w:space="0" w:color="BFBFBF" w:themeColor="background1" w:themeShade="BF"/>
            </w:tcBorders>
            <w:shd w:val="clear" w:color="auto" w:fill="auto"/>
          </w:tcPr>
          <w:p w14:paraId="6A6F9480" w14:textId="12FE54CD" w:rsidR="00F21638" w:rsidRPr="00473C54" w:rsidRDefault="00F21638" w:rsidP="00020344">
            <w:pPr>
              <w:rPr>
                <w:sz w:val="18"/>
                <w:szCs w:val="18"/>
              </w:rPr>
            </w:pPr>
            <w:r w:rsidRPr="00473C54">
              <w:rPr>
                <w:sz w:val="18"/>
                <w:szCs w:val="18"/>
              </w:rPr>
              <w:t>Ação Trabalhista - Diferenças Salariais</w:t>
            </w:r>
            <w:r w:rsidR="00F66C3D">
              <w:rPr>
                <w:sz w:val="18"/>
                <w:szCs w:val="18"/>
              </w:rPr>
              <w:t>.</w:t>
            </w:r>
          </w:p>
        </w:tc>
        <w:tc>
          <w:tcPr>
            <w:tcW w:w="1143" w:type="pct"/>
            <w:tcBorders>
              <w:bottom w:val="single" w:sz="4" w:space="0" w:color="BFBFBF" w:themeColor="background1" w:themeShade="BF"/>
            </w:tcBorders>
            <w:shd w:val="clear" w:color="auto" w:fill="auto"/>
          </w:tcPr>
          <w:p w14:paraId="55A0EC8F" w14:textId="77777777" w:rsidR="00F21638" w:rsidRPr="00473C54" w:rsidRDefault="00F21638" w:rsidP="00020344">
            <w:pPr>
              <w:jc w:val="both"/>
              <w:rPr>
                <w:sz w:val="18"/>
                <w:szCs w:val="18"/>
              </w:rPr>
            </w:pPr>
            <w:r w:rsidRPr="00473C54">
              <w:rPr>
                <w:sz w:val="18"/>
                <w:szCs w:val="18"/>
              </w:rPr>
              <w:t>0064500-25.1989.5.01.0029</w:t>
            </w:r>
          </w:p>
        </w:tc>
        <w:tc>
          <w:tcPr>
            <w:tcW w:w="658" w:type="pct"/>
            <w:tcBorders>
              <w:bottom w:val="single" w:sz="4" w:space="0" w:color="BFBFBF" w:themeColor="background1" w:themeShade="BF"/>
            </w:tcBorders>
            <w:shd w:val="clear" w:color="auto" w:fill="auto"/>
          </w:tcPr>
          <w:p w14:paraId="199FFFAB" w14:textId="77777777" w:rsidR="00F21638" w:rsidRDefault="00F21638" w:rsidP="00020344">
            <w:pPr>
              <w:jc w:val="right"/>
              <w:rPr>
                <w:sz w:val="18"/>
                <w:szCs w:val="18"/>
              </w:rPr>
            </w:pPr>
            <w:r>
              <w:rPr>
                <w:sz w:val="18"/>
                <w:szCs w:val="18"/>
              </w:rPr>
              <w:t>1,6</w:t>
            </w:r>
          </w:p>
        </w:tc>
      </w:tr>
      <w:tr w:rsidR="00F21638" w:rsidRPr="00E3173D" w14:paraId="689B6F28" w14:textId="77777777" w:rsidTr="00020344">
        <w:trPr>
          <w:jc w:val="center"/>
        </w:trPr>
        <w:tc>
          <w:tcPr>
            <w:tcW w:w="3199" w:type="pct"/>
            <w:tcBorders>
              <w:bottom w:val="single" w:sz="4" w:space="0" w:color="BFBFBF" w:themeColor="background1" w:themeShade="BF"/>
            </w:tcBorders>
            <w:shd w:val="clear" w:color="auto" w:fill="F2F2F2" w:themeFill="background1" w:themeFillShade="F2"/>
          </w:tcPr>
          <w:p w14:paraId="2BD8E87E" w14:textId="60D10DAF" w:rsidR="00F21638" w:rsidRPr="00473C54" w:rsidRDefault="00F21638" w:rsidP="00020344">
            <w:pPr>
              <w:rPr>
                <w:sz w:val="18"/>
                <w:szCs w:val="18"/>
              </w:rPr>
            </w:pPr>
            <w:r w:rsidRPr="00473C54">
              <w:rPr>
                <w:sz w:val="18"/>
                <w:szCs w:val="18"/>
              </w:rPr>
              <w:t xml:space="preserve">Ação Ordinária </w:t>
            </w:r>
            <w:r w:rsidR="00F66C3D">
              <w:rPr>
                <w:sz w:val="18"/>
                <w:szCs w:val="18"/>
              </w:rPr>
              <w:t>–</w:t>
            </w:r>
            <w:r w:rsidRPr="00473C54">
              <w:rPr>
                <w:sz w:val="18"/>
                <w:szCs w:val="18"/>
              </w:rPr>
              <w:t xml:space="preserve"> </w:t>
            </w:r>
            <w:proofErr w:type="spellStart"/>
            <w:r w:rsidRPr="00473C54">
              <w:rPr>
                <w:sz w:val="18"/>
                <w:szCs w:val="18"/>
              </w:rPr>
              <w:t>S</w:t>
            </w:r>
            <w:r>
              <w:rPr>
                <w:sz w:val="18"/>
                <w:szCs w:val="18"/>
              </w:rPr>
              <w:t>ucro</w:t>
            </w:r>
            <w:proofErr w:type="spellEnd"/>
            <w:r w:rsidR="00F66C3D">
              <w:rPr>
                <w:sz w:val="18"/>
                <w:szCs w:val="18"/>
              </w:rPr>
              <w:t>.</w:t>
            </w:r>
          </w:p>
        </w:tc>
        <w:tc>
          <w:tcPr>
            <w:tcW w:w="1143" w:type="pct"/>
            <w:tcBorders>
              <w:bottom w:val="single" w:sz="4" w:space="0" w:color="BFBFBF" w:themeColor="background1" w:themeShade="BF"/>
            </w:tcBorders>
            <w:shd w:val="clear" w:color="auto" w:fill="F2F2F2" w:themeFill="background1" w:themeFillShade="F2"/>
          </w:tcPr>
          <w:p w14:paraId="3B5BE365" w14:textId="77777777" w:rsidR="00F21638" w:rsidRPr="00473C54" w:rsidRDefault="00F21638" w:rsidP="00020344">
            <w:pPr>
              <w:jc w:val="both"/>
              <w:rPr>
                <w:sz w:val="18"/>
                <w:szCs w:val="18"/>
              </w:rPr>
            </w:pPr>
            <w:r w:rsidRPr="00473C54">
              <w:rPr>
                <w:sz w:val="18"/>
                <w:szCs w:val="18"/>
              </w:rPr>
              <w:t>0001447-06.1990.4.02.5101</w:t>
            </w:r>
          </w:p>
        </w:tc>
        <w:tc>
          <w:tcPr>
            <w:tcW w:w="658" w:type="pct"/>
            <w:tcBorders>
              <w:bottom w:val="single" w:sz="4" w:space="0" w:color="BFBFBF" w:themeColor="background1" w:themeShade="BF"/>
            </w:tcBorders>
            <w:shd w:val="clear" w:color="auto" w:fill="F2F2F2" w:themeFill="background1" w:themeFillShade="F2"/>
          </w:tcPr>
          <w:p w14:paraId="4F2F6751" w14:textId="77777777" w:rsidR="00F21638" w:rsidRDefault="00F21638" w:rsidP="00020344">
            <w:pPr>
              <w:jc w:val="right"/>
              <w:rPr>
                <w:sz w:val="18"/>
                <w:szCs w:val="18"/>
              </w:rPr>
            </w:pPr>
            <w:r>
              <w:rPr>
                <w:sz w:val="18"/>
                <w:szCs w:val="18"/>
              </w:rPr>
              <w:t>3,5</w:t>
            </w:r>
          </w:p>
        </w:tc>
      </w:tr>
      <w:tr w:rsidR="00F21638" w:rsidRPr="00E3173D" w14:paraId="7A753028" w14:textId="77777777" w:rsidTr="00020344">
        <w:trPr>
          <w:jc w:val="center"/>
        </w:trPr>
        <w:tc>
          <w:tcPr>
            <w:tcW w:w="3199" w:type="pct"/>
            <w:tcBorders>
              <w:bottom w:val="single" w:sz="4" w:space="0" w:color="BFBFBF" w:themeColor="background1" w:themeShade="BF"/>
            </w:tcBorders>
            <w:shd w:val="clear" w:color="auto" w:fill="auto"/>
          </w:tcPr>
          <w:p w14:paraId="2E043E7A" w14:textId="4F06D45B" w:rsidR="00F21638" w:rsidRPr="00473C54" w:rsidRDefault="00F21638" w:rsidP="00020344">
            <w:pPr>
              <w:rPr>
                <w:sz w:val="18"/>
                <w:szCs w:val="18"/>
              </w:rPr>
            </w:pPr>
            <w:r w:rsidRPr="00473C54">
              <w:rPr>
                <w:sz w:val="18"/>
                <w:szCs w:val="18"/>
              </w:rPr>
              <w:t>Ação de Desapropriação (d</w:t>
            </w:r>
            <w:r>
              <w:rPr>
                <w:sz w:val="18"/>
                <w:szCs w:val="18"/>
              </w:rPr>
              <w:t>e</w:t>
            </w:r>
            <w:r w:rsidRPr="00473C54">
              <w:rPr>
                <w:sz w:val="18"/>
                <w:szCs w:val="18"/>
              </w:rPr>
              <w:t>sapropriação Indireta – Cia. Siderúrgica)</w:t>
            </w:r>
            <w:r w:rsidR="00F66C3D">
              <w:rPr>
                <w:sz w:val="18"/>
                <w:szCs w:val="18"/>
              </w:rPr>
              <w:t>.</w:t>
            </w:r>
          </w:p>
        </w:tc>
        <w:tc>
          <w:tcPr>
            <w:tcW w:w="1143" w:type="pct"/>
            <w:tcBorders>
              <w:bottom w:val="single" w:sz="4" w:space="0" w:color="BFBFBF" w:themeColor="background1" w:themeShade="BF"/>
            </w:tcBorders>
            <w:shd w:val="clear" w:color="auto" w:fill="auto"/>
          </w:tcPr>
          <w:p w14:paraId="73DDAC34" w14:textId="77777777" w:rsidR="00F21638" w:rsidRPr="00473C54" w:rsidRDefault="00F21638" w:rsidP="00020344">
            <w:pPr>
              <w:jc w:val="both"/>
              <w:rPr>
                <w:sz w:val="18"/>
                <w:szCs w:val="18"/>
              </w:rPr>
            </w:pPr>
            <w:r w:rsidRPr="00AC0573">
              <w:rPr>
                <w:sz w:val="18"/>
                <w:szCs w:val="18"/>
              </w:rPr>
              <w:t>0079540-12.1992.4.02.5101</w:t>
            </w:r>
          </w:p>
        </w:tc>
        <w:tc>
          <w:tcPr>
            <w:tcW w:w="658" w:type="pct"/>
            <w:tcBorders>
              <w:bottom w:val="single" w:sz="4" w:space="0" w:color="BFBFBF" w:themeColor="background1" w:themeShade="BF"/>
            </w:tcBorders>
            <w:shd w:val="clear" w:color="auto" w:fill="auto"/>
          </w:tcPr>
          <w:p w14:paraId="1A243796" w14:textId="77777777" w:rsidR="00F21638" w:rsidRDefault="00F21638" w:rsidP="00020344">
            <w:pPr>
              <w:jc w:val="right"/>
              <w:rPr>
                <w:sz w:val="18"/>
                <w:szCs w:val="18"/>
              </w:rPr>
            </w:pPr>
            <w:r>
              <w:rPr>
                <w:sz w:val="18"/>
                <w:szCs w:val="18"/>
              </w:rPr>
              <w:t>24,0</w:t>
            </w:r>
          </w:p>
        </w:tc>
      </w:tr>
      <w:tr w:rsidR="00F21638" w:rsidRPr="00E3173D" w14:paraId="7157003D" w14:textId="77777777" w:rsidTr="00020344">
        <w:trPr>
          <w:jc w:val="center"/>
        </w:trPr>
        <w:tc>
          <w:tcPr>
            <w:tcW w:w="3199" w:type="pct"/>
            <w:tcBorders>
              <w:bottom w:val="single" w:sz="4" w:space="0" w:color="BFBFBF" w:themeColor="background1" w:themeShade="BF"/>
            </w:tcBorders>
            <w:shd w:val="clear" w:color="auto" w:fill="F2F2F2" w:themeFill="background1" w:themeFillShade="F2"/>
          </w:tcPr>
          <w:p w14:paraId="7CC57759" w14:textId="77777777" w:rsidR="00F21638" w:rsidRPr="00473C54" w:rsidRDefault="00F21638" w:rsidP="00020344">
            <w:pPr>
              <w:rPr>
                <w:sz w:val="18"/>
                <w:szCs w:val="18"/>
              </w:rPr>
            </w:pPr>
            <w:r w:rsidRPr="00AC0573">
              <w:rPr>
                <w:sz w:val="18"/>
                <w:szCs w:val="18"/>
              </w:rPr>
              <w:t xml:space="preserve">Ação Ordinária - Danos Morais Ação de indenização por danos </w:t>
            </w:r>
            <w:proofErr w:type="gramStart"/>
            <w:r w:rsidRPr="00AC0573">
              <w:rPr>
                <w:sz w:val="18"/>
                <w:szCs w:val="18"/>
              </w:rPr>
              <w:t>morais movida</w:t>
            </w:r>
            <w:proofErr w:type="gramEnd"/>
            <w:r w:rsidRPr="00AC0573">
              <w:rPr>
                <w:sz w:val="18"/>
                <w:szCs w:val="18"/>
              </w:rPr>
              <w:t xml:space="preserve"> em face da União e Fazenda Pública do Estado de São Paulo, pela violação de direitos fundamentais durante o Regime Militar</w:t>
            </w:r>
            <w:r>
              <w:rPr>
                <w:sz w:val="18"/>
                <w:szCs w:val="18"/>
              </w:rPr>
              <w:t>.</w:t>
            </w:r>
          </w:p>
        </w:tc>
        <w:tc>
          <w:tcPr>
            <w:tcW w:w="1143" w:type="pct"/>
            <w:tcBorders>
              <w:bottom w:val="single" w:sz="4" w:space="0" w:color="BFBFBF" w:themeColor="background1" w:themeShade="BF"/>
            </w:tcBorders>
            <w:shd w:val="clear" w:color="auto" w:fill="F2F2F2" w:themeFill="background1" w:themeFillShade="F2"/>
          </w:tcPr>
          <w:p w14:paraId="3E80853F" w14:textId="77777777" w:rsidR="00F21638" w:rsidRPr="00473C54" w:rsidRDefault="00F21638" w:rsidP="00020344">
            <w:pPr>
              <w:jc w:val="both"/>
              <w:rPr>
                <w:sz w:val="18"/>
                <w:szCs w:val="18"/>
              </w:rPr>
            </w:pPr>
            <w:r w:rsidRPr="00AC0573">
              <w:rPr>
                <w:sz w:val="18"/>
                <w:szCs w:val="18"/>
              </w:rPr>
              <w:t>0004263-64.2007.4.03.6126</w:t>
            </w:r>
          </w:p>
        </w:tc>
        <w:tc>
          <w:tcPr>
            <w:tcW w:w="658" w:type="pct"/>
            <w:tcBorders>
              <w:bottom w:val="single" w:sz="4" w:space="0" w:color="BFBFBF" w:themeColor="background1" w:themeShade="BF"/>
            </w:tcBorders>
            <w:shd w:val="clear" w:color="auto" w:fill="F2F2F2" w:themeFill="background1" w:themeFillShade="F2"/>
          </w:tcPr>
          <w:p w14:paraId="63849BB9" w14:textId="77777777" w:rsidR="00F21638" w:rsidRDefault="00F21638" w:rsidP="00020344">
            <w:pPr>
              <w:jc w:val="right"/>
              <w:rPr>
                <w:sz w:val="18"/>
                <w:szCs w:val="18"/>
              </w:rPr>
            </w:pPr>
            <w:r>
              <w:rPr>
                <w:sz w:val="18"/>
                <w:szCs w:val="18"/>
              </w:rPr>
              <w:t>1,8</w:t>
            </w:r>
          </w:p>
        </w:tc>
      </w:tr>
      <w:tr w:rsidR="00F21638" w:rsidRPr="00E3173D" w14:paraId="453BADB0" w14:textId="77777777" w:rsidTr="00020344">
        <w:trPr>
          <w:jc w:val="center"/>
        </w:trPr>
        <w:tc>
          <w:tcPr>
            <w:tcW w:w="3199" w:type="pct"/>
            <w:tcBorders>
              <w:bottom w:val="single" w:sz="4" w:space="0" w:color="BFBFBF" w:themeColor="background1" w:themeShade="BF"/>
            </w:tcBorders>
            <w:shd w:val="clear" w:color="auto" w:fill="auto"/>
          </w:tcPr>
          <w:p w14:paraId="31B123EA" w14:textId="77777777" w:rsidR="00F21638" w:rsidRPr="00473C54" w:rsidRDefault="00F21638" w:rsidP="00020344">
            <w:pPr>
              <w:rPr>
                <w:sz w:val="18"/>
                <w:szCs w:val="18"/>
              </w:rPr>
            </w:pPr>
            <w:r w:rsidRPr="00AC0573">
              <w:rPr>
                <w:sz w:val="18"/>
                <w:szCs w:val="18"/>
              </w:rPr>
              <w:t>Ação de Execução - Créditos Tributários - Na origem</w:t>
            </w:r>
            <w:proofErr w:type="gramStart"/>
            <w:r w:rsidRPr="00AC0573">
              <w:rPr>
                <w:sz w:val="18"/>
                <w:szCs w:val="18"/>
              </w:rPr>
              <w:t>, trata-se</w:t>
            </w:r>
            <w:proofErr w:type="gramEnd"/>
            <w:r w:rsidRPr="00AC0573">
              <w:rPr>
                <w:sz w:val="18"/>
                <w:szCs w:val="18"/>
              </w:rPr>
              <w:t xml:space="preserve"> de execução fiscal de créditos tributários que a Prefeitura Municipal de Santos propôs em 1993 em face da Cia de Navegação Lloyd Brasileiro.</w:t>
            </w:r>
          </w:p>
        </w:tc>
        <w:tc>
          <w:tcPr>
            <w:tcW w:w="1143" w:type="pct"/>
            <w:tcBorders>
              <w:bottom w:val="single" w:sz="4" w:space="0" w:color="BFBFBF" w:themeColor="background1" w:themeShade="BF"/>
            </w:tcBorders>
            <w:shd w:val="clear" w:color="auto" w:fill="auto"/>
          </w:tcPr>
          <w:p w14:paraId="73BB964E" w14:textId="77777777" w:rsidR="00F21638" w:rsidRDefault="00F21638" w:rsidP="00020344">
            <w:pPr>
              <w:jc w:val="both"/>
              <w:rPr>
                <w:rFonts w:ascii="Calibri" w:hAnsi="Calibri" w:cs="Calibri"/>
                <w:sz w:val="18"/>
                <w:szCs w:val="18"/>
              </w:rPr>
            </w:pPr>
            <w:r>
              <w:rPr>
                <w:rFonts w:ascii="Calibri" w:hAnsi="Calibri" w:cs="Calibri"/>
                <w:sz w:val="18"/>
                <w:szCs w:val="18"/>
              </w:rPr>
              <w:t>0020587-33.2014.4.03.0000</w:t>
            </w:r>
          </w:p>
          <w:p w14:paraId="7E82276B" w14:textId="77777777" w:rsidR="00F21638" w:rsidRPr="00473C54" w:rsidRDefault="00F21638" w:rsidP="00020344">
            <w:pPr>
              <w:jc w:val="both"/>
              <w:rPr>
                <w:sz w:val="18"/>
                <w:szCs w:val="18"/>
              </w:rPr>
            </w:pPr>
          </w:p>
        </w:tc>
        <w:tc>
          <w:tcPr>
            <w:tcW w:w="658" w:type="pct"/>
            <w:tcBorders>
              <w:bottom w:val="single" w:sz="4" w:space="0" w:color="BFBFBF" w:themeColor="background1" w:themeShade="BF"/>
            </w:tcBorders>
            <w:shd w:val="clear" w:color="auto" w:fill="auto"/>
          </w:tcPr>
          <w:p w14:paraId="622F2217" w14:textId="77777777" w:rsidR="00F21638" w:rsidRDefault="00F21638" w:rsidP="00020344">
            <w:pPr>
              <w:jc w:val="right"/>
              <w:rPr>
                <w:sz w:val="18"/>
                <w:szCs w:val="18"/>
              </w:rPr>
            </w:pPr>
            <w:r>
              <w:rPr>
                <w:sz w:val="18"/>
                <w:szCs w:val="18"/>
              </w:rPr>
              <w:t>1,3</w:t>
            </w:r>
          </w:p>
        </w:tc>
      </w:tr>
      <w:tr w:rsidR="00F21638" w:rsidRPr="00E3173D" w14:paraId="338FABF0" w14:textId="77777777" w:rsidTr="00020344">
        <w:trPr>
          <w:jc w:val="center"/>
        </w:trPr>
        <w:tc>
          <w:tcPr>
            <w:tcW w:w="3199" w:type="pct"/>
            <w:tcBorders>
              <w:bottom w:val="single" w:sz="4" w:space="0" w:color="BFBFBF" w:themeColor="background1" w:themeShade="BF"/>
            </w:tcBorders>
            <w:shd w:val="clear" w:color="auto" w:fill="F2F2F2" w:themeFill="background1" w:themeFillShade="F2"/>
          </w:tcPr>
          <w:p w14:paraId="1D8310E8" w14:textId="540D8278" w:rsidR="00F21638" w:rsidRDefault="00F21638" w:rsidP="00020344">
            <w:pPr>
              <w:rPr>
                <w:rFonts w:ascii="Calibri" w:hAnsi="Calibri" w:cs="Calibri"/>
                <w:sz w:val="18"/>
                <w:szCs w:val="18"/>
              </w:rPr>
            </w:pPr>
            <w:r>
              <w:rPr>
                <w:rFonts w:ascii="Calibri" w:hAnsi="Calibri" w:cs="Calibri"/>
                <w:sz w:val="18"/>
                <w:szCs w:val="18"/>
              </w:rPr>
              <w:t xml:space="preserve">Ação Ordinária - Indenização Obras (Miguel </w:t>
            </w:r>
            <w:proofErr w:type="spellStart"/>
            <w:r>
              <w:rPr>
                <w:rFonts w:ascii="Calibri" w:hAnsi="Calibri" w:cs="Calibri"/>
                <w:sz w:val="18"/>
                <w:szCs w:val="18"/>
              </w:rPr>
              <w:t>Pizzolante</w:t>
            </w:r>
            <w:proofErr w:type="spellEnd"/>
            <w:r>
              <w:rPr>
                <w:rFonts w:ascii="Calibri" w:hAnsi="Calibri" w:cs="Calibri"/>
                <w:sz w:val="18"/>
                <w:szCs w:val="18"/>
              </w:rPr>
              <w:t xml:space="preserve"> Filho - Espólio e outros)</w:t>
            </w:r>
            <w:r w:rsidR="00F66C3D">
              <w:rPr>
                <w:rFonts w:ascii="Calibri" w:hAnsi="Calibri" w:cs="Calibri"/>
                <w:sz w:val="18"/>
                <w:szCs w:val="18"/>
              </w:rPr>
              <w:t>.</w:t>
            </w:r>
          </w:p>
          <w:p w14:paraId="482C5133" w14:textId="77777777" w:rsidR="00F21638" w:rsidRPr="00473C54" w:rsidRDefault="00F21638" w:rsidP="00020344">
            <w:pPr>
              <w:rPr>
                <w:sz w:val="18"/>
                <w:szCs w:val="18"/>
              </w:rPr>
            </w:pPr>
          </w:p>
        </w:tc>
        <w:tc>
          <w:tcPr>
            <w:tcW w:w="1143" w:type="pct"/>
            <w:tcBorders>
              <w:bottom w:val="single" w:sz="4" w:space="0" w:color="BFBFBF" w:themeColor="background1" w:themeShade="BF"/>
            </w:tcBorders>
            <w:shd w:val="clear" w:color="auto" w:fill="F2F2F2" w:themeFill="background1" w:themeFillShade="F2"/>
          </w:tcPr>
          <w:p w14:paraId="6733DEDA" w14:textId="77777777" w:rsidR="00F21638" w:rsidRPr="00473C54" w:rsidRDefault="00F21638" w:rsidP="00020344">
            <w:pPr>
              <w:jc w:val="both"/>
              <w:rPr>
                <w:sz w:val="18"/>
                <w:szCs w:val="18"/>
              </w:rPr>
            </w:pPr>
            <w:r w:rsidRPr="00AC0573">
              <w:rPr>
                <w:sz w:val="18"/>
                <w:szCs w:val="18"/>
              </w:rPr>
              <w:t>0306781-98.1900.4.02.5101</w:t>
            </w:r>
          </w:p>
        </w:tc>
        <w:tc>
          <w:tcPr>
            <w:tcW w:w="658" w:type="pct"/>
            <w:tcBorders>
              <w:bottom w:val="single" w:sz="4" w:space="0" w:color="BFBFBF" w:themeColor="background1" w:themeShade="BF"/>
            </w:tcBorders>
            <w:shd w:val="clear" w:color="auto" w:fill="F2F2F2" w:themeFill="background1" w:themeFillShade="F2"/>
          </w:tcPr>
          <w:p w14:paraId="4BF93C6B" w14:textId="77777777" w:rsidR="00F21638" w:rsidRDefault="00F21638" w:rsidP="00020344">
            <w:pPr>
              <w:jc w:val="right"/>
              <w:rPr>
                <w:sz w:val="18"/>
                <w:szCs w:val="18"/>
              </w:rPr>
            </w:pPr>
            <w:r>
              <w:rPr>
                <w:sz w:val="18"/>
                <w:szCs w:val="18"/>
              </w:rPr>
              <w:t>2,0</w:t>
            </w:r>
          </w:p>
        </w:tc>
      </w:tr>
      <w:tr w:rsidR="00F21638" w:rsidRPr="00143798" w14:paraId="26743DA8" w14:textId="77777777" w:rsidTr="00020344">
        <w:trPr>
          <w:jc w:val="center"/>
        </w:trPr>
        <w:tc>
          <w:tcPr>
            <w:tcW w:w="4342" w:type="pct"/>
            <w:gridSpan w:val="2"/>
            <w:tcBorders>
              <w:bottom w:val="single" w:sz="4" w:space="0" w:color="BFBFBF" w:themeColor="background1" w:themeShade="BF"/>
            </w:tcBorders>
            <w:shd w:val="clear" w:color="auto" w:fill="7F7F7F" w:themeFill="text1" w:themeFillTint="80"/>
          </w:tcPr>
          <w:p w14:paraId="29C3F293" w14:textId="77777777" w:rsidR="00F21638" w:rsidRPr="00143798" w:rsidRDefault="00F21638" w:rsidP="00020344">
            <w:pPr>
              <w:jc w:val="both"/>
              <w:rPr>
                <w:b/>
                <w:bCs/>
                <w:sz w:val="18"/>
                <w:szCs w:val="18"/>
              </w:rPr>
            </w:pPr>
            <w:r w:rsidRPr="00143798">
              <w:rPr>
                <w:b/>
                <w:bCs/>
                <w:color w:val="FFFFFF" w:themeColor="background1"/>
                <w:sz w:val="18"/>
                <w:szCs w:val="18"/>
              </w:rPr>
              <w:t>Total</w:t>
            </w:r>
          </w:p>
        </w:tc>
        <w:tc>
          <w:tcPr>
            <w:tcW w:w="658" w:type="pct"/>
            <w:tcBorders>
              <w:bottom w:val="single" w:sz="4" w:space="0" w:color="BFBFBF" w:themeColor="background1" w:themeShade="BF"/>
            </w:tcBorders>
            <w:shd w:val="clear" w:color="auto" w:fill="7F7F7F" w:themeFill="text1" w:themeFillTint="80"/>
          </w:tcPr>
          <w:p w14:paraId="5D3DC9D1" w14:textId="77777777" w:rsidR="00F21638" w:rsidRPr="00143798" w:rsidRDefault="00F21638" w:rsidP="00020344">
            <w:pPr>
              <w:jc w:val="right"/>
              <w:rPr>
                <w:b/>
                <w:bCs/>
                <w:sz w:val="18"/>
                <w:szCs w:val="18"/>
              </w:rPr>
            </w:pPr>
            <w:r w:rsidRPr="00143798">
              <w:rPr>
                <w:b/>
                <w:bCs/>
                <w:color w:val="FFFFFF" w:themeColor="background1"/>
                <w:sz w:val="18"/>
                <w:szCs w:val="18"/>
              </w:rPr>
              <w:t>230,6</w:t>
            </w:r>
          </w:p>
        </w:tc>
      </w:tr>
      <w:tr w:rsidR="00F21638" w:rsidRPr="00EB5B8D" w14:paraId="1C9AAFF6" w14:textId="77777777" w:rsidTr="00020344">
        <w:trPr>
          <w:jc w:val="center"/>
        </w:trPr>
        <w:tc>
          <w:tcPr>
            <w:tcW w:w="5000" w:type="pct"/>
            <w:gridSpan w:val="3"/>
            <w:tcBorders>
              <w:top w:val="single" w:sz="4" w:space="0" w:color="BFBFBF" w:themeColor="background1" w:themeShade="BF"/>
              <w:left w:val="nil"/>
              <w:bottom w:val="nil"/>
              <w:right w:val="nil"/>
            </w:tcBorders>
            <w:shd w:val="clear" w:color="auto" w:fill="auto"/>
          </w:tcPr>
          <w:p w14:paraId="546E0AA1" w14:textId="77777777" w:rsidR="00F21638" w:rsidRPr="00DF15BB" w:rsidRDefault="00F21638" w:rsidP="00020344">
            <w:pPr>
              <w:autoSpaceDE w:val="0"/>
              <w:autoSpaceDN w:val="0"/>
              <w:adjustRightInd w:val="0"/>
              <w:jc w:val="both"/>
              <w:rPr>
                <w:rFonts w:cs="Times New Roman"/>
                <w:i/>
                <w:sz w:val="16"/>
                <w:szCs w:val="16"/>
              </w:rPr>
            </w:pPr>
            <w:r w:rsidRPr="00DF15BB">
              <w:rPr>
                <w:rFonts w:cs="Times New Roman"/>
                <w:b/>
                <w:i/>
                <w:sz w:val="16"/>
                <w:szCs w:val="16"/>
              </w:rPr>
              <w:t>Fonte</w:t>
            </w:r>
            <w:r w:rsidRPr="00DF15BB">
              <w:rPr>
                <w:rFonts w:cs="Times New Roman"/>
                <w:i/>
                <w:sz w:val="16"/>
                <w:szCs w:val="16"/>
              </w:rPr>
              <w:t xml:space="preserve">: AGU. </w:t>
            </w:r>
            <w:r w:rsidRPr="00DF15BB">
              <w:rPr>
                <w:rFonts w:cs="Times New Roman"/>
                <w:b/>
                <w:i/>
                <w:sz w:val="16"/>
                <w:szCs w:val="16"/>
              </w:rPr>
              <w:t>Elaboração</w:t>
            </w:r>
            <w:r w:rsidRPr="00DF15BB">
              <w:rPr>
                <w:rFonts w:cs="Times New Roman"/>
                <w:i/>
                <w:sz w:val="16"/>
                <w:szCs w:val="16"/>
              </w:rPr>
              <w:t>: STN/ME.</w:t>
            </w:r>
          </w:p>
        </w:tc>
      </w:tr>
    </w:tbl>
    <w:p w14:paraId="3D199E30" w14:textId="77777777" w:rsidR="00ED550F" w:rsidRDefault="00ED550F" w:rsidP="000D17A6">
      <w:pPr>
        <w:pStyle w:val="Corpodetexto"/>
        <w:jc w:val="both"/>
        <w:rPr>
          <w:w w:val="105"/>
          <w:sz w:val="24"/>
          <w:szCs w:val="24"/>
        </w:rPr>
      </w:pPr>
    </w:p>
    <w:p w14:paraId="249A0FD9" w14:textId="7BF188C2" w:rsidR="000D17A6" w:rsidRPr="006E79F9" w:rsidRDefault="000D17A6" w:rsidP="00B37285">
      <w:pPr>
        <w:pStyle w:val="Ttulo4"/>
        <w:keepLines/>
        <w:numPr>
          <w:ilvl w:val="3"/>
          <w:numId w:val="36"/>
        </w:numPr>
        <w:spacing w:before="240" w:after="120"/>
        <w:ind w:left="862" w:hanging="862"/>
        <w:jc w:val="left"/>
        <w:rPr>
          <w:rFonts w:asciiTheme="minorHAnsi" w:hAnsiTheme="minorHAnsi"/>
        </w:rPr>
      </w:pPr>
      <w:bookmarkStart w:id="194" w:name="_Toc5012236"/>
      <w:bookmarkStart w:id="195" w:name="_Toc5030482"/>
      <w:r w:rsidRPr="006E79F9">
        <w:rPr>
          <w:rFonts w:asciiTheme="minorHAnsi" w:hAnsiTheme="minorHAnsi"/>
        </w:rPr>
        <w:t xml:space="preserve">Demandas Judiciais Contra a União de Natureza Tributária, Inclusive </w:t>
      </w:r>
      <w:proofErr w:type="gramStart"/>
      <w:r w:rsidRPr="006E79F9">
        <w:rPr>
          <w:rFonts w:asciiTheme="minorHAnsi" w:hAnsiTheme="minorHAnsi"/>
        </w:rPr>
        <w:t>Previdenciária</w:t>
      </w:r>
      <w:bookmarkEnd w:id="194"/>
      <w:bookmarkEnd w:id="195"/>
      <w:proofErr w:type="gramEnd"/>
    </w:p>
    <w:p w14:paraId="455ECFDF" w14:textId="307D8757" w:rsidR="0086672D" w:rsidRPr="006E79F9" w:rsidRDefault="000D17A6" w:rsidP="00B84840">
      <w:pPr>
        <w:spacing w:after="120" w:line="240" w:lineRule="auto"/>
        <w:ind w:firstLine="1418"/>
        <w:jc w:val="both"/>
        <w:rPr>
          <w:w w:val="105"/>
          <w:sz w:val="24"/>
          <w:szCs w:val="24"/>
        </w:rPr>
      </w:pPr>
      <w:r w:rsidRPr="006E79F9">
        <w:rPr>
          <w:w w:val="105"/>
          <w:sz w:val="24"/>
          <w:szCs w:val="24"/>
        </w:rPr>
        <w:t xml:space="preserve">Compete à </w:t>
      </w:r>
      <w:r w:rsidR="0086672D" w:rsidRPr="006E79F9">
        <w:rPr>
          <w:w w:val="105"/>
          <w:sz w:val="24"/>
          <w:szCs w:val="24"/>
        </w:rPr>
        <w:t>P</w:t>
      </w:r>
      <w:r w:rsidRPr="006E79F9">
        <w:rPr>
          <w:w w:val="105"/>
          <w:sz w:val="24"/>
          <w:szCs w:val="24"/>
        </w:rPr>
        <w:t>GFN representar a União nas ações judiciais relativas à tributação federal, inclusive aquelas referentes às contribuições</w:t>
      </w:r>
      <w:r w:rsidRPr="006E79F9">
        <w:rPr>
          <w:spacing w:val="-6"/>
          <w:w w:val="105"/>
          <w:sz w:val="24"/>
          <w:szCs w:val="24"/>
        </w:rPr>
        <w:t xml:space="preserve"> </w:t>
      </w:r>
      <w:r w:rsidRPr="006E79F9">
        <w:rPr>
          <w:w w:val="105"/>
          <w:sz w:val="24"/>
          <w:szCs w:val="24"/>
        </w:rPr>
        <w:t>previdenciárias</w:t>
      </w:r>
      <w:r w:rsidRPr="006E79F9">
        <w:rPr>
          <w:spacing w:val="-4"/>
          <w:w w:val="105"/>
          <w:sz w:val="24"/>
          <w:szCs w:val="24"/>
        </w:rPr>
        <w:t xml:space="preserve"> </w:t>
      </w:r>
      <w:r w:rsidRPr="006E79F9">
        <w:rPr>
          <w:w w:val="105"/>
          <w:sz w:val="24"/>
          <w:szCs w:val="24"/>
        </w:rPr>
        <w:t>ao</w:t>
      </w:r>
      <w:r w:rsidRPr="006E79F9">
        <w:rPr>
          <w:spacing w:val="-4"/>
          <w:w w:val="105"/>
          <w:sz w:val="24"/>
          <w:szCs w:val="24"/>
        </w:rPr>
        <w:t xml:space="preserve"> </w:t>
      </w:r>
      <w:r w:rsidRPr="006E79F9">
        <w:rPr>
          <w:w w:val="105"/>
          <w:sz w:val="24"/>
          <w:szCs w:val="24"/>
        </w:rPr>
        <w:t>Regime</w:t>
      </w:r>
      <w:r w:rsidRPr="006E79F9">
        <w:rPr>
          <w:spacing w:val="-6"/>
          <w:w w:val="105"/>
          <w:sz w:val="24"/>
          <w:szCs w:val="24"/>
        </w:rPr>
        <w:t xml:space="preserve"> </w:t>
      </w:r>
      <w:r w:rsidRPr="006E79F9">
        <w:rPr>
          <w:w w:val="105"/>
          <w:sz w:val="24"/>
          <w:szCs w:val="24"/>
        </w:rPr>
        <w:t>Geral</w:t>
      </w:r>
      <w:r w:rsidRPr="006E79F9">
        <w:rPr>
          <w:spacing w:val="-3"/>
          <w:w w:val="105"/>
          <w:sz w:val="24"/>
          <w:szCs w:val="24"/>
        </w:rPr>
        <w:t xml:space="preserve"> </w:t>
      </w:r>
      <w:r w:rsidRPr="006E79F9">
        <w:rPr>
          <w:w w:val="105"/>
          <w:sz w:val="24"/>
          <w:szCs w:val="24"/>
        </w:rPr>
        <w:t>de</w:t>
      </w:r>
      <w:r w:rsidRPr="006E79F9">
        <w:rPr>
          <w:spacing w:val="-4"/>
          <w:w w:val="105"/>
          <w:sz w:val="24"/>
          <w:szCs w:val="24"/>
        </w:rPr>
        <w:t xml:space="preserve"> </w:t>
      </w:r>
      <w:r w:rsidRPr="006E79F9">
        <w:rPr>
          <w:w w:val="105"/>
          <w:sz w:val="24"/>
          <w:szCs w:val="24"/>
        </w:rPr>
        <w:t>Previdência</w:t>
      </w:r>
      <w:r w:rsidRPr="006E79F9">
        <w:rPr>
          <w:spacing w:val="-4"/>
          <w:w w:val="105"/>
          <w:sz w:val="24"/>
          <w:szCs w:val="24"/>
        </w:rPr>
        <w:t xml:space="preserve"> </w:t>
      </w:r>
      <w:r w:rsidRPr="006E79F9">
        <w:rPr>
          <w:w w:val="105"/>
          <w:sz w:val="24"/>
          <w:szCs w:val="24"/>
        </w:rPr>
        <w:t>Social</w:t>
      </w:r>
      <w:r w:rsidRPr="006E79F9">
        <w:rPr>
          <w:spacing w:val="-5"/>
          <w:w w:val="105"/>
          <w:sz w:val="24"/>
          <w:szCs w:val="24"/>
        </w:rPr>
        <w:t xml:space="preserve"> </w:t>
      </w:r>
      <w:r w:rsidR="00DC0DDA" w:rsidRPr="006E79F9">
        <w:rPr>
          <w:spacing w:val="-5"/>
          <w:w w:val="105"/>
          <w:sz w:val="24"/>
          <w:szCs w:val="24"/>
        </w:rPr>
        <w:t>(</w:t>
      </w:r>
      <w:r w:rsidRPr="006E79F9">
        <w:rPr>
          <w:w w:val="105"/>
          <w:sz w:val="24"/>
          <w:szCs w:val="24"/>
        </w:rPr>
        <w:t>RGPS</w:t>
      </w:r>
      <w:r w:rsidR="00DC0DDA" w:rsidRPr="006E79F9">
        <w:rPr>
          <w:w w:val="105"/>
          <w:sz w:val="24"/>
          <w:szCs w:val="24"/>
        </w:rPr>
        <w:t>)</w:t>
      </w:r>
      <w:r w:rsidRPr="006E79F9">
        <w:rPr>
          <w:w w:val="105"/>
          <w:sz w:val="24"/>
          <w:szCs w:val="24"/>
        </w:rPr>
        <w:t>.</w:t>
      </w:r>
    </w:p>
    <w:p w14:paraId="61598842" w14:textId="452FBDEB" w:rsidR="000D17A6" w:rsidRPr="006E79F9" w:rsidRDefault="00FB4A18" w:rsidP="00B84840">
      <w:pPr>
        <w:spacing w:after="120" w:line="240" w:lineRule="auto"/>
        <w:ind w:firstLine="1418"/>
        <w:jc w:val="both"/>
        <w:rPr>
          <w:w w:val="105"/>
          <w:sz w:val="24"/>
          <w:szCs w:val="24"/>
        </w:rPr>
      </w:pPr>
      <w:r w:rsidRPr="00FB4A18">
        <w:rPr>
          <w:w w:val="105"/>
          <w:sz w:val="24"/>
          <w:szCs w:val="24"/>
        </w:rPr>
        <w:lastRenderedPageBreak/>
        <w:t>No âmbito do Superior Tribunal de Justiça (STJ), a PGFN atua nas ações judiciais de natureza tributária em que a União é parte, bem como nas ações de seu interesse. Já no âmbito do Supremo Tribunal Federal (STF), a PGFN atua nos recursos extraordinários e agravos que tratam de matéria tributária, além de acompanhar as ações originárias representadas judicialmente pelo Advogado Geral da União. Cumpre esclarecer que, no STF, com o instituto de repercussão geral, são eleitos recursos extraordinários relativos a temas tributários, cujo julgamento poderá afetar a arrecadação da União.</w:t>
      </w:r>
    </w:p>
    <w:p w14:paraId="034DEBEE" w14:textId="6593FDC4" w:rsidR="0032040C" w:rsidRPr="0032040C" w:rsidRDefault="002A056E" w:rsidP="0032040C">
      <w:pPr>
        <w:spacing w:after="120" w:line="240" w:lineRule="auto"/>
        <w:ind w:firstLine="1418"/>
        <w:jc w:val="both"/>
        <w:rPr>
          <w:w w:val="105"/>
          <w:sz w:val="24"/>
          <w:szCs w:val="24"/>
        </w:rPr>
      </w:pPr>
      <w:r>
        <w:rPr>
          <w:w w:val="105"/>
          <w:sz w:val="24"/>
          <w:szCs w:val="24"/>
        </w:rPr>
        <w:t>A</w:t>
      </w:r>
      <w:r w:rsidR="0032040C" w:rsidRPr="0032040C">
        <w:rPr>
          <w:w w:val="105"/>
          <w:sz w:val="24"/>
          <w:szCs w:val="24"/>
        </w:rPr>
        <w:t xml:space="preserve">s discussões no STJ se referem aos questionamentos sob o enfoque da legislação infraconstitucional, enquanto no STF as ações versam sobre questões constitucionais, algumas delas podem ser discutidas simultaneamente nas duas casas, porém </w:t>
      </w:r>
      <w:proofErr w:type="gramStart"/>
      <w:r w:rsidR="0032040C" w:rsidRPr="0032040C">
        <w:rPr>
          <w:w w:val="105"/>
          <w:sz w:val="24"/>
          <w:szCs w:val="24"/>
        </w:rPr>
        <w:t>sob enfoques</w:t>
      </w:r>
      <w:proofErr w:type="gramEnd"/>
      <w:r w:rsidR="0032040C" w:rsidRPr="0032040C">
        <w:rPr>
          <w:w w:val="105"/>
          <w:sz w:val="24"/>
          <w:szCs w:val="24"/>
        </w:rPr>
        <w:t xml:space="preserve"> distintos.</w:t>
      </w:r>
    </w:p>
    <w:p w14:paraId="56722F18" w14:textId="5F60CA7F" w:rsidR="000D17A6" w:rsidRPr="006E79F9" w:rsidRDefault="0032040C" w:rsidP="0032040C">
      <w:pPr>
        <w:spacing w:after="120" w:line="240" w:lineRule="auto"/>
        <w:ind w:firstLine="1418"/>
        <w:jc w:val="both"/>
        <w:rPr>
          <w:w w:val="105"/>
          <w:sz w:val="24"/>
          <w:szCs w:val="24"/>
        </w:rPr>
      </w:pPr>
      <w:r w:rsidRPr="0032040C">
        <w:rPr>
          <w:w w:val="105"/>
          <w:sz w:val="24"/>
          <w:szCs w:val="24"/>
        </w:rPr>
        <w:t>As estimativas de impacto fiscal destas demandas judiciais são fornecidas pela Receita Federal do Brasil (RFB) e levam em consideração, na maioria dos casos, a perda total de arrecadação anual e uma estimativa de impacto de devolução, considerados os últimos cinco anos e a totalidade dos contribuintes, de modo que representa o máximo de impacto ao erário, que pode não se concretizar em sua totalidade.</w:t>
      </w:r>
    </w:p>
    <w:p w14:paraId="5C390A61" w14:textId="390C4BB9" w:rsidR="000D17A6" w:rsidRPr="006E79F9" w:rsidRDefault="000D17A6" w:rsidP="002D164B">
      <w:pPr>
        <w:spacing w:after="120" w:line="240" w:lineRule="auto"/>
        <w:ind w:firstLine="1418"/>
        <w:jc w:val="both"/>
        <w:rPr>
          <w:w w:val="105"/>
          <w:sz w:val="24"/>
          <w:szCs w:val="24"/>
        </w:rPr>
      </w:pPr>
      <w:r w:rsidRPr="006E79F9">
        <w:rPr>
          <w:w w:val="105"/>
          <w:sz w:val="24"/>
          <w:szCs w:val="24"/>
        </w:rPr>
        <w:t>A</w:t>
      </w:r>
      <w:r w:rsidR="006F519C" w:rsidRPr="006E79F9">
        <w:rPr>
          <w:w w:val="105"/>
          <w:sz w:val="24"/>
          <w:szCs w:val="24"/>
        </w:rPr>
        <w:t xml:space="preserve"> </w:t>
      </w:r>
      <w:r w:rsidR="006F519C" w:rsidRPr="006E79F9">
        <w:rPr>
          <w:w w:val="105"/>
          <w:sz w:val="24"/>
          <w:szCs w:val="24"/>
        </w:rPr>
        <w:fldChar w:fldCharType="begin"/>
      </w:r>
      <w:r w:rsidR="006F519C" w:rsidRPr="006E79F9">
        <w:rPr>
          <w:w w:val="105"/>
          <w:sz w:val="24"/>
          <w:szCs w:val="24"/>
        </w:rPr>
        <w:instrText xml:space="preserve"> REF _Ref5264011 \h  \* MERGEFORMAT </w:instrText>
      </w:r>
      <w:r w:rsidR="006F519C" w:rsidRPr="006E79F9">
        <w:rPr>
          <w:w w:val="105"/>
          <w:sz w:val="24"/>
          <w:szCs w:val="24"/>
        </w:rPr>
      </w:r>
      <w:r w:rsidR="006F519C" w:rsidRPr="006E79F9">
        <w:rPr>
          <w:w w:val="105"/>
          <w:sz w:val="24"/>
          <w:szCs w:val="24"/>
        </w:rPr>
        <w:fldChar w:fldCharType="separate"/>
      </w:r>
      <w:r w:rsidR="00304F5F" w:rsidRPr="00304F5F">
        <w:rPr>
          <w:w w:val="105"/>
          <w:sz w:val="24"/>
          <w:szCs w:val="24"/>
        </w:rPr>
        <w:t>Tabela 16</w:t>
      </w:r>
      <w:r w:rsidR="006F519C" w:rsidRPr="006E79F9">
        <w:rPr>
          <w:w w:val="105"/>
          <w:sz w:val="24"/>
          <w:szCs w:val="24"/>
        </w:rPr>
        <w:fldChar w:fldCharType="end"/>
      </w:r>
      <w:r w:rsidRPr="006E79F9">
        <w:rPr>
          <w:w w:val="105"/>
          <w:sz w:val="24"/>
          <w:szCs w:val="24"/>
        </w:rPr>
        <w:t xml:space="preserve"> </w:t>
      </w:r>
      <w:r w:rsidR="006F519C" w:rsidRPr="006E79F9">
        <w:rPr>
          <w:w w:val="105"/>
          <w:sz w:val="24"/>
          <w:szCs w:val="24"/>
        </w:rPr>
        <w:t>apresenta</w:t>
      </w:r>
      <w:r w:rsidRPr="006E79F9">
        <w:rPr>
          <w:w w:val="105"/>
          <w:sz w:val="24"/>
          <w:szCs w:val="24"/>
        </w:rPr>
        <w:t xml:space="preserve"> a relação </w:t>
      </w:r>
      <w:r w:rsidR="006F519C" w:rsidRPr="006E79F9">
        <w:rPr>
          <w:w w:val="105"/>
          <w:sz w:val="24"/>
          <w:szCs w:val="24"/>
        </w:rPr>
        <w:t xml:space="preserve">das ações judiciais, com classificação de </w:t>
      </w:r>
      <w:r w:rsidRPr="006E79F9">
        <w:rPr>
          <w:w w:val="105"/>
          <w:sz w:val="24"/>
          <w:szCs w:val="24"/>
        </w:rPr>
        <w:t>risco</w:t>
      </w:r>
      <w:r w:rsidR="006F519C" w:rsidRPr="006E79F9">
        <w:rPr>
          <w:w w:val="105"/>
          <w:sz w:val="24"/>
          <w:szCs w:val="24"/>
        </w:rPr>
        <w:t xml:space="preserve"> possível quanto à materialização,</w:t>
      </w:r>
      <w:r w:rsidRPr="006E79F9">
        <w:rPr>
          <w:w w:val="105"/>
          <w:sz w:val="24"/>
          <w:szCs w:val="24"/>
        </w:rPr>
        <w:t xml:space="preserve"> que tramitam</w:t>
      </w:r>
      <w:r w:rsidR="00B017F1" w:rsidRPr="006E79F9">
        <w:rPr>
          <w:w w:val="105"/>
          <w:sz w:val="24"/>
          <w:szCs w:val="24"/>
        </w:rPr>
        <w:t xml:space="preserve"> no</w:t>
      </w:r>
      <w:r w:rsidRPr="006E79F9">
        <w:rPr>
          <w:w w:val="105"/>
          <w:sz w:val="24"/>
          <w:szCs w:val="24"/>
        </w:rPr>
        <w:t xml:space="preserve"> S</w:t>
      </w:r>
      <w:r w:rsidR="007542AF" w:rsidRPr="006E79F9">
        <w:rPr>
          <w:w w:val="105"/>
          <w:sz w:val="24"/>
          <w:szCs w:val="24"/>
        </w:rPr>
        <w:t>TF</w:t>
      </w:r>
      <w:r w:rsidR="00762CE1" w:rsidRPr="006E79F9">
        <w:rPr>
          <w:w w:val="105"/>
          <w:sz w:val="24"/>
          <w:szCs w:val="24"/>
        </w:rPr>
        <w:t>, conforme os parâmetros definidos na Portaria AGU nº 40/2015, com as alterações promovidas pela Portaria AGU nº 318/2018.</w:t>
      </w:r>
      <w:r w:rsidR="000B3165" w:rsidRPr="006E79F9">
        <w:rPr>
          <w:w w:val="105"/>
          <w:sz w:val="24"/>
          <w:szCs w:val="24"/>
        </w:rPr>
        <w:t xml:space="preserve"> Estima-se que o impacto seja aproximadamente de R$ </w:t>
      </w:r>
      <w:r w:rsidR="00EB432A">
        <w:rPr>
          <w:w w:val="105"/>
          <w:sz w:val="24"/>
          <w:szCs w:val="24"/>
        </w:rPr>
        <w:t>827,7</w:t>
      </w:r>
      <w:r w:rsidR="000B3165" w:rsidRPr="006E79F9">
        <w:rPr>
          <w:w w:val="105"/>
          <w:sz w:val="24"/>
          <w:szCs w:val="24"/>
        </w:rPr>
        <w:t xml:space="preserve"> bilhões</w:t>
      </w:r>
      <w:r w:rsidR="00E87F13" w:rsidRPr="006E79F9">
        <w:rPr>
          <w:w w:val="105"/>
          <w:sz w:val="24"/>
          <w:szCs w:val="24"/>
        </w:rPr>
        <w:t xml:space="preserve"> (estimativa</w:t>
      </w:r>
      <w:r w:rsidR="00BF7160" w:rsidRPr="006E79F9">
        <w:rPr>
          <w:w w:val="105"/>
          <w:sz w:val="24"/>
          <w:szCs w:val="24"/>
        </w:rPr>
        <w:t xml:space="preserve"> </w:t>
      </w:r>
      <w:proofErr w:type="gramStart"/>
      <w:r w:rsidR="00BF7160" w:rsidRPr="006E79F9">
        <w:rPr>
          <w:w w:val="105"/>
          <w:sz w:val="24"/>
          <w:szCs w:val="24"/>
        </w:rPr>
        <w:t>5</w:t>
      </w:r>
      <w:proofErr w:type="gramEnd"/>
      <w:r w:rsidR="00BF7160" w:rsidRPr="006E79F9">
        <w:rPr>
          <w:w w:val="105"/>
          <w:sz w:val="24"/>
          <w:szCs w:val="24"/>
        </w:rPr>
        <w:t xml:space="preserve"> anos)</w:t>
      </w:r>
      <w:r w:rsidR="000B3165" w:rsidRPr="006E79F9">
        <w:rPr>
          <w:w w:val="105"/>
          <w:sz w:val="24"/>
          <w:szCs w:val="24"/>
        </w:rPr>
        <w:t>.</w:t>
      </w:r>
    </w:p>
    <w:p w14:paraId="00ABB8C2" w14:textId="278ECDF6" w:rsidR="000D17A6" w:rsidRPr="0022645B" w:rsidRDefault="00AF3612" w:rsidP="00FC7CD8">
      <w:pPr>
        <w:pStyle w:val="Legenda"/>
        <w:spacing w:before="240" w:after="120"/>
        <w:jc w:val="center"/>
        <w:rPr>
          <w:rFonts w:asciiTheme="minorHAnsi" w:hAnsiTheme="minorHAnsi"/>
          <w:i w:val="0"/>
          <w:color w:val="auto"/>
          <w:sz w:val="22"/>
          <w:szCs w:val="22"/>
        </w:rPr>
      </w:pPr>
      <w:bookmarkStart w:id="196" w:name="_Ref5264011"/>
      <w:bookmarkStart w:id="197" w:name="_Toc5012359"/>
      <w:bookmarkStart w:id="198" w:name="_Toc5263376"/>
      <w:bookmarkStart w:id="199" w:name="_Toc69121362"/>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16</w:t>
      </w:r>
      <w:r w:rsidRPr="0022645B">
        <w:rPr>
          <w:rFonts w:asciiTheme="minorHAnsi" w:hAnsiTheme="minorHAnsi"/>
          <w:i w:val="0"/>
          <w:color w:val="auto"/>
          <w:sz w:val="22"/>
          <w:szCs w:val="22"/>
        </w:rPr>
        <w:fldChar w:fldCharType="end"/>
      </w:r>
      <w:bookmarkEnd w:id="196"/>
      <w:r w:rsidR="0001020B" w:rsidRPr="0022645B">
        <w:rPr>
          <w:rFonts w:asciiTheme="minorHAnsi" w:hAnsiTheme="minorHAnsi"/>
          <w:i w:val="0"/>
          <w:color w:val="auto"/>
          <w:sz w:val="22"/>
          <w:szCs w:val="22"/>
        </w:rPr>
        <w:t xml:space="preserve"> </w:t>
      </w:r>
      <w:r w:rsidR="002509EB">
        <w:rPr>
          <w:rFonts w:asciiTheme="minorHAnsi" w:hAnsiTheme="minorHAnsi"/>
          <w:i w:val="0"/>
          <w:color w:val="auto"/>
          <w:sz w:val="22"/>
          <w:szCs w:val="22"/>
        </w:rPr>
        <w:t xml:space="preserve">- </w:t>
      </w:r>
      <w:r w:rsidR="000D17A6" w:rsidRPr="0022645B">
        <w:rPr>
          <w:rFonts w:asciiTheme="minorHAnsi" w:hAnsiTheme="minorHAnsi"/>
          <w:i w:val="0"/>
          <w:color w:val="auto"/>
          <w:sz w:val="22"/>
          <w:szCs w:val="22"/>
        </w:rPr>
        <w:t xml:space="preserve">Ações </w:t>
      </w:r>
      <w:r w:rsidR="00B017F1" w:rsidRPr="0022645B">
        <w:rPr>
          <w:rFonts w:asciiTheme="minorHAnsi" w:hAnsiTheme="minorHAnsi"/>
          <w:i w:val="0"/>
          <w:color w:val="auto"/>
          <w:sz w:val="22"/>
          <w:szCs w:val="22"/>
        </w:rPr>
        <w:t>j</w:t>
      </w:r>
      <w:r w:rsidR="000D17A6" w:rsidRPr="0022645B">
        <w:rPr>
          <w:rFonts w:asciiTheme="minorHAnsi" w:hAnsiTheme="minorHAnsi"/>
          <w:i w:val="0"/>
          <w:color w:val="auto"/>
          <w:sz w:val="22"/>
          <w:szCs w:val="22"/>
        </w:rPr>
        <w:t xml:space="preserve">udiciais de </w:t>
      </w:r>
      <w:r w:rsidR="00B017F1" w:rsidRPr="0022645B">
        <w:rPr>
          <w:rFonts w:asciiTheme="minorHAnsi" w:hAnsiTheme="minorHAnsi"/>
          <w:i w:val="0"/>
          <w:color w:val="auto"/>
          <w:sz w:val="22"/>
          <w:szCs w:val="22"/>
        </w:rPr>
        <w:t>n</w:t>
      </w:r>
      <w:r w:rsidR="000D17A6" w:rsidRPr="0022645B">
        <w:rPr>
          <w:rFonts w:asciiTheme="minorHAnsi" w:hAnsiTheme="minorHAnsi"/>
          <w:i w:val="0"/>
          <w:color w:val="auto"/>
          <w:sz w:val="22"/>
          <w:szCs w:val="22"/>
        </w:rPr>
        <w:t xml:space="preserve">atureza </w:t>
      </w:r>
      <w:r w:rsidR="00B017F1" w:rsidRPr="0022645B">
        <w:rPr>
          <w:rFonts w:asciiTheme="minorHAnsi" w:hAnsiTheme="minorHAnsi"/>
          <w:i w:val="0"/>
          <w:color w:val="auto"/>
          <w:sz w:val="22"/>
          <w:szCs w:val="22"/>
        </w:rPr>
        <w:t>t</w:t>
      </w:r>
      <w:r w:rsidR="000D17A6" w:rsidRPr="0022645B">
        <w:rPr>
          <w:rFonts w:asciiTheme="minorHAnsi" w:hAnsiTheme="minorHAnsi"/>
          <w:i w:val="0"/>
          <w:color w:val="auto"/>
          <w:sz w:val="22"/>
          <w:szCs w:val="22"/>
        </w:rPr>
        <w:t>ributária no STF</w:t>
      </w:r>
      <w:bookmarkEnd w:id="197"/>
      <w:bookmarkEnd w:id="198"/>
      <w:bookmarkEnd w:id="199"/>
    </w:p>
    <w:tbl>
      <w:tblPr>
        <w:tblStyle w:val="Tabelacomgrade"/>
        <w:tblW w:w="992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946"/>
        <w:gridCol w:w="1559"/>
        <w:gridCol w:w="1418"/>
      </w:tblGrid>
      <w:tr w:rsidR="00A43C69" w:rsidRPr="00AA4CA3" w14:paraId="517D222D" w14:textId="77777777" w:rsidTr="00020344">
        <w:trPr>
          <w:trHeight w:val="20"/>
          <w:tblHeader/>
          <w:jc w:val="center"/>
        </w:trPr>
        <w:tc>
          <w:tcPr>
            <w:tcW w:w="0" w:type="auto"/>
            <w:gridSpan w:val="3"/>
            <w:tcBorders>
              <w:top w:val="nil"/>
              <w:left w:val="nil"/>
              <w:bottom w:val="single" w:sz="4" w:space="0" w:color="BFBFBF" w:themeColor="background1" w:themeShade="BF"/>
              <w:right w:val="nil"/>
            </w:tcBorders>
            <w:shd w:val="clear" w:color="auto" w:fill="FFFFFF" w:themeFill="background1"/>
            <w:vAlign w:val="center"/>
          </w:tcPr>
          <w:p w14:paraId="6DD9A433" w14:textId="5D3CFD34" w:rsidR="00A43C69" w:rsidRPr="00DF15BB" w:rsidRDefault="008F6617" w:rsidP="00020344">
            <w:pPr>
              <w:autoSpaceDE w:val="0"/>
              <w:autoSpaceDN w:val="0"/>
              <w:adjustRightInd w:val="0"/>
              <w:jc w:val="right"/>
              <w:rPr>
                <w:rFonts w:cs="Times New Roman"/>
                <w:b/>
                <w:i/>
                <w:sz w:val="16"/>
                <w:szCs w:val="16"/>
              </w:rPr>
            </w:pPr>
            <w:r>
              <w:rPr>
                <w:i/>
                <w:sz w:val="16"/>
                <w:szCs w:val="16"/>
              </w:rPr>
              <w:t>Em R$ bilhões</w:t>
            </w:r>
          </w:p>
        </w:tc>
      </w:tr>
      <w:tr w:rsidR="00A43C69" w:rsidRPr="00DC58C5" w14:paraId="41BE42B4" w14:textId="77777777" w:rsidTr="00020344">
        <w:trPr>
          <w:trHeight w:val="20"/>
          <w:tblHeader/>
          <w:jc w:val="center"/>
        </w:trPr>
        <w:tc>
          <w:tcPr>
            <w:tcW w:w="6946" w:type="dxa"/>
            <w:tcBorders>
              <w:top w:val="single" w:sz="4" w:space="0" w:color="BFBFBF" w:themeColor="background1" w:themeShade="BF"/>
            </w:tcBorders>
            <w:shd w:val="clear" w:color="auto" w:fill="404040" w:themeFill="text1" w:themeFillTint="BF"/>
            <w:vAlign w:val="center"/>
          </w:tcPr>
          <w:p w14:paraId="4894F6AF" w14:textId="77777777" w:rsidR="00A43C69" w:rsidRPr="00DC58C5" w:rsidRDefault="00A43C69" w:rsidP="00020344">
            <w:pPr>
              <w:autoSpaceDE w:val="0"/>
              <w:autoSpaceDN w:val="0"/>
              <w:adjustRightInd w:val="0"/>
              <w:jc w:val="center"/>
              <w:rPr>
                <w:rFonts w:cs="Times New Roman"/>
                <w:b/>
                <w:bCs/>
                <w:color w:val="FFFFFF" w:themeColor="background1"/>
                <w:sz w:val="20"/>
                <w:szCs w:val="20"/>
              </w:rPr>
            </w:pPr>
            <w:r w:rsidRPr="00DC58C5">
              <w:rPr>
                <w:rFonts w:cs="Times New Roman"/>
                <w:b/>
                <w:bCs/>
                <w:color w:val="FFFFFF" w:themeColor="background1"/>
                <w:sz w:val="20"/>
                <w:szCs w:val="20"/>
              </w:rPr>
              <w:t>Ações Judiciais</w:t>
            </w:r>
          </w:p>
        </w:tc>
        <w:tc>
          <w:tcPr>
            <w:tcW w:w="1559" w:type="dxa"/>
            <w:tcBorders>
              <w:top w:val="single" w:sz="4" w:space="0" w:color="BFBFBF" w:themeColor="background1" w:themeShade="BF"/>
            </w:tcBorders>
            <w:shd w:val="clear" w:color="auto" w:fill="404040" w:themeFill="text1" w:themeFillTint="BF"/>
            <w:vAlign w:val="center"/>
          </w:tcPr>
          <w:p w14:paraId="15C8655A" w14:textId="77777777" w:rsidR="00A43C69" w:rsidRPr="00DC58C5" w:rsidRDefault="00A43C69" w:rsidP="00020344">
            <w:pPr>
              <w:autoSpaceDE w:val="0"/>
              <w:autoSpaceDN w:val="0"/>
              <w:adjustRightInd w:val="0"/>
              <w:jc w:val="center"/>
              <w:rPr>
                <w:rFonts w:cs="Times New Roman"/>
                <w:b/>
                <w:bCs/>
                <w:color w:val="FFFFFF" w:themeColor="background1"/>
                <w:sz w:val="20"/>
                <w:szCs w:val="20"/>
              </w:rPr>
            </w:pPr>
            <w:r w:rsidRPr="00DC58C5">
              <w:rPr>
                <w:rFonts w:cs="Times New Roman"/>
                <w:b/>
                <w:bCs/>
                <w:color w:val="FFFFFF" w:themeColor="background1"/>
                <w:sz w:val="20"/>
                <w:szCs w:val="20"/>
              </w:rPr>
              <w:t>Processo de referência</w:t>
            </w:r>
          </w:p>
        </w:tc>
        <w:tc>
          <w:tcPr>
            <w:tcW w:w="1418" w:type="dxa"/>
            <w:tcBorders>
              <w:top w:val="single" w:sz="4" w:space="0" w:color="BFBFBF" w:themeColor="background1" w:themeShade="BF"/>
            </w:tcBorders>
            <w:shd w:val="clear" w:color="auto" w:fill="404040" w:themeFill="text1" w:themeFillTint="BF"/>
            <w:vAlign w:val="center"/>
          </w:tcPr>
          <w:p w14:paraId="43E4F600" w14:textId="77777777" w:rsidR="00A43C69" w:rsidRPr="00DC58C5" w:rsidRDefault="00A43C69" w:rsidP="00020344">
            <w:pPr>
              <w:autoSpaceDE w:val="0"/>
              <w:autoSpaceDN w:val="0"/>
              <w:adjustRightInd w:val="0"/>
              <w:jc w:val="center"/>
              <w:rPr>
                <w:rFonts w:cs="Times New Roman"/>
                <w:b/>
                <w:bCs/>
                <w:color w:val="FFFFFF" w:themeColor="background1"/>
                <w:sz w:val="20"/>
                <w:szCs w:val="20"/>
              </w:rPr>
            </w:pPr>
            <w:r w:rsidRPr="00DC58C5">
              <w:rPr>
                <w:rFonts w:cs="Times New Roman"/>
                <w:b/>
                <w:bCs/>
                <w:color w:val="FFFFFF" w:themeColor="background1"/>
                <w:sz w:val="20"/>
                <w:szCs w:val="20"/>
              </w:rPr>
              <w:t>Estimativa de impacto</w:t>
            </w:r>
          </w:p>
        </w:tc>
      </w:tr>
      <w:tr w:rsidR="00A43C69" w:rsidRPr="000E096D" w14:paraId="7885707A" w14:textId="77777777" w:rsidTr="00020344">
        <w:trPr>
          <w:trHeight w:val="20"/>
          <w:jc w:val="center"/>
        </w:trPr>
        <w:tc>
          <w:tcPr>
            <w:tcW w:w="6946" w:type="dxa"/>
            <w:shd w:val="clear" w:color="auto" w:fill="F2F2F2" w:themeFill="background1" w:themeFillShade="F2"/>
          </w:tcPr>
          <w:p w14:paraId="3B11D207" w14:textId="77777777" w:rsidR="00A43C69" w:rsidRPr="002926CD" w:rsidRDefault="00A43C69" w:rsidP="00020344">
            <w:pPr>
              <w:autoSpaceDE w:val="0"/>
              <w:autoSpaceDN w:val="0"/>
              <w:adjustRightInd w:val="0"/>
              <w:rPr>
                <w:rFonts w:cs="Times New Roman"/>
                <w:sz w:val="18"/>
                <w:szCs w:val="18"/>
              </w:rPr>
            </w:pPr>
            <w:r w:rsidRPr="002926CD">
              <w:rPr>
                <w:rFonts w:cs="Times New Roman"/>
                <w:sz w:val="18"/>
                <w:szCs w:val="18"/>
              </w:rPr>
              <w:t>PIS/COFINS das instituições financeiras. Discussão a respeito da possibilidade de incidência de PIS/COFINS sobre as receitas de instituições financeiras que decorrem de seu objeto social e incluiriam, portanto, as receitas de natureza financeiras, com fulcro na Lei 9.718/98.</w:t>
            </w:r>
          </w:p>
        </w:tc>
        <w:tc>
          <w:tcPr>
            <w:tcW w:w="1559" w:type="dxa"/>
            <w:shd w:val="clear" w:color="auto" w:fill="F2F2F2" w:themeFill="background1" w:themeFillShade="F2"/>
          </w:tcPr>
          <w:p w14:paraId="35B319D4" w14:textId="77777777" w:rsidR="00A43C69" w:rsidRPr="002926CD" w:rsidRDefault="00A43C69" w:rsidP="00020344">
            <w:pPr>
              <w:autoSpaceDE w:val="0"/>
              <w:autoSpaceDN w:val="0"/>
              <w:adjustRightInd w:val="0"/>
              <w:rPr>
                <w:sz w:val="18"/>
                <w:szCs w:val="18"/>
              </w:rPr>
            </w:pPr>
            <w:r w:rsidRPr="002926CD">
              <w:rPr>
                <w:sz w:val="18"/>
                <w:szCs w:val="18"/>
              </w:rPr>
              <w:t>RE 609.096 e 880.143</w:t>
            </w:r>
          </w:p>
        </w:tc>
        <w:tc>
          <w:tcPr>
            <w:tcW w:w="1418" w:type="dxa"/>
            <w:shd w:val="clear" w:color="auto" w:fill="F2F2F2" w:themeFill="background1" w:themeFillShade="F2"/>
          </w:tcPr>
          <w:p w14:paraId="32F2B834"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1</w:t>
            </w:r>
            <w:proofErr w:type="gramEnd"/>
            <w:r w:rsidRPr="002926CD">
              <w:rPr>
                <w:rFonts w:cs="Times New Roman"/>
                <w:sz w:val="18"/>
                <w:szCs w:val="18"/>
              </w:rPr>
              <w:t xml:space="preserve"> ano: 19,4</w:t>
            </w:r>
          </w:p>
          <w:p w14:paraId="249162BB"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5</w:t>
            </w:r>
            <w:proofErr w:type="gramEnd"/>
            <w:r w:rsidRPr="002926CD">
              <w:rPr>
                <w:rFonts w:cs="Times New Roman"/>
                <w:sz w:val="18"/>
                <w:szCs w:val="18"/>
              </w:rPr>
              <w:t xml:space="preserve"> anos: 105,2</w:t>
            </w:r>
          </w:p>
        </w:tc>
      </w:tr>
      <w:tr w:rsidR="00A43C69" w:rsidRPr="000E096D" w14:paraId="75FF5150" w14:textId="77777777" w:rsidTr="00020344">
        <w:trPr>
          <w:trHeight w:val="20"/>
          <w:jc w:val="center"/>
        </w:trPr>
        <w:tc>
          <w:tcPr>
            <w:tcW w:w="6946" w:type="dxa"/>
            <w:shd w:val="clear" w:color="auto" w:fill="auto"/>
          </w:tcPr>
          <w:p w14:paraId="323902A4" w14:textId="77777777" w:rsidR="00A43C69" w:rsidRPr="002926CD" w:rsidRDefault="00A43C69" w:rsidP="00020344">
            <w:pPr>
              <w:autoSpaceDE w:val="0"/>
              <w:autoSpaceDN w:val="0"/>
              <w:adjustRightInd w:val="0"/>
              <w:rPr>
                <w:rFonts w:cs="Times New Roman"/>
                <w:sz w:val="18"/>
                <w:szCs w:val="18"/>
              </w:rPr>
            </w:pPr>
            <w:r w:rsidRPr="002926CD">
              <w:rPr>
                <w:rFonts w:cs="Times New Roman"/>
                <w:sz w:val="18"/>
                <w:szCs w:val="18"/>
              </w:rPr>
              <w:t>Inclusão do IPI na base de cálculo do PIS/COFINS no regime de substituição tributária. Discussão a respeito da inclusão do IPI na base de cálculo das contribuições PIS e COFINS exigidas e recolhidas pelas montadoras de veículos em regime de substituição tributária.</w:t>
            </w:r>
          </w:p>
        </w:tc>
        <w:tc>
          <w:tcPr>
            <w:tcW w:w="1559" w:type="dxa"/>
            <w:shd w:val="clear" w:color="auto" w:fill="auto"/>
          </w:tcPr>
          <w:p w14:paraId="50270D0B" w14:textId="77777777" w:rsidR="00A43C69" w:rsidRPr="002926CD" w:rsidRDefault="00A43C69" w:rsidP="00020344">
            <w:pPr>
              <w:autoSpaceDE w:val="0"/>
              <w:autoSpaceDN w:val="0"/>
              <w:adjustRightInd w:val="0"/>
              <w:rPr>
                <w:sz w:val="18"/>
                <w:szCs w:val="18"/>
              </w:rPr>
            </w:pPr>
            <w:r w:rsidRPr="002926CD">
              <w:rPr>
                <w:sz w:val="18"/>
                <w:szCs w:val="18"/>
              </w:rPr>
              <w:t>RE 605.506</w:t>
            </w:r>
          </w:p>
        </w:tc>
        <w:tc>
          <w:tcPr>
            <w:tcW w:w="1418" w:type="dxa"/>
            <w:shd w:val="clear" w:color="auto" w:fill="auto"/>
          </w:tcPr>
          <w:p w14:paraId="052C3312"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1</w:t>
            </w:r>
            <w:proofErr w:type="gramEnd"/>
            <w:r w:rsidRPr="002926CD">
              <w:rPr>
                <w:rFonts w:cs="Times New Roman"/>
                <w:sz w:val="18"/>
                <w:szCs w:val="18"/>
              </w:rPr>
              <w:t xml:space="preserve"> ano: 1,3</w:t>
            </w:r>
          </w:p>
          <w:p w14:paraId="0BAFE560"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5</w:t>
            </w:r>
            <w:proofErr w:type="gramEnd"/>
            <w:r w:rsidRPr="002926CD">
              <w:rPr>
                <w:rFonts w:cs="Times New Roman"/>
                <w:sz w:val="18"/>
                <w:szCs w:val="18"/>
              </w:rPr>
              <w:t xml:space="preserve"> anos: 7,6</w:t>
            </w:r>
          </w:p>
        </w:tc>
      </w:tr>
      <w:tr w:rsidR="00A43C69" w:rsidRPr="000E096D" w14:paraId="0CB02E16" w14:textId="77777777" w:rsidTr="00020344">
        <w:trPr>
          <w:trHeight w:val="20"/>
          <w:jc w:val="center"/>
        </w:trPr>
        <w:tc>
          <w:tcPr>
            <w:tcW w:w="6946" w:type="dxa"/>
            <w:shd w:val="clear" w:color="auto" w:fill="F2F2F2" w:themeFill="background1" w:themeFillShade="F2"/>
          </w:tcPr>
          <w:p w14:paraId="5EDF682A" w14:textId="77777777" w:rsidR="00A43C69" w:rsidRPr="002926CD" w:rsidRDefault="00A43C69" w:rsidP="00020344">
            <w:pPr>
              <w:autoSpaceDE w:val="0"/>
              <w:autoSpaceDN w:val="0"/>
              <w:adjustRightInd w:val="0"/>
              <w:rPr>
                <w:rFonts w:cs="Times New Roman"/>
                <w:sz w:val="18"/>
                <w:szCs w:val="18"/>
              </w:rPr>
            </w:pPr>
            <w:r w:rsidRPr="002926CD">
              <w:rPr>
                <w:rFonts w:cs="Times New Roman"/>
                <w:sz w:val="18"/>
                <w:szCs w:val="18"/>
              </w:rPr>
              <w:t>CIDE sobre remessas ao exterior. Discussão a respeito da incidência da CIDE criada pela Lei nº 10.168/2000, destinada a financiar o Programa de Estímulo à Interação Universidade-Empresa para o Apoio à Inovação.</w:t>
            </w:r>
          </w:p>
        </w:tc>
        <w:tc>
          <w:tcPr>
            <w:tcW w:w="1559" w:type="dxa"/>
            <w:shd w:val="clear" w:color="auto" w:fill="F2F2F2" w:themeFill="background1" w:themeFillShade="F2"/>
          </w:tcPr>
          <w:p w14:paraId="3BAC0812" w14:textId="77777777" w:rsidR="00A43C69" w:rsidRPr="002926CD" w:rsidRDefault="00A43C69" w:rsidP="00020344">
            <w:pPr>
              <w:autoSpaceDE w:val="0"/>
              <w:autoSpaceDN w:val="0"/>
              <w:adjustRightInd w:val="0"/>
              <w:rPr>
                <w:sz w:val="18"/>
                <w:szCs w:val="18"/>
              </w:rPr>
            </w:pPr>
            <w:r w:rsidRPr="002926CD">
              <w:rPr>
                <w:sz w:val="18"/>
                <w:szCs w:val="18"/>
              </w:rPr>
              <w:t>RE 928.943</w:t>
            </w:r>
          </w:p>
        </w:tc>
        <w:tc>
          <w:tcPr>
            <w:tcW w:w="1418" w:type="dxa"/>
            <w:shd w:val="clear" w:color="auto" w:fill="F2F2F2" w:themeFill="background1" w:themeFillShade="F2"/>
          </w:tcPr>
          <w:p w14:paraId="51BE7B32"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1</w:t>
            </w:r>
            <w:proofErr w:type="gramEnd"/>
            <w:r w:rsidRPr="002926CD">
              <w:rPr>
                <w:rFonts w:cs="Times New Roman"/>
                <w:sz w:val="18"/>
                <w:szCs w:val="18"/>
              </w:rPr>
              <w:t xml:space="preserve"> ano: 3,8</w:t>
            </w:r>
          </w:p>
          <w:p w14:paraId="13891325"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5</w:t>
            </w:r>
            <w:proofErr w:type="gramEnd"/>
            <w:r w:rsidRPr="002926CD">
              <w:rPr>
                <w:rFonts w:cs="Times New Roman"/>
                <w:sz w:val="18"/>
                <w:szCs w:val="18"/>
              </w:rPr>
              <w:t xml:space="preserve"> anos: 17,9</w:t>
            </w:r>
          </w:p>
        </w:tc>
      </w:tr>
      <w:tr w:rsidR="00A43C69" w:rsidRPr="000E096D" w14:paraId="3C8C205E" w14:textId="77777777" w:rsidTr="00020344">
        <w:trPr>
          <w:trHeight w:val="20"/>
          <w:jc w:val="center"/>
        </w:trPr>
        <w:tc>
          <w:tcPr>
            <w:tcW w:w="6946" w:type="dxa"/>
            <w:shd w:val="clear" w:color="auto" w:fill="auto"/>
          </w:tcPr>
          <w:p w14:paraId="5DE4CBF2" w14:textId="77777777" w:rsidR="00A43C69" w:rsidRPr="002926CD" w:rsidRDefault="00A43C69" w:rsidP="00020344">
            <w:pPr>
              <w:autoSpaceDE w:val="0"/>
              <w:autoSpaceDN w:val="0"/>
              <w:adjustRightInd w:val="0"/>
              <w:rPr>
                <w:rFonts w:cs="Times New Roman"/>
                <w:sz w:val="18"/>
                <w:szCs w:val="18"/>
              </w:rPr>
            </w:pPr>
            <w:r w:rsidRPr="002926CD">
              <w:rPr>
                <w:rFonts w:cs="Times New Roman"/>
                <w:sz w:val="18"/>
                <w:szCs w:val="18"/>
              </w:rPr>
              <w:t>PIS e COFINS. Base de cálculo, inclusão do ISS. Questiona-se a inclusão da parcela relativa ao ISS na base de cálculo da contribuição para o PIS e COFINS (sistemática da tributação por dentro).</w:t>
            </w:r>
          </w:p>
        </w:tc>
        <w:tc>
          <w:tcPr>
            <w:tcW w:w="1559" w:type="dxa"/>
            <w:shd w:val="clear" w:color="auto" w:fill="auto"/>
          </w:tcPr>
          <w:p w14:paraId="2D70E778" w14:textId="77777777" w:rsidR="00A43C69" w:rsidRPr="002926CD" w:rsidRDefault="00A43C69" w:rsidP="00020344">
            <w:pPr>
              <w:autoSpaceDE w:val="0"/>
              <w:autoSpaceDN w:val="0"/>
              <w:adjustRightInd w:val="0"/>
              <w:rPr>
                <w:sz w:val="18"/>
                <w:szCs w:val="18"/>
              </w:rPr>
            </w:pPr>
            <w:r w:rsidRPr="002926CD">
              <w:rPr>
                <w:sz w:val="18"/>
                <w:szCs w:val="18"/>
              </w:rPr>
              <w:t>RE 592.616</w:t>
            </w:r>
          </w:p>
        </w:tc>
        <w:tc>
          <w:tcPr>
            <w:tcW w:w="1418" w:type="dxa"/>
            <w:shd w:val="clear" w:color="auto" w:fill="auto"/>
          </w:tcPr>
          <w:p w14:paraId="5F6CB74A"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1</w:t>
            </w:r>
            <w:proofErr w:type="gramEnd"/>
            <w:r w:rsidRPr="002926CD">
              <w:rPr>
                <w:rFonts w:cs="Times New Roman"/>
                <w:sz w:val="18"/>
                <w:szCs w:val="18"/>
              </w:rPr>
              <w:t xml:space="preserve"> ano: 6,1</w:t>
            </w:r>
          </w:p>
          <w:p w14:paraId="68C083C6"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5</w:t>
            </w:r>
            <w:proofErr w:type="gramEnd"/>
            <w:r w:rsidRPr="002926CD">
              <w:rPr>
                <w:rFonts w:cs="Times New Roman"/>
                <w:sz w:val="18"/>
                <w:szCs w:val="18"/>
              </w:rPr>
              <w:t xml:space="preserve"> anos: 32,3</w:t>
            </w:r>
          </w:p>
        </w:tc>
      </w:tr>
      <w:tr w:rsidR="00A43C69" w:rsidRPr="000E096D" w14:paraId="1F93703E" w14:textId="77777777" w:rsidTr="00020344">
        <w:trPr>
          <w:trHeight w:val="20"/>
          <w:jc w:val="center"/>
        </w:trPr>
        <w:tc>
          <w:tcPr>
            <w:tcW w:w="6946" w:type="dxa"/>
            <w:shd w:val="clear" w:color="auto" w:fill="F2F2F2" w:themeFill="background1" w:themeFillShade="F2"/>
          </w:tcPr>
          <w:p w14:paraId="66C27D07" w14:textId="77777777" w:rsidR="00A43C69" w:rsidRPr="009F2345" w:rsidRDefault="00A43C69" w:rsidP="00020344">
            <w:pPr>
              <w:autoSpaceDE w:val="0"/>
              <w:autoSpaceDN w:val="0"/>
              <w:adjustRightInd w:val="0"/>
              <w:rPr>
                <w:rFonts w:cs="Times New Roman"/>
                <w:sz w:val="18"/>
                <w:szCs w:val="18"/>
              </w:rPr>
            </w:pPr>
            <w:r w:rsidRPr="009F2345">
              <w:rPr>
                <w:rFonts w:cs="Times New Roman"/>
                <w:sz w:val="18"/>
                <w:szCs w:val="18"/>
              </w:rPr>
              <w:t>Multa por indeferimento administrativo de pedidos de ressarcimento, compensação e restituição. Discussão sobre a aplicação das multas de 50% dos §§ 1 5 e 17 do art. 74 da Lei nº 9.430/1996, na redação que lhes foi conferida pelo art. 62 da Lei nº 12.249/2010, em caso de indeferimento de pedidos de ressarcimento de compensação já efetuados (ou que venham a ser efetuados), ressalvando-se a possibilidade da incidência de multa em caso de má-fé do contribuinte.</w:t>
            </w:r>
          </w:p>
        </w:tc>
        <w:tc>
          <w:tcPr>
            <w:tcW w:w="1559" w:type="dxa"/>
            <w:shd w:val="clear" w:color="auto" w:fill="F2F2F2" w:themeFill="background1" w:themeFillShade="F2"/>
          </w:tcPr>
          <w:p w14:paraId="4E436F4D" w14:textId="77777777" w:rsidR="00A43C69" w:rsidRPr="009F2345" w:rsidRDefault="00A43C69" w:rsidP="00020344">
            <w:pPr>
              <w:autoSpaceDE w:val="0"/>
              <w:autoSpaceDN w:val="0"/>
              <w:adjustRightInd w:val="0"/>
              <w:rPr>
                <w:sz w:val="18"/>
                <w:szCs w:val="18"/>
              </w:rPr>
            </w:pPr>
            <w:r w:rsidRPr="009F2345">
              <w:rPr>
                <w:sz w:val="18"/>
                <w:szCs w:val="18"/>
              </w:rPr>
              <w:t>RE 796.939</w:t>
            </w:r>
          </w:p>
        </w:tc>
        <w:tc>
          <w:tcPr>
            <w:tcW w:w="1418" w:type="dxa"/>
            <w:shd w:val="clear" w:color="auto" w:fill="F2F2F2" w:themeFill="background1" w:themeFillShade="F2"/>
          </w:tcPr>
          <w:p w14:paraId="0C11BD2F" w14:textId="77777777" w:rsidR="00A43C69" w:rsidRPr="009F2345" w:rsidRDefault="00A43C69" w:rsidP="00020344">
            <w:pPr>
              <w:autoSpaceDE w:val="0"/>
              <w:autoSpaceDN w:val="0"/>
              <w:adjustRightInd w:val="0"/>
              <w:jc w:val="right"/>
              <w:rPr>
                <w:rFonts w:cs="Times New Roman"/>
                <w:sz w:val="18"/>
                <w:szCs w:val="18"/>
              </w:rPr>
            </w:pPr>
            <w:r w:rsidRPr="009F2345">
              <w:rPr>
                <w:rFonts w:cs="Times New Roman"/>
                <w:sz w:val="18"/>
                <w:szCs w:val="18"/>
              </w:rPr>
              <w:t>3,7</w:t>
            </w:r>
          </w:p>
        </w:tc>
      </w:tr>
      <w:tr w:rsidR="00A43C69" w:rsidRPr="000E096D" w14:paraId="4453F973" w14:textId="77777777" w:rsidTr="00020344">
        <w:trPr>
          <w:trHeight w:val="20"/>
          <w:jc w:val="center"/>
        </w:trPr>
        <w:tc>
          <w:tcPr>
            <w:tcW w:w="6946" w:type="dxa"/>
            <w:shd w:val="clear" w:color="auto" w:fill="auto"/>
          </w:tcPr>
          <w:p w14:paraId="7645CEE4" w14:textId="77777777" w:rsidR="00A43C69" w:rsidRPr="002926CD" w:rsidRDefault="00A43C69" w:rsidP="00020344">
            <w:pPr>
              <w:autoSpaceDE w:val="0"/>
              <w:autoSpaceDN w:val="0"/>
              <w:adjustRightInd w:val="0"/>
              <w:rPr>
                <w:rFonts w:cs="Times New Roman"/>
                <w:sz w:val="18"/>
                <w:szCs w:val="18"/>
              </w:rPr>
            </w:pPr>
            <w:r w:rsidRPr="002926CD">
              <w:rPr>
                <w:rFonts w:cs="Times New Roman"/>
                <w:sz w:val="18"/>
                <w:szCs w:val="18"/>
              </w:rPr>
              <w:t>PIS sobre locação de bens imóveis. Discussão sobre a incidência de PIS sobre as receitas decorrentes da locação de bens imóveis, inclusive no que se refere às empresas que alugam imóveis esporádica ou eventualmente.</w:t>
            </w:r>
          </w:p>
        </w:tc>
        <w:tc>
          <w:tcPr>
            <w:tcW w:w="1559" w:type="dxa"/>
            <w:shd w:val="clear" w:color="auto" w:fill="auto"/>
          </w:tcPr>
          <w:p w14:paraId="6F1EEEE5" w14:textId="77777777" w:rsidR="00A43C69" w:rsidRPr="002926CD" w:rsidRDefault="00A43C69" w:rsidP="00020344">
            <w:pPr>
              <w:autoSpaceDE w:val="0"/>
              <w:autoSpaceDN w:val="0"/>
              <w:adjustRightInd w:val="0"/>
              <w:rPr>
                <w:sz w:val="18"/>
                <w:szCs w:val="18"/>
              </w:rPr>
            </w:pPr>
            <w:r w:rsidRPr="002926CD">
              <w:rPr>
                <w:sz w:val="18"/>
                <w:szCs w:val="18"/>
              </w:rPr>
              <w:t>RE 599.658</w:t>
            </w:r>
          </w:p>
        </w:tc>
        <w:tc>
          <w:tcPr>
            <w:tcW w:w="1418" w:type="dxa"/>
            <w:shd w:val="clear" w:color="auto" w:fill="auto"/>
          </w:tcPr>
          <w:p w14:paraId="10BFC0F4"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1</w:t>
            </w:r>
            <w:proofErr w:type="gramEnd"/>
            <w:r w:rsidRPr="002926CD">
              <w:rPr>
                <w:rFonts w:cs="Times New Roman"/>
                <w:sz w:val="18"/>
                <w:szCs w:val="18"/>
              </w:rPr>
              <w:t xml:space="preserve"> ano: 2,9 </w:t>
            </w:r>
          </w:p>
          <w:p w14:paraId="275A0A90" w14:textId="77777777" w:rsidR="00A43C69" w:rsidRPr="002926CD" w:rsidRDefault="00A43C69" w:rsidP="00020344">
            <w:pPr>
              <w:autoSpaceDE w:val="0"/>
              <w:autoSpaceDN w:val="0"/>
              <w:adjustRightInd w:val="0"/>
              <w:jc w:val="right"/>
              <w:rPr>
                <w:rFonts w:cs="Times New Roman"/>
                <w:sz w:val="18"/>
                <w:szCs w:val="18"/>
              </w:rPr>
            </w:pPr>
            <w:proofErr w:type="gramStart"/>
            <w:r w:rsidRPr="002926CD">
              <w:rPr>
                <w:rFonts w:cs="Times New Roman"/>
                <w:sz w:val="18"/>
                <w:szCs w:val="18"/>
              </w:rPr>
              <w:t>5</w:t>
            </w:r>
            <w:proofErr w:type="gramEnd"/>
            <w:r w:rsidRPr="002926CD">
              <w:rPr>
                <w:rFonts w:cs="Times New Roman"/>
                <w:sz w:val="18"/>
                <w:szCs w:val="18"/>
              </w:rPr>
              <w:t xml:space="preserve"> anos: 14,6</w:t>
            </w:r>
          </w:p>
        </w:tc>
      </w:tr>
      <w:tr w:rsidR="00A43C69" w:rsidRPr="000E096D" w14:paraId="0B845C76" w14:textId="77777777" w:rsidTr="00020344">
        <w:trPr>
          <w:trHeight w:val="20"/>
          <w:jc w:val="center"/>
        </w:trPr>
        <w:tc>
          <w:tcPr>
            <w:tcW w:w="6946" w:type="dxa"/>
            <w:shd w:val="clear" w:color="auto" w:fill="F2F2F2" w:themeFill="background1" w:themeFillShade="F2"/>
          </w:tcPr>
          <w:p w14:paraId="64958106" w14:textId="77777777" w:rsidR="00A43C69" w:rsidRPr="00CB79B8" w:rsidRDefault="00A43C69" w:rsidP="00020344">
            <w:pPr>
              <w:autoSpaceDE w:val="0"/>
              <w:autoSpaceDN w:val="0"/>
              <w:adjustRightInd w:val="0"/>
              <w:rPr>
                <w:rFonts w:cs="Times New Roman"/>
                <w:sz w:val="18"/>
                <w:szCs w:val="18"/>
              </w:rPr>
            </w:pPr>
            <w:r w:rsidRPr="00CB79B8">
              <w:rPr>
                <w:rFonts w:cs="Times New Roman"/>
                <w:sz w:val="18"/>
                <w:szCs w:val="18"/>
              </w:rPr>
              <w:t>PIS/COFINS e CSLL sobre atos cooperativos. Discussão sobre a incidência do PIS, COFINS e CSLL sobre os valores resultantes dos atos cooperativos próprios das sociedades cooperativas.</w:t>
            </w:r>
          </w:p>
        </w:tc>
        <w:tc>
          <w:tcPr>
            <w:tcW w:w="1559" w:type="dxa"/>
            <w:shd w:val="clear" w:color="auto" w:fill="F2F2F2" w:themeFill="background1" w:themeFillShade="F2"/>
          </w:tcPr>
          <w:p w14:paraId="5683B19F" w14:textId="77777777" w:rsidR="00A43C69" w:rsidRPr="00CB79B8" w:rsidRDefault="00A43C69" w:rsidP="00020344">
            <w:pPr>
              <w:autoSpaceDE w:val="0"/>
              <w:autoSpaceDN w:val="0"/>
              <w:adjustRightInd w:val="0"/>
              <w:rPr>
                <w:sz w:val="18"/>
                <w:szCs w:val="18"/>
              </w:rPr>
            </w:pPr>
            <w:r w:rsidRPr="00CB79B8">
              <w:rPr>
                <w:sz w:val="18"/>
                <w:szCs w:val="18"/>
              </w:rPr>
              <w:t>RE 672.215</w:t>
            </w:r>
          </w:p>
        </w:tc>
        <w:tc>
          <w:tcPr>
            <w:tcW w:w="1418" w:type="dxa"/>
            <w:shd w:val="clear" w:color="auto" w:fill="F2F2F2" w:themeFill="background1" w:themeFillShade="F2"/>
          </w:tcPr>
          <w:p w14:paraId="154216ED" w14:textId="77777777" w:rsidR="00A43C69" w:rsidRPr="00CB79B8" w:rsidRDefault="00A43C69" w:rsidP="00020344">
            <w:pPr>
              <w:autoSpaceDE w:val="0"/>
              <w:autoSpaceDN w:val="0"/>
              <w:adjustRightInd w:val="0"/>
              <w:jc w:val="right"/>
              <w:rPr>
                <w:rFonts w:cs="Times New Roman"/>
                <w:sz w:val="18"/>
                <w:szCs w:val="18"/>
              </w:rPr>
            </w:pPr>
            <w:proofErr w:type="gramStart"/>
            <w:r w:rsidRPr="00CB79B8">
              <w:rPr>
                <w:rFonts w:cs="Times New Roman"/>
                <w:sz w:val="18"/>
                <w:szCs w:val="18"/>
              </w:rPr>
              <w:t>1</w:t>
            </w:r>
            <w:proofErr w:type="gramEnd"/>
            <w:r w:rsidRPr="00CB79B8">
              <w:rPr>
                <w:rFonts w:cs="Times New Roman"/>
                <w:sz w:val="18"/>
                <w:szCs w:val="18"/>
              </w:rPr>
              <w:t xml:space="preserve"> ano: 1,8</w:t>
            </w:r>
          </w:p>
          <w:p w14:paraId="237646BC" w14:textId="77777777" w:rsidR="00A43C69" w:rsidRPr="00CB79B8" w:rsidRDefault="00A43C69" w:rsidP="00020344">
            <w:pPr>
              <w:autoSpaceDE w:val="0"/>
              <w:autoSpaceDN w:val="0"/>
              <w:adjustRightInd w:val="0"/>
              <w:jc w:val="right"/>
              <w:rPr>
                <w:rFonts w:cs="Times New Roman"/>
                <w:sz w:val="18"/>
                <w:szCs w:val="18"/>
              </w:rPr>
            </w:pPr>
            <w:proofErr w:type="gramStart"/>
            <w:r w:rsidRPr="00CB79B8">
              <w:rPr>
                <w:rFonts w:cs="Times New Roman"/>
                <w:sz w:val="18"/>
                <w:szCs w:val="18"/>
              </w:rPr>
              <w:t>5</w:t>
            </w:r>
            <w:proofErr w:type="gramEnd"/>
            <w:r w:rsidRPr="00CB79B8">
              <w:rPr>
                <w:rFonts w:cs="Times New Roman"/>
                <w:sz w:val="18"/>
                <w:szCs w:val="18"/>
              </w:rPr>
              <w:t xml:space="preserve"> anos: 8,2</w:t>
            </w:r>
          </w:p>
        </w:tc>
      </w:tr>
      <w:tr w:rsidR="00A43C69" w:rsidRPr="000E096D" w14:paraId="2F1B00DD" w14:textId="77777777" w:rsidTr="00020344">
        <w:trPr>
          <w:trHeight w:val="20"/>
          <w:jc w:val="center"/>
        </w:trPr>
        <w:tc>
          <w:tcPr>
            <w:tcW w:w="6946" w:type="dxa"/>
            <w:shd w:val="clear" w:color="auto" w:fill="auto"/>
          </w:tcPr>
          <w:p w14:paraId="6FDBDD40" w14:textId="77777777" w:rsidR="00A43C69" w:rsidRPr="001A3289" w:rsidRDefault="00A43C69" w:rsidP="00020344">
            <w:pPr>
              <w:autoSpaceDE w:val="0"/>
              <w:autoSpaceDN w:val="0"/>
              <w:adjustRightInd w:val="0"/>
              <w:rPr>
                <w:rFonts w:cs="Times New Roman"/>
                <w:sz w:val="18"/>
                <w:szCs w:val="18"/>
              </w:rPr>
            </w:pPr>
            <w:r w:rsidRPr="001A3289">
              <w:rPr>
                <w:rFonts w:ascii="Calibri" w:hAnsi="Calibri" w:cs="Calibri"/>
                <w:sz w:val="18"/>
                <w:szCs w:val="18"/>
              </w:rPr>
              <w:t>INCRA. Adicional de 0,2% na folha de salário.</w:t>
            </w:r>
          </w:p>
        </w:tc>
        <w:tc>
          <w:tcPr>
            <w:tcW w:w="1559" w:type="dxa"/>
            <w:shd w:val="clear" w:color="auto" w:fill="auto"/>
          </w:tcPr>
          <w:p w14:paraId="60C3DDE7" w14:textId="77777777" w:rsidR="00A43C69" w:rsidRPr="001A3289" w:rsidRDefault="00A43C69" w:rsidP="00020344">
            <w:pPr>
              <w:autoSpaceDE w:val="0"/>
              <w:autoSpaceDN w:val="0"/>
              <w:adjustRightInd w:val="0"/>
              <w:rPr>
                <w:sz w:val="18"/>
                <w:szCs w:val="18"/>
              </w:rPr>
            </w:pPr>
            <w:r w:rsidRPr="001A3289">
              <w:rPr>
                <w:sz w:val="18"/>
                <w:szCs w:val="18"/>
              </w:rPr>
              <w:t>RE 630.898</w:t>
            </w:r>
          </w:p>
        </w:tc>
        <w:tc>
          <w:tcPr>
            <w:tcW w:w="1418" w:type="dxa"/>
            <w:shd w:val="clear" w:color="auto" w:fill="auto"/>
          </w:tcPr>
          <w:p w14:paraId="5524D849" w14:textId="77777777" w:rsidR="00A43C69" w:rsidRPr="001A3289" w:rsidRDefault="00A43C69" w:rsidP="00020344">
            <w:pPr>
              <w:autoSpaceDE w:val="0"/>
              <w:autoSpaceDN w:val="0"/>
              <w:adjustRightInd w:val="0"/>
              <w:jc w:val="right"/>
              <w:rPr>
                <w:rFonts w:cs="Times New Roman"/>
                <w:sz w:val="18"/>
                <w:szCs w:val="18"/>
              </w:rPr>
            </w:pPr>
            <w:proofErr w:type="gramStart"/>
            <w:r w:rsidRPr="001A3289">
              <w:rPr>
                <w:rFonts w:cs="Times New Roman"/>
                <w:sz w:val="18"/>
                <w:szCs w:val="18"/>
              </w:rPr>
              <w:t>1</w:t>
            </w:r>
            <w:proofErr w:type="gramEnd"/>
            <w:r w:rsidRPr="001A3289">
              <w:rPr>
                <w:rFonts w:cs="Times New Roman"/>
                <w:sz w:val="18"/>
                <w:szCs w:val="18"/>
              </w:rPr>
              <w:t xml:space="preserve"> ano: 5,7 </w:t>
            </w:r>
          </w:p>
          <w:p w14:paraId="018A3B8B" w14:textId="77777777" w:rsidR="00A43C69" w:rsidRPr="001A3289" w:rsidRDefault="00A43C69" w:rsidP="00020344">
            <w:pPr>
              <w:autoSpaceDE w:val="0"/>
              <w:autoSpaceDN w:val="0"/>
              <w:adjustRightInd w:val="0"/>
              <w:jc w:val="right"/>
              <w:rPr>
                <w:rFonts w:cs="Times New Roman"/>
                <w:sz w:val="18"/>
                <w:szCs w:val="18"/>
              </w:rPr>
            </w:pPr>
            <w:proofErr w:type="gramStart"/>
            <w:r w:rsidRPr="001A3289">
              <w:rPr>
                <w:rFonts w:cs="Times New Roman"/>
                <w:sz w:val="18"/>
                <w:szCs w:val="18"/>
              </w:rPr>
              <w:t>5</w:t>
            </w:r>
            <w:proofErr w:type="gramEnd"/>
            <w:r w:rsidRPr="001A3289">
              <w:rPr>
                <w:rFonts w:cs="Times New Roman"/>
                <w:sz w:val="18"/>
                <w:szCs w:val="18"/>
              </w:rPr>
              <w:t xml:space="preserve"> anos: 31,9</w:t>
            </w:r>
          </w:p>
        </w:tc>
      </w:tr>
      <w:tr w:rsidR="00A43C69" w:rsidRPr="000E096D" w14:paraId="230F413F" w14:textId="77777777" w:rsidTr="00020344">
        <w:trPr>
          <w:trHeight w:val="20"/>
          <w:jc w:val="center"/>
        </w:trPr>
        <w:tc>
          <w:tcPr>
            <w:tcW w:w="6946" w:type="dxa"/>
            <w:shd w:val="clear" w:color="auto" w:fill="F2F2F2" w:themeFill="background1" w:themeFillShade="F2"/>
          </w:tcPr>
          <w:p w14:paraId="39FCEF0F" w14:textId="77777777" w:rsidR="00A43C69" w:rsidRPr="00E425EE" w:rsidRDefault="00A43C69" w:rsidP="00020344">
            <w:pPr>
              <w:autoSpaceDE w:val="0"/>
              <w:autoSpaceDN w:val="0"/>
              <w:adjustRightInd w:val="0"/>
              <w:rPr>
                <w:rFonts w:cs="Times New Roman"/>
                <w:sz w:val="18"/>
                <w:szCs w:val="18"/>
              </w:rPr>
            </w:pPr>
            <w:r w:rsidRPr="00E425EE">
              <w:rPr>
                <w:rFonts w:cs="Times New Roman"/>
                <w:sz w:val="18"/>
                <w:szCs w:val="18"/>
              </w:rPr>
              <w:t xml:space="preserve">Contribuição ao SENAR. Discussão sobre a constitucionalidade da incidência da contribuição destinada ao SENAR sobre a receita bruta proveniente da comercialização da produção rural, nos termos do art. 2º da Lei 8.540/1992, com as alterações posteriores do art. 6º da </w:t>
            </w:r>
            <w:r w:rsidRPr="00E425EE">
              <w:rPr>
                <w:rFonts w:cs="Times New Roman"/>
                <w:sz w:val="18"/>
                <w:szCs w:val="18"/>
              </w:rPr>
              <w:lastRenderedPageBreak/>
              <w:t>Lei 9.528/1997 e do art. 3º da Lei 10.256/2001.</w:t>
            </w:r>
          </w:p>
        </w:tc>
        <w:tc>
          <w:tcPr>
            <w:tcW w:w="1559" w:type="dxa"/>
            <w:shd w:val="clear" w:color="auto" w:fill="F2F2F2" w:themeFill="background1" w:themeFillShade="F2"/>
          </w:tcPr>
          <w:p w14:paraId="376BF073" w14:textId="77777777" w:rsidR="00A43C69" w:rsidRPr="00E425EE" w:rsidRDefault="00A43C69" w:rsidP="00020344">
            <w:pPr>
              <w:autoSpaceDE w:val="0"/>
              <w:autoSpaceDN w:val="0"/>
              <w:adjustRightInd w:val="0"/>
              <w:rPr>
                <w:sz w:val="18"/>
                <w:szCs w:val="18"/>
              </w:rPr>
            </w:pPr>
            <w:r w:rsidRPr="00E425EE">
              <w:rPr>
                <w:sz w:val="18"/>
                <w:szCs w:val="18"/>
              </w:rPr>
              <w:lastRenderedPageBreak/>
              <w:t>RE 816.830</w:t>
            </w:r>
          </w:p>
        </w:tc>
        <w:tc>
          <w:tcPr>
            <w:tcW w:w="1418" w:type="dxa"/>
            <w:shd w:val="clear" w:color="auto" w:fill="F2F2F2" w:themeFill="background1" w:themeFillShade="F2"/>
          </w:tcPr>
          <w:p w14:paraId="42F42D6A" w14:textId="77777777" w:rsidR="00A43C69" w:rsidRPr="00E425EE" w:rsidRDefault="00A43C69" w:rsidP="00020344">
            <w:pPr>
              <w:autoSpaceDE w:val="0"/>
              <w:autoSpaceDN w:val="0"/>
              <w:adjustRightInd w:val="0"/>
              <w:jc w:val="right"/>
              <w:rPr>
                <w:rFonts w:cs="Times New Roman"/>
                <w:sz w:val="18"/>
                <w:szCs w:val="18"/>
              </w:rPr>
            </w:pPr>
            <w:proofErr w:type="gramStart"/>
            <w:r w:rsidRPr="00E425EE">
              <w:rPr>
                <w:rFonts w:cs="Times New Roman"/>
                <w:sz w:val="18"/>
                <w:szCs w:val="18"/>
              </w:rPr>
              <w:t>1</w:t>
            </w:r>
            <w:proofErr w:type="gramEnd"/>
            <w:r w:rsidRPr="00E425EE">
              <w:rPr>
                <w:rFonts w:cs="Times New Roman"/>
                <w:sz w:val="18"/>
                <w:szCs w:val="18"/>
              </w:rPr>
              <w:t xml:space="preserve"> ano: 0,9 </w:t>
            </w:r>
          </w:p>
          <w:p w14:paraId="2C7F19D8" w14:textId="77777777" w:rsidR="00A43C69" w:rsidRPr="00E425EE" w:rsidRDefault="00A43C69" w:rsidP="00020344">
            <w:pPr>
              <w:autoSpaceDE w:val="0"/>
              <w:autoSpaceDN w:val="0"/>
              <w:adjustRightInd w:val="0"/>
              <w:jc w:val="right"/>
              <w:rPr>
                <w:rFonts w:cs="Times New Roman"/>
                <w:sz w:val="18"/>
                <w:szCs w:val="18"/>
              </w:rPr>
            </w:pPr>
            <w:proofErr w:type="gramStart"/>
            <w:r w:rsidRPr="00E425EE">
              <w:rPr>
                <w:rFonts w:cs="Times New Roman"/>
                <w:sz w:val="18"/>
                <w:szCs w:val="18"/>
              </w:rPr>
              <w:t>5</w:t>
            </w:r>
            <w:proofErr w:type="gramEnd"/>
            <w:r w:rsidRPr="00E425EE">
              <w:rPr>
                <w:rFonts w:cs="Times New Roman"/>
                <w:sz w:val="18"/>
                <w:szCs w:val="18"/>
              </w:rPr>
              <w:t xml:space="preserve"> anos: 4,7</w:t>
            </w:r>
          </w:p>
        </w:tc>
      </w:tr>
      <w:tr w:rsidR="00A43C69" w:rsidRPr="000E096D" w14:paraId="21AE7735" w14:textId="77777777" w:rsidTr="00020344">
        <w:trPr>
          <w:trHeight w:val="20"/>
          <w:jc w:val="center"/>
        </w:trPr>
        <w:tc>
          <w:tcPr>
            <w:tcW w:w="6946" w:type="dxa"/>
            <w:shd w:val="clear" w:color="auto" w:fill="auto"/>
          </w:tcPr>
          <w:p w14:paraId="1B46D632" w14:textId="77777777" w:rsidR="00A43C69" w:rsidRPr="002525CC" w:rsidRDefault="00A43C69" w:rsidP="00020344">
            <w:pPr>
              <w:autoSpaceDE w:val="0"/>
              <w:autoSpaceDN w:val="0"/>
              <w:adjustRightInd w:val="0"/>
              <w:rPr>
                <w:rFonts w:cs="Times New Roman"/>
                <w:color w:val="70AD47" w:themeColor="accent6"/>
                <w:sz w:val="18"/>
                <w:szCs w:val="18"/>
              </w:rPr>
            </w:pPr>
            <w:r w:rsidRPr="009F2345">
              <w:rPr>
                <w:rFonts w:cs="Times New Roman"/>
                <w:sz w:val="18"/>
                <w:szCs w:val="18"/>
              </w:rPr>
              <w:lastRenderedPageBreak/>
              <w:t>Contribuição da Agroindústria. Discussão sobre a constitucionalidade da contribuição para a seguridade social a cargo das agroindústrias sobre a receita bruta prevista na Lei n.º 10.256/2001.</w:t>
            </w:r>
          </w:p>
        </w:tc>
        <w:tc>
          <w:tcPr>
            <w:tcW w:w="1559" w:type="dxa"/>
            <w:shd w:val="clear" w:color="auto" w:fill="auto"/>
          </w:tcPr>
          <w:p w14:paraId="0793FA82" w14:textId="77777777" w:rsidR="00A43C69" w:rsidRPr="009F2345" w:rsidRDefault="00A43C69" w:rsidP="00020344">
            <w:pPr>
              <w:autoSpaceDE w:val="0"/>
              <w:autoSpaceDN w:val="0"/>
              <w:adjustRightInd w:val="0"/>
              <w:rPr>
                <w:sz w:val="18"/>
                <w:szCs w:val="18"/>
              </w:rPr>
            </w:pPr>
            <w:r w:rsidRPr="009F2345">
              <w:rPr>
                <w:sz w:val="18"/>
                <w:szCs w:val="18"/>
              </w:rPr>
              <w:t>RE 611.601</w:t>
            </w:r>
          </w:p>
        </w:tc>
        <w:tc>
          <w:tcPr>
            <w:tcW w:w="1418" w:type="dxa"/>
            <w:shd w:val="clear" w:color="auto" w:fill="auto"/>
          </w:tcPr>
          <w:p w14:paraId="52FE057F" w14:textId="77777777" w:rsidR="00A43C69" w:rsidRPr="009F2345" w:rsidRDefault="00A43C69" w:rsidP="00020344">
            <w:pPr>
              <w:autoSpaceDE w:val="0"/>
              <w:autoSpaceDN w:val="0"/>
              <w:adjustRightInd w:val="0"/>
              <w:jc w:val="right"/>
              <w:rPr>
                <w:rFonts w:cs="Times New Roman"/>
                <w:sz w:val="18"/>
                <w:szCs w:val="18"/>
              </w:rPr>
            </w:pPr>
            <w:proofErr w:type="gramStart"/>
            <w:r w:rsidRPr="009F2345">
              <w:rPr>
                <w:rFonts w:cs="Times New Roman"/>
                <w:sz w:val="18"/>
                <w:szCs w:val="18"/>
              </w:rPr>
              <w:t>1</w:t>
            </w:r>
            <w:proofErr w:type="gramEnd"/>
            <w:r w:rsidRPr="009F2345">
              <w:rPr>
                <w:rFonts w:cs="Times New Roman"/>
                <w:sz w:val="18"/>
                <w:szCs w:val="18"/>
              </w:rPr>
              <w:t xml:space="preserve"> ano: 2,7 </w:t>
            </w:r>
          </w:p>
          <w:p w14:paraId="7625C2C8" w14:textId="77777777" w:rsidR="00A43C69" w:rsidRPr="009F2345" w:rsidRDefault="00A43C69" w:rsidP="00020344">
            <w:pPr>
              <w:autoSpaceDE w:val="0"/>
              <w:autoSpaceDN w:val="0"/>
              <w:adjustRightInd w:val="0"/>
              <w:jc w:val="right"/>
              <w:rPr>
                <w:rFonts w:cs="Times New Roman"/>
                <w:sz w:val="18"/>
                <w:szCs w:val="18"/>
              </w:rPr>
            </w:pPr>
            <w:proofErr w:type="gramStart"/>
            <w:r w:rsidRPr="009F2345">
              <w:rPr>
                <w:rFonts w:cs="Times New Roman"/>
                <w:sz w:val="18"/>
                <w:szCs w:val="18"/>
              </w:rPr>
              <w:t>5</w:t>
            </w:r>
            <w:proofErr w:type="gramEnd"/>
            <w:r w:rsidRPr="009F2345">
              <w:rPr>
                <w:rFonts w:cs="Times New Roman"/>
                <w:sz w:val="18"/>
                <w:szCs w:val="18"/>
              </w:rPr>
              <w:t xml:space="preserve"> anos: 13,8</w:t>
            </w:r>
          </w:p>
        </w:tc>
      </w:tr>
      <w:tr w:rsidR="00A43C69" w:rsidRPr="000E096D" w14:paraId="0389DAC6" w14:textId="77777777" w:rsidTr="00020344">
        <w:trPr>
          <w:trHeight w:val="20"/>
          <w:jc w:val="center"/>
        </w:trPr>
        <w:tc>
          <w:tcPr>
            <w:tcW w:w="6946" w:type="dxa"/>
            <w:shd w:val="clear" w:color="auto" w:fill="F2F2F2" w:themeFill="background1" w:themeFillShade="F2"/>
          </w:tcPr>
          <w:p w14:paraId="3D1FEC2B" w14:textId="77777777" w:rsidR="00A43C69" w:rsidRPr="00523C8B" w:rsidRDefault="00A43C69" w:rsidP="00020344">
            <w:pPr>
              <w:autoSpaceDE w:val="0"/>
              <w:autoSpaceDN w:val="0"/>
              <w:adjustRightInd w:val="0"/>
              <w:rPr>
                <w:rFonts w:cs="Times New Roman"/>
                <w:sz w:val="18"/>
                <w:szCs w:val="18"/>
              </w:rPr>
            </w:pPr>
            <w:r w:rsidRPr="00523C8B">
              <w:rPr>
                <w:rFonts w:cs="Times New Roman"/>
                <w:sz w:val="18"/>
                <w:szCs w:val="18"/>
              </w:rPr>
              <w:t xml:space="preserve">IRPF sobre juros de mora. </w:t>
            </w:r>
            <w:proofErr w:type="gramStart"/>
            <w:r w:rsidRPr="00523C8B">
              <w:rPr>
                <w:rFonts w:cs="Times New Roman"/>
                <w:sz w:val="18"/>
                <w:szCs w:val="18"/>
              </w:rPr>
              <w:t>Se discute</w:t>
            </w:r>
            <w:proofErr w:type="gramEnd"/>
            <w:r w:rsidRPr="00523C8B">
              <w:rPr>
                <w:rFonts w:cs="Times New Roman"/>
                <w:sz w:val="18"/>
                <w:szCs w:val="18"/>
              </w:rPr>
              <w:t xml:space="preserve">, à luz dos </w:t>
            </w:r>
            <w:proofErr w:type="spellStart"/>
            <w:r w:rsidRPr="00523C8B">
              <w:rPr>
                <w:rFonts w:cs="Times New Roman"/>
                <w:sz w:val="18"/>
                <w:szCs w:val="18"/>
              </w:rPr>
              <w:t>arts</w:t>
            </w:r>
            <w:proofErr w:type="spellEnd"/>
            <w:r w:rsidRPr="00523C8B">
              <w:rPr>
                <w:rFonts w:cs="Times New Roman"/>
                <w:sz w:val="18"/>
                <w:szCs w:val="18"/>
              </w:rPr>
              <w:t xml:space="preserve">. 97 e 153, III, da Constituição Federal, a constitucionalidade dos </w:t>
            </w:r>
            <w:proofErr w:type="spellStart"/>
            <w:r w:rsidRPr="00523C8B">
              <w:rPr>
                <w:rFonts w:cs="Times New Roman"/>
                <w:sz w:val="18"/>
                <w:szCs w:val="18"/>
              </w:rPr>
              <w:t>arts</w:t>
            </w:r>
            <w:proofErr w:type="spellEnd"/>
            <w:r w:rsidRPr="00523C8B">
              <w:rPr>
                <w:rFonts w:cs="Times New Roman"/>
                <w:sz w:val="18"/>
                <w:szCs w:val="18"/>
              </w:rPr>
              <w:t>. 3º, § 1º, da Lei 7.713/1988 e 43, II, § 1º, do Código Tributário Nacional, de modo a definir a incidência, ou não, de imposto de renda sobre os juros moratórios recebidos por pessoa física.</w:t>
            </w:r>
          </w:p>
        </w:tc>
        <w:tc>
          <w:tcPr>
            <w:tcW w:w="1559" w:type="dxa"/>
            <w:shd w:val="clear" w:color="auto" w:fill="F2F2F2" w:themeFill="background1" w:themeFillShade="F2"/>
          </w:tcPr>
          <w:p w14:paraId="0CB40524" w14:textId="77777777" w:rsidR="00A43C69" w:rsidRPr="00523C8B" w:rsidRDefault="00A43C69" w:rsidP="00020344">
            <w:pPr>
              <w:autoSpaceDE w:val="0"/>
              <w:autoSpaceDN w:val="0"/>
              <w:adjustRightInd w:val="0"/>
              <w:rPr>
                <w:sz w:val="18"/>
                <w:szCs w:val="18"/>
              </w:rPr>
            </w:pPr>
            <w:r w:rsidRPr="00523C8B">
              <w:rPr>
                <w:sz w:val="18"/>
                <w:szCs w:val="18"/>
              </w:rPr>
              <w:t>RE 855.091</w:t>
            </w:r>
          </w:p>
        </w:tc>
        <w:tc>
          <w:tcPr>
            <w:tcW w:w="1418" w:type="dxa"/>
            <w:shd w:val="clear" w:color="auto" w:fill="F2F2F2" w:themeFill="background1" w:themeFillShade="F2"/>
          </w:tcPr>
          <w:p w14:paraId="7135EF8C" w14:textId="77777777" w:rsidR="00A43C69" w:rsidRPr="00523C8B" w:rsidRDefault="00A43C69" w:rsidP="00020344">
            <w:pPr>
              <w:autoSpaceDE w:val="0"/>
              <w:autoSpaceDN w:val="0"/>
              <w:adjustRightInd w:val="0"/>
              <w:jc w:val="right"/>
              <w:rPr>
                <w:rFonts w:cs="Times New Roman"/>
                <w:sz w:val="18"/>
                <w:szCs w:val="18"/>
              </w:rPr>
            </w:pPr>
            <w:proofErr w:type="gramStart"/>
            <w:r w:rsidRPr="00523C8B">
              <w:rPr>
                <w:rFonts w:cs="Times New Roman"/>
                <w:sz w:val="18"/>
                <w:szCs w:val="18"/>
              </w:rPr>
              <w:t>1</w:t>
            </w:r>
            <w:proofErr w:type="gramEnd"/>
            <w:r w:rsidRPr="00523C8B">
              <w:rPr>
                <w:rFonts w:cs="Times New Roman"/>
                <w:sz w:val="18"/>
                <w:szCs w:val="18"/>
              </w:rPr>
              <w:t xml:space="preserve"> ano: 0,4 </w:t>
            </w:r>
          </w:p>
          <w:p w14:paraId="3D33B3EA" w14:textId="77777777" w:rsidR="00A43C69" w:rsidRPr="00523C8B" w:rsidRDefault="00A43C69" w:rsidP="00020344">
            <w:pPr>
              <w:autoSpaceDE w:val="0"/>
              <w:autoSpaceDN w:val="0"/>
              <w:adjustRightInd w:val="0"/>
              <w:jc w:val="right"/>
              <w:rPr>
                <w:rFonts w:cs="Times New Roman"/>
                <w:sz w:val="18"/>
                <w:szCs w:val="18"/>
              </w:rPr>
            </w:pPr>
            <w:proofErr w:type="gramStart"/>
            <w:r w:rsidRPr="00523C8B">
              <w:rPr>
                <w:rFonts w:cs="Times New Roman"/>
                <w:sz w:val="18"/>
                <w:szCs w:val="18"/>
              </w:rPr>
              <w:t>5</w:t>
            </w:r>
            <w:proofErr w:type="gramEnd"/>
            <w:r w:rsidRPr="00523C8B">
              <w:rPr>
                <w:rFonts w:cs="Times New Roman"/>
                <w:sz w:val="18"/>
                <w:szCs w:val="18"/>
              </w:rPr>
              <w:t xml:space="preserve"> anos: 2,0</w:t>
            </w:r>
          </w:p>
        </w:tc>
      </w:tr>
      <w:tr w:rsidR="00A43C69" w:rsidRPr="000E096D" w14:paraId="5121B7B7" w14:textId="77777777" w:rsidTr="00020344">
        <w:trPr>
          <w:trHeight w:val="20"/>
          <w:jc w:val="center"/>
        </w:trPr>
        <w:tc>
          <w:tcPr>
            <w:tcW w:w="6946" w:type="dxa"/>
            <w:shd w:val="clear" w:color="auto" w:fill="auto"/>
          </w:tcPr>
          <w:p w14:paraId="5A9A8B56" w14:textId="77777777" w:rsidR="00A43C69" w:rsidRPr="00E1311A" w:rsidRDefault="00A43C69" w:rsidP="00020344">
            <w:pPr>
              <w:autoSpaceDE w:val="0"/>
              <w:autoSpaceDN w:val="0"/>
              <w:adjustRightInd w:val="0"/>
              <w:rPr>
                <w:rFonts w:cs="Times New Roman"/>
                <w:sz w:val="18"/>
                <w:szCs w:val="18"/>
              </w:rPr>
            </w:pPr>
            <w:r w:rsidRPr="00E1311A">
              <w:rPr>
                <w:rFonts w:cs="Times New Roman"/>
                <w:sz w:val="18"/>
                <w:szCs w:val="18"/>
              </w:rPr>
              <w:t xml:space="preserve">Inclusão do PIS e da </w:t>
            </w:r>
            <w:proofErr w:type="spellStart"/>
            <w:proofErr w:type="gramStart"/>
            <w:r w:rsidRPr="00E1311A">
              <w:rPr>
                <w:rFonts w:cs="Times New Roman"/>
                <w:sz w:val="18"/>
                <w:szCs w:val="18"/>
              </w:rPr>
              <w:t>Cofins</w:t>
            </w:r>
            <w:proofErr w:type="spellEnd"/>
            <w:proofErr w:type="gramEnd"/>
            <w:r w:rsidRPr="00E1311A">
              <w:rPr>
                <w:rFonts w:cs="Times New Roman"/>
                <w:sz w:val="18"/>
                <w:szCs w:val="18"/>
              </w:rPr>
              <w:t xml:space="preserve"> nas suas próprias bases de cálculo.</w:t>
            </w:r>
          </w:p>
        </w:tc>
        <w:tc>
          <w:tcPr>
            <w:tcW w:w="1559" w:type="dxa"/>
            <w:shd w:val="clear" w:color="auto" w:fill="auto"/>
          </w:tcPr>
          <w:p w14:paraId="75E03EED" w14:textId="77777777" w:rsidR="00A43C69" w:rsidRPr="00E1311A" w:rsidRDefault="00A43C69" w:rsidP="00020344">
            <w:pPr>
              <w:autoSpaceDE w:val="0"/>
              <w:autoSpaceDN w:val="0"/>
              <w:adjustRightInd w:val="0"/>
              <w:rPr>
                <w:sz w:val="18"/>
                <w:szCs w:val="18"/>
              </w:rPr>
            </w:pPr>
            <w:r w:rsidRPr="00E1311A">
              <w:rPr>
                <w:sz w:val="18"/>
                <w:szCs w:val="18"/>
              </w:rPr>
              <w:t>RE 1.233.096</w:t>
            </w:r>
          </w:p>
        </w:tc>
        <w:tc>
          <w:tcPr>
            <w:tcW w:w="1418" w:type="dxa"/>
            <w:shd w:val="clear" w:color="auto" w:fill="auto"/>
          </w:tcPr>
          <w:p w14:paraId="36DAFE63" w14:textId="77777777" w:rsidR="00A43C69" w:rsidRPr="00E1311A" w:rsidRDefault="00A43C69" w:rsidP="00020344">
            <w:pPr>
              <w:autoSpaceDE w:val="0"/>
              <w:autoSpaceDN w:val="0"/>
              <w:adjustRightInd w:val="0"/>
              <w:jc w:val="right"/>
              <w:rPr>
                <w:rFonts w:cs="Times New Roman"/>
                <w:sz w:val="18"/>
                <w:szCs w:val="18"/>
              </w:rPr>
            </w:pPr>
            <w:proofErr w:type="gramStart"/>
            <w:r w:rsidRPr="00E1311A">
              <w:rPr>
                <w:rFonts w:cs="Times New Roman"/>
                <w:sz w:val="18"/>
                <w:szCs w:val="18"/>
              </w:rPr>
              <w:t>1</w:t>
            </w:r>
            <w:proofErr w:type="gramEnd"/>
            <w:r w:rsidRPr="00E1311A">
              <w:rPr>
                <w:rFonts w:cs="Times New Roman"/>
                <w:sz w:val="18"/>
                <w:szCs w:val="18"/>
              </w:rPr>
              <w:t xml:space="preserve"> ano: 12,0</w:t>
            </w:r>
          </w:p>
          <w:p w14:paraId="0A5DF236" w14:textId="77777777" w:rsidR="00A43C69" w:rsidRPr="00E1311A" w:rsidRDefault="00A43C69" w:rsidP="00020344">
            <w:pPr>
              <w:autoSpaceDE w:val="0"/>
              <w:autoSpaceDN w:val="0"/>
              <w:adjustRightInd w:val="0"/>
              <w:jc w:val="right"/>
              <w:rPr>
                <w:rFonts w:cs="Times New Roman"/>
                <w:sz w:val="18"/>
                <w:szCs w:val="18"/>
              </w:rPr>
            </w:pPr>
            <w:proofErr w:type="gramStart"/>
            <w:r w:rsidRPr="00E1311A">
              <w:rPr>
                <w:rFonts w:cs="Times New Roman"/>
                <w:sz w:val="18"/>
                <w:szCs w:val="18"/>
              </w:rPr>
              <w:t>5</w:t>
            </w:r>
            <w:proofErr w:type="gramEnd"/>
            <w:r w:rsidRPr="00E1311A">
              <w:rPr>
                <w:rFonts w:cs="Times New Roman"/>
                <w:sz w:val="18"/>
                <w:szCs w:val="18"/>
              </w:rPr>
              <w:t xml:space="preserve"> anos: 60,0</w:t>
            </w:r>
          </w:p>
        </w:tc>
      </w:tr>
      <w:tr w:rsidR="00A43C69" w:rsidRPr="000E096D" w14:paraId="048F7D00"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1591C6DE" w14:textId="77777777" w:rsidR="00A43C69" w:rsidRPr="004E7B3C" w:rsidRDefault="00A43C69" w:rsidP="00020344">
            <w:pPr>
              <w:autoSpaceDE w:val="0"/>
              <w:autoSpaceDN w:val="0"/>
              <w:adjustRightInd w:val="0"/>
              <w:rPr>
                <w:rFonts w:cs="Times New Roman"/>
                <w:sz w:val="18"/>
                <w:szCs w:val="18"/>
              </w:rPr>
            </w:pPr>
            <w:r w:rsidRPr="00BE1D97">
              <w:rPr>
                <w:rFonts w:cs="Times New Roman"/>
                <w:sz w:val="18"/>
                <w:szCs w:val="18"/>
              </w:rPr>
              <w:t>COFINS/PIS. Importação. Exigência de lei complementar para a disciplina de PIS e COFINS sobre a importação. Lei nº 10.865/2004.</w:t>
            </w:r>
          </w:p>
        </w:tc>
        <w:tc>
          <w:tcPr>
            <w:tcW w:w="1559" w:type="dxa"/>
            <w:tcBorders>
              <w:bottom w:val="single" w:sz="4" w:space="0" w:color="BFBFBF" w:themeColor="background1" w:themeShade="BF"/>
            </w:tcBorders>
            <w:shd w:val="clear" w:color="auto" w:fill="F2F2F2" w:themeFill="background1" w:themeFillShade="F2"/>
          </w:tcPr>
          <w:p w14:paraId="1486EEE5" w14:textId="77777777" w:rsidR="00A43C69" w:rsidRDefault="00A43C69" w:rsidP="00020344">
            <w:pPr>
              <w:rPr>
                <w:rFonts w:ascii="Calibri" w:hAnsi="Calibri" w:cs="Calibri"/>
                <w:sz w:val="18"/>
                <w:szCs w:val="18"/>
              </w:rPr>
            </w:pPr>
            <w:r>
              <w:rPr>
                <w:rFonts w:ascii="Calibri" w:hAnsi="Calibri" w:cs="Calibri"/>
                <w:sz w:val="18"/>
                <w:szCs w:val="18"/>
              </w:rPr>
              <w:t>RE 565.886</w:t>
            </w:r>
          </w:p>
          <w:p w14:paraId="17877C2B"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F2F2F2" w:themeFill="background1" w:themeFillShade="F2"/>
          </w:tcPr>
          <w:p w14:paraId="43B34135" w14:textId="77777777" w:rsidR="00A43C69" w:rsidRDefault="00A43C69" w:rsidP="00020344">
            <w:pPr>
              <w:jc w:val="right"/>
              <w:rPr>
                <w:rFonts w:ascii="Calibri" w:hAnsi="Calibri" w:cs="Calibri"/>
                <w:sz w:val="18"/>
                <w:szCs w:val="18"/>
              </w:rPr>
            </w:pPr>
            <w:r>
              <w:rPr>
                <w:rFonts w:ascii="Calibri" w:hAnsi="Calibri" w:cs="Calibri"/>
                <w:sz w:val="18"/>
                <w:szCs w:val="18"/>
              </w:rPr>
              <w:t>Não disponível</w:t>
            </w:r>
          </w:p>
          <w:p w14:paraId="4ED961F3" w14:textId="77777777" w:rsidR="00A43C69" w:rsidRPr="000E096D" w:rsidRDefault="00A43C69" w:rsidP="00020344">
            <w:pPr>
              <w:autoSpaceDE w:val="0"/>
              <w:autoSpaceDN w:val="0"/>
              <w:adjustRightInd w:val="0"/>
              <w:jc w:val="right"/>
              <w:rPr>
                <w:rFonts w:cs="Times New Roman"/>
                <w:sz w:val="18"/>
                <w:szCs w:val="18"/>
              </w:rPr>
            </w:pPr>
          </w:p>
        </w:tc>
      </w:tr>
      <w:tr w:rsidR="00A43C69" w:rsidRPr="000E096D" w14:paraId="41DFBBAE" w14:textId="77777777" w:rsidTr="00020344">
        <w:trPr>
          <w:trHeight w:val="20"/>
          <w:jc w:val="center"/>
        </w:trPr>
        <w:tc>
          <w:tcPr>
            <w:tcW w:w="6946" w:type="dxa"/>
            <w:tcBorders>
              <w:bottom w:val="single" w:sz="4" w:space="0" w:color="BFBFBF" w:themeColor="background1" w:themeShade="BF"/>
            </w:tcBorders>
            <w:shd w:val="clear" w:color="auto" w:fill="auto"/>
          </w:tcPr>
          <w:p w14:paraId="0FBB14B0" w14:textId="77777777" w:rsidR="00A43C69" w:rsidRPr="004E7B3C" w:rsidRDefault="00A43C69" w:rsidP="00020344">
            <w:pPr>
              <w:autoSpaceDE w:val="0"/>
              <w:autoSpaceDN w:val="0"/>
              <w:adjustRightInd w:val="0"/>
              <w:rPr>
                <w:rFonts w:cs="Times New Roman"/>
                <w:sz w:val="18"/>
                <w:szCs w:val="18"/>
              </w:rPr>
            </w:pPr>
            <w:r w:rsidRPr="000D1EFC">
              <w:rPr>
                <w:rFonts w:cs="Times New Roman"/>
                <w:sz w:val="18"/>
                <w:szCs w:val="18"/>
              </w:rPr>
              <w:t xml:space="preserve">IOF. Fato gerador. Incidência nos contratos de mútuo onde não participem instituições financeiras. </w:t>
            </w:r>
            <w:proofErr w:type="spellStart"/>
            <w:r w:rsidRPr="000D1EFC">
              <w:rPr>
                <w:rFonts w:cs="Times New Roman"/>
                <w:sz w:val="18"/>
                <w:szCs w:val="18"/>
              </w:rPr>
              <w:t>Factoring</w:t>
            </w:r>
            <w:proofErr w:type="spellEnd"/>
            <w:r w:rsidRPr="000D1EFC">
              <w:rPr>
                <w:rFonts w:cs="Times New Roman"/>
                <w:sz w:val="18"/>
                <w:szCs w:val="18"/>
              </w:rPr>
              <w:t>. Artigo 13 da Lei nº 9.779/99.</w:t>
            </w:r>
          </w:p>
        </w:tc>
        <w:tc>
          <w:tcPr>
            <w:tcW w:w="1559" w:type="dxa"/>
            <w:tcBorders>
              <w:bottom w:val="single" w:sz="4" w:space="0" w:color="BFBFBF" w:themeColor="background1" w:themeShade="BF"/>
            </w:tcBorders>
            <w:shd w:val="clear" w:color="auto" w:fill="auto"/>
          </w:tcPr>
          <w:p w14:paraId="17155372" w14:textId="77777777" w:rsidR="00A43C69" w:rsidRDefault="00A43C69" w:rsidP="00020344">
            <w:pPr>
              <w:rPr>
                <w:rFonts w:ascii="Calibri" w:hAnsi="Calibri" w:cs="Calibri"/>
                <w:sz w:val="18"/>
                <w:szCs w:val="18"/>
              </w:rPr>
            </w:pPr>
            <w:r>
              <w:rPr>
                <w:rFonts w:ascii="Calibri" w:hAnsi="Calibri" w:cs="Calibri"/>
                <w:sz w:val="18"/>
                <w:szCs w:val="18"/>
              </w:rPr>
              <w:t>RE 590.186</w:t>
            </w:r>
          </w:p>
          <w:p w14:paraId="282EF609"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auto"/>
          </w:tcPr>
          <w:p w14:paraId="2CA184E6" w14:textId="77777777" w:rsidR="00A43C69" w:rsidRDefault="00A43C69" w:rsidP="00020344">
            <w:pPr>
              <w:jc w:val="right"/>
              <w:rPr>
                <w:rFonts w:ascii="Calibri" w:hAnsi="Calibri" w:cs="Calibri"/>
                <w:sz w:val="18"/>
                <w:szCs w:val="18"/>
              </w:rPr>
            </w:pPr>
            <w:r>
              <w:rPr>
                <w:rFonts w:ascii="Calibri" w:hAnsi="Calibri" w:cs="Calibri"/>
                <w:sz w:val="18"/>
                <w:szCs w:val="18"/>
              </w:rPr>
              <w:t>Não disponível</w:t>
            </w:r>
          </w:p>
          <w:p w14:paraId="4B7425EC" w14:textId="77777777" w:rsidR="00A43C69" w:rsidRPr="000E096D" w:rsidRDefault="00A43C69" w:rsidP="00020344">
            <w:pPr>
              <w:autoSpaceDE w:val="0"/>
              <w:autoSpaceDN w:val="0"/>
              <w:adjustRightInd w:val="0"/>
              <w:jc w:val="right"/>
              <w:rPr>
                <w:rFonts w:cs="Times New Roman"/>
                <w:sz w:val="18"/>
                <w:szCs w:val="18"/>
              </w:rPr>
            </w:pPr>
          </w:p>
        </w:tc>
      </w:tr>
      <w:tr w:rsidR="00A43C69" w:rsidRPr="000E096D" w14:paraId="1DFD9E64"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3F2FE019" w14:textId="77777777" w:rsidR="00A43C69" w:rsidRPr="004E7B3C" w:rsidRDefault="00A43C69" w:rsidP="00020344">
            <w:pPr>
              <w:autoSpaceDE w:val="0"/>
              <w:autoSpaceDN w:val="0"/>
              <w:adjustRightInd w:val="0"/>
              <w:rPr>
                <w:rFonts w:cs="Times New Roman"/>
                <w:sz w:val="18"/>
                <w:szCs w:val="18"/>
              </w:rPr>
            </w:pPr>
            <w:r w:rsidRPr="000D1EFC">
              <w:rPr>
                <w:rFonts w:cs="Times New Roman"/>
                <w:sz w:val="18"/>
                <w:szCs w:val="18"/>
              </w:rPr>
              <w:t>IRPJ. Demonstrações financeiras. Correção monetária. Julho e agosto de 1994. Constitucionalidade. Art. 38 da Lei 8880/94.</w:t>
            </w:r>
          </w:p>
        </w:tc>
        <w:tc>
          <w:tcPr>
            <w:tcW w:w="1559" w:type="dxa"/>
            <w:tcBorders>
              <w:bottom w:val="single" w:sz="4" w:space="0" w:color="BFBFBF" w:themeColor="background1" w:themeShade="BF"/>
            </w:tcBorders>
            <w:shd w:val="clear" w:color="auto" w:fill="F2F2F2" w:themeFill="background1" w:themeFillShade="F2"/>
          </w:tcPr>
          <w:p w14:paraId="2AB4E96A" w14:textId="77777777" w:rsidR="00A43C69" w:rsidRPr="000E096D" w:rsidRDefault="00A43C69" w:rsidP="00020344">
            <w:pPr>
              <w:autoSpaceDE w:val="0"/>
              <w:autoSpaceDN w:val="0"/>
              <w:adjustRightInd w:val="0"/>
              <w:rPr>
                <w:sz w:val="18"/>
                <w:szCs w:val="18"/>
              </w:rPr>
            </w:pPr>
            <w:r w:rsidRPr="000D1EFC">
              <w:rPr>
                <w:sz w:val="18"/>
                <w:szCs w:val="18"/>
              </w:rPr>
              <w:t>RE 595.107</w:t>
            </w:r>
          </w:p>
        </w:tc>
        <w:tc>
          <w:tcPr>
            <w:tcW w:w="1418" w:type="dxa"/>
            <w:tcBorders>
              <w:bottom w:val="single" w:sz="4" w:space="0" w:color="BFBFBF" w:themeColor="background1" w:themeShade="BF"/>
            </w:tcBorders>
            <w:shd w:val="clear" w:color="auto" w:fill="F2F2F2" w:themeFill="background1" w:themeFillShade="F2"/>
          </w:tcPr>
          <w:p w14:paraId="796B422C" w14:textId="77777777" w:rsidR="00A43C69" w:rsidRDefault="00A43C69" w:rsidP="00020344">
            <w:pPr>
              <w:jc w:val="right"/>
              <w:rPr>
                <w:rFonts w:ascii="Calibri" w:hAnsi="Calibri" w:cs="Calibri"/>
                <w:sz w:val="18"/>
                <w:szCs w:val="18"/>
              </w:rPr>
            </w:pPr>
            <w:r>
              <w:rPr>
                <w:rFonts w:ascii="Calibri" w:hAnsi="Calibri" w:cs="Calibri"/>
                <w:sz w:val="18"/>
                <w:szCs w:val="18"/>
              </w:rPr>
              <w:t>Não disponível</w:t>
            </w:r>
          </w:p>
          <w:p w14:paraId="22D69ACE" w14:textId="77777777" w:rsidR="00A43C69" w:rsidRPr="000E096D" w:rsidRDefault="00A43C69" w:rsidP="00020344">
            <w:pPr>
              <w:autoSpaceDE w:val="0"/>
              <w:autoSpaceDN w:val="0"/>
              <w:adjustRightInd w:val="0"/>
              <w:jc w:val="right"/>
              <w:rPr>
                <w:rFonts w:cs="Times New Roman"/>
                <w:sz w:val="18"/>
                <w:szCs w:val="18"/>
              </w:rPr>
            </w:pPr>
          </w:p>
        </w:tc>
      </w:tr>
      <w:tr w:rsidR="00A43C69" w:rsidRPr="000E096D" w14:paraId="512E486C" w14:textId="77777777" w:rsidTr="00020344">
        <w:trPr>
          <w:trHeight w:val="20"/>
          <w:jc w:val="center"/>
        </w:trPr>
        <w:tc>
          <w:tcPr>
            <w:tcW w:w="6946" w:type="dxa"/>
            <w:tcBorders>
              <w:bottom w:val="single" w:sz="4" w:space="0" w:color="BFBFBF" w:themeColor="background1" w:themeShade="BF"/>
            </w:tcBorders>
            <w:shd w:val="clear" w:color="auto" w:fill="auto"/>
          </w:tcPr>
          <w:p w14:paraId="25B215BB"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 xml:space="preserve">IRPJ. Contratos de Swap para fins de Hedge. Resultados financeiros. </w:t>
            </w:r>
            <w:proofErr w:type="spellStart"/>
            <w:r w:rsidRPr="00413D3C">
              <w:rPr>
                <w:rFonts w:cs="Times New Roman"/>
                <w:sz w:val="18"/>
                <w:szCs w:val="18"/>
              </w:rPr>
              <w:t>Art</w:t>
            </w:r>
            <w:proofErr w:type="spellEnd"/>
            <w:r w:rsidRPr="00413D3C">
              <w:rPr>
                <w:rFonts w:cs="Times New Roman"/>
                <w:sz w:val="18"/>
                <w:szCs w:val="18"/>
              </w:rPr>
              <w:t xml:space="preserve"> 5º, Lei 9779/99. Antigo RE 596286</w:t>
            </w:r>
            <w:r>
              <w:rPr>
                <w:rFonts w:cs="Times New Roman"/>
                <w:sz w:val="18"/>
                <w:szCs w:val="18"/>
              </w:rPr>
              <w:t>.</w:t>
            </w:r>
          </w:p>
        </w:tc>
        <w:tc>
          <w:tcPr>
            <w:tcW w:w="1559" w:type="dxa"/>
            <w:tcBorders>
              <w:bottom w:val="single" w:sz="4" w:space="0" w:color="BFBFBF" w:themeColor="background1" w:themeShade="BF"/>
            </w:tcBorders>
            <w:shd w:val="clear" w:color="auto" w:fill="auto"/>
          </w:tcPr>
          <w:p w14:paraId="3BF871A3" w14:textId="77777777" w:rsidR="00A43C69" w:rsidRPr="000E096D" w:rsidRDefault="00A43C69" w:rsidP="00020344">
            <w:pPr>
              <w:autoSpaceDE w:val="0"/>
              <w:autoSpaceDN w:val="0"/>
              <w:adjustRightInd w:val="0"/>
              <w:rPr>
                <w:sz w:val="18"/>
                <w:szCs w:val="18"/>
              </w:rPr>
            </w:pPr>
            <w:r w:rsidRPr="00413D3C">
              <w:rPr>
                <w:sz w:val="18"/>
                <w:szCs w:val="18"/>
              </w:rPr>
              <w:t>RE 1.224.696</w:t>
            </w:r>
          </w:p>
        </w:tc>
        <w:tc>
          <w:tcPr>
            <w:tcW w:w="1418" w:type="dxa"/>
            <w:tcBorders>
              <w:bottom w:val="single" w:sz="4" w:space="0" w:color="BFBFBF" w:themeColor="background1" w:themeShade="BF"/>
            </w:tcBorders>
            <w:shd w:val="clear" w:color="auto" w:fill="auto"/>
          </w:tcPr>
          <w:p w14:paraId="452C57BA" w14:textId="77777777" w:rsidR="00A43C69" w:rsidRPr="000E096D" w:rsidRDefault="00A43C69" w:rsidP="00020344">
            <w:pPr>
              <w:autoSpaceDE w:val="0"/>
              <w:autoSpaceDN w:val="0"/>
              <w:adjustRightInd w:val="0"/>
              <w:jc w:val="right"/>
              <w:rPr>
                <w:rFonts w:cs="Times New Roman"/>
                <w:sz w:val="18"/>
                <w:szCs w:val="18"/>
              </w:rPr>
            </w:pPr>
            <w:r w:rsidRPr="0015603E">
              <w:rPr>
                <w:rFonts w:cs="Times New Roman"/>
                <w:sz w:val="18"/>
                <w:szCs w:val="18"/>
              </w:rPr>
              <w:t>Não disponível</w:t>
            </w:r>
          </w:p>
        </w:tc>
      </w:tr>
      <w:tr w:rsidR="00A43C69" w:rsidRPr="000E096D" w14:paraId="0039BC42"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779D2681" w14:textId="77777777" w:rsidR="00A43C69" w:rsidRPr="004E7B3C" w:rsidRDefault="00A43C69" w:rsidP="00020344">
            <w:pPr>
              <w:autoSpaceDE w:val="0"/>
              <w:autoSpaceDN w:val="0"/>
              <w:adjustRightInd w:val="0"/>
              <w:rPr>
                <w:rFonts w:cs="Times New Roman"/>
                <w:sz w:val="18"/>
                <w:szCs w:val="18"/>
              </w:rPr>
            </w:pPr>
            <w:proofErr w:type="spellStart"/>
            <w:proofErr w:type="gramStart"/>
            <w:r w:rsidRPr="00413D3C">
              <w:rPr>
                <w:rFonts w:cs="Times New Roman"/>
                <w:sz w:val="18"/>
                <w:szCs w:val="18"/>
              </w:rPr>
              <w:t>Cofins</w:t>
            </w:r>
            <w:proofErr w:type="spellEnd"/>
            <w:proofErr w:type="gramEnd"/>
            <w:r w:rsidRPr="00413D3C">
              <w:rPr>
                <w:rFonts w:cs="Times New Roman"/>
                <w:sz w:val="18"/>
                <w:szCs w:val="18"/>
              </w:rPr>
              <w:t>/PIS. Não-cumulatividade. Vedação à apropriação de créditos na aquisição de resíduos, desperdícios ou aparas.</w:t>
            </w:r>
          </w:p>
        </w:tc>
        <w:tc>
          <w:tcPr>
            <w:tcW w:w="1559" w:type="dxa"/>
            <w:tcBorders>
              <w:bottom w:val="single" w:sz="4" w:space="0" w:color="BFBFBF" w:themeColor="background1" w:themeShade="BF"/>
            </w:tcBorders>
            <w:shd w:val="clear" w:color="auto" w:fill="F2F2F2" w:themeFill="background1" w:themeFillShade="F2"/>
          </w:tcPr>
          <w:p w14:paraId="62DB29CF" w14:textId="77777777" w:rsidR="00A43C69" w:rsidRPr="000E096D" w:rsidRDefault="00A43C69" w:rsidP="00020344">
            <w:pPr>
              <w:autoSpaceDE w:val="0"/>
              <w:autoSpaceDN w:val="0"/>
              <w:adjustRightInd w:val="0"/>
              <w:rPr>
                <w:sz w:val="18"/>
                <w:szCs w:val="18"/>
              </w:rPr>
            </w:pPr>
            <w:r w:rsidRPr="00413D3C">
              <w:rPr>
                <w:sz w:val="18"/>
                <w:szCs w:val="18"/>
              </w:rPr>
              <w:t>RE 607.109</w:t>
            </w:r>
          </w:p>
        </w:tc>
        <w:tc>
          <w:tcPr>
            <w:tcW w:w="1418" w:type="dxa"/>
            <w:tcBorders>
              <w:bottom w:val="single" w:sz="4" w:space="0" w:color="BFBFBF" w:themeColor="background1" w:themeShade="BF"/>
            </w:tcBorders>
            <w:shd w:val="clear" w:color="auto" w:fill="F2F2F2" w:themeFill="background1" w:themeFillShade="F2"/>
          </w:tcPr>
          <w:p w14:paraId="0CDFC949" w14:textId="77777777" w:rsidR="00A43C69" w:rsidRPr="000E096D" w:rsidRDefault="00A43C69" w:rsidP="00020344">
            <w:pPr>
              <w:autoSpaceDE w:val="0"/>
              <w:autoSpaceDN w:val="0"/>
              <w:adjustRightInd w:val="0"/>
              <w:jc w:val="right"/>
              <w:rPr>
                <w:rFonts w:cs="Times New Roman"/>
                <w:sz w:val="18"/>
                <w:szCs w:val="18"/>
              </w:rPr>
            </w:pPr>
            <w:r>
              <w:rPr>
                <w:rFonts w:cs="Times New Roman"/>
                <w:sz w:val="18"/>
                <w:szCs w:val="18"/>
              </w:rPr>
              <w:t>8,9</w:t>
            </w:r>
          </w:p>
        </w:tc>
      </w:tr>
      <w:tr w:rsidR="00A43C69" w:rsidRPr="000E096D" w14:paraId="3365FCE2" w14:textId="77777777" w:rsidTr="00020344">
        <w:trPr>
          <w:trHeight w:val="20"/>
          <w:jc w:val="center"/>
        </w:trPr>
        <w:tc>
          <w:tcPr>
            <w:tcW w:w="6946" w:type="dxa"/>
            <w:tcBorders>
              <w:bottom w:val="single" w:sz="4" w:space="0" w:color="BFBFBF" w:themeColor="background1" w:themeShade="BF"/>
            </w:tcBorders>
            <w:shd w:val="clear" w:color="auto" w:fill="auto"/>
          </w:tcPr>
          <w:p w14:paraId="41F7CF12"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Imunidade. Imposto Importação. Caracterização de atividade filantrópica executada a luz de preceitos religiosos (ensino, caridade e divulgação dogmática) com assist</w:t>
            </w:r>
            <w:r>
              <w:rPr>
                <w:rFonts w:cs="Times New Roman"/>
                <w:sz w:val="18"/>
                <w:szCs w:val="18"/>
              </w:rPr>
              <w:t>ê</w:t>
            </w:r>
            <w:r w:rsidRPr="00413D3C">
              <w:rPr>
                <w:rFonts w:cs="Times New Roman"/>
                <w:sz w:val="18"/>
                <w:szCs w:val="18"/>
              </w:rPr>
              <w:t>ncia social.</w:t>
            </w:r>
          </w:p>
        </w:tc>
        <w:tc>
          <w:tcPr>
            <w:tcW w:w="1559" w:type="dxa"/>
            <w:tcBorders>
              <w:bottom w:val="single" w:sz="4" w:space="0" w:color="BFBFBF" w:themeColor="background1" w:themeShade="BF"/>
            </w:tcBorders>
            <w:shd w:val="clear" w:color="auto" w:fill="auto"/>
          </w:tcPr>
          <w:p w14:paraId="5ACFCDFD" w14:textId="77777777" w:rsidR="00A43C69" w:rsidRPr="000E096D" w:rsidRDefault="00A43C69" w:rsidP="00020344">
            <w:pPr>
              <w:autoSpaceDE w:val="0"/>
              <w:autoSpaceDN w:val="0"/>
              <w:adjustRightInd w:val="0"/>
              <w:rPr>
                <w:sz w:val="18"/>
                <w:szCs w:val="18"/>
              </w:rPr>
            </w:pPr>
            <w:r w:rsidRPr="00413D3C">
              <w:rPr>
                <w:sz w:val="18"/>
                <w:szCs w:val="18"/>
              </w:rPr>
              <w:t>RE 630.790</w:t>
            </w:r>
          </w:p>
        </w:tc>
        <w:tc>
          <w:tcPr>
            <w:tcW w:w="1418" w:type="dxa"/>
            <w:tcBorders>
              <w:bottom w:val="single" w:sz="4" w:space="0" w:color="BFBFBF" w:themeColor="background1" w:themeShade="BF"/>
            </w:tcBorders>
            <w:shd w:val="clear" w:color="auto" w:fill="auto"/>
          </w:tcPr>
          <w:p w14:paraId="711E5313" w14:textId="77777777" w:rsidR="00A43C69" w:rsidRPr="000E096D" w:rsidRDefault="00A43C69" w:rsidP="00020344">
            <w:pPr>
              <w:autoSpaceDE w:val="0"/>
              <w:autoSpaceDN w:val="0"/>
              <w:adjustRightInd w:val="0"/>
              <w:jc w:val="right"/>
              <w:rPr>
                <w:rFonts w:cs="Times New Roman"/>
                <w:sz w:val="18"/>
                <w:szCs w:val="18"/>
              </w:rPr>
            </w:pPr>
            <w:r w:rsidRPr="00633347">
              <w:rPr>
                <w:rFonts w:cs="Times New Roman"/>
                <w:sz w:val="18"/>
                <w:szCs w:val="18"/>
              </w:rPr>
              <w:t>Não disponível</w:t>
            </w:r>
          </w:p>
        </w:tc>
      </w:tr>
      <w:tr w:rsidR="00A43C69" w:rsidRPr="000E096D" w14:paraId="1C8114E0"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6AA3430A"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 xml:space="preserve">Imposto de importação. Comércio internacional. </w:t>
            </w:r>
            <w:proofErr w:type="gramStart"/>
            <w:r w:rsidRPr="00413D3C">
              <w:rPr>
                <w:rFonts w:cs="Times New Roman"/>
                <w:sz w:val="18"/>
                <w:szCs w:val="18"/>
              </w:rPr>
              <w:t>Direitos Antidumping</w:t>
            </w:r>
            <w:proofErr w:type="gramEnd"/>
            <w:r w:rsidRPr="00413D3C">
              <w:rPr>
                <w:rFonts w:cs="Times New Roman"/>
                <w:sz w:val="18"/>
                <w:szCs w:val="18"/>
              </w:rPr>
              <w:t>. Retroatividade. Diversidade de estágios da operação de importação.</w:t>
            </w:r>
          </w:p>
        </w:tc>
        <w:tc>
          <w:tcPr>
            <w:tcW w:w="1559" w:type="dxa"/>
            <w:tcBorders>
              <w:bottom w:val="single" w:sz="4" w:space="0" w:color="BFBFBF" w:themeColor="background1" w:themeShade="BF"/>
            </w:tcBorders>
            <w:shd w:val="clear" w:color="auto" w:fill="F2F2F2" w:themeFill="background1" w:themeFillShade="F2"/>
          </w:tcPr>
          <w:p w14:paraId="144FC7C7" w14:textId="77777777" w:rsidR="00A43C69" w:rsidRPr="000E096D" w:rsidRDefault="00A43C69" w:rsidP="00020344">
            <w:pPr>
              <w:autoSpaceDE w:val="0"/>
              <w:autoSpaceDN w:val="0"/>
              <w:adjustRightInd w:val="0"/>
              <w:rPr>
                <w:sz w:val="18"/>
                <w:szCs w:val="18"/>
              </w:rPr>
            </w:pPr>
            <w:r w:rsidRPr="00413D3C">
              <w:rPr>
                <w:sz w:val="18"/>
                <w:szCs w:val="18"/>
              </w:rPr>
              <w:t>RE 632.250</w:t>
            </w:r>
          </w:p>
        </w:tc>
        <w:tc>
          <w:tcPr>
            <w:tcW w:w="1418" w:type="dxa"/>
            <w:tcBorders>
              <w:bottom w:val="single" w:sz="4" w:space="0" w:color="BFBFBF" w:themeColor="background1" w:themeShade="BF"/>
            </w:tcBorders>
            <w:shd w:val="clear" w:color="auto" w:fill="F2F2F2" w:themeFill="background1" w:themeFillShade="F2"/>
          </w:tcPr>
          <w:p w14:paraId="53AFDB68" w14:textId="77777777" w:rsidR="00A43C69" w:rsidRPr="000E096D" w:rsidRDefault="00A43C69" w:rsidP="00020344">
            <w:pPr>
              <w:autoSpaceDE w:val="0"/>
              <w:autoSpaceDN w:val="0"/>
              <w:adjustRightInd w:val="0"/>
              <w:jc w:val="right"/>
              <w:rPr>
                <w:rFonts w:cs="Times New Roman"/>
                <w:sz w:val="18"/>
                <w:szCs w:val="18"/>
              </w:rPr>
            </w:pPr>
            <w:r w:rsidRPr="00633347">
              <w:rPr>
                <w:rFonts w:cs="Times New Roman"/>
                <w:sz w:val="18"/>
                <w:szCs w:val="18"/>
              </w:rPr>
              <w:t>Não disponível</w:t>
            </w:r>
          </w:p>
        </w:tc>
      </w:tr>
      <w:tr w:rsidR="00A43C69" w:rsidRPr="000E096D" w14:paraId="0810042D" w14:textId="77777777" w:rsidTr="00020344">
        <w:trPr>
          <w:trHeight w:val="20"/>
          <w:jc w:val="center"/>
        </w:trPr>
        <w:tc>
          <w:tcPr>
            <w:tcW w:w="6946" w:type="dxa"/>
            <w:tcBorders>
              <w:bottom w:val="single" w:sz="4" w:space="0" w:color="BFBFBF" w:themeColor="background1" w:themeShade="BF"/>
            </w:tcBorders>
            <w:shd w:val="clear" w:color="auto" w:fill="auto"/>
          </w:tcPr>
          <w:p w14:paraId="1F0AA507"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IPI. Princípio da Seletividade. Aplicação de alíquota mais favorável à operação de industrialização de embalagens restrita às indústrias alimentícias.</w:t>
            </w:r>
          </w:p>
        </w:tc>
        <w:tc>
          <w:tcPr>
            <w:tcW w:w="1559" w:type="dxa"/>
            <w:tcBorders>
              <w:bottom w:val="single" w:sz="4" w:space="0" w:color="BFBFBF" w:themeColor="background1" w:themeShade="BF"/>
            </w:tcBorders>
            <w:shd w:val="clear" w:color="auto" w:fill="auto"/>
          </w:tcPr>
          <w:p w14:paraId="7669B43D" w14:textId="77777777" w:rsidR="00A43C69" w:rsidRPr="000E096D" w:rsidRDefault="00A43C69" w:rsidP="00020344">
            <w:pPr>
              <w:autoSpaceDE w:val="0"/>
              <w:autoSpaceDN w:val="0"/>
              <w:adjustRightInd w:val="0"/>
              <w:rPr>
                <w:sz w:val="18"/>
                <w:szCs w:val="18"/>
              </w:rPr>
            </w:pPr>
            <w:r w:rsidRPr="00413D3C">
              <w:rPr>
                <w:sz w:val="18"/>
                <w:szCs w:val="18"/>
              </w:rPr>
              <w:t>RE 606.314</w:t>
            </w:r>
          </w:p>
        </w:tc>
        <w:tc>
          <w:tcPr>
            <w:tcW w:w="1418" w:type="dxa"/>
            <w:tcBorders>
              <w:bottom w:val="single" w:sz="4" w:space="0" w:color="BFBFBF" w:themeColor="background1" w:themeShade="BF"/>
            </w:tcBorders>
            <w:shd w:val="clear" w:color="auto" w:fill="auto"/>
          </w:tcPr>
          <w:p w14:paraId="503478ED" w14:textId="77777777" w:rsidR="00A43C69" w:rsidRPr="000E096D" w:rsidRDefault="00A43C69" w:rsidP="00020344">
            <w:pPr>
              <w:autoSpaceDE w:val="0"/>
              <w:autoSpaceDN w:val="0"/>
              <w:adjustRightInd w:val="0"/>
              <w:jc w:val="right"/>
              <w:rPr>
                <w:rFonts w:cs="Times New Roman"/>
                <w:sz w:val="18"/>
                <w:szCs w:val="18"/>
              </w:rPr>
            </w:pPr>
            <w:r w:rsidRPr="00633347">
              <w:rPr>
                <w:rFonts w:cs="Times New Roman"/>
                <w:sz w:val="18"/>
                <w:szCs w:val="18"/>
              </w:rPr>
              <w:t>Não disponível</w:t>
            </w:r>
          </w:p>
        </w:tc>
      </w:tr>
      <w:tr w:rsidR="00A43C69" w:rsidRPr="000E096D" w14:paraId="42AF7FE5"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697CF149"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IPI. Incidência. Bacalhau: processo de alteração de sua apresentação natural.</w:t>
            </w:r>
          </w:p>
        </w:tc>
        <w:tc>
          <w:tcPr>
            <w:tcW w:w="1559" w:type="dxa"/>
            <w:tcBorders>
              <w:bottom w:val="single" w:sz="4" w:space="0" w:color="BFBFBF" w:themeColor="background1" w:themeShade="BF"/>
            </w:tcBorders>
            <w:shd w:val="clear" w:color="auto" w:fill="F2F2F2" w:themeFill="background1" w:themeFillShade="F2"/>
          </w:tcPr>
          <w:p w14:paraId="79416D89" w14:textId="77777777" w:rsidR="00A43C69" w:rsidRPr="000E096D" w:rsidRDefault="00A43C69" w:rsidP="00020344">
            <w:pPr>
              <w:autoSpaceDE w:val="0"/>
              <w:autoSpaceDN w:val="0"/>
              <w:adjustRightInd w:val="0"/>
              <w:rPr>
                <w:sz w:val="18"/>
                <w:szCs w:val="18"/>
              </w:rPr>
            </w:pPr>
            <w:r w:rsidRPr="00413D3C">
              <w:rPr>
                <w:sz w:val="18"/>
                <w:szCs w:val="18"/>
              </w:rPr>
              <w:t>RE 627.280</w:t>
            </w:r>
          </w:p>
        </w:tc>
        <w:tc>
          <w:tcPr>
            <w:tcW w:w="1418" w:type="dxa"/>
            <w:tcBorders>
              <w:bottom w:val="single" w:sz="4" w:space="0" w:color="BFBFBF" w:themeColor="background1" w:themeShade="BF"/>
            </w:tcBorders>
            <w:shd w:val="clear" w:color="auto" w:fill="F2F2F2" w:themeFill="background1" w:themeFillShade="F2"/>
          </w:tcPr>
          <w:p w14:paraId="5E140FD0" w14:textId="77777777" w:rsidR="00A43C69" w:rsidRPr="000E096D" w:rsidRDefault="00A43C69" w:rsidP="00020344">
            <w:pPr>
              <w:autoSpaceDE w:val="0"/>
              <w:autoSpaceDN w:val="0"/>
              <w:adjustRightInd w:val="0"/>
              <w:jc w:val="right"/>
              <w:rPr>
                <w:rFonts w:cs="Times New Roman"/>
                <w:sz w:val="18"/>
                <w:szCs w:val="18"/>
              </w:rPr>
            </w:pPr>
            <w:r w:rsidRPr="00633347">
              <w:rPr>
                <w:rFonts w:cs="Times New Roman"/>
                <w:sz w:val="18"/>
                <w:szCs w:val="18"/>
              </w:rPr>
              <w:t>Não disponível</w:t>
            </w:r>
          </w:p>
        </w:tc>
      </w:tr>
      <w:tr w:rsidR="00A43C69" w:rsidRPr="000E096D" w14:paraId="2A3B2CB0" w14:textId="77777777" w:rsidTr="00020344">
        <w:trPr>
          <w:trHeight w:val="20"/>
          <w:jc w:val="center"/>
        </w:trPr>
        <w:tc>
          <w:tcPr>
            <w:tcW w:w="6946" w:type="dxa"/>
            <w:tcBorders>
              <w:bottom w:val="single" w:sz="4" w:space="0" w:color="BFBFBF" w:themeColor="background1" w:themeShade="BF"/>
            </w:tcBorders>
            <w:shd w:val="clear" w:color="auto" w:fill="auto"/>
          </w:tcPr>
          <w:p w14:paraId="61CA4C28"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Crédito presumido de IPI na base de cálculo do PIS e da COFINS.</w:t>
            </w:r>
          </w:p>
        </w:tc>
        <w:tc>
          <w:tcPr>
            <w:tcW w:w="1559" w:type="dxa"/>
            <w:tcBorders>
              <w:bottom w:val="single" w:sz="4" w:space="0" w:color="BFBFBF" w:themeColor="background1" w:themeShade="BF"/>
            </w:tcBorders>
            <w:shd w:val="clear" w:color="auto" w:fill="auto"/>
          </w:tcPr>
          <w:p w14:paraId="28D87DD0" w14:textId="77777777" w:rsidR="00A43C69" w:rsidRPr="000E096D" w:rsidRDefault="00A43C69" w:rsidP="00020344">
            <w:pPr>
              <w:autoSpaceDE w:val="0"/>
              <w:autoSpaceDN w:val="0"/>
              <w:adjustRightInd w:val="0"/>
              <w:rPr>
                <w:sz w:val="18"/>
                <w:szCs w:val="18"/>
              </w:rPr>
            </w:pPr>
            <w:r w:rsidRPr="00413D3C">
              <w:rPr>
                <w:sz w:val="18"/>
                <w:szCs w:val="18"/>
              </w:rPr>
              <w:t>RE 593.544</w:t>
            </w:r>
          </w:p>
        </w:tc>
        <w:tc>
          <w:tcPr>
            <w:tcW w:w="1418" w:type="dxa"/>
            <w:tcBorders>
              <w:bottom w:val="single" w:sz="4" w:space="0" w:color="BFBFBF" w:themeColor="background1" w:themeShade="BF"/>
            </w:tcBorders>
            <w:shd w:val="clear" w:color="auto" w:fill="auto"/>
          </w:tcPr>
          <w:p w14:paraId="145F61E4" w14:textId="77777777" w:rsidR="00A43C69" w:rsidRPr="000E096D" w:rsidRDefault="00A43C69" w:rsidP="00020344">
            <w:pPr>
              <w:autoSpaceDE w:val="0"/>
              <w:autoSpaceDN w:val="0"/>
              <w:adjustRightInd w:val="0"/>
              <w:jc w:val="right"/>
              <w:rPr>
                <w:rFonts w:cs="Times New Roman"/>
                <w:sz w:val="18"/>
                <w:szCs w:val="18"/>
              </w:rPr>
            </w:pPr>
            <w:r w:rsidRPr="0015603E">
              <w:rPr>
                <w:rFonts w:cs="Times New Roman"/>
                <w:sz w:val="18"/>
                <w:szCs w:val="18"/>
              </w:rPr>
              <w:t>Não disponível</w:t>
            </w:r>
          </w:p>
        </w:tc>
      </w:tr>
      <w:tr w:rsidR="00A43C69" w:rsidRPr="000E096D" w14:paraId="451528FC"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3B2E3301" w14:textId="77777777" w:rsidR="00A43C69" w:rsidRPr="004E7B3C" w:rsidRDefault="00A43C69" w:rsidP="00020344">
            <w:pPr>
              <w:rPr>
                <w:rFonts w:cs="Times New Roman"/>
                <w:sz w:val="18"/>
                <w:szCs w:val="18"/>
              </w:rPr>
            </w:pPr>
            <w:r>
              <w:rPr>
                <w:rFonts w:ascii="Calibri" w:hAnsi="Calibri" w:cs="Calibri"/>
                <w:sz w:val="18"/>
                <w:szCs w:val="18"/>
              </w:rPr>
              <w:t>Contribuição Previdenciária. Cooperativas.  LC 84/96, artigo 1º, inciso II.  Alegação de cobrança de alíquotas superiores às das empresas em geral.</w:t>
            </w:r>
          </w:p>
        </w:tc>
        <w:tc>
          <w:tcPr>
            <w:tcW w:w="1559" w:type="dxa"/>
            <w:tcBorders>
              <w:bottom w:val="single" w:sz="4" w:space="0" w:color="BFBFBF" w:themeColor="background1" w:themeShade="BF"/>
            </w:tcBorders>
            <w:shd w:val="clear" w:color="auto" w:fill="F2F2F2" w:themeFill="background1" w:themeFillShade="F2"/>
          </w:tcPr>
          <w:p w14:paraId="766789BF" w14:textId="77777777" w:rsidR="00A43C69" w:rsidRPr="000E096D" w:rsidRDefault="00A43C69" w:rsidP="00020344">
            <w:pPr>
              <w:autoSpaceDE w:val="0"/>
              <w:autoSpaceDN w:val="0"/>
              <w:adjustRightInd w:val="0"/>
              <w:rPr>
                <w:sz w:val="18"/>
                <w:szCs w:val="18"/>
              </w:rPr>
            </w:pPr>
            <w:r w:rsidRPr="00413D3C">
              <w:rPr>
                <w:sz w:val="18"/>
                <w:szCs w:val="18"/>
              </w:rPr>
              <w:t>RE 597.315</w:t>
            </w:r>
          </w:p>
        </w:tc>
        <w:tc>
          <w:tcPr>
            <w:tcW w:w="1418" w:type="dxa"/>
            <w:tcBorders>
              <w:bottom w:val="single" w:sz="4" w:space="0" w:color="BFBFBF" w:themeColor="background1" w:themeShade="BF"/>
            </w:tcBorders>
            <w:shd w:val="clear" w:color="auto" w:fill="F2F2F2" w:themeFill="background1" w:themeFillShade="F2"/>
          </w:tcPr>
          <w:p w14:paraId="7D1C6329" w14:textId="77777777" w:rsidR="00A43C69" w:rsidRPr="000E096D" w:rsidRDefault="00A43C69" w:rsidP="00020344">
            <w:pPr>
              <w:autoSpaceDE w:val="0"/>
              <w:autoSpaceDN w:val="0"/>
              <w:adjustRightInd w:val="0"/>
              <w:jc w:val="right"/>
              <w:rPr>
                <w:rFonts w:cs="Times New Roman"/>
                <w:sz w:val="18"/>
                <w:szCs w:val="18"/>
              </w:rPr>
            </w:pPr>
            <w:r w:rsidRPr="00663BD8">
              <w:rPr>
                <w:rFonts w:cs="Times New Roman"/>
                <w:sz w:val="18"/>
                <w:szCs w:val="18"/>
              </w:rPr>
              <w:t>Não disponível</w:t>
            </w:r>
          </w:p>
        </w:tc>
      </w:tr>
      <w:tr w:rsidR="00A43C69" w:rsidRPr="000E096D" w14:paraId="63DB51C7" w14:textId="77777777" w:rsidTr="00020344">
        <w:trPr>
          <w:trHeight w:val="20"/>
          <w:jc w:val="center"/>
        </w:trPr>
        <w:tc>
          <w:tcPr>
            <w:tcW w:w="6946" w:type="dxa"/>
            <w:tcBorders>
              <w:bottom w:val="single" w:sz="4" w:space="0" w:color="BFBFBF" w:themeColor="background1" w:themeShade="BF"/>
            </w:tcBorders>
            <w:shd w:val="clear" w:color="auto" w:fill="auto"/>
          </w:tcPr>
          <w:p w14:paraId="57D22695" w14:textId="77777777" w:rsidR="00A43C69" w:rsidRPr="004E7B3C" w:rsidRDefault="00A43C69" w:rsidP="00020344">
            <w:pPr>
              <w:rPr>
                <w:rFonts w:cs="Times New Roman"/>
                <w:sz w:val="18"/>
                <w:szCs w:val="18"/>
              </w:rPr>
            </w:pPr>
            <w:r>
              <w:rPr>
                <w:rFonts w:ascii="Calibri" w:hAnsi="Calibri" w:cs="Calibri"/>
                <w:sz w:val="18"/>
                <w:szCs w:val="18"/>
              </w:rPr>
              <w:t xml:space="preserve">Contribuição. SAT. Progressividade da alíquota conforme o multiplicador FAP. Delegação ao executivo. </w:t>
            </w:r>
          </w:p>
        </w:tc>
        <w:tc>
          <w:tcPr>
            <w:tcW w:w="1559" w:type="dxa"/>
            <w:tcBorders>
              <w:bottom w:val="single" w:sz="4" w:space="0" w:color="BFBFBF" w:themeColor="background1" w:themeShade="BF"/>
            </w:tcBorders>
            <w:shd w:val="clear" w:color="auto" w:fill="auto"/>
          </w:tcPr>
          <w:p w14:paraId="341F1692" w14:textId="77777777" w:rsidR="00A43C69" w:rsidRPr="000E096D" w:rsidRDefault="00A43C69" w:rsidP="00020344">
            <w:pPr>
              <w:rPr>
                <w:sz w:val="18"/>
                <w:szCs w:val="18"/>
              </w:rPr>
            </w:pPr>
            <w:r>
              <w:rPr>
                <w:rFonts w:ascii="Calibri" w:hAnsi="Calibri" w:cs="Calibri"/>
                <w:sz w:val="18"/>
                <w:szCs w:val="18"/>
              </w:rPr>
              <w:t>RE 677.725</w:t>
            </w:r>
          </w:p>
        </w:tc>
        <w:tc>
          <w:tcPr>
            <w:tcW w:w="1418" w:type="dxa"/>
            <w:tcBorders>
              <w:bottom w:val="single" w:sz="4" w:space="0" w:color="BFBFBF" w:themeColor="background1" w:themeShade="BF"/>
            </w:tcBorders>
            <w:shd w:val="clear" w:color="auto" w:fill="auto"/>
          </w:tcPr>
          <w:p w14:paraId="27B19CDB" w14:textId="77777777" w:rsidR="00A43C69" w:rsidRPr="000E096D" w:rsidRDefault="00A43C69" w:rsidP="00020344">
            <w:pPr>
              <w:autoSpaceDE w:val="0"/>
              <w:autoSpaceDN w:val="0"/>
              <w:adjustRightInd w:val="0"/>
              <w:jc w:val="right"/>
              <w:rPr>
                <w:rFonts w:cs="Times New Roman"/>
                <w:sz w:val="18"/>
                <w:szCs w:val="18"/>
              </w:rPr>
            </w:pPr>
            <w:r>
              <w:rPr>
                <w:rFonts w:cs="Times New Roman"/>
                <w:sz w:val="18"/>
                <w:szCs w:val="18"/>
              </w:rPr>
              <w:t>9,2</w:t>
            </w:r>
          </w:p>
        </w:tc>
      </w:tr>
      <w:tr w:rsidR="00A43C69" w:rsidRPr="000E096D" w14:paraId="57860062"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6FDD1F6C"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FUNRURAL PJ - Contribuições devidas à seguridade social pelo empregador, pessoa jurídica, que se dedique à produção rural, incidentes sobre a receita bruta proveniente da comercialização da sua produção. Art. 25, I e II, e § 1º, da Lei 8.870/1994.</w:t>
            </w:r>
          </w:p>
        </w:tc>
        <w:tc>
          <w:tcPr>
            <w:tcW w:w="1559" w:type="dxa"/>
            <w:tcBorders>
              <w:bottom w:val="single" w:sz="4" w:space="0" w:color="BFBFBF" w:themeColor="background1" w:themeShade="BF"/>
            </w:tcBorders>
            <w:shd w:val="clear" w:color="auto" w:fill="F2F2F2" w:themeFill="background1" w:themeFillShade="F2"/>
          </w:tcPr>
          <w:p w14:paraId="110B742A" w14:textId="77777777" w:rsidR="00A43C69" w:rsidRDefault="00A43C69" w:rsidP="00020344">
            <w:pPr>
              <w:rPr>
                <w:rFonts w:ascii="Calibri" w:hAnsi="Calibri" w:cs="Calibri"/>
                <w:sz w:val="18"/>
                <w:szCs w:val="18"/>
              </w:rPr>
            </w:pPr>
            <w:r>
              <w:rPr>
                <w:rFonts w:ascii="Calibri" w:hAnsi="Calibri" w:cs="Calibri"/>
                <w:sz w:val="18"/>
                <w:szCs w:val="18"/>
              </w:rPr>
              <w:t>RE 700.922</w:t>
            </w:r>
          </w:p>
          <w:p w14:paraId="7F742188"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F2F2F2" w:themeFill="background1" w:themeFillShade="F2"/>
          </w:tcPr>
          <w:p w14:paraId="25375A0A" w14:textId="77777777" w:rsidR="00A43C69" w:rsidRPr="000E096D" w:rsidRDefault="00A43C69" w:rsidP="00020344">
            <w:pPr>
              <w:autoSpaceDE w:val="0"/>
              <w:autoSpaceDN w:val="0"/>
              <w:adjustRightInd w:val="0"/>
              <w:jc w:val="right"/>
              <w:rPr>
                <w:rFonts w:cs="Times New Roman"/>
                <w:sz w:val="18"/>
                <w:szCs w:val="18"/>
              </w:rPr>
            </w:pPr>
            <w:r>
              <w:rPr>
                <w:rFonts w:cs="Times New Roman"/>
                <w:sz w:val="18"/>
                <w:szCs w:val="18"/>
              </w:rPr>
              <w:t>11,7</w:t>
            </w:r>
          </w:p>
        </w:tc>
      </w:tr>
      <w:tr w:rsidR="00A43C69" w:rsidRPr="000E096D" w14:paraId="3204D8DF" w14:textId="77777777" w:rsidTr="00020344">
        <w:trPr>
          <w:trHeight w:val="20"/>
          <w:jc w:val="center"/>
        </w:trPr>
        <w:tc>
          <w:tcPr>
            <w:tcW w:w="6946" w:type="dxa"/>
            <w:tcBorders>
              <w:bottom w:val="single" w:sz="4" w:space="0" w:color="BFBFBF" w:themeColor="background1" w:themeShade="BF"/>
            </w:tcBorders>
            <w:shd w:val="clear" w:color="auto" w:fill="auto"/>
          </w:tcPr>
          <w:p w14:paraId="4AC985C5"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PIS E COFINS. Incidência sobre as receitas decorrentes da locação de bens móveis.</w:t>
            </w:r>
          </w:p>
        </w:tc>
        <w:tc>
          <w:tcPr>
            <w:tcW w:w="1559" w:type="dxa"/>
            <w:tcBorders>
              <w:bottom w:val="single" w:sz="4" w:space="0" w:color="BFBFBF" w:themeColor="background1" w:themeShade="BF"/>
            </w:tcBorders>
            <w:shd w:val="clear" w:color="auto" w:fill="auto"/>
          </w:tcPr>
          <w:p w14:paraId="301DAC10" w14:textId="77777777" w:rsidR="00A43C69" w:rsidRPr="000E096D" w:rsidRDefault="00A43C69" w:rsidP="00020344">
            <w:pPr>
              <w:autoSpaceDE w:val="0"/>
              <w:autoSpaceDN w:val="0"/>
              <w:adjustRightInd w:val="0"/>
              <w:rPr>
                <w:sz w:val="18"/>
                <w:szCs w:val="18"/>
              </w:rPr>
            </w:pPr>
            <w:r w:rsidRPr="00413D3C">
              <w:rPr>
                <w:sz w:val="18"/>
                <w:szCs w:val="18"/>
              </w:rPr>
              <w:t>RE 659.412</w:t>
            </w:r>
          </w:p>
        </w:tc>
        <w:tc>
          <w:tcPr>
            <w:tcW w:w="1418" w:type="dxa"/>
            <w:tcBorders>
              <w:bottom w:val="single" w:sz="4" w:space="0" w:color="BFBFBF" w:themeColor="background1" w:themeShade="BF"/>
            </w:tcBorders>
            <w:shd w:val="clear" w:color="auto" w:fill="auto"/>
          </w:tcPr>
          <w:p w14:paraId="7D5E9EF3" w14:textId="77777777" w:rsidR="00A43C69" w:rsidRPr="000E096D" w:rsidRDefault="00A43C69" w:rsidP="00020344">
            <w:pPr>
              <w:autoSpaceDE w:val="0"/>
              <w:autoSpaceDN w:val="0"/>
              <w:adjustRightInd w:val="0"/>
              <w:jc w:val="right"/>
              <w:rPr>
                <w:rFonts w:cs="Times New Roman"/>
                <w:sz w:val="18"/>
                <w:szCs w:val="18"/>
              </w:rPr>
            </w:pPr>
            <w:r>
              <w:rPr>
                <w:rFonts w:cs="Times New Roman"/>
                <w:sz w:val="18"/>
                <w:szCs w:val="18"/>
              </w:rPr>
              <w:t>19,4</w:t>
            </w:r>
          </w:p>
        </w:tc>
      </w:tr>
      <w:tr w:rsidR="00A43C69" w:rsidRPr="000E096D" w14:paraId="24B44964"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7F00C1F1"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CSL e IRPJ sobre rendimentos em aplicações financeiras de renda fixa ou variável e superávits das entidades fechadas de previdência complementar. Ausência de finalidade lucrativa.</w:t>
            </w:r>
          </w:p>
        </w:tc>
        <w:tc>
          <w:tcPr>
            <w:tcW w:w="1559" w:type="dxa"/>
            <w:tcBorders>
              <w:bottom w:val="single" w:sz="4" w:space="0" w:color="BFBFBF" w:themeColor="background1" w:themeShade="BF"/>
            </w:tcBorders>
            <w:shd w:val="clear" w:color="auto" w:fill="F2F2F2" w:themeFill="background1" w:themeFillShade="F2"/>
          </w:tcPr>
          <w:p w14:paraId="5B1D4012" w14:textId="77777777" w:rsidR="00A43C69" w:rsidRPr="000E096D" w:rsidRDefault="00A43C69" w:rsidP="00020344">
            <w:pPr>
              <w:autoSpaceDE w:val="0"/>
              <w:autoSpaceDN w:val="0"/>
              <w:adjustRightInd w:val="0"/>
              <w:rPr>
                <w:sz w:val="18"/>
                <w:szCs w:val="18"/>
              </w:rPr>
            </w:pPr>
            <w:r w:rsidRPr="00413D3C">
              <w:rPr>
                <w:sz w:val="18"/>
                <w:szCs w:val="18"/>
              </w:rPr>
              <w:t>RE 612.686</w:t>
            </w:r>
          </w:p>
        </w:tc>
        <w:tc>
          <w:tcPr>
            <w:tcW w:w="1418" w:type="dxa"/>
            <w:tcBorders>
              <w:bottom w:val="single" w:sz="4" w:space="0" w:color="BFBFBF" w:themeColor="background1" w:themeShade="BF"/>
            </w:tcBorders>
            <w:shd w:val="clear" w:color="auto" w:fill="F2F2F2" w:themeFill="background1" w:themeFillShade="F2"/>
          </w:tcPr>
          <w:p w14:paraId="0C2FE6C2" w14:textId="77777777" w:rsidR="00A43C69" w:rsidRPr="000E096D" w:rsidRDefault="00A43C69" w:rsidP="00020344">
            <w:pPr>
              <w:autoSpaceDE w:val="0"/>
              <w:autoSpaceDN w:val="0"/>
              <w:adjustRightInd w:val="0"/>
              <w:jc w:val="right"/>
              <w:rPr>
                <w:rFonts w:cs="Times New Roman"/>
                <w:sz w:val="18"/>
                <w:szCs w:val="18"/>
              </w:rPr>
            </w:pPr>
            <w:r w:rsidRPr="00663BD8">
              <w:rPr>
                <w:rFonts w:cs="Times New Roman"/>
                <w:sz w:val="18"/>
                <w:szCs w:val="18"/>
              </w:rPr>
              <w:t>Não disponível</w:t>
            </w:r>
          </w:p>
        </w:tc>
      </w:tr>
      <w:tr w:rsidR="00A43C69" w:rsidRPr="000E096D" w14:paraId="573D65F2" w14:textId="77777777" w:rsidTr="00020344">
        <w:trPr>
          <w:trHeight w:val="20"/>
          <w:jc w:val="center"/>
        </w:trPr>
        <w:tc>
          <w:tcPr>
            <w:tcW w:w="6946" w:type="dxa"/>
            <w:tcBorders>
              <w:bottom w:val="single" w:sz="4" w:space="0" w:color="BFBFBF" w:themeColor="background1" w:themeShade="BF"/>
            </w:tcBorders>
            <w:shd w:val="clear" w:color="auto" w:fill="auto"/>
          </w:tcPr>
          <w:p w14:paraId="33703B8C" w14:textId="77777777" w:rsidR="00A43C69" w:rsidRPr="004E7B3C" w:rsidRDefault="00A43C69" w:rsidP="00020344">
            <w:pPr>
              <w:autoSpaceDE w:val="0"/>
              <w:autoSpaceDN w:val="0"/>
              <w:adjustRightInd w:val="0"/>
              <w:rPr>
                <w:rFonts w:cs="Times New Roman"/>
                <w:sz w:val="18"/>
                <w:szCs w:val="18"/>
              </w:rPr>
            </w:pPr>
            <w:r w:rsidRPr="00413D3C">
              <w:rPr>
                <w:rFonts w:cs="Times New Roman"/>
                <w:sz w:val="18"/>
                <w:szCs w:val="18"/>
              </w:rPr>
              <w:t>PIS e COFINS. Validade de critérios de aplicação da não-cumulatividade.</w:t>
            </w:r>
          </w:p>
        </w:tc>
        <w:tc>
          <w:tcPr>
            <w:tcW w:w="1559" w:type="dxa"/>
            <w:tcBorders>
              <w:bottom w:val="single" w:sz="4" w:space="0" w:color="BFBFBF" w:themeColor="background1" w:themeShade="BF"/>
            </w:tcBorders>
            <w:shd w:val="clear" w:color="auto" w:fill="auto"/>
          </w:tcPr>
          <w:p w14:paraId="73A948DE" w14:textId="77777777" w:rsidR="00A43C69" w:rsidRPr="000E096D" w:rsidRDefault="00A43C69" w:rsidP="00020344">
            <w:pPr>
              <w:autoSpaceDE w:val="0"/>
              <w:autoSpaceDN w:val="0"/>
              <w:adjustRightInd w:val="0"/>
              <w:rPr>
                <w:sz w:val="18"/>
                <w:szCs w:val="18"/>
              </w:rPr>
            </w:pPr>
            <w:r w:rsidRPr="00413D3C">
              <w:rPr>
                <w:sz w:val="18"/>
                <w:szCs w:val="18"/>
              </w:rPr>
              <w:t>RE 841.979</w:t>
            </w:r>
          </w:p>
        </w:tc>
        <w:tc>
          <w:tcPr>
            <w:tcW w:w="1418" w:type="dxa"/>
            <w:tcBorders>
              <w:bottom w:val="single" w:sz="4" w:space="0" w:color="BFBFBF" w:themeColor="background1" w:themeShade="BF"/>
            </w:tcBorders>
            <w:shd w:val="clear" w:color="auto" w:fill="auto"/>
          </w:tcPr>
          <w:p w14:paraId="405D52C7" w14:textId="77777777" w:rsidR="00A43C69" w:rsidRPr="000E096D" w:rsidRDefault="00A43C69" w:rsidP="00020344">
            <w:pPr>
              <w:autoSpaceDE w:val="0"/>
              <w:autoSpaceDN w:val="0"/>
              <w:adjustRightInd w:val="0"/>
              <w:jc w:val="right"/>
              <w:rPr>
                <w:rFonts w:cs="Times New Roman"/>
                <w:sz w:val="18"/>
                <w:szCs w:val="18"/>
              </w:rPr>
            </w:pPr>
            <w:r>
              <w:rPr>
                <w:rFonts w:cs="Times New Roman"/>
                <w:sz w:val="18"/>
                <w:szCs w:val="18"/>
              </w:rPr>
              <w:t>472,7</w:t>
            </w:r>
          </w:p>
        </w:tc>
      </w:tr>
      <w:tr w:rsidR="00A43C69" w:rsidRPr="000E096D" w14:paraId="1AD6D6B1"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697CE3F5" w14:textId="77777777" w:rsidR="00A43C69" w:rsidRPr="004E7B3C" w:rsidRDefault="00A43C69" w:rsidP="00020344">
            <w:pPr>
              <w:rPr>
                <w:rFonts w:cs="Times New Roman"/>
                <w:sz w:val="18"/>
                <w:szCs w:val="18"/>
              </w:rPr>
            </w:pPr>
            <w:r>
              <w:rPr>
                <w:rFonts w:ascii="Calibri" w:hAnsi="Calibri" w:cs="Calibri"/>
                <w:sz w:val="18"/>
                <w:szCs w:val="18"/>
              </w:rPr>
              <w:t>Constitucionalidade da expressão "de forma não cumulativa" constante no caput do art. 20 da Lei 8212/1991, o qual prevê a sistemática de cálculo da contribuição previdenciária devida pelo segurado empregado e pelo trabalhador avulso.</w:t>
            </w:r>
          </w:p>
        </w:tc>
        <w:tc>
          <w:tcPr>
            <w:tcW w:w="1559" w:type="dxa"/>
            <w:tcBorders>
              <w:bottom w:val="single" w:sz="4" w:space="0" w:color="BFBFBF" w:themeColor="background1" w:themeShade="BF"/>
            </w:tcBorders>
            <w:shd w:val="clear" w:color="auto" w:fill="F2F2F2" w:themeFill="background1" w:themeFillShade="F2"/>
          </w:tcPr>
          <w:p w14:paraId="77420F2F" w14:textId="77777777" w:rsidR="00A43C69" w:rsidRDefault="00A43C69" w:rsidP="00020344">
            <w:pPr>
              <w:rPr>
                <w:rFonts w:ascii="Calibri" w:hAnsi="Calibri" w:cs="Calibri"/>
                <w:sz w:val="18"/>
                <w:szCs w:val="18"/>
              </w:rPr>
            </w:pPr>
            <w:r>
              <w:rPr>
                <w:rFonts w:ascii="Calibri" w:hAnsi="Calibri" w:cs="Calibri"/>
                <w:sz w:val="18"/>
                <w:szCs w:val="18"/>
              </w:rPr>
              <w:t>RE 852.796</w:t>
            </w:r>
          </w:p>
          <w:p w14:paraId="3C4D6E78"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F2F2F2" w:themeFill="background1" w:themeFillShade="F2"/>
          </w:tcPr>
          <w:p w14:paraId="0193B6C2" w14:textId="77777777" w:rsidR="00A43C69" w:rsidRPr="000E096D" w:rsidRDefault="00A43C69" w:rsidP="00020344">
            <w:pPr>
              <w:autoSpaceDE w:val="0"/>
              <w:autoSpaceDN w:val="0"/>
              <w:adjustRightInd w:val="0"/>
              <w:jc w:val="right"/>
              <w:rPr>
                <w:rFonts w:cs="Times New Roman"/>
                <w:sz w:val="18"/>
                <w:szCs w:val="18"/>
              </w:rPr>
            </w:pPr>
            <w:r w:rsidRPr="007E1932">
              <w:rPr>
                <w:rFonts w:cs="Times New Roman"/>
                <w:sz w:val="18"/>
                <w:szCs w:val="18"/>
              </w:rPr>
              <w:t>Não disponível</w:t>
            </w:r>
          </w:p>
        </w:tc>
      </w:tr>
      <w:tr w:rsidR="00A43C69" w:rsidRPr="000E096D" w14:paraId="5DF6CDA2" w14:textId="77777777" w:rsidTr="00020344">
        <w:trPr>
          <w:trHeight w:val="20"/>
          <w:jc w:val="center"/>
        </w:trPr>
        <w:tc>
          <w:tcPr>
            <w:tcW w:w="6946" w:type="dxa"/>
            <w:tcBorders>
              <w:bottom w:val="single" w:sz="4" w:space="0" w:color="BFBFBF" w:themeColor="background1" w:themeShade="BF"/>
            </w:tcBorders>
            <w:shd w:val="clear" w:color="auto" w:fill="auto"/>
          </w:tcPr>
          <w:p w14:paraId="3EF71034" w14:textId="77777777" w:rsidR="00A43C69" w:rsidRPr="004E7B3C" w:rsidRDefault="00A43C69" w:rsidP="00020344">
            <w:pPr>
              <w:rPr>
                <w:rFonts w:cs="Times New Roman"/>
                <w:sz w:val="18"/>
                <w:szCs w:val="18"/>
              </w:rPr>
            </w:pPr>
            <w:r>
              <w:rPr>
                <w:rFonts w:ascii="Calibri" w:hAnsi="Calibri" w:cs="Calibri"/>
                <w:sz w:val="18"/>
                <w:szCs w:val="18"/>
              </w:rPr>
              <w:t>Incidência de Imposto de Renda sobre os depósitos bancários considerados como omissão de receita ou de rendimento, em face da previsão contida no art. 42 da Lei 9.430/1996.</w:t>
            </w:r>
          </w:p>
        </w:tc>
        <w:tc>
          <w:tcPr>
            <w:tcW w:w="1559" w:type="dxa"/>
            <w:tcBorders>
              <w:bottom w:val="single" w:sz="4" w:space="0" w:color="BFBFBF" w:themeColor="background1" w:themeShade="BF"/>
            </w:tcBorders>
            <w:shd w:val="clear" w:color="auto" w:fill="auto"/>
          </w:tcPr>
          <w:p w14:paraId="2735804F" w14:textId="77777777" w:rsidR="00A43C69" w:rsidRDefault="00A43C69" w:rsidP="00020344">
            <w:pPr>
              <w:rPr>
                <w:rFonts w:ascii="Calibri" w:hAnsi="Calibri" w:cs="Calibri"/>
                <w:sz w:val="18"/>
                <w:szCs w:val="18"/>
              </w:rPr>
            </w:pPr>
            <w:r>
              <w:rPr>
                <w:rFonts w:ascii="Calibri" w:hAnsi="Calibri" w:cs="Calibri"/>
                <w:sz w:val="18"/>
                <w:szCs w:val="18"/>
              </w:rPr>
              <w:t>RE 855.649</w:t>
            </w:r>
          </w:p>
          <w:p w14:paraId="4A881796"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auto"/>
          </w:tcPr>
          <w:p w14:paraId="61FDBADE" w14:textId="77777777" w:rsidR="00A43C69" w:rsidRPr="000E096D" w:rsidRDefault="00A43C69" w:rsidP="00020344">
            <w:pPr>
              <w:autoSpaceDE w:val="0"/>
              <w:autoSpaceDN w:val="0"/>
              <w:adjustRightInd w:val="0"/>
              <w:jc w:val="right"/>
              <w:rPr>
                <w:rFonts w:cs="Times New Roman"/>
                <w:sz w:val="18"/>
                <w:szCs w:val="18"/>
              </w:rPr>
            </w:pPr>
            <w:r w:rsidRPr="007E1932">
              <w:rPr>
                <w:rFonts w:cs="Times New Roman"/>
                <w:sz w:val="18"/>
                <w:szCs w:val="18"/>
              </w:rPr>
              <w:t>Não disponível</w:t>
            </w:r>
          </w:p>
        </w:tc>
      </w:tr>
      <w:tr w:rsidR="00A43C69" w:rsidRPr="000E096D" w14:paraId="39B5AF34"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603BAAC6" w14:textId="77777777" w:rsidR="00A43C69" w:rsidRPr="004E7B3C" w:rsidRDefault="00A43C69" w:rsidP="00020344">
            <w:pPr>
              <w:rPr>
                <w:rFonts w:cs="Times New Roman"/>
                <w:sz w:val="18"/>
                <w:szCs w:val="18"/>
              </w:rPr>
            </w:pPr>
            <w:r>
              <w:rPr>
                <w:rFonts w:ascii="Calibri" w:hAnsi="Calibri" w:cs="Calibri"/>
                <w:sz w:val="18"/>
                <w:szCs w:val="18"/>
              </w:rPr>
              <w:t>Possibilidade de exclusão da base de cálculo do PIS e do COFINS dos valores correspondentes a créditos presumidos de ICMS decorrentes de incentivos fiscais concedidos pelos Estados e pelo Distrito Federal.</w:t>
            </w:r>
          </w:p>
        </w:tc>
        <w:tc>
          <w:tcPr>
            <w:tcW w:w="1559" w:type="dxa"/>
            <w:tcBorders>
              <w:bottom w:val="single" w:sz="4" w:space="0" w:color="BFBFBF" w:themeColor="background1" w:themeShade="BF"/>
            </w:tcBorders>
            <w:shd w:val="clear" w:color="auto" w:fill="F2F2F2" w:themeFill="background1" w:themeFillShade="F2"/>
          </w:tcPr>
          <w:p w14:paraId="6C134F7C" w14:textId="77777777" w:rsidR="00A43C69" w:rsidRDefault="00A43C69" w:rsidP="00020344">
            <w:pPr>
              <w:rPr>
                <w:rFonts w:ascii="Calibri" w:hAnsi="Calibri" w:cs="Calibri"/>
                <w:sz w:val="18"/>
                <w:szCs w:val="18"/>
              </w:rPr>
            </w:pPr>
            <w:r>
              <w:rPr>
                <w:rFonts w:ascii="Calibri" w:hAnsi="Calibri" w:cs="Calibri"/>
                <w:sz w:val="18"/>
                <w:szCs w:val="18"/>
              </w:rPr>
              <w:t>RE 835.818</w:t>
            </w:r>
          </w:p>
          <w:p w14:paraId="3BDD34EB"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F2F2F2" w:themeFill="background1" w:themeFillShade="F2"/>
          </w:tcPr>
          <w:p w14:paraId="3043F25D" w14:textId="77777777" w:rsidR="00A43C69" w:rsidRPr="000E096D" w:rsidRDefault="00A43C69" w:rsidP="00020344">
            <w:pPr>
              <w:autoSpaceDE w:val="0"/>
              <w:autoSpaceDN w:val="0"/>
              <w:adjustRightInd w:val="0"/>
              <w:jc w:val="right"/>
              <w:rPr>
                <w:rFonts w:cs="Times New Roman"/>
                <w:sz w:val="18"/>
                <w:szCs w:val="18"/>
              </w:rPr>
            </w:pPr>
            <w:r w:rsidRPr="007E1932">
              <w:rPr>
                <w:rFonts w:cs="Times New Roman"/>
                <w:sz w:val="18"/>
                <w:szCs w:val="18"/>
              </w:rPr>
              <w:t>Não disponível</w:t>
            </w:r>
          </w:p>
        </w:tc>
      </w:tr>
      <w:tr w:rsidR="00A43C69" w:rsidRPr="000E096D" w14:paraId="15DFB18E" w14:textId="77777777" w:rsidTr="00020344">
        <w:trPr>
          <w:trHeight w:val="20"/>
          <w:jc w:val="center"/>
        </w:trPr>
        <w:tc>
          <w:tcPr>
            <w:tcW w:w="6946" w:type="dxa"/>
            <w:tcBorders>
              <w:bottom w:val="single" w:sz="4" w:space="0" w:color="BFBFBF" w:themeColor="background1" w:themeShade="BF"/>
            </w:tcBorders>
            <w:shd w:val="clear" w:color="auto" w:fill="auto"/>
          </w:tcPr>
          <w:p w14:paraId="0A0F3A6E" w14:textId="77777777" w:rsidR="00A43C69" w:rsidRPr="004E7B3C" w:rsidRDefault="00A43C69" w:rsidP="00020344">
            <w:pPr>
              <w:rPr>
                <w:rFonts w:cs="Times New Roman"/>
                <w:sz w:val="18"/>
                <w:szCs w:val="18"/>
              </w:rPr>
            </w:pPr>
            <w:proofErr w:type="gramStart"/>
            <w:r>
              <w:rPr>
                <w:rFonts w:ascii="Calibri" w:hAnsi="Calibri" w:cs="Calibri"/>
                <w:sz w:val="18"/>
                <w:szCs w:val="18"/>
              </w:rPr>
              <w:t>Incidência do Imposto de renda Pessoa Jurídica (IRPJ) e da Contribuição Social sobre o Lucro Líquido (CSLL) sobre a taxa Selic (juros de mora e correção monetária) recebida pelo contribuinte na repetição do indébito.”</w:t>
            </w:r>
            <w:proofErr w:type="gramEnd"/>
          </w:p>
        </w:tc>
        <w:tc>
          <w:tcPr>
            <w:tcW w:w="1559" w:type="dxa"/>
            <w:tcBorders>
              <w:bottom w:val="single" w:sz="4" w:space="0" w:color="BFBFBF" w:themeColor="background1" w:themeShade="BF"/>
            </w:tcBorders>
            <w:shd w:val="clear" w:color="auto" w:fill="auto"/>
          </w:tcPr>
          <w:p w14:paraId="05414DF4" w14:textId="77777777" w:rsidR="00A43C69" w:rsidRPr="000E096D" w:rsidRDefault="00A43C69" w:rsidP="00020344">
            <w:pPr>
              <w:rPr>
                <w:sz w:val="18"/>
                <w:szCs w:val="18"/>
              </w:rPr>
            </w:pPr>
            <w:r>
              <w:rPr>
                <w:rFonts w:ascii="Calibri" w:hAnsi="Calibri" w:cs="Calibri"/>
                <w:sz w:val="18"/>
                <w:szCs w:val="18"/>
              </w:rPr>
              <w:t>RE 1.063.187</w:t>
            </w:r>
          </w:p>
        </w:tc>
        <w:tc>
          <w:tcPr>
            <w:tcW w:w="1418" w:type="dxa"/>
            <w:tcBorders>
              <w:bottom w:val="single" w:sz="4" w:space="0" w:color="BFBFBF" w:themeColor="background1" w:themeShade="BF"/>
            </w:tcBorders>
            <w:shd w:val="clear" w:color="auto" w:fill="auto"/>
          </w:tcPr>
          <w:p w14:paraId="355841C3" w14:textId="77777777" w:rsidR="00A43C69" w:rsidRPr="000E096D" w:rsidRDefault="00A43C69" w:rsidP="00020344">
            <w:pPr>
              <w:autoSpaceDE w:val="0"/>
              <w:autoSpaceDN w:val="0"/>
              <w:adjustRightInd w:val="0"/>
              <w:jc w:val="right"/>
              <w:rPr>
                <w:rFonts w:cs="Times New Roman"/>
                <w:sz w:val="18"/>
                <w:szCs w:val="18"/>
              </w:rPr>
            </w:pPr>
            <w:r w:rsidRPr="007E1932">
              <w:rPr>
                <w:rFonts w:cs="Times New Roman"/>
                <w:sz w:val="18"/>
                <w:szCs w:val="18"/>
              </w:rPr>
              <w:t>Não disponível</w:t>
            </w:r>
          </w:p>
        </w:tc>
      </w:tr>
      <w:tr w:rsidR="00A43C69" w:rsidRPr="000E096D" w14:paraId="0AB5E9C1"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41AB54A6" w14:textId="77777777" w:rsidR="00A43C69" w:rsidRPr="004E7B3C" w:rsidRDefault="00A43C69" w:rsidP="00020344">
            <w:pPr>
              <w:rPr>
                <w:rFonts w:cs="Times New Roman"/>
                <w:sz w:val="18"/>
                <w:szCs w:val="18"/>
              </w:rPr>
            </w:pPr>
            <w:r>
              <w:rPr>
                <w:rFonts w:ascii="Calibri" w:hAnsi="Calibri" w:cs="Calibri"/>
                <w:sz w:val="18"/>
                <w:szCs w:val="18"/>
              </w:rPr>
              <w:t>Possibilidade de desoneração de Estrangeiro com residência permanente no Brasil em relação às taxas cobradas para o processo de regularização migratória.</w:t>
            </w:r>
          </w:p>
        </w:tc>
        <w:tc>
          <w:tcPr>
            <w:tcW w:w="1559" w:type="dxa"/>
            <w:tcBorders>
              <w:bottom w:val="single" w:sz="4" w:space="0" w:color="BFBFBF" w:themeColor="background1" w:themeShade="BF"/>
            </w:tcBorders>
            <w:shd w:val="clear" w:color="auto" w:fill="F2F2F2" w:themeFill="background1" w:themeFillShade="F2"/>
          </w:tcPr>
          <w:p w14:paraId="64DB49C1" w14:textId="77777777" w:rsidR="00A43C69" w:rsidRDefault="00A43C69" w:rsidP="00020344">
            <w:pPr>
              <w:rPr>
                <w:rFonts w:ascii="Calibri" w:hAnsi="Calibri" w:cs="Calibri"/>
                <w:sz w:val="18"/>
                <w:szCs w:val="18"/>
              </w:rPr>
            </w:pPr>
            <w:r>
              <w:rPr>
                <w:rFonts w:ascii="Calibri" w:hAnsi="Calibri" w:cs="Calibri"/>
                <w:sz w:val="18"/>
                <w:szCs w:val="18"/>
              </w:rPr>
              <w:t>RE 1.018.911</w:t>
            </w:r>
          </w:p>
          <w:p w14:paraId="4BA96F11"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F2F2F2" w:themeFill="background1" w:themeFillShade="F2"/>
          </w:tcPr>
          <w:p w14:paraId="3E16C5FA" w14:textId="77777777" w:rsidR="00A43C69" w:rsidRPr="000E096D" w:rsidRDefault="00A43C69" w:rsidP="00020344">
            <w:pPr>
              <w:autoSpaceDE w:val="0"/>
              <w:autoSpaceDN w:val="0"/>
              <w:adjustRightInd w:val="0"/>
              <w:jc w:val="right"/>
              <w:rPr>
                <w:rFonts w:cs="Times New Roman"/>
                <w:sz w:val="18"/>
                <w:szCs w:val="18"/>
              </w:rPr>
            </w:pPr>
            <w:r w:rsidRPr="007E1932">
              <w:rPr>
                <w:rFonts w:cs="Times New Roman"/>
                <w:sz w:val="18"/>
                <w:szCs w:val="18"/>
              </w:rPr>
              <w:t>Não disponível</w:t>
            </w:r>
          </w:p>
        </w:tc>
      </w:tr>
      <w:tr w:rsidR="00A43C69" w:rsidRPr="000E096D" w14:paraId="3A1A4465" w14:textId="77777777" w:rsidTr="00020344">
        <w:trPr>
          <w:trHeight w:val="20"/>
          <w:jc w:val="center"/>
        </w:trPr>
        <w:tc>
          <w:tcPr>
            <w:tcW w:w="6946" w:type="dxa"/>
            <w:tcBorders>
              <w:bottom w:val="single" w:sz="4" w:space="0" w:color="BFBFBF" w:themeColor="background1" w:themeShade="BF"/>
            </w:tcBorders>
            <w:shd w:val="clear" w:color="auto" w:fill="auto"/>
          </w:tcPr>
          <w:p w14:paraId="7FD55418" w14:textId="77777777" w:rsidR="00A43C69" w:rsidRPr="004E7B3C" w:rsidRDefault="00A43C69" w:rsidP="00020344">
            <w:pPr>
              <w:rPr>
                <w:rFonts w:cs="Times New Roman"/>
                <w:sz w:val="18"/>
                <w:szCs w:val="18"/>
              </w:rPr>
            </w:pPr>
            <w:r>
              <w:rPr>
                <w:rFonts w:ascii="Calibri" w:hAnsi="Calibri" w:cs="Calibri"/>
                <w:sz w:val="18"/>
                <w:szCs w:val="18"/>
              </w:rPr>
              <w:t>“Constitucionalidade da inclusão dos expurgos inflacionários na correção monetária incidente sobre valores depositados em juízo".</w:t>
            </w:r>
          </w:p>
        </w:tc>
        <w:tc>
          <w:tcPr>
            <w:tcW w:w="1559" w:type="dxa"/>
            <w:tcBorders>
              <w:bottom w:val="single" w:sz="4" w:space="0" w:color="BFBFBF" w:themeColor="background1" w:themeShade="BF"/>
            </w:tcBorders>
            <w:shd w:val="clear" w:color="auto" w:fill="auto"/>
          </w:tcPr>
          <w:p w14:paraId="36082BC2" w14:textId="77777777" w:rsidR="00A43C69" w:rsidRPr="000E096D" w:rsidRDefault="00A43C69" w:rsidP="00020344">
            <w:pPr>
              <w:rPr>
                <w:sz w:val="18"/>
                <w:szCs w:val="18"/>
              </w:rPr>
            </w:pPr>
            <w:r>
              <w:rPr>
                <w:rFonts w:ascii="Calibri" w:hAnsi="Calibri" w:cs="Calibri"/>
                <w:sz w:val="18"/>
                <w:szCs w:val="18"/>
              </w:rPr>
              <w:t>RE 1.141.156</w:t>
            </w:r>
          </w:p>
        </w:tc>
        <w:tc>
          <w:tcPr>
            <w:tcW w:w="1418" w:type="dxa"/>
            <w:tcBorders>
              <w:bottom w:val="single" w:sz="4" w:space="0" w:color="BFBFBF" w:themeColor="background1" w:themeShade="BF"/>
            </w:tcBorders>
            <w:shd w:val="clear" w:color="auto" w:fill="auto"/>
          </w:tcPr>
          <w:p w14:paraId="728381DF" w14:textId="77777777" w:rsidR="00A43C69" w:rsidRPr="000E096D" w:rsidRDefault="00A43C69" w:rsidP="00020344">
            <w:pPr>
              <w:autoSpaceDE w:val="0"/>
              <w:autoSpaceDN w:val="0"/>
              <w:adjustRightInd w:val="0"/>
              <w:jc w:val="right"/>
              <w:rPr>
                <w:rFonts w:cs="Times New Roman"/>
                <w:sz w:val="18"/>
                <w:szCs w:val="18"/>
              </w:rPr>
            </w:pPr>
            <w:r w:rsidRPr="007E1932">
              <w:rPr>
                <w:rFonts w:cs="Times New Roman"/>
                <w:sz w:val="18"/>
                <w:szCs w:val="18"/>
              </w:rPr>
              <w:t>Não disponível</w:t>
            </w:r>
          </w:p>
        </w:tc>
      </w:tr>
      <w:tr w:rsidR="00A43C69" w:rsidRPr="000E096D" w14:paraId="1B2C7CC9" w14:textId="77777777" w:rsidTr="00020344">
        <w:trPr>
          <w:trHeight w:val="20"/>
          <w:jc w:val="center"/>
        </w:trPr>
        <w:tc>
          <w:tcPr>
            <w:tcW w:w="6946" w:type="dxa"/>
            <w:tcBorders>
              <w:bottom w:val="single" w:sz="4" w:space="0" w:color="BFBFBF" w:themeColor="background1" w:themeShade="BF"/>
            </w:tcBorders>
            <w:shd w:val="clear" w:color="auto" w:fill="F2F2F2" w:themeFill="background1" w:themeFillShade="F2"/>
          </w:tcPr>
          <w:p w14:paraId="1CBE9E40" w14:textId="77777777" w:rsidR="00A43C69" w:rsidRPr="004E7B3C" w:rsidRDefault="00A43C69" w:rsidP="00020344">
            <w:pPr>
              <w:rPr>
                <w:rFonts w:cs="Times New Roman"/>
                <w:sz w:val="18"/>
                <w:szCs w:val="18"/>
              </w:rPr>
            </w:pPr>
            <w:proofErr w:type="gramStart"/>
            <w:r>
              <w:rPr>
                <w:rFonts w:ascii="Calibri" w:hAnsi="Calibri" w:cs="Calibri"/>
                <w:sz w:val="18"/>
                <w:szCs w:val="18"/>
              </w:rPr>
              <w:t>Alcance da imunidade tributária prevista no artigo 150, inciso VI</w:t>
            </w:r>
            <w:proofErr w:type="gramEnd"/>
            <w:r>
              <w:rPr>
                <w:rFonts w:ascii="Calibri" w:hAnsi="Calibri" w:cs="Calibri"/>
                <w:sz w:val="18"/>
                <w:szCs w:val="18"/>
              </w:rPr>
              <w:t>, alínea e, da Constituição Federal, em relação a suportes materiais importados e produzidos fora do Brasil que contenham obras musicais de artistas brasileiros.</w:t>
            </w:r>
          </w:p>
        </w:tc>
        <w:tc>
          <w:tcPr>
            <w:tcW w:w="1559" w:type="dxa"/>
            <w:tcBorders>
              <w:bottom w:val="single" w:sz="4" w:space="0" w:color="BFBFBF" w:themeColor="background1" w:themeShade="BF"/>
            </w:tcBorders>
            <w:shd w:val="clear" w:color="auto" w:fill="F2F2F2" w:themeFill="background1" w:themeFillShade="F2"/>
          </w:tcPr>
          <w:p w14:paraId="57C9C2A2" w14:textId="77777777" w:rsidR="00A43C69" w:rsidRPr="000E096D" w:rsidRDefault="00A43C69" w:rsidP="00020344">
            <w:pPr>
              <w:rPr>
                <w:sz w:val="18"/>
                <w:szCs w:val="18"/>
              </w:rPr>
            </w:pPr>
            <w:r>
              <w:rPr>
                <w:rFonts w:ascii="Calibri" w:hAnsi="Calibri" w:cs="Calibri"/>
                <w:sz w:val="18"/>
                <w:szCs w:val="18"/>
              </w:rPr>
              <w:t>ARE 1.244.302</w:t>
            </w:r>
          </w:p>
        </w:tc>
        <w:tc>
          <w:tcPr>
            <w:tcW w:w="1418" w:type="dxa"/>
            <w:tcBorders>
              <w:bottom w:val="single" w:sz="4" w:space="0" w:color="BFBFBF" w:themeColor="background1" w:themeShade="BF"/>
            </w:tcBorders>
            <w:shd w:val="clear" w:color="auto" w:fill="F2F2F2" w:themeFill="background1" w:themeFillShade="F2"/>
          </w:tcPr>
          <w:p w14:paraId="723CA255" w14:textId="77777777" w:rsidR="00A43C69" w:rsidRPr="000E096D" w:rsidRDefault="00A43C69" w:rsidP="00020344">
            <w:pPr>
              <w:autoSpaceDE w:val="0"/>
              <w:autoSpaceDN w:val="0"/>
              <w:adjustRightInd w:val="0"/>
              <w:jc w:val="right"/>
              <w:rPr>
                <w:rFonts w:cs="Times New Roman"/>
                <w:sz w:val="18"/>
                <w:szCs w:val="18"/>
              </w:rPr>
            </w:pPr>
            <w:r w:rsidRPr="007E1932">
              <w:rPr>
                <w:rFonts w:cs="Times New Roman"/>
                <w:sz w:val="18"/>
                <w:szCs w:val="18"/>
              </w:rPr>
              <w:t>Não disponível</w:t>
            </w:r>
          </w:p>
        </w:tc>
      </w:tr>
      <w:tr w:rsidR="00A43C69" w:rsidRPr="000E096D" w14:paraId="05A7834A" w14:textId="77777777" w:rsidTr="00020344">
        <w:trPr>
          <w:trHeight w:val="20"/>
          <w:jc w:val="center"/>
        </w:trPr>
        <w:tc>
          <w:tcPr>
            <w:tcW w:w="6946" w:type="dxa"/>
            <w:tcBorders>
              <w:bottom w:val="single" w:sz="4" w:space="0" w:color="BFBFBF" w:themeColor="background1" w:themeShade="BF"/>
            </w:tcBorders>
            <w:shd w:val="clear" w:color="auto" w:fill="auto"/>
          </w:tcPr>
          <w:p w14:paraId="14BBDFB2" w14:textId="77777777" w:rsidR="00A43C69" w:rsidRPr="004E7B3C" w:rsidRDefault="00A43C69" w:rsidP="00020344">
            <w:pPr>
              <w:rPr>
                <w:rFonts w:cs="Times New Roman"/>
                <w:sz w:val="18"/>
                <w:szCs w:val="18"/>
              </w:rPr>
            </w:pPr>
            <w:r>
              <w:rPr>
                <w:rFonts w:ascii="Calibri" w:hAnsi="Calibri" w:cs="Calibri"/>
                <w:sz w:val="18"/>
                <w:szCs w:val="18"/>
              </w:rPr>
              <w:t xml:space="preserve">Aplicabilidade do princípio da anterioridade geral (anual ou de exercício) em face das </w:t>
            </w:r>
            <w:r>
              <w:rPr>
                <w:rFonts w:ascii="Calibri" w:hAnsi="Calibri" w:cs="Calibri"/>
                <w:sz w:val="18"/>
                <w:szCs w:val="18"/>
              </w:rPr>
              <w:lastRenderedPageBreak/>
              <w:t>reduções de benefícios fiscais previstos no Regime Especial de Reintegração de Valores Tributários.</w:t>
            </w:r>
          </w:p>
        </w:tc>
        <w:tc>
          <w:tcPr>
            <w:tcW w:w="1559" w:type="dxa"/>
            <w:tcBorders>
              <w:bottom w:val="single" w:sz="4" w:space="0" w:color="BFBFBF" w:themeColor="background1" w:themeShade="BF"/>
            </w:tcBorders>
            <w:shd w:val="clear" w:color="auto" w:fill="auto"/>
          </w:tcPr>
          <w:p w14:paraId="06817DBE" w14:textId="77777777" w:rsidR="00A43C69" w:rsidRDefault="00A43C69" w:rsidP="00020344">
            <w:pPr>
              <w:rPr>
                <w:rFonts w:ascii="Calibri" w:hAnsi="Calibri" w:cs="Calibri"/>
                <w:sz w:val="18"/>
                <w:szCs w:val="18"/>
              </w:rPr>
            </w:pPr>
            <w:r>
              <w:rPr>
                <w:rFonts w:ascii="Calibri" w:hAnsi="Calibri" w:cs="Calibri"/>
                <w:sz w:val="18"/>
                <w:szCs w:val="18"/>
              </w:rPr>
              <w:lastRenderedPageBreak/>
              <w:t>RE 1.285.177</w:t>
            </w:r>
          </w:p>
          <w:p w14:paraId="30C19FD7" w14:textId="77777777" w:rsidR="00A43C69" w:rsidRPr="000E096D" w:rsidRDefault="00A43C69" w:rsidP="00020344">
            <w:pPr>
              <w:autoSpaceDE w:val="0"/>
              <w:autoSpaceDN w:val="0"/>
              <w:adjustRightInd w:val="0"/>
              <w:rPr>
                <w:sz w:val="18"/>
                <w:szCs w:val="18"/>
              </w:rPr>
            </w:pPr>
          </w:p>
        </w:tc>
        <w:tc>
          <w:tcPr>
            <w:tcW w:w="1418" w:type="dxa"/>
            <w:tcBorders>
              <w:bottom w:val="single" w:sz="4" w:space="0" w:color="BFBFBF" w:themeColor="background1" w:themeShade="BF"/>
            </w:tcBorders>
            <w:shd w:val="clear" w:color="auto" w:fill="auto"/>
          </w:tcPr>
          <w:p w14:paraId="0F1DCF54" w14:textId="77777777" w:rsidR="00A43C69" w:rsidRPr="000E096D" w:rsidRDefault="00A43C69" w:rsidP="00020344">
            <w:pPr>
              <w:autoSpaceDE w:val="0"/>
              <w:autoSpaceDN w:val="0"/>
              <w:adjustRightInd w:val="0"/>
              <w:jc w:val="right"/>
              <w:rPr>
                <w:rFonts w:cs="Times New Roman"/>
                <w:sz w:val="18"/>
                <w:szCs w:val="18"/>
              </w:rPr>
            </w:pPr>
            <w:r>
              <w:rPr>
                <w:rFonts w:cs="Times New Roman"/>
                <w:sz w:val="18"/>
                <w:szCs w:val="18"/>
              </w:rPr>
              <w:lastRenderedPageBreak/>
              <w:t>4,0</w:t>
            </w:r>
          </w:p>
        </w:tc>
      </w:tr>
      <w:tr w:rsidR="00A43C69" w:rsidRPr="00DC58C5" w14:paraId="4E7D6D98" w14:textId="77777777" w:rsidTr="00020344">
        <w:trPr>
          <w:trHeight w:val="20"/>
          <w:jc w:val="center"/>
        </w:trPr>
        <w:tc>
          <w:tcPr>
            <w:tcW w:w="8505" w:type="dxa"/>
            <w:gridSpan w:val="2"/>
            <w:tcBorders>
              <w:bottom w:val="single" w:sz="4" w:space="0" w:color="BFBFBF" w:themeColor="background1" w:themeShade="BF"/>
            </w:tcBorders>
            <w:shd w:val="clear" w:color="auto" w:fill="7F7F7F" w:themeFill="text1" w:themeFillTint="80"/>
          </w:tcPr>
          <w:p w14:paraId="06646316" w14:textId="77777777" w:rsidR="00A43C69" w:rsidRPr="00DC58C5" w:rsidRDefault="00A43C69" w:rsidP="00020344">
            <w:pPr>
              <w:autoSpaceDE w:val="0"/>
              <w:autoSpaceDN w:val="0"/>
              <w:adjustRightInd w:val="0"/>
              <w:rPr>
                <w:b/>
                <w:bCs/>
                <w:color w:val="FFFFFF" w:themeColor="background1"/>
                <w:sz w:val="18"/>
                <w:szCs w:val="18"/>
              </w:rPr>
            </w:pPr>
            <w:r w:rsidRPr="00DC58C5">
              <w:rPr>
                <w:b/>
                <w:bCs/>
                <w:color w:val="FFFFFF" w:themeColor="background1"/>
                <w:sz w:val="18"/>
                <w:szCs w:val="18"/>
              </w:rPr>
              <w:lastRenderedPageBreak/>
              <w:t>Total</w:t>
            </w:r>
          </w:p>
        </w:tc>
        <w:tc>
          <w:tcPr>
            <w:tcW w:w="1418" w:type="dxa"/>
            <w:tcBorders>
              <w:bottom w:val="single" w:sz="4" w:space="0" w:color="BFBFBF" w:themeColor="background1" w:themeShade="BF"/>
            </w:tcBorders>
            <w:shd w:val="clear" w:color="auto" w:fill="7F7F7F" w:themeFill="text1" w:themeFillTint="80"/>
          </w:tcPr>
          <w:p w14:paraId="5439F51E" w14:textId="77777777" w:rsidR="00A43C69" w:rsidRPr="00DC58C5" w:rsidRDefault="00A43C69" w:rsidP="00020344">
            <w:pPr>
              <w:autoSpaceDE w:val="0"/>
              <w:autoSpaceDN w:val="0"/>
              <w:adjustRightInd w:val="0"/>
              <w:jc w:val="right"/>
              <w:rPr>
                <w:rFonts w:cs="Times New Roman"/>
                <w:b/>
                <w:bCs/>
                <w:color w:val="FFFFFF" w:themeColor="background1"/>
                <w:sz w:val="18"/>
                <w:szCs w:val="18"/>
              </w:rPr>
            </w:pPr>
            <w:r w:rsidRPr="00DC58C5">
              <w:rPr>
                <w:rFonts w:cs="Times New Roman"/>
                <w:b/>
                <w:bCs/>
                <w:color w:val="FFFFFF" w:themeColor="background1"/>
                <w:sz w:val="18"/>
                <w:szCs w:val="18"/>
              </w:rPr>
              <w:t>827,7</w:t>
            </w:r>
          </w:p>
        </w:tc>
      </w:tr>
      <w:tr w:rsidR="00A43C69" w:rsidRPr="00E941FC" w14:paraId="4D67284B" w14:textId="77777777" w:rsidTr="00020344">
        <w:trPr>
          <w:trHeight w:val="20"/>
          <w:jc w:val="center"/>
        </w:trPr>
        <w:tc>
          <w:tcPr>
            <w:tcW w:w="0" w:type="auto"/>
            <w:gridSpan w:val="3"/>
            <w:tcBorders>
              <w:top w:val="single" w:sz="4" w:space="0" w:color="BFBFBF" w:themeColor="background1" w:themeShade="BF"/>
              <w:left w:val="nil"/>
              <w:bottom w:val="nil"/>
              <w:right w:val="nil"/>
            </w:tcBorders>
          </w:tcPr>
          <w:p w14:paraId="3CE23710" w14:textId="77777777" w:rsidR="00A43C69" w:rsidRPr="00DF15BB" w:rsidRDefault="00A43C69" w:rsidP="00020344">
            <w:pPr>
              <w:autoSpaceDE w:val="0"/>
              <w:autoSpaceDN w:val="0"/>
              <w:adjustRightInd w:val="0"/>
              <w:jc w:val="both"/>
              <w:rPr>
                <w:i/>
                <w:sz w:val="16"/>
                <w:szCs w:val="16"/>
              </w:rPr>
            </w:pPr>
            <w:r w:rsidRPr="00DF15BB">
              <w:rPr>
                <w:rFonts w:cs="Times New Roman"/>
                <w:b/>
                <w:i/>
                <w:sz w:val="16"/>
                <w:szCs w:val="16"/>
              </w:rPr>
              <w:t>Fonte</w:t>
            </w:r>
            <w:r w:rsidRPr="00DF15BB">
              <w:rPr>
                <w:rFonts w:cs="Times New Roman"/>
                <w:i/>
                <w:sz w:val="16"/>
                <w:szCs w:val="16"/>
              </w:rPr>
              <w:t xml:space="preserve">: AGU. </w:t>
            </w:r>
            <w:r w:rsidRPr="00DF15BB">
              <w:rPr>
                <w:rFonts w:cs="Times New Roman"/>
                <w:b/>
                <w:i/>
                <w:sz w:val="16"/>
                <w:szCs w:val="16"/>
              </w:rPr>
              <w:t>Elaboração</w:t>
            </w:r>
            <w:r w:rsidRPr="00DF15BB">
              <w:rPr>
                <w:rFonts w:cs="Times New Roman"/>
                <w:i/>
                <w:sz w:val="16"/>
                <w:szCs w:val="16"/>
              </w:rPr>
              <w:t>: STN/ME</w:t>
            </w:r>
          </w:p>
        </w:tc>
      </w:tr>
    </w:tbl>
    <w:p w14:paraId="3DD608AB" w14:textId="77777777" w:rsidR="00EB432A" w:rsidRPr="0022645B" w:rsidRDefault="00EB432A" w:rsidP="007A6631">
      <w:pPr>
        <w:autoSpaceDE w:val="0"/>
        <w:autoSpaceDN w:val="0"/>
        <w:adjustRightInd w:val="0"/>
        <w:spacing w:after="120" w:line="240" w:lineRule="auto"/>
        <w:jc w:val="both"/>
        <w:rPr>
          <w:rFonts w:cs="Times New Roman"/>
          <w:sz w:val="24"/>
          <w:szCs w:val="24"/>
        </w:rPr>
      </w:pPr>
    </w:p>
    <w:p w14:paraId="082C30F8" w14:textId="7E372705" w:rsidR="000D17A6" w:rsidRDefault="00112D8A" w:rsidP="007A6631">
      <w:pPr>
        <w:autoSpaceDE w:val="0"/>
        <w:autoSpaceDN w:val="0"/>
        <w:adjustRightInd w:val="0"/>
        <w:spacing w:after="120" w:line="240" w:lineRule="auto"/>
        <w:ind w:firstLine="1418"/>
        <w:jc w:val="both"/>
        <w:rPr>
          <w:w w:val="105"/>
          <w:sz w:val="24"/>
          <w:szCs w:val="24"/>
        </w:rPr>
      </w:pPr>
      <w:r w:rsidRPr="006E79F9">
        <w:rPr>
          <w:rFonts w:cs="Times New Roman"/>
          <w:sz w:val="24"/>
          <w:szCs w:val="24"/>
        </w:rPr>
        <w:t>Ademais, a</w:t>
      </w:r>
      <w:r w:rsidR="00432267" w:rsidRPr="006E79F9">
        <w:rPr>
          <w:rFonts w:cs="Times New Roman"/>
          <w:sz w:val="24"/>
          <w:szCs w:val="24"/>
        </w:rPr>
        <w:t xml:space="preserve"> </w:t>
      </w:r>
      <w:r w:rsidR="00432267" w:rsidRPr="006E79F9">
        <w:rPr>
          <w:rFonts w:cs="Times New Roman"/>
          <w:sz w:val="24"/>
          <w:szCs w:val="24"/>
        </w:rPr>
        <w:fldChar w:fldCharType="begin"/>
      </w:r>
      <w:r w:rsidR="00432267" w:rsidRPr="006E79F9">
        <w:rPr>
          <w:rFonts w:cs="Times New Roman"/>
          <w:sz w:val="24"/>
          <w:szCs w:val="24"/>
        </w:rPr>
        <w:instrText xml:space="preserve"> REF _Ref5264392 \h  \* MERGEFORMAT </w:instrText>
      </w:r>
      <w:r w:rsidR="00432267" w:rsidRPr="006E79F9">
        <w:rPr>
          <w:rFonts w:cs="Times New Roman"/>
          <w:sz w:val="24"/>
          <w:szCs w:val="24"/>
        </w:rPr>
      </w:r>
      <w:r w:rsidR="00432267" w:rsidRPr="006E79F9">
        <w:rPr>
          <w:rFonts w:cs="Times New Roman"/>
          <w:sz w:val="24"/>
          <w:szCs w:val="24"/>
        </w:rPr>
        <w:fldChar w:fldCharType="separate"/>
      </w:r>
      <w:r w:rsidR="00304F5F" w:rsidRPr="00304F5F">
        <w:rPr>
          <w:rFonts w:cs="Times New Roman"/>
          <w:sz w:val="24"/>
          <w:szCs w:val="24"/>
        </w:rPr>
        <w:t>Tabela 17</w:t>
      </w:r>
      <w:r w:rsidR="00432267" w:rsidRPr="006E79F9">
        <w:rPr>
          <w:rFonts w:cs="Times New Roman"/>
          <w:sz w:val="24"/>
          <w:szCs w:val="24"/>
        </w:rPr>
        <w:fldChar w:fldCharType="end"/>
      </w:r>
      <w:r w:rsidR="00432267" w:rsidRPr="006E79F9">
        <w:rPr>
          <w:rFonts w:cs="Times New Roman"/>
          <w:sz w:val="24"/>
          <w:szCs w:val="24"/>
        </w:rPr>
        <w:t xml:space="preserve"> apresenta as</w:t>
      </w:r>
      <w:r w:rsidR="000D17A6" w:rsidRPr="006E79F9">
        <w:rPr>
          <w:rFonts w:cs="Times New Roman"/>
          <w:sz w:val="24"/>
          <w:szCs w:val="24"/>
        </w:rPr>
        <w:t xml:space="preserve"> ações judiciais de natureza tributária que representam riscos fiscais </w:t>
      </w:r>
      <w:r w:rsidR="000D17A6" w:rsidRPr="006E79F9">
        <w:rPr>
          <w:rFonts w:cs="Times New Roman"/>
          <w:b/>
          <w:sz w:val="24"/>
          <w:szCs w:val="24"/>
        </w:rPr>
        <w:t>possíveis</w:t>
      </w:r>
      <w:r w:rsidR="000D17A6" w:rsidRPr="006E79F9">
        <w:rPr>
          <w:rFonts w:cs="Times New Roman"/>
          <w:sz w:val="24"/>
          <w:szCs w:val="24"/>
        </w:rPr>
        <w:t xml:space="preserve"> à União, em trâmite </w:t>
      </w:r>
      <w:r w:rsidR="0086193F" w:rsidRPr="006E79F9">
        <w:rPr>
          <w:rFonts w:cs="Times New Roman"/>
          <w:sz w:val="24"/>
          <w:szCs w:val="24"/>
        </w:rPr>
        <w:t>no</w:t>
      </w:r>
      <w:r w:rsidR="000D17A6" w:rsidRPr="006E79F9">
        <w:rPr>
          <w:rFonts w:cs="Times New Roman"/>
          <w:sz w:val="24"/>
          <w:szCs w:val="24"/>
        </w:rPr>
        <w:t xml:space="preserve"> Superior Tribunal de Justiça (STJ)</w:t>
      </w:r>
      <w:r w:rsidR="00762CE1" w:rsidRPr="006E79F9">
        <w:rPr>
          <w:rFonts w:cs="Times New Roman"/>
          <w:sz w:val="24"/>
          <w:szCs w:val="24"/>
        </w:rPr>
        <w:t xml:space="preserve">, </w:t>
      </w:r>
      <w:r w:rsidR="00762CE1" w:rsidRPr="006E79F9">
        <w:rPr>
          <w:w w:val="105"/>
          <w:sz w:val="24"/>
          <w:szCs w:val="24"/>
        </w:rPr>
        <w:t>conforme os parâmetros definidos na Portaria AGU nº 40/2015, com as alterações promovidas pela Portaria AGU nº 318/2018.</w:t>
      </w:r>
      <w:r w:rsidR="008E69DE" w:rsidRPr="006E79F9">
        <w:rPr>
          <w:w w:val="105"/>
          <w:sz w:val="24"/>
          <w:szCs w:val="24"/>
        </w:rPr>
        <w:t xml:space="preserve"> O risco fiscal estimado neste caso é de R$ </w:t>
      </w:r>
      <w:r w:rsidR="00BA6B02">
        <w:rPr>
          <w:w w:val="105"/>
          <w:sz w:val="24"/>
          <w:szCs w:val="24"/>
        </w:rPr>
        <w:t>35,2</w:t>
      </w:r>
      <w:r w:rsidR="008E69DE" w:rsidRPr="006E79F9">
        <w:rPr>
          <w:w w:val="105"/>
          <w:sz w:val="24"/>
          <w:szCs w:val="24"/>
        </w:rPr>
        <w:t xml:space="preserve"> bilhões</w:t>
      </w:r>
      <w:r w:rsidR="003E5D58" w:rsidRPr="006E79F9">
        <w:rPr>
          <w:w w:val="105"/>
          <w:sz w:val="24"/>
          <w:szCs w:val="24"/>
        </w:rPr>
        <w:t xml:space="preserve"> (estimativa </w:t>
      </w:r>
      <w:proofErr w:type="gramStart"/>
      <w:r w:rsidR="003E5D58" w:rsidRPr="006E79F9">
        <w:rPr>
          <w:w w:val="105"/>
          <w:sz w:val="24"/>
          <w:szCs w:val="24"/>
        </w:rPr>
        <w:t>5</w:t>
      </w:r>
      <w:proofErr w:type="gramEnd"/>
      <w:r w:rsidR="003E5D58" w:rsidRPr="006E79F9">
        <w:rPr>
          <w:w w:val="105"/>
          <w:sz w:val="24"/>
          <w:szCs w:val="24"/>
        </w:rPr>
        <w:t xml:space="preserve"> anos)</w:t>
      </w:r>
      <w:r w:rsidR="008E69DE" w:rsidRPr="006E79F9">
        <w:rPr>
          <w:w w:val="105"/>
          <w:sz w:val="24"/>
          <w:szCs w:val="24"/>
        </w:rPr>
        <w:t>.</w:t>
      </w:r>
    </w:p>
    <w:p w14:paraId="3D550A08" w14:textId="29B694A3" w:rsidR="000D17A6" w:rsidRPr="0022645B" w:rsidRDefault="00AF3612" w:rsidP="00E74A9B">
      <w:pPr>
        <w:pStyle w:val="Legenda"/>
        <w:spacing w:before="240" w:after="120"/>
        <w:jc w:val="center"/>
        <w:rPr>
          <w:rFonts w:asciiTheme="minorHAnsi" w:hAnsiTheme="minorHAnsi"/>
          <w:i w:val="0"/>
          <w:color w:val="auto"/>
          <w:sz w:val="22"/>
          <w:szCs w:val="22"/>
        </w:rPr>
      </w:pPr>
      <w:bookmarkStart w:id="200" w:name="_Ref5264392"/>
      <w:bookmarkStart w:id="201" w:name="_Toc5012360"/>
      <w:bookmarkStart w:id="202" w:name="_Toc5263377"/>
      <w:bookmarkStart w:id="203" w:name="_Toc69121363"/>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17</w:t>
      </w:r>
      <w:r w:rsidRPr="0022645B">
        <w:rPr>
          <w:rFonts w:asciiTheme="minorHAnsi" w:hAnsiTheme="minorHAnsi"/>
          <w:i w:val="0"/>
          <w:color w:val="auto"/>
          <w:sz w:val="22"/>
          <w:szCs w:val="22"/>
        </w:rPr>
        <w:fldChar w:fldCharType="end"/>
      </w:r>
      <w:bookmarkEnd w:id="200"/>
      <w:r w:rsidR="00B630D2">
        <w:rPr>
          <w:rFonts w:asciiTheme="minorHAnsi" w:hAnsiTheme="minorHAnsi"/>
          <w:i w:val="0"/>
          <w:color w:val="auto"/>
          <w:sz w:val="22"/>
          <w:szCs w:val="22"/>
        </w:rPr>
        <w:t xml:space="preserve"> -</w:t>
      </w:r>
      <w:r w:rsidR="000D17A6" w:rsidRPr="0022645B">
        <w:rPr>
          <w:rFonts w:asciiTheme="minorHAnsi" w:hAnsiTheme="minorHAnsi"/>
          <w:i w:val="0"/>
          <w:color w:val="auto"/>
          <w:sz w:val="22"/>
          <w:szCs w:val="22"/>
        </w:rPr>
        <w:t xml:space="preserve"> Ações </w:t>
      </w:r>
      <w:r w:rsidR="00D24C8F" w:rsidRPr="0022645B">
        <w:rPr>
          <w:rFonts w:asciiTheme="minorHAnsi" w:hAnsiTheme="minorHAnsi"/>
          <w:i w:val="0"/>
          <w:color w:val="auto"/>
          <w:sz w:val="22"/>
          <w:szCs w:val="22"/>
        </w:rPr>
        <w:t>j</w:t>
      </w:r>
      <w:r w:rsidR="000D17A6" w:rsidRPr="0022645B">
        <w:rPr>
          <w:rFonts w:asciiTheme="minorHAnsi" w:hAnsiTheme="minorHAnsi"/>
          <w:i w:val="0"/>
          <w:color w:val="auto"/>
          <w:sz w:val="22"/>
          <w:szCs w:val="22"/>
        </w:rPr>
        <w:t xml:space="preserve">udiciais de </w:t>
      </w:r>
      <w:r w:rsidR="00D24C8F" w:rsidRPr="0022645B">
        <w:rPr>
          <w:rFonts w:asciiTheme="minorHAnsi" w:hAnsiTheme="minorHAnsi"/>
          <w:i w:val="0"/>
          <w:color w:val="auto"/>
          <w:sz w:val="22"/>
          <w:szCs w:val="22"/>
        </w:rPr>
        <w:t>n</w:t>
      </w:r>
      <w:r w:rsidR="000D17A6" w:rsidRPr="0022645B">
        <w:rPr>
          <w:rFonts w:asciiTheme="minorHAnsi" w:hAnsiTheme="minorHAnsi"/>
          <w:i w:val="0"/>
          <w:color w:val="auto"/>
          <w:sz w:val="22"/>
          <w:szCs w:val="22"/>
        </w:rPr>
        <w:t xml:space="preserve">atureza </w:t>
      </w:r>
      <w:r w:rsidR="00D24C8F" w:rsidRPr="0022645B">
        <w:rPr>
          <w:rFonts w:asciiTheme="minorHAnsi" w:hAnsiTheme="minorHAnsi"/>
          <w:i w:val="0"/>
          <w:color w:val="auto"/>
          <w:sz w:val="22"/>
          <w:szCs w:val="22"/>
        </w:rPr>
        <w:t>t</w:t>
      </w:r>
      <w:r w:rsidR="000D17A6" w:rsidRPr="0022645B">
        <w:rPr>
          <w:rFonts w:asciiTheme="minorHAnsi" w:hAnsiTheme="minorHAnsi"/>
          <w:i w:val="0"/>
          <w:color w:val="auto"/>
          <w:sz w:val="22"/>
          <w:szCs w:val="22"/>
        </w:rPr>
        <w:t>ributária no STJ</w:t>
      </w:r>
      <w:bookmarkEnd w:id="201"/>
      <w:bookmarkEnd w:id="202"/>
      <w:bookmarkEnd w:id="203"/>
    </w:p>
    <w:tbl>
      <w:tblPr>
        <w:tblStyle w:val="Tabelacomgrade"/>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63"/>
        <w:gridCol w:w="1842"/>
        <w:gridCol w:w="1418"/>
      </w:tblGrid>
      <w:tr w:rsidR="008534EF" w:rsidRPr="00553AFE" w14:paraId="3A6CEC31" w14:textId="77777777" w:rsidTr="00020344">
        <w:trPr>
          <w:tblHeader/>
          <w:jc w:val="center"/>
        </w:trPr>
        <w:tc>
          <w:tcPr>
            <w:tcW w:w="0" w:type="auto"/>
            <w:gridSpan w:val="3"/>
            <w:tcBorders>
              <w:top w:val="nil"/>
              <w:left w:val="nil"/>
              <w:bottom w:val="single" w:sz="4" w:space="0" w:color="BFBFBF" w:themeColor="background1" w:themeShade="BF"/>
              <w:right w:val="nil"/>
            </w:tcBorders>
            <w:shd w:val="clear" w:color="auto" w:fill="FFFFFF" w:themeFill="background1"/>
            <w:vAlign w:val="center"/>
          </w:tcPr>
          <w:p w14:paraId="583D1574" w14:textId="77777777" w:rsidR="008534EF" w:rsidRPr="00DF15BB" w:rsidRDefault="008534EF" w:rsidP="00020344">
            <w:pPr>
              <w:autoSpaceDE w:val="0"/>
              <w:autoSpaceDN w:val="0"/>
              <w:adjustRightInd w:val="0"/>
              <w:jc w:val="right"/>
              <w:rPr>
                <w:rFonts w:cs="Times New Roman"/>
                <w:i/>
                <w:sz w:val="16"/>
                <w:szCs w:val="16"/>
              </w:rPr>
            </w:pPr>
            <w:r w:rsidRPr="00DF15BB">
              <w:rPr>
                <w:rFonts w:cs="Times New Roman"/>
                <w:i/>
                <w:sz w:val="16"/>
                <w:szCs w:val="16"/>
              </w:rPr>
              <w:t>Em R$ bilhões</w:t>
            </w:r>
          </w:p>
        </w:tc>
      </w:tr>
      <w:tr w:rsidR="008534EF" w:rsidRPr="00C8392C" w14:paraId="06887C87" w14:textId="77777777" w:rsidTr="00020344">
        <w:trPr>
          <w:tblHeader/>
          <w:jc w:val="center"/>
        </w:trPr>
        <w:tc>
          <w:tcPr>
            <w:tcW w:w="6663" w:type="dxa"/>
            <w:tcBorders>
              <w:top w:val="single" w:sz="4" w:space="0" w:color="BFBFBF" w:themeColor="background1" w:themeShade="BF"/>
            </w:tcBorders>
            <w:shd w:val="clear" w:color="auto" w:fill="404040" w:themeFill="text1" w:themeFillTint="BF"/>
            <w:vAlign w:val="center"/>
          </w:tcPr>
          <w:p w14:paraId="7FADE099" w14:textId="77777777" w:rsidR="008534EF" w:rsidRPr="00C8392C" w:rsidRDefault="008534EF" w:rsidP="00020344">
            <w:pPr>
              <w:autoSpaceDE w:val="0"/>
              <w:autoSpaceDN w:val="0"/>
              <w:adjustRightInd w:val="0"/>
              <w:jc w:val="center"/>
              <w:rPr>
                <w:rFonts w:cs="Times New Roman"/>
                <w:b/>
                <w:bCs/>
                <w:color w:val="FFFFFF" w:themeColor="background1"/>
                <w:sz w:val="20"/>
                <w:szCs w:val="20"/>
              </w:rPr>
            </w:pPr>
            <w:r w:rsidRPr="00C8392C">
              <w:rPr>
                <w:rFonts w:cs="Times New Roman"/>
                <w:b/>
                <w:bCs/>
                <w:color w:val="FFFFFF" w:themeColor="background1"/>
                <w:sz w:val="20"/>
                <w:szCs w:val="20"/>
              </w:rPr>
              <w:t>Ações Judiciais</w:t>
            </w:r>
          </w:p>
        </w:tc>
        <w:tc>
          <w:tcPr>
            <w:tcW w:w="1842" w:type="dxa"/>
            <w:tcBorders>
              <w:top w:val="single" w:sz="4" w:space="0" w:color="BFBFBF" w:themeColor="background1" w:themeShade="BF"/>
            </w:tcBorders>
            <w:shd w:val="clear" w:color="auto" w:fill="404040" w:themeFill="text1" w:themeFillTint="BF"/>
            <w:vAlign w:val="center"/>
          </w:tcPr>
          <w:p w14:paraId="4C8E54C1" w14:textId="77777777" w:rsidR="008534EF" w:rsidRPr="00C8392C" w:rsidRDefault="008534EF" w:rsidP="00020344">
            <w:pPr>
              <w:autoSpaceDE w:val="0"/>
              <w:autoSpaceDN w:val="0"/>
              <w:adjustRightInd w:val="0"/>
              <w:jc w:val="center"/>
              <w:rPr>
                <w:rFonts w:cs="Times New Roman"/>
                <w:b/>
                <w:bCs/>
                <w:color w:val="FFFFFF" w:themeColor="background1"/>
                <w:sz w:val="20"/>
                <w:szCs w:val="20"/>
              </w:rPr>
            </w:pPr>
            <w:r w:rsidRPr="00C8392C">
              <w:rPr>
                <w:rFonts w:cs="Times New Roman"/>
                <w:b/>
                <w:bCs/>
                <w:color w:val="FFFFFF" w:themeColor="background1"/>
                <w:sz w:val="20"/>
                <w:szCs w:val="20"/>
              </w:rPr>
              <w:t>Processo de referência</w:t>
            </w:r>
          </w:p>
        </w:tc>
        <w:tc>
          <w:tcPr>
            <w:tcW w:w="1418" w:type="dxa"/>
            <w:tcBorders>
              <w:top w:val="single" w:sz="4" w:space="0" w:color="BFBFBF" w:themeColor="background1" w:themeShade="BF"/>
            </w:tcBorders>
            <w:shd w:val="clear" w:color="auto" w:fill="404040" w:themeFill="text1" w:themeFillTint="BF"/>
            <w:vAlign w:val="center"/>
          </w:tcPr>
          <w:p w14:paraId="0B563DAB" w14:textId="77777777" w:rsidR="008534EF" w:rsidRPr="00C8392C" w:rsidRDefault="008534EF" w:rsidP="00020344">
            <w:pPr>
              <w:autoSpaceDE w:val="0"/>
              <w:autoSpaceDN w:val="0"/>
              <w:adjustRightInd w:val="0"/>
              <w:jc w:val="center"/>
              <w:rPr>
                <w:rFonts w:cs="Times New Roman"/>
                <w:b/>
                <w:bCs/>
                <w:color w:val="FFFFFF" w:themeColor="background1"/>
                <w:sz w:val="20"/>
                <w:szCs w:val="20"/>
              </w:rPr>
            </w:pPr>
            <w:r w:rsidRPr="00C8392C">
              <w:rPr>
                <w:rFonts w:cs="Times New Roman"/>
                <w:b/>
                <w:bCs/>
                <w:color w:val="FFFFFF" w:themeColor="background1"/>
                <w:sz w:val="20"/>
                <w:szCs w:val="20"/>
              </w:rPr>
              <w:t>Estimativa de impacto</w:t>
            </w:r>
          </w:p>
        </w:tc>
      </w:tr>
      <w:tr w:rsidR="008534EF" w:rsidRPr="0022645B" w14:paraId="65CF67E4" w14:textId="77777777" w:rsidTr="00020344">
        <w:trPr>
          <w:jc w:val="center"/>
        </w:trPr>
        <w:tc>
          <w:tcPr>
            <w:tcW w:w="6663" w:type="dxa"/>
            <w:shd w:val="clear" w:color="auto" w:fill="F2F2F2" w:themeFill="background1" w:themeFillShade="F2"/>
          </w:tcPr>
          <w:p w14:paraId="3D1DEB62" w14:textId="77777777" w:rsidR="008534EF" w:rsidRPr="006013D7" w:rsidRDefault="008534EF" w:rsidP="00020344">
            <w:pPr>
              <w:autoSpaceDE w:val="0"/>
              <w:autoSpaceDN w:val="0"/>
              <w:adjustRightInd w:val="0"/>
              <w:jc w:val="both"/>
              <w:rPr>
                <w:sz w:val="18"/>
                <w:szCs w:val="18"/>
              </w:rPr>
            </w:pPr>
            <w:r w:rsidRPr="006013D7">
              <w:rPr>
                <w:sz w:val="18"/>
                <w:szCs w:val="18"/>
              </w:rPr>
              <w:t xml:space="preserve">CSSL e IRPJ sobre ganhos de entidades fechadas de previdência complementar. Julgar-se-á a legitimidade da incidência da CSLL e do IRPJ sobre os ganhos das entidades fechadas de previdência </w:t>
            </w:r>
            <w:proofErr w:type="gramStart"/>
            <w:r w:rsidRPr="006013D7">
              <w:rPr>
                <w:sz w:val="18"/>
                <w:szCs w:val="18"/>
              </w:rPr>
              <w:t>complementar – equiparadas por lei a instituições financeiras – a partir de mandado de segurança coletivo impetrado por associação que representa diversas dessas entidades</w:t>
            </w:r>
            <w:proofErr w:type="gramEnd"/>
            <w:r w:rsidRPr="006013D7">
              <w:rPr>
                <w:sz w:val="18"/>
                <w:szCs w:val="18"/>
              </w:rPr>
              <w:t>.</w:t>
            </w:r>
          </w:p>
        </w:tc>
        <w:tc>
          <w:tcPr>
            <w:tcW w:w="1842" w:type="dxa"/>
            <w:shd w:val="clear" w:color="auto" w:fill="F2F2F2" w:themeFill="background1" w:themeFillShade="F2"/>
          </w:tcPr>
          <w:p w14:paraId="3FDBEC1D" w14:textId="77777777" w:rsidR="008534EF" w:rsidRPr="006013D7" w:rsidRDefault="008534EF" w:rsidP="00020344">
            <w:pPr>
              <w:autoSpaceDE w:val="0"/>
              <w:autoSpaceDN w:val="0"/>
              <w:adjustRightInd w:val="0"/>
              <w:rPr>
                <w:sz w:val="18"/>
                <w:szCs w:val="18"/>
              </w:rPr>
            </w:pPr>
            <w:r w:rsidRPr="006013D7">
              <w:rPr>
                <w:sz w:val="18"/>
                <w:szCs w:val="18"/>
              </w:rPr>
              <w:t>RESP 1.419.370</w:t>
            </w:r>
          </w:p>
        </w:tc>
        <w:tc>
          <w:tcPr>
            <w:tcW w:w="1418" w:type="dxa"/>
            <w:shd w:val="clear" w:color="auto" w:fill="F2F2F2" w:themeFill="background1" w:themeFillShade="F2"/>
          </w:tcPr>
          <w:p w14:paraId="72FDE262" w14:textId="77777777" w:rsidR="008534EF" w:rsidRPr="006013D7" w:rsidRDefault="008534EF" w:rsidP="00020344">
            <w:pPr>
              <w:autoSpaceDE w:val="0"/>
              <w:autoSpaceDN w:val="0"/>
              <w:adjustRightInd w:val="0"/>
              <w:jc w:val="right"/>
              <w:rPr>
                <w:sz w:val="18"/>
                <w:szCs w:val="18"/>
              </w:rPr>
            </w:pPr>
            <w:proofErr w:type="gramStart"/>
            <w:r w:rsidRPr="006013D7">
              <w:rPr>
                <w:sz w:val="18"/>
                <w:szCs w:val="18"/>
              </w:rPr>
              <w:t>1</w:t>
            </w:r>
            <w:proofErr w:type="gramEnd"/>
            <w:r w:rsidRPr="006013D7">
              <w:rPr>
                <w:sz w:val="18"/>
                <w:szCs w:val="18"/>
              </w:rPr>
              <w:t xml:space="preserve"> ano: 6,6</w:t>
            </w:r>
          </w:p>
          <w:p w14:paraId="10E2BF3E" w14:textId="77777777" w:rsidR="008534EF" w:rsidRPr="006013D7" w:rsidRDefault="008534EF" w:rsidP="00020344">
            <w:pPr>
              <w:autoSpaceDE w:val="0"/>
              <w:autoSpaceDN w:val="0"/>
              <w:adjustRightInd w:val="0"/>
              <w:jc w:val="right"/>
              <w:rPr>
                <w:sz w:val="18"/>
                <w:szCs w:val="18"/>
              </w:rPr>
            </w:pPr>
            <w:proofErr w:type="gramStart"/>
            <w:r w:rsidRPr="006013D7">
              <w:rPr>
                <w:sz w:val="18"/>
                <w:szCs w:val="18"/>
              </w:rPr>
              <w:t>5</w:t>
            </w:r>
            <w:proofErr w:type="gramEnd"/>
            <w:r w:rsidRPr="006013D7">
              <w:rPr>
                <w:sz w:val="18"/>
                <w:szCs w:val="18"/>
              </w:rPr>
              <w:t xml:space="preserve"> anos: 30,2</w:t>
            </w:r>
          </w:p>
        </w:tc>
      </w:tr>
      <w:tr w:rsidR="008534EF" w:rsidRPr="0022645B" w14:paraId="5C54CD79" w14:textId="77777777" w:rsidTr="00020344">
        <w:trPr>
          <w:jc w:val="center"/>
        </w:trPr>
        <w:tc>
          <w:tcPr>
            <w:tcW w:w="6663" w:type="dxa"/>
          </w:tcPr>
          <w:p w14:paraId="60D182C6" w14:textId="77777777" w:rsidR="008534EF" w:rsidRPr="006013D7" w:rsidRDefault="008534EF" w:rsidP="00020344">
            <w:pPr>
              <w:autoSpaceDE w:val="0"/>
              <w:autoSpaceDN w:val="0"/>
              <w:adjustRightInd w:val="0"/>
              <w:rPr>
                <w:sz w:val="18"/>
                <w:szCs w:val="18"/>
              </w:rPr>
            </w:pPr>
            <w:r w:rsidRPr="006013D7">
              <w:rPr>
                <w:sz w:val="18"/>
                <w:szCs w:val="18"/>
              </w:rPr>
              <w:t>Aproveitamento de crédito de PIS e COFINS. Julgar-se-á acerca do aproveitamento de créditos de PIS e COFINS apurados no regime não cumulativo (decorrente da venda ‘facilitada’ de aparelhos celulares) aos débitos existentes no regime cumulativo de apuração daqueles tributos (decorrente da prestação de serviços de telecomunicação).</w:t>
            </w:r>
          </w:p>
        </w:tc>
        <w:tc>
          <w:tcPr>
            <w:tcW w:w="1842" w:type="dxa"/>
          </w:tcPr>
          <w:p w14:paraId="6092C3D0" w14:textId="77777777" w:rsidR="008534EF" w:rsidRPr="006013D7" w:rsidRDefault="008534EF" w:rsidP="00020344">
            <w:pPr>
              <w:autoSpaceDE w:val="0"/>
              <w:autoSpaceDN w:val="0"/>
              <w:adjustRightInd w:val="0"/>
              <w:rPr>
                <w:sz w:val="18"/>
                <w:szCs w:val="18"/>
              </w:rPr>
            </w:pPr>
            <w:r w:rsidRPr="006013D7">
              <w:rPr>
                <w:sz w:val="18"/>
                <w:szCs w:val="18"/>
              </w:rPr>
              <w:t>RESP 1.492.526 e 1.655.706</w:t>
            </w:r>
          </w:p>
        </w:tc>
        <w:tc>
          <w:tcPr>
            <w:tcW w:w="1418" w:type="dxa"/>
          </w:tcPr>
          <w:p w14:paraId="796EF340" w14:textId="77777777" w:rsidR="008534EF" w:rsidRPr="006013D7" w:rsidRDefault="008534EF" w:rsidP="00020344">
            <w:pPr>
              <w:autoSpaceDE w:val="0"/>
              <w:autoSpaceDN w:val="0"/>
              <w:adjustRightInd w:val="0"/>
              <w:jc w:val="right"/>
              <w:rPr>
                <w:sz w:val="18"/>
                <w:szCs w:val="18"/>
              </w:rPr>
            </w:pPr>
            <w:proofErr w:type="gramStart"/>
            <w:r w:rsidRPr="006013D7">
              <w:rPr>
                <w:sz w:val="18"/>
                <w:szCs w:val="18"/>
              </w:rPr>
              <w:t>1</w:t>
            </w:r>
            <w:proofErr w:type="gramEnd"/>
            <w:r w:rsidRPr="006013D7">
              <w:rPr>
                <w:sz w:val="18"/>
                <w:szCs w:val="18"/>
              </w:rPr>
              <w:t xml:space="preserve"> ano: 0,4</w:t>
            </w:r>
          </w:p>
          <w:p w14:paraId="3076E5A6" w14:textId="77777777" w:rsidR="008534EF" w:rsidRPr="006013D7" w:rsidRDefault="008534EF" w:rsidP="00020344">
            <w:pPr>
              <w:autoSpaceDE w:val="0"/>
              <w:autoSpaceDN w:val="0"/>
              <w:adjustRightInd w:val="0"/>
              <w:jc w:val="right"/>
              <w:rPr>
                <w:sz w:val="18"/>
                <w:szCs w:val="18"/>
              </w:rPr>
            </w:pPr>
            <w:proofErr w:type="gramStart"/>
            <w:r w:rsidRPr="006013D7">
              <w:rPr>
                <w:sz w:val="18"/>
                <w:szCs w:val="18"/>
              </w:rPr>
              <w:t>5</w:t>
            </w:r>
            <w:proofErr w:type="gramEnd"/>
            <w:r w:rsidRPr="006013D7">
              <w:rPr>
                <w:sz w:val="18"/>
                <w:szCs w:val="18"/>
              </w:rPr>
              <w:t xml:space="preserve"> anos: 5,0</w:t>
            </w:r>
          </w:p>
        </w:tc>
      </w:tr>
      <w:tr w:rsidR="008534EF" w:rsidRPr="0022645B" w14:paraId="6E9F5361" w14:textId="77777777" w:rsidTr="00020344">
        <w:trPr>
          <w:jc w:val="center"/>
        </w:trPr>
        <w:tc>
          <w:tcPr>
            <w:tcW w:w="6663" w:type="dxa"/>
            <w:tcBorders>
              <w:bottom w:val="single" w:sz="4" w:space="0" w:color="BFBFBF" w:themeColor="background1" w:themeShade="BF"/>
            </w:tcBorders>
            <w:shd w:val="clear" w:color="auto" w:fill="F2F2F2" w:themeFill="background1" w:themeFillShade="F2"/>
          </w:tcPr>
          <w:p w14:paraId="3C5B6F54" w14:textId="77777777" w:rsidR="008534EF" w:rsidRPr="0060618F" w:rsidRDefault="008534EF" w:rsidP="00020344">
            <w:pPr>
              <w:autoSpaceDE w:val="0"/>
              <w:autoSpaceDN w:val="0"/>
              <w:adjustRightInd w:val="0"/>
              <w:rPr>
                <w:color w:val="FF0000"/>
                <w:sz w:val="18"/>
                <w:szCs w:val="18"/>
              </w:rPr>
            </w:pPr>
            <w:r w:rsidRPr="000479DD">
              <w:rPr>
                <w:sz w:val="18"/>
                <w:szCs w:val="18"/>
              </w:rPr>
              <w:t>Limitação a 20 (vinte) salários mínimos na apuração da base de cálculo de contribuições a terceiros.</w:t>
            </w:r>
          </w:p>
        </w:tc>
        <w:tc>
          <w:tcPr>
            <w:tcW w:w="1842" w:type="dxa"/>
            <w:tcBorders>
              <w:bottom w:val="single" w:sz="4" w:space="0" w:color="BFBFBF" w:themeColor="background1" w:themeShade="BF"/>
            </w:tcBorders>
            <w:shd w:val="clear" w:color="auto" w:fill="F2F2F2" w:themeFill="background1" w:themeFillShade="F2"/>
          </w:tcPr>
          <w:p w14:paraId="1ACAB139" w14:textId="77777777" w:rsidR="008534EF" w:rsidRPr="000479DD" w:rsidRDefault="008534EF" w:rsidP="00020344">
            <w:pPr>
              <w:rPr>
                <w:sz w:val="18"/>
                <w:szCs w:val="18"/>
              </w:rPr>
            </w:pPr>
            <w:proofErr w:type="spellStart"/>
            <w:proofErr w:type="gramStart"/>
            <w:r w:rsidRPr="000479DD">
              <w:rPr>
                <w:sz w:val="18"/>
                <w:szCs w:val="18"/>
              </w:rPr>
              <w:t>REsp</w:t>
            </w:r>
            <w:proofErr w:type="spellEnd"/>
            <w:proofErr w:type="gramEnd"/>
            <w:r w:rsidRPr="000479DD">
              <w:rPr>
                <w:sz w:val="18"/>
                <w:szCs w:val="18"/>
              </w:rPr>
              <w:t xml:space="preserve"> 1.898.532/CE e </w:t>
            </w:r>
            <w:proofErr w:type="spellStart"/>
            <w:r w:rsidRPr="000479DD">
              <w:rPr>
                <w:sz w:val="18"/>
                <w:szCs w:val="18"/>
              </w:rPr>
              <w:t>REsp</w:t>
            </w:r>
            <w:proofErr w:type="spellEnd"/>
            <w:r w:rsidRPr="000479DD">
              <w:rPr>
                <w:sz w:val="18"/>
                <w:szCs w:val="18"/>
              </w:rPr>
              <w:t xml:space="preserve"> 1.905.870/PR (tema 1079)</w:t>
            </w:r>
          </w:p>
        </w:tc>
        <w:tc>
          <w:tcPr>
            <w:tcW w:w="1418" w:type="dxa"/>
            <w:tcBorders>
              <w:bottom w:val="single" w:sz="4" w:space="0" w:color="BFBFBF" w:themeColor="background1" w:themeShade="BF"/>
            </w:tcBorders>
            <w:shd w:val="clear" w:color="auto" w:fill="F2F2F2" w:themeFill="background1" w:themeFillShade="F2"/>
          </w:tcPr>
          <w:p w14:paraId="6CFDAB06" w14:textId="77777777" w:rsidR="008534EF" w:rsidRDefault="008534EF" w:rsidP="00020344">
            <w:pPr>
              <w:jc w:val="right"/>
              <w:rPr>
                <w:rFonts w:ascii="Calibri" w:hAnsi="Calibri" w:cs="Calibri"/>
                <w:sz w:val="18"/>
                <w:szCs w:val="18"/>
              </w:rPr>
            </w:pPr>
            <w:r>
              <w:rPr>
                <w:rFonts w:ascii="Calibri" w:hAnsi="Calibri" w:cs="Calibri"/>
                <w:sz w:val="18"/>
                <w:szCs w:val="18"/>
              </w:rPr>
              <w:t>Não disponível</w:t>
            </w:r>
          </w:p>
          <w:p w14:paraId="5A9704C8" w14:textId="77777777" w:rsidR="008534EF" w:rsidRPr="0060618F" w:rsidRDefault="008534EF" w:rsidP="00020344">
            <w:pPr>
              <w:autoSpaceDE w:val="0"/>
              <w:autoSpaceDN w:val="0"/>
              <w:adjustRightInd w:val="0"/>
              <w:jc w:val="right"/>
              <w:rPr>
                <w:color w:val="FF0000"/>
                <w:sz w:val="18"/>
                <w:szCs w:val="18"/>
              </w:rPr>
            </w:pPr>
          </w:p>
        </w:tc>
      </w:tr>
      <w:tr w:rsidR="008534EF" w:rsidRPr="00C8392C" w14:paraId="345576C6" w14:textId="77777777" w:rsidTr="00020344">
        <w:trPr>
          <w:jc w:val="center"/>
        </w:trPr>
        <w:tc>
          <w:tcPr>
            <w:tcW w:w="8505" w:type="dxa"/>
            <w:gridSpan w:val="2"/>
            <w:tcBorders>
              <w:bottom w:val="single" w:sz="4" w:space="0" w:color="BFBFBF" w:themeColor="background1" w:themeShade="BF"/>
            </w:tcBorders>
            <w:shd w:val="clear" w:color="auto" w:fill="7F7F7F" w:themeFill="text1" w:themeFillTint="80"/>
          </w:tcPr>
          <w:p w14:paraId="714EB190" w14:textId="77777777" w:rsidR="008534EF" w:rsidRPr="00C8392C" w:rsidRDefault="008534EF" w:rsidP="00020344">
            <w:pPr>
              <w:rPr>
                <w:b/>
                <w:bCs/>
                <w:color w:val="FFFFFF" w:themeColor="background1"/>
                <w:sz w:val="18"/>
                <w:szCs w:val="18"/>
              </w:rPr>
            </w:pPr>
            <w:r w:rsidRPr="00C8392C">
              <w:rPr>
                <w:b/>
                <w:bCs/>
                <w:color w:val="FFFFFF" w:themeColor="background1"/>
                <w:sz w:val="18"/>
                <w:szCs w:val="18"/>
              </w:rPr>
              <w:t>Total</w:t>
            </w:r>
          </w:p>
        </w:tc>
        <w:tc>
          <w:tcPr>
            <w:tcW w:w="1418" w:type="dxa"/>
            <w:tcBorders>
              <w:bottom w:val="single" w:sz="4" w:space="0" w:color="BFBFBF" w:themeColor="background1" w:themeShade="BF"/>
            </w:tcBorders>
            <w:shd w:val="clear" w:color="auto" w:fill="7F7F7F" w:themeFill="text1" w:themeFillTint="80"/>
          </w:tcPr>
          <w:p w14:paraId="72FECEEE" w14:textId="77777777" w:rsidR="008534EF" w:rsidRPr="00C8392C" w:rsidRDefault="008534EF" w:rsidP="00020344">
            <w:pPr>
              <w:autoSpaceDE w:val="0"/>
              <w:autoSpaceDN w:val="0"/>
              <w:adjustRightInd w:val="0"/>
              <w:jc w:val="right"/>
              <w:rPr>
                <w:b/>
                <w:bCs/>
                <w:color w:val="FFFFFF" w:themeColor="background1"/>
                <w:sz w:val="18"/>
                <w:szCs w:val="18"/>
              </w:rPr>
            </w:pPr>
            <w:r w:rsidRPr="00C8392C">
              <w:rPr>
                <w:b/>
                <w:bCs/>
                <w:color w:val="FFFFFF" w:themeColor="background1"/>
                <w:sz w:val="18"/>
                <w:szCs w:val="18"/>
              </w:rPr>
              <w:t>35,2</w:t>
            </w:r>
          </w:p>
        </w:tc>
      </w:tr>
      <w:tr w:rsidR="008534EF" w:rsidRPr="0045604B" w14:paraId="017E5AA8" w14:textId="77777777" w:rsidTr="00020344">
        <w:trPr>
          <w:jc w:val="center"/>
        </w:trPr>
        <w:tc>
          <w:tcPr>
            <w:tcW w:w="0" w:type="auto"/>
            <w:gridSpan w:val="3"/>
            <w:tcBorders>
              <w:top w:val="single" w:sz="4" w:space="0" w:color="BFBFBF" w:themeColor="background1" w:themeShade="BF"/>
              <w:left w:val="nil"/>
              <w:bottom w:val="nil"/>
              <w:right w:val="nil"/>
            </w:tcBorders>
          </w:tcPr>
          <w:p w14:paraId="4DBA5C93" w14:textId="77777777" w:rsidR="008534EF" w:rsidRPr="00DF15BB" w:rsidRDefault="008534EF" w:rsidP="00020344">
            <w:pPr>
              <w:autoSpaceDE w:val="0"/>
              <w:autoSpaceDN w:val="0"/>
              <w:adjustRightInd w:val="0"/>
              <w:rPr>
                <w:i/>
                <w:sz w:val="16"/>
                <w:szCs w:val="16"/>
              </w:rPr>
            </w:pPr>
            <w:r w:rsidRPr="00DF15BB">
              <w:rPr>
                <w:rFonts w:cs="Times New Roman"/>
                <w:b/>
                <w:i/>
                <w:sz w:val="16"/>
                <w:szCs w:val="16"/>
              </w:rPr>
              <w:t>Fonte</w:t>
            </w:r>
            <w:r w:rsidRPr="00DF15BB">
              <w:rPr>
                <w:rFonts w:cs="Times New Roman"/>
                <w:i/>
                <w:sz w:val="16"/>
                <w:szCs w:val="16"/>
              </w:rPr>
              <w:t xml:space="preserve">: AGU. </w:t>
            </w:r>
            <w:r w:rsidRPr="00DF15BB">
              <w:rPr>
                <w:rFonts w:cs="Times New Roman"/>
                <w:b/>
                <w:i/>
                <w:sz w:val="16"/>
                <w:szCs w:val="16"/>
              </w:rPr>
              <w:t>Elaboração</w:t>
            </w:r>
            <w:r w:rsidRPr="00DF15BB">
              <w:rPr>
                <w:rFonts w:cs="Times New Roman"/>
                <w:i/>
                <w:sz w:val="16"/>
                <w:szCs w:val="16"/>
              </w:rPr>
              <w:t>: STN/ME</w:t>
            </w:r>
          </w:p>
        </w:tc>
      </w:tr>
    </w:tbl>
    <w:p w14:paraId="1886DDA8" w14:textId="77777777" w:rsidR="00E163CA" w:rsidRDefault="00E163CA" w:rsidP="00247449">
      <w:pPr>
        <w:pStyle w:val="Corpodetexto"/>
        <w:spacing w:line="240" w:lineRule="auto"/>
        <w:jc w:val="both"/>
        <w:rPr>
          <w:sz w:val="24"/>
          <w:szCs w:val="24"/>
        </w:rPr>
      </w:pPr>
    </w:p>
    <w:p w14:paraId="4E3861D1" w14:textId="3D2104D2" w:rsidR="000D17A6" w:rsidRPr="006E79F9" w:rsidRDefault="000D17A6" w:rsidP="00D84844">
      <w:pPr>
        <w:pStyle w:val="Ttulo4"/>
        <w:keepLines/>
        <w:numPr>
          <w:ilvl w:val="3"/>
          <w:numId w:val="36"/>
        </w:numPr>
        <w:spacing w:before="240" w:after="120"/>
        <w:ind w:left="862" w:hanging="862"/>
        <w:jc w:val="left"/>
        <w:rPr>
          <w:rFonts w:asciiTheme="minorHAnsi" w:hAnsiTheme="minorHAnsi"/>
        </w:rPr>
      </w:pPr>
      <w:bookmarkStart w:id="204" w:name="_Toc5012237"/>
      <w:bookmarkStart w:id="205" w:name="_Toc5030483"/>
      <w:r w:rsidRPr="006E79F9">
        <w:rPr>
          <w:rFonts w:asciiTheme="minorHAnsi" w:hAnsiTheme="minorHAnsi"/>
        </w:rPr>
        <w:t xml:space="preserve">Demandas Judiciais Contra </w:t>
      </w:r>
      <w:r w:rsidR="000B1158" w:rsidRPr="006E79F9">
        <w:rPr>
          <w:rFonts w:asciiTheme="minorHAnsi" w:hAnsiTheme="minorHAnsi"/>
        </w:rPr>
        <w:t>a</w:t>
      </w:r>
      <w:r w:rsidRPr="006E79F9">
        <w:rPr>
          <w:rFonts w:asciiTheme="minorHAnsi" w:hAnsiTheme="minorHAnsi"/>
        </w:rPr>
        <w:t>s Autarquias e Fundações - PGF</w:t>
      </w:r>
      <w:bookmarkEnd w:id="204"/>
      <w:bookmarkEnd w:id="205"/>
    </w:p>
    <w:p w14:paraId="640D6D1C" w14:textId="4AE43417" w:rsidR="000D17A6" w:rsidRPr="006E79F9" w:rsidRDefault="000D17A6" w:rsidP="00247449">
      <w:pPr>
        <w:spacing w:after="120" w:line="240" w:lineRule="auto"/>
        <w:ind w:firstLine="1418"/>
        <w:jc w:val="both"/>
        <w:rPr>
          <w:w w:val="105"/>
          <w:sz w:val="24"/>
          <w:szCs w:val="24"/>
        </w:rPr>
      </w:pPr>
      <w:r w:rsidRPr="006E79F9">
        <w:rPr>
          <w:w w:val="105"/>
          <w:sz w:val="24"/>
          <w:szCs w:val="24"/>
        </w:rPr>
        <w:t xml:space="preserve">Compete à </w:t>
      </w:r>
      <w:r w:rsidR="00C10360" w:rsidRPr="006E79F9">
        <w:rPr>
          <w:w w:val="105"/>
          <w:sz w:val="24"/>
          <w:szCs w:val="24"/>
        </w:rPr>
        <w:t>Procuradoria-Geral Federal (PGF)</w:t>
      </w:r>
      <w:r w:rsidRPr="006E79F9">
        <w:rPr>
          <w:w w:val="105"/>
          <w:sz w:val="24"/>
          <w:szCs w:val="24"/>
        </w:rPr>
        <w:t xml:space="preserve"> exercer a representação judicial</w:t>
      </w:r>
      <w:r w:rsidR="00AC53B8">
        <w:rPr>
          <w:w w:val="105"/>
          <w:sz w:val="24"/>
          <w:szCs w:val="24"/>
        </w:rPr>
        <w:t xml:space="preserve"> e</w:t>
      </w:r>
      <w:r w:rsidRPr="006E79F9">
        <w:rPr>
          <w:w w:val="105"/>
          <w:sz w:val="24"/>
          <w:szCs w:val="24"/>
        </w:rPr>
        <w:t xml:space="preserve"> extrajudicial, a consultoria e o assessoramento jurídicos das autarquias e fundações públicas federais, bem como a apuração da liquidez e da certeza dos créditos, de qualquer natureza, inerentes às suas atividades, inscrevendo-os em dívida ativa, para fins de cobrança amigável ou judicial, incluindo</w:t>
      </w:r>
      <w:r w:rsidR="000B1158" w:rsidRPr="006E79F9">
        <w:rPr>
          <w:w w:val="105"/>
          <w:sz w:val="24"/>
          <w:szCs w:val="24"/>
        </w:rPr>
        <w:t xml:space="preserve"> </w:t>
      </w:r>
      <w:r w:rsidRPr="006E79F9">
        <w:rPr>
          <w:w w:val="105"/>
          <w:sz w:val="24"/>
          <w:szCs w:val="24"/>
        </w:rPr>
        <w:t>as ações que discutem os benefícios previdenciários pagos pelo RGPS/INSS.</w:t>
      </w:r>
    </w:p>
    <w:p w14:paraId="721FB15F" w14:textId="20CBC644" w:rsidR="000D17A6" w:rsidRPr="006E79F9" w:rsidRDefault="000D17A6" w:rsidP="00247449">
      <w:pPr>
        <w:spacing w:after="120" w:line="240" w:lineRule="auto"/>
        <w:ind w:firstLine="1418"/>
        <w:jc w:val="both"/>
        <w:rPr>
          <w:w w:val="105"/>
          <w:sz w:val="24"/>
          <w:szCs w:val="24"/>
        </w:rPr>
      </w:pPr>
      <w:r w:rsidRPr="006E79F9">
        <w:rPr>
          <w:w w:val="105"/>
          <w:sz w:val="24"/>
          <w:szCs w:val="24"/>
        </w:rPr>
        <w:t>O impacto financeiro dessas ações é estimado</w:t>
      </w:r>
      <w:r w:rsidR="00083075" w:rsidRPr="006E79F9">
        <w:rPr>
          <w:w w:val="105"/>
          <w:sz w:val="24"/>
          <w:szCs w:val="24"/>
        </w:rPr>
        <w:t xml:space="preserve"> em </w:t>
      </w:r>
      <w:r w:rsidR="007870ED" w:rsidRPr="006E79F9">
        <w:rPr>
          <w:w w:val="105"/>
          <w:sz w:val="24"/>
          <w:szCs w:val="24"/>
        </w:rPr>
        <w:t xml:space="preserve">R$ </w:t>
      </w:r>
      <w:r w:rsidR="00A8537A">
        <w:rPr>
          <w:w w:val="105"/>
          <w:sz w:val="24"/>
          <w:szCs w:val="24"/>
        </w:rPr>
        <w:t>211,6</w:t>
      </w:r>
      <w:r w:rsidR="007870ED" w:rsidRPr="006E79F9">
        <w:rPr>
          <w:w w:val="105"/>
          <w:sz w:val="24"/>
          <w:szCs w:val="24"/>
        </w:rPr>
        <w:t xml:space="preserve"> bilhões</w:t>
      </w:r>
      <w:r w:rsidRPr="006E79F9">
        <w:rPr>
          <w:w w:val="105"/>
          <w:sz w:val="24"/>
          <w:szCs w:val="24"/>
        </w:rPr>
        <w:t xml:space="preserve"> e revela a expectativa da repercussão econômica em caso de decisão judicial desfavorável, seja pela criação de despesa ou pela redução de receita. Quando não especificado de forma contrária, os custos estimados computam não só as despesas iniciais com o pagamento de atrasados, mas, também, o impacto futuro nas contas públicas. Assim, os impactos referidos podem ser diluídos ao longo do tempo, não sendo necessariamente realizados em um único exercício fiscal.</w:t>
      </w:r>
    </w:p>
    <w:p w14:paraId="44E4806C" w14:textId="4AA002C4" w:rsidR="000D17A6" w:rsidRDefault="00D24C8F" w:rsidP="00247449">
      <w:pPr>
        <w:spacing w:after="120" w:line="240" w:lineRule="auto"/>
        <w:ind w:firstLine="1418"/>
        <w:jc w:val="both"/>
        <w:rPr>
          <w:w w:val="105"/>
          <w:sz w:val="24"/>
          <w:szCs w:val="24"/>
        </w:rPr>
      </w:pPr>
      <w:r w:rsidRPr="006E79F9">
        <w:rPr>
          <w:w w:val="105"/>
          <w:sz w:val="24"/>
          <w:szCs w:val="24"/>
        </w:rPr>
        <w:t xml:space="preserve">A </w:t>
      </w:r>
      <w:r w:rsidRPr="006E79F9">
        <w:rPr>
          <w:w w:val="105"/>
          <w:sz w:val="24"/>
          <w:szCs w:val="24"/>
        </w:rPr>
        <w:fldChar w:fldCharType="begin"/>
      </w:r>
      <w:r w:rsidRPr="006E79F9">
        <w:rPr>
          <w:w w:val="105"/>
          <w:sz w:val="24"/>
          <w:szCs w:val="24"/>
        </w:rPr>
        <w:instrText xml:space="preserve"> REF _Ref5264530 \h  \* MERGEFORMAT </w:instrText>
      </w:r>
      <w:r w:rsidRPr="006E79F9">
        <w:rPr>
          <w:w w:val="105"/>
          <w:sz w:val="24"/>
          <w:szCs w:val="24"/>
        </w:rPr>
      </w:r>
      <w:r w:rsidRPr="006E79F9">
        <w:rPr>
          <w:w w:val="105"/>
          <w:sz w:val="24"/>
          <w:szCs w:val="24"/>
        </w:rPr>
        <w:fldChar w:fldCharType="separate"/>
      </w:r>
      <w:r w:rsidR="00304F5F" w:rsidRPr="00304F5F">
        <w:rPr>
          <w:w w:val="105"/>
          <w:sz w:val="24"/>
          <w:szCs w:val="24"/>
        </w:rPr>
        <w:t>Tabela 18</w:t>
      </w:r>
      <w:r w:rsidRPr="006E79F9">
        <w:rPr>
          <w:w w:val="105"/>
          <w:sz w:val="24"/>
          <w:szCs w:val="24"/>
        </w:rPr>
        <w:fldChar w:fldCharType="end"/>
      </w:r>
      <w:r w:rsidR="0061669C" w:rsidRPr="006E79F9">
        <w:rPr>
          <w:w w:val="105"/>
          <w:sz w:val="24"/>
          <w:szCs w:val="24"/>
        </w:rPr>
        <w:t xml:space="preserve"> </w:t>
      </w:r>
      <w:r w:rsidRPr="006E79F9">
        <w:rPr>
          <w:w w:val="105"/>
          <w:sz w:val="24"/>
          <w:szCs w:val="24"/>
        </w:rPr>
        <w:t>apresenta ação judicial</w:t>
      </w:r>
      <w:r w:rsidR="000D17A6" w:rsidRPr="006E79F9">
        <w:rPr>
          <w:w w:val="105"/>
          <w:sz w:val="24"/>
          <w:szCs w:val="24"/>
        </w:rPr>
        <w:t xml:space="preserve"> </w:t>
      </w:r>
      <w:r w:rsidR="00DB3E32" w:rsidRPr="006E79F9">
        <w:rPr>
          <w:w w:val="105"/>
          <w:sz w:val="24"/>
          <w:szCs w:val="24"/>
        </w:rPr>
        <w:t>classificada como</w:t>
      </w:r>
      <w:r w:rsidR="000D17A6" w:rsidRPr="006E79F9">
        <w:rPr>
          <w:w w:val="105"/>
          <w:sz w:val="24"/>
          <w:szCs w:val="24"/>
        </w:rPr>
        <w:t xml:space="preserve"> risco fiscal possível, sob a responsabilidade da PGF</w:t>
      </w:r>
      <w:r w:rsidR="00762CE1" w:rsidRPr="006E79F9">
        <w:rPr>
          <w:w w:val="105"/>
          <w:sz w:val="24"/>
          <w:szCs w:val="24"/>
        </w:rPr>
        <w:t>, conforme os parâmetros definidos na Portaria AGU nº 40/2015, com as alterações promovidas pela Portaria AGU nº 318/2018.</w:t>
      </w:r>
    </w:p>
    <w:p w14:paraId="0D1F9344" w14:textId="6117962E" w:rsidR="00AB5D71" w:rsidRPr="0022645B" w:rsidRDefault="00AF3612" w:rsidP="00637EA3">
      <w:pPr>
        <w:pStyle w:val="Legenda"/>
        <w:spacing w:before="240" w:after="120"/>
        <w:jc w:val="center"/>
        <w:rPr>
          <w:rFonts w:asciiTheme="minorHAnsi" w:hAnsiTheme="minorHAnsi"/>
          <w:i w:val="0"/>
          <w:color w:val="auto"/>
          <w:sz w:val="22"/>
          <w:szCs w:val="22"/>
        </w:rPr>
      </w:pPr>
      <w:bookmarkStart w:id="206" w:name="_Ref5264530"/>
      <w:bookmarkStart w:id="207" w:name="_Toc5263378"/>
      <w:bookmarkStart w:id="208" w:name="_Toc69121364"/>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18</w:t>
      </w:r>
      <w:r w:rsidRPr="0022645B">
        <w:rPr>
          <w:rFonts w:asciiTheme="minorHAnsi" w:hAnsiTheme="minorHAnsi"/>
          <w:i w:val="0"/>
          <w:color w:val="auto"/>
          <w:sz w:val="22"/>
          <w:szCs w:val="22"/>
        </w:rPr>
        <w:fldChar w:fldCharType="end"/>
      </w:r>
      <w:bookmarkEnd w:id="206"/>
      <w:r w:rsidR="007C01A2">
        <w:rPr>
          <w:rFonts w:asciiTheme="minorHAnsi" w:hAnsiTheme="minorHAnsi"/>
          <w:i w:val="0"/>
          <w:color w:val="auto"/>
          <w:sz w:val="22"/>
          <w:szCs w:val="22"/>
        </w:rPr>
        <w:t xml:space="preserve"> -</w:t>
      </w:r>
      <w:r w:rsidR="00AB5D71" w:rsidRPr="0022645B">
        <w:rPr>
          <w:rFonts w:asciiTheme="minorHAnsi" w:hAnsiTheme="minorHAnsi"/>
          <w:i w:val="0"/>
          <w:color w:val="auto"/>
          <w:sz w:val="22"/>
          <w:szCs w:val="22"/>
        </w:rPr>
        <w:t xml:space="preserve"> </w:t>
      </w:r>
      <w:r w:rsidR="00D24C8F" w:rsidRPr="0022645B">
        <w:rPr>
          <w:rFonts w:asciiTheme="minorHAnsi" w:hAnsiTheme="minorHAnsi"/>
          <w:i w:val="0"/>
          <w:color w:val="auto"/>
          <w:sz w:val="22"/>
          <w:szCs w:val="22"/>
        </w:rPr>
        <w:t>Aç</w:t>
      </w:r>
      <w:r w:rsidR="00E143AD">
        <w:rPr>
          <w:rFonts w:asciiTheme="minorHAnsi" w:hAnsiTheme="minorHAnsi"/>
          <w:i w:val="0"/>
          <w:color w:val="auto"/>
          <w:sz w:val="22"/>
          <w:szCs w:val="22"/>
        </w:rPr>
        <w:t>õe</w:t>
      </w:r>
      <w:r w:rsidR="00556FC5">
        <w:rPr>
          <w:rFonts w:asciiTheme="minorHAnsi" w:hAnsiTheme="minorHAnsi"/>
          <w:i w:val="0"/>
          <w:color w:val="auto"/>
          <w:sz w:val="22"/>
          <w:szCs w:val="22"/>
        </w:rPr>
        <w:t>s</w:t>
      </w:r>
      <w:r w:rsidR="00D24C8F" w:rsidRPr="0022645B">
        <w:rPr>
          <w:rFonts w:asciiTheme="minorHAnsi" w:hAnsiTheme="minorHAnsi"/>
          <w:i w:val="0"/>
          <w:color w:val="auto"/>
          <w:sz w:val="22"/>
          <w:szCs w:val="22"/>
        </w:rPr>
        <w:t xml:space="preserve"> judicia</w:t>
      </w:r>
      <w:r w:rsidR="00CE6C83">
        <w:rPr>
          <w:rFonts w:asciiTheme="minorHAnsi" w:hAnsiTheme="minorHAnsi"/>
          <w:i w:val="0"/>
          <w:color w:val="auto"/>
          <w:sz w:val="22"/>
          <w:szCs w:val="22"/>
        </w:rPr>
        <w:t>is no âmbito</w:t>
      </w:r>
      <w:r w:rsidR="00F0652C">
        <w:rPr>
          <w:rFonts w:asciiTheme="minorHAnsi" w:hAnsiTheme="minorHAnsi"/>
          <w:i w:val="0"/>
          <w:color w:val="auto"/>
          <w:sz w:val="22"/>
          <w:szCs w:val="22"/>
        </w:rPr>
        <w:t xml:space="preserve"> </w:t>
      </w:r>
      <w:r w:rsidR="00CE6C83">
        <w:rPr>
          <w:rFonts w:asciiTheme="minorHAnsi" w:hAnsiTheme="minorHAnsi"/>
          <w:i w:val="0"/>
          <w:color w:val="auto"/>
          <w:sz w:val="22"/>
          <w:szCs w:val="22"/>
        </w:rPr>
        <w:t xml:space="preserve">da </w:t>
      </w:r>
      <w:r w:rsidR="00AB5D71" w:rsidRPr="0022645B">
        <w:rPr>
          <w:rFonts w:asciiTheme="minorHAnsi" w:hAnsiTheme="minorHAnsi"/>
          <w:i w:val="0"/>
          <w:color w:val="auto"/>
          <w:sz w:val="22"/>
          <w:szCs w:val="22"/>
        </w:rPr>
        <w:t>PGF</w:t>
      </w:r>
      <w:bookmarkEnd w:id="207"/>
      <w:bookmarkEnd w:id="208"/>
    </w:p>
    <w:tbl>
      <w:tblPr>
        <w:tblStyle w:val="Tabelacomgrade"/>
        <w:tblW w:w="1034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79"/>
        <w:gridCol w:w="2552"/>
        <w:gridCol w:w="1417"/>
      </w:tblGrid>
      <w:tr w:rsidR="003F4F9D" w:rsidRPr="008715BC" w14:paraId="1491CF44" w14:textId="77777777" w:rsidTr="00020344">
        <w:trPr>
          <w:tblHeader/>
          <w:jc w:val="center"/>
        </w:trPr>
        <w:tc>
          <w:tcPr>
            <w:tcW w:w="10348" w:type="dxa"/>
            <w:gridSpan w:val="3"/>
            <w:tcBorders>
              <w:top w:val="nil"/>
              <w:left w:val="nil"/>
              <w:bottom w:val="single" w:sz="4" w:space="0" w:color="BFBFBF" w:themeColor="background1" w:themeShade="BF"/>
              <w:right w:val="nil"/>
            </w:tcBorders>
            <w:shd w:val="clear" w:color="auto" w:fill="auto"/>
          </w:tcPr>
          <w:p w14:paraId="17E057B7" w14:textId="77777777" w:rsidR="003F4F9D" w:rsidRPr="00A650EE" w:rsidRDefault="003F4F9D" w:rsidP="00020344">
            <w:pPr>
              <w:autoSpaceDE w:val="0"/>
              <w:autoSpaceDN w:val="0"/>
              <w:adjustRightInd w:val="0"/>
              <w:jc w:val="right"/>
              <w:rPr>
                <w:rFonts w:cs="Times New Roman"/>
                <w:i/>
                <w:sz w:val="16"/>
                <w:szCs w:val="16"/>
              </w:rPr>
            </w:pPr>
            <w:bookmarkStart w:id="209" w:name="_Toc5012238"/>
            <w:bookmarkStart w:id="210" w:name="_Toc5030484"/>
            <w:bookmarkStart w:id="211" w:name="_Ref36457250"/>
            <w:r w:rsidRPr="00A650EE">
              <w:rPr>
                <w:rFonts w:cs="Times New Roman"/>
                <w:i/>
                <w:sz w:val="16"/>
                <w:szCs w:val="16"/>
              </w:rPr>
              <w:t>Em R$ bilhões</w:t>
            </w:r>
          </w:p>
        </w:tc>
      </w:tr>
      <w:tr w:rsidR="003F4F9D" w:rsidRPr="00B66B82" w14:paraId="62EA80B7" w14:textId="77777777" w:rsidTr="00020344">
        <w:trPr>
          <w:tblHeader/>
          <w:jc w:val="center"/>
        </w:trPr>
        <w:tc>
          <w:tcPr>
            <w:tcW w:w="6379" w:type="dxa"/>
            <w:tcBorders>
              <w:top w:val="single" w:sz="4" w:space="0" w:color="BFBFBF" w:themeColor="background1" w:themeShade="BF"/>
            </w:tcBorders>
            <w:shd w:val="clear" w:color="auto" w:fill="404040" w:themeFill="text1" w:themeFillTint="BF"/>
            <w:vAlign w:val="center"/>
          </w:tcPr>
          <w:p w14:paraId="38C917A1" w14:textId="77777777" w:rsidR="003F4F9D" w:rsidRPr="00B66B82" w:rsidRDefault="003F4F9D" w:rsidP="00020344">
            <w:pPr>
              <w:tabs>
                <w:tab w:val="left" w:pos="1410"/>
              </w:tabs>
              <w:autoSpaceDE w:val="0"/>
              <w:autoSpaceDN w:val="0"/>
              <w:adjustRightInd w:val="0"/>
              <w:jc w:val="center"/>
              <w:rPr>
                <w:rFonts w:cs="Times New Roman"/>
                <w:b/>
                <w:bCs/>
                <w:color w:val="FFFFFF" w:themeColor="background1"/>
                <w:sz w:val="20"/>
                <w:szCs w:val="20"/>
              </w:rPr>
            </w:pPr>
            <w:r w:rsidRPr="00B66B82">
              <w:rPr>
                <w:rFonts w:cs="Times New Roman"/>
                <w:b/>
                <w:bCs/>
                <w:color w:val="FFFFFF" w:themeColor="background1"/>
                <w:sz w:val="20"/>
                <w:szCs w:val="20"/>
              </w:rPr>
              <w:lastRenderedPageBreak/>
              <w:t>Ações Judiciais</w:t>
            </w:r>
          </w:p>
        </w:tc>
        <w:tc>
          <w:tcPr>
            <w:tcW w:w="2552" w:type="dxa"/>
            <w:tcBorders>
              <w:top w:val="single" w:sz="4" w:space="0" w:color="BFBFBF" w:themeColor="background1" w:themeShade="BF"/>
            </w:tcBorders>
            <w:shd w:val="clear" w:color="auto" w:fill="404040" w:themeFill="text1" w:themeFillTint="BF"/>
            <w:vAlign w:val="center"/>
          </w:tcPr>
          <w:p w14:paraId="159C509C" w14:textId="77777777" w:rsidR="003F4F9D" w:rsidRPr="00B66B82" w:rsidRDefault="003F4F9D" w:rsidP="00020344">
            <w:pPr>
              <w:autoSpaceDE w:val="0"/>
              <w:autoSpaceDN w:val="0"/>
              <w:adjustRightInd w:val="0"/>
              <w:jc w:val="center"/>
              <w:rPr>
                <w:rFonts w:cs="Times New Roman"/>
                <w:b/>
                <w:bCs/>
                <w:color w:val="FFFFFF" w:themeColor="background1"/>
                <w:sz w:val="20"/>
                <w:szCs w:val="20"/>
              </w:rPr>
            </w:pPr>
            <w:r w:rsidRPr="00B66B82">
              <w:rPr>
                <w:rFonts w:cs="Times New Roman"/>
                <w:b/>
                <w:bCs/>
                <w:color w:val="FFFFFF" w:themeColor="background1"/>
                <w:sz w:val="20"/>
                <w:szCs w:val="20"/>
              </w:rPr>
              <w:t>Processo de referência</w:t>
            </w:r>
          </w:p>
        </w:tc>
        <w:tc>
          <w:tcPr>
            <w:tcW w:w="1417" w:type="dxa"/>
            <w:tcBorders>
              <w:top w:val="single" w:sz="4" w:space="0" w:color="BFBFBF" w:themeColor="background1" w:themeShade="BF"/>
            </w:tcBorders>
            <w:shd w:val="clear" w:color="auto" w:fill="404040" w:themeFill="text1" w:themeFillTint="BF"/>
            <w:vAlign w:val="center"/>
          </w:tcPr>
          <w:p w14:paraId="28CD3156" w14:textId="77777777" w:rsidR="003F4F9D" w:rsidRPr="00B66B82" w:rsidRDefault="003F4F9D" w:rsidP="00020344">
            <w:pPr>
              <w:autoSpaceDE w:val="0"/>
              <w:autoSpaceDN w:val="0"/>
              <w:adjustRightInd w:val="0"/>
              <w:jc w:val="center"/>
              <w:rPr>
                <w:rFonts w:cs="Times New Roman"/>
                <w:b/>
                <w:bCs/>
                <w:color w:val="FFFFFF" w:themeColor="background1"/>
                <w:sz w:val="20"/>
                <w:szCs w:val="20"/>
              </w:rPr>
            </w:pPr>
            <w:r w:rsidRPr="00B66B82">
              <w:rPr>
                <w:rFonts w:cs="Times New Roman"/>
                <w:b/>
                <w:bCs/>
                <w:color w:val="FFFFFF" w:themeColor="background1"/>
                <w:sz w:val="20"/>
                <w:szCs w:val="20"/>
              </w:rPr>
              <w:t>Estimativa de impacto</w:t>
            </w:r>
          </w:p>
        </w:tc>
      </w:tr>
      <w:tr w:rsidR="003F4F9D" w:rsidRPr="0022645B" w14:paraId="47F453B8" w14:textId="77777777" w:rsidTr="00020344">
        <w:trPr>
          <w:jc w:val="center"/>
        </w:trPr>
        <w:tc>
          <w:tcPr>
            <w:tcW w:w="6379" w:type="dxa"/>
            <w:tcBorders>
              <w:bottom w:val="single" w:sz="4" w:space="0" w:color="BFBFBF" w:themeColor="background1" w:themeShade="BF"/>
            </w:tcBorders>
            <w:shd w:val="clear" w:color="auto" w:fill="F2F2F2" w:themeFill="background1" w:themeFillShade="F2"/>
            <w:vAlign w:val="center"/>
          </w:tcPr>
          <w:p w14:paraId="5958C977" w14:textId="77777777" w:rsidR="003F4F9D" w:rsidRPr="00681966" w:rsidRDefault="003F4F9D" w:rsidP="00020344">
            <w:pPr>
              <w:tabs>
                <w:tab w:val="left" w:pos="1410"/>
              </w:tabs>
              <w:autoSpaceDE w:val="0"/>
              <w:autoSpaceDN w:val="0"/>
              <w:adjustRightInd w:val="0"/>
              <w:rPr>
                <w:sz w:val="18"/>
                <w:szCs w:val="18"/>
              </w:rPr>
            </w:pPr>
            <w:r w:rsidRPr="00681966">
              <w:rPr>
                <w:sz w:val="18"/>
                <w:szCs w:val="18"/>
              </w:rPr>
              <w:t>Extensão do acréscimo de 25% sobre o valor do benefício previdenciário, previsto no artigo 45 da Lei 8.213/1991, a todas as modalidades de aposentadoria - adicional de grande invalidez - em caso de o segurado necessitar de assistência permanente de outra pessoa, independentemente da espécie de aposentadoria.</w:t>
            </w:r>
          </w:p>
        </w:tc>
        <w:tc>
          <w:tcPr>
            <w:tcW w:w="2552" w:type="dxa"/>
            <w:tcBorders>
              <w:bottom w:val="single" w:sz="4" w:space="0" w:color="BFBFBF" w:themeColor="background1" w:themeShade="BF"/>
            </w:tcBorders>
            <w:shd w:val="clear" w:color="auto" w:fill="F2F2F2" w:themeFill="background1" w:themeFillShade="F2"/>
          </w:tcPr>
          <w:p w14:paraId="3E35C408" w14:textId="77777777" w:rsidR="003F4F9D" w:rsidRPr="00681966" w:rsidRDefault="003F4F9D" w:rsidP="00020344">
            <w:pPr>
              <w:autoSpaceDE w:val="0"/>
              <w:autoSpaceDN w:val="0"/>
              <w:adjustRightInd w:val="0"/>
              <w:rPr>
                <w:sz w:val="18"/>
                <w:szCs w:val="18"/>
              </w:rPr>
            </w:pPr>
            <w:r w:rsidRPr="00681966">
              <w:rPr>
                <w:sz w:val="18"/>
                <w:szCs w:val="18"/>
              </w:rPr>
              <w:t>RESP 1648304 (TEMA 982, STJ) e RE 1221446 (TEMA 1095, STF</w:t>
            </w:r>
            <w:proofErr w:type="gramStart"/>
            <w:r w:rsidRPr="00681966">
              <w:rPr>
                <w:sz w:val="18"/>
                <w:szCs w:val="18"/>
              </w:rPr>
              <w:t>)</w:t>
            </w:r>
            <w:proofErr w:type="gramEnd"/>
          </w:p>
        </w:tc>
        <w:tc>
          <w:tcPr>
            <w:tcW w:w="1417" w:type="dxa"/>
            <w:tcBorders>
              <w:bottom w:val="single" w:sz="4" w:space="0" w:color="BFBFBF" w:themeColor="background1" w:themeShade="BF"/>
            </w:tcBorders>
            <w:shd w:val="clear" w:color="auto" w:fill="F2F2F2" w:themeFill="background1" w:themeFillShade="F2"/>
          </w:tcPr>
          <w:p w14:paraId="2FAE2CAA" w14:textId="77777777" w:rsidR="003F4F9D" w:rsidRPr="00681966" w:rsidRDefault="003F4F9D" w:rsidP="00020344">
            <w:pPr>
              <w:autoSpaceDE w:val="0"/>
              <w:autoSpaceDN w:val="0"/>
              <w:adjustRightInd w:val="0"/>
              <w:jc w:val="right"/>
              <w:rPr>
                <w:sz w:val="18"/>
                <w:szCs w:val="18"/>
              </w:rPr>
            </w:pPr>
            <w:r w:rsidRPr="00681966">
              <w:rPr>
                <w:sz w:val="18"/>
                <w:szCs w:val="18"/>
              </w:rPr>
              <w:t>8,</w:t>
            </w:r>
            <w:r>
              <w:rPr>
                <w:sz w:val="18"/>
                <w:szCs w:val="18"/>
              </w:rPr>
              <w:t>5</w:t>
            </w:r>
          </w:p>
        </w:tc>
      </w:tr>
      <w:tr w:rsidR="003F4F9D" w:rsidRPr="0022645B" w14:paraId="2EFE35E8" w14:textId="77777777" w:rsidTr="00020344">
        <w:trPr>
          <w:jc w:val="center"/>
        </w:trPr>
        <w:tc>
          <w:tcPr>
            <w:tcW w:w="6379" w:type="dxa"/>
            <w:tcBorders>
              <w:bottom w:val="single" w:sz="4" w:space="0" w:color="BFBFBF" w:themeColor="background1" w:themeShade="BF"/>
            </w:tcBorders>
            <w:shd w:val="clear" w:color="auto" w:fill="FFFFFF" w:themeFill="background1"/>
            <w:vAlign w:val="center"/>
          </w:tcPr>
          <w:p w14:paraId="033C8B25" w14:textId="77777777" w:rsidR="003F4F9D" w:rsidRPr="00B467B4" w:rsidRDefault="003F4F9D" w:rsidP="00020344">
            <w:pPr>
              <w:tabs>
                <w:tab w:val="left" w:pos="1410"/>
              </w:tabs>
              <w:autoSpaceDE w:val="0"/>
              <w:autoSpaceDN w:val="0"/>
              <w:adjustRightInd w:val="0"/>
              <w:rPr>
                <w:sz w:val="18"/>
                <w:szCs w:val="18"/>
              </w:rPr>
            </w:pPr>
            <w:r w:rsidRPr="00B467B4">
              <w:rPr>
                <w:sz w:val="18"/>
                <w:szCs w:val="18"/>
              </w:rPr>
              <w:t>Ação de desapropriação da Fazenda Araguaia no Tocantins</w:t>
            </w:r>
          </w:p>
        </w:tc>
        <w:tc>
          <w:tcPr>
            <w:tcW w:w="2552" w:type="dxa"/>
            <w:tcBorders>
              <w:bottom w:val="single" w:sz="4" w:space="0" w:color="BFBFBF" w:themeColor="background1" w:themeShade="BF"/>
            </w:tcBorders>
            <w:shd w:val="clear" w:color="auto" w:fill="FFFFFF" w:themeFill="background1"/>
          </w:tcPr>
          <w:p w14:paraId="44B2C0FD" w14:textId="77777777" w:rsidR="003F4F9D" w:rsidRPr="00B467B4" w:rsidRDefault="003F4F9D" w:rsidP="00020344">
            <w:pPr>
              <w:autoSpaceDE w:val="0"/>
              <w:autoSpaceDN w:val="0"/>
              <w:adjustRightInd w:val="0"/>
              <w:rPr>
                <w:sz w:val="18"/>
                <w:szCs w:val="18"/>
              </w:rPr>
            </w:pPr>
            <w:r w:rsidRPr="00B467B4">
              <w:rPr>
                <w:sz w:val="18"/>
                <w:szCs w:val="18"/>
              </w:rPr>
              <w:t>RESP 1.179.444 e ERESP 1.179.444</w:t>
            </w:r>
          </w:p>
        </w:tc>
        <w:tc>
          <w:tcPr>
            <w:tcW w:w="1417" w:type="dxa"/>
            <w:tcBorders>
              <w:bottom w:val="single" w:sz="4" w:space="0" w:color="BFBFBF" w:themeColor="background1" w:themeShade="BF"/>
            </w:tcBorders>
            <w:shd w:val="clear" w:color="auto" w:fill="FFFFFF" w:themeFill="background1"/>
          </w:tcPr>
          <w:p w14:paraId="18A28CBF" w14:textId="77777777" w:rsidR="003F4F9D" w:rsidRPr="00B467B4" w:rsidRDefault="003F4F9D" w:rsidP="00020344">
            <w:pPr>
              <w:autoSpaceDE w:val="0"/>
              <w:autoSpaceDN w:val="0"/>
              <w:adjustRightInd w:val="0"/>
              <w:jc w:val="right"/>
              <w:rPr>
                <w:sz w:val="18"/>
                <w:szCs w:val="18"/>
              </w:rPr>
            </w:pPr>
            <w:r w:rsidRPr="00B467B4">
              <w:rPr>
                <w:sz w:val="18"/>
                <w:szCs w:val="18"/>
              </w:rPr>
              <w:t>1,5</w:t>
            </w:r>
          </w:p>
        </w:tc>
      </w:tr>
      <w:tr w:rsidR="003F4F9D" w:rsidRPr="00EA4000" w14:paraId="15DA34D0" w14:textId="77777777" w:rsidTr="00020344">
        <w:trPr>
          <w:jc w:val="center"/>
        </w:trPr>
        <w:tc>
          <w:tcPr>
            <w:tcW w:w="6379" w:type="dxa"/>
            <w:tcBorders>
              <w:bottom w:val="single" w:sz="4" w:space="0" w:color="BFBFBF" w:themeColor="background1" w:themeShade="BF"/>
            </w:tcBorders>
            <w:shd w:val="clear" w:color="auto" w:fill="F2F2F2" w:themeFill="background1" w:themeFillShade="F2"/>
          </w:tcPr>
          <w:p w14:paraId="6966D9CC" w14:textId="77777777" w:rsidR="003F4F9D" w:rsidRPr="00FD5D8B" w:rsidRDefault="003F4F9D" w:rsidP="00020344">
            <w:pPr>
              <w:jc w:val="both"/>
              <w:rPr>
                <w:sz w:val="18"/>
                <w:szCs w:val="18"/>
              </w:rPr>
            </w:pPr>
            <w:r w:rsidRPr="00EA4000">
              <w:rPr>
                <w:sz w:val="18"/>
                <w:szCs w:val="18"/>
              </w:rPr>
              <w:t>Legitimidade da Cobrança da Taxa de Fiscalização da ANATEL</w:t>
            </w:r>
          </w:p>
        </w:tc>
        <w:tc>
          <w:tcPr>
            <w:tcW w:w="2552" w:type="dxa"/>
            <w:tcBorders>
              <w:bottom w:val="single" w:sz="4" w:space="0" w:color="BFBFBF" w:themeColor="background1" w:themeShade="BF"/>
            </w:tcBorders>
            <w:shd w:val="clear" w:color="auto" w:fill="F2F2F2" w:themeFill="background1" w:themeFillShade="F2"/>
          </w:tcPr>
          <w:p w14:paraId="29BE631E" w14:textId="77777777" w:rsidR="003F4F9D" w:rsidRPr="00CF3D81" w:rsidRDefault="003F4F9D" w:rsidP="00020344">
            <w:pPr>
              <w:rPr>
                <w:sz w:val="18"/>
                <w:szCs w:val="18"/>
              </w:rPr>
            </w:pPr>
            <w:r w:rsidRPr="00EA4000">
              <w:rPr>
                <w:sz w:val="18"/>
                <w:szCs w:val="18"/>
              </w:rPr>
              <w:t>RESP 1293917</w:t>
            </w:r>
          </w:p>
        </w:tc>
        <w:tc>
          <w:tcPr>
            <w:tcW w:w="1417" w:type="dxa"/>
            <w:tcBorders>
              <w:bottom w:val="single" w:sz="4" w:space="0" w:color="BFBFBF" w:themeColor="background1" w:themeShade="BF"/>
            </w:tcBorders>
            <w:shd w:val="clear" w:color="auto" w:fill="F2F2F2" w:themeFill="background1" w:themeFillShade="F2"/>
          </w:tcPr>
          <w:p w14:paraId="07ED40FB" w14:textId="77777777" w:rsidR="003F4F9D" w:rsidRPr="00EA4000" w:rsidRDefault="003F4F9D" w:rsidP="00020344">
            <w:pPr>
              <w:autoSpaceDE w:val="0"/>
              <w:autoSpaceDN w:val="0"/>
              <w:adjustRightInd w:val="0"/>
              <w:jc w:val="right"/>
              <w:rPr>
                <w:color w:val="538135" w:themeColor="accent6" w:themeShade="BF"/>
                <w:sz w:val="18"/>
                <w:szCs w:val="18"/>
              </w:rPr>
            </w:pPr>
            <w:r w:rsidRPr="00EA4000">
              <w:rPr>
                <w:color w:val="538135" w:themeColor="accent6" w:themeShade="BF"/>
                <w:sz w:val="18"/>
                <w:szCs w:val="18"/>
              </w:rPr>
              <w:t xml:space="preserve">  </w:t>
            </w:r>
            <w:r w:rsidRPr="00EA4000">
              <w:rPr>
                <w:sz w:val="18"/>
                <w:szCs w:val="18"/>
              </w:rPr>
              <w:t>4,</w:t>
            </w:r>
            <w:r>
              <w:rPr>
                <w:sz w:val="18"/>
                <w:szCs w:val="18"/>
              </w:rPr>
              <w:t>2</w:t>
            </w:r>
          </w:p>
          <w:p w14:paraId="33E290CF" w14:textId="77777777" w:rsidR="003F4F9D" w:rsidRPr="00EA4000" w:rsidRDefault="003F4F9D" w:rsidP="00020344">
            <w:pPr>
              <w:jc w:val="right"/>
              <w:rPr>
                <w:color w:val="538135" w:themeColor="accent6" w:themeShade="BF"/>
                <w:sz w:val="18"/>
                <w:szCs w:val="18"/>
              </w:rPr>
            </w:pPr>
          </w:p>
        </w:tc>
      </w:tr>
      <w:tr w:rsidR="003F4F9D" w:rsidRPr="0022645B" w14:paraId="15084305" w14:textId="77777777" w:rsidTr="00020344">
        <w:trPr>
          <w:jc w:val="center"/>
        </w:trPr>
        <w:tc>
          <w:tcPr>
            <w:tcW w:w="6379" w:type="dxa"/>
            <w:tcBorders>
              <w:bottom w:val="single" w:sz="4" w:space="0" w:color="BFBFBF" w:themeColor="background1" w:themeShade="BF"/>
            </w:tcBorders>
            <w:shd w:val="clear" w:color="auto" w:fill="auto"/>
          </w:tcPr>
          <w:p w14:paraId="6F28BA58" w14:textId="77777777" w:rsidR="003F4F9D" w:rsidRPr="00FD5D8B" w:rsidRDefault="003F4F9D" w:rsidP="00020344">
            <w:pPr>
              <w:jc w:val="both"/>
              <w:rPr>
                <w:sz w:val="18"/>
                <w:szCs w:val="18"/>
              </w:rPr>
            </w:pPr>
            <w:r w:rsidRPr="00EA4000">
              <w:rPr>
                <w:sz w:val="18"/>
                <w:szCs w:val="18"/>
              </w:rPr>
              <w:t>Reconhecimento aos segurados que ingressaram na Previdência Social até o dia anterior à publicação da Lei 9.876/99 o direito de opção, na apuração do seu salário-de-benefício, entre a regra “de transição” estabelecida no art. 3º da Lei 9.876/99</w:t>
            </w:r>
            <w:r>
              <w:rPr>
                <w:sz w:val="18"/>
                <w:szCs w:val="18"/>
              </w:rPr>
              <w:t>.</w:t>
            </w:r>
          </w:p>
        </w:tc>
        <w:tc>
          <w:tcPr>
            <w:tcW w:w="2552" w:type="dxa"/>
            <w:tcBorders>
              <w:bottom w:val="single" w:sz="4" w:space="0" w:color="BFBFBF" w:themeColor="background1" w:themeShade="BF"/>
            </w:tcBorders>
            <w:shd w:val="clear" w:color="auto" w:fill="auto"/>
          </w:tcPr>
          <w:p w14:paraId="0881B74F" w14:textId="77777777" w:rsidR="003F4F9D" w:rsidRPr="00CF3D81" w:rsidRDefault="003F4F9D" w:rsidP="00020344">
            <w:pPr>
              <w:rPr>
                <w:sz w:val="18"/>
                <w:szCs w:val="18"/>
              </w:rPr>
            </w:pPr>
            <w:proofErr w:type="spellStart"/>
            <w:proofErr w:type="gramStart"/>
            <w:r w:rsidRPr="00EA4000">
              <w:rPr>
                <w:sz w:val="18"/>
                <w:szCs w:val="18"/>
              </w:rPr>
              <w:t>REsp</w:t>
            </w:r>
            <w:proofErr w:type="spellEnd"/>
            <w:proofErr w:type="gramEnd"/>
            <w:r w:rsidRPr="00EA4000">
              <w:rPr>
                <w:sz w:val="18"/>
                <w:szCs w:val="18"/>
              </w:rPr>
              <w:t xml:space="preserve"> 1554596/SC e </w:t>
            </w:r>
            <w:proofErr w:type="spellStart"/>
            <w:r w:rsidRPr="00EA4000">
              <w:rPr>
                <w:sz w:val="18"/>
                <w:szCs w:val="18"/>
              </w:rPr>
              <w:t>REsp</w:t>
            </w:r>
            <w:proofErr w:type="spellEnd"/>
            <w:r w:rsidRPr="00EA4000">
              <w:rPr>
                <w:sz w:val="18"/>
                <w:szCs w:val="18"/>
              </w:rPr>
              <w:t xml:space="preserve"> 1596203/PR (TEMA 999, STJ) e RE nº 1276976/DF e RE nº 1276977/DF (TEMA 1102)</w:t>
            </w:r>
          </w:p>
        </w:tc>
        <w:tc>
          <w:tcPr>
            <w:tcW w:w="1417" w:type="dxa"/>
            <w:tcBorders>
              <w:bottom w:val="single" w:sz="4" w:space="0" w:color="BFBFBF" w:themeColor="background1" w:themeShade="BF"/>
            </w:tcBorders>
            <w:shd w:val="clear" w:color="auto" w:fill="auto"/>
          </w:tcPr>
          <w:p w14:paraId="7362168E" w14:textId="77777777" w:rsidR="003F4F9D" w:rsidRPr="008B1C60" w:rsidRDefault="003F4F9D" w:rsidP="00020344">
            <w:pPr>
              <w:jc w:val="right"/>
              <w:rPr>
                <w:sz w:val="18"/>
                <w:szCs w:val="18"/>
              </w:rPr>
            </w:pPr>
            <w:r>
              <w:rPr>
                <w:sz w:val="18"/>
                <w:szCs w:val="18"/>
              </w:rPr>
              <w:t>46,4</w:t>
            </w:r>
          </w:p>
        </w:tc>
      </w:tr>
      <w:tr w:rsidR="003F4F9D" w:rsidRPr="0022645B" w14:paraId="3FC8CE1B" w14:textId="77777777" w:rsidTr="00020344">
        <w:trPr>
          <w:jc w:val="center"/>
        </w:trPr>
        <w:tc>
          <w:tcPr>
            <w:tcW w:w="6379" w:type="dxa"/>
            <w:tcBorders>
              <w:bottom w:val="single" w:sz="4" w:space="0" w:color="BFBFBF" w:themeColor="background1" w:themeShade="BF"/>
            </w:tcBorders>
            <w:shd w:val="clear" w:color="auto" w:fill="F2F2F2" w:themeFill="background1" w:themeFillShade="F2"/>
          </w:tcPr>
          <w:p w14:paraId="78FFCCFD" w14:textId="77777777" w:rsidR="003F4F9D" w:rsidRPr="00FD5D8B" w:rsidRDefault="003F4F9D" w:rsidP="00020344">
            <w:pPr>
              <w:jc w:val="both"/>
              <w:rPr>
                <w:sz w:val="18"/>
                <w:szCs w:val="18"/>
              </w:rPr>
            </w:pPr>
            <w:r w:rsidRPr="00681966">
              <w:rPr>
                <w:sz w:val="18"/>
                <w:szCs w:val="18"/>
              </w:rPr>
              <w:t>Critério de aferição da renda do segurado que não exerce atividade laboral remunerada no momento do recolhimento à prisão para concessão de auxílio-reclusão</w:t>
            </w:r>
            <w:r>
              <w:rPr>
                <w:sz w:val="18"/>
                <w:szCs w:val="18"/>
              </w:rPr>
              <w:t>.</w:t>
            </w:r>
          </w:p>
        </w:tc>
        <w:tc>
          <w:tcPr>
            <w:tcW w:w="2552" w:type="dxa"/>
            <w:tcBorders>
              <w:bottom w:val="single" w:sz="4" w:space="0" w:color="BFBFBF" w:themeColor="background1" w:themeShade="BF"/>
            </w:tcBorders>
            <w:shd w:val="clear" w:color="auto" w:fill="F2F2F2" w:themeFill="background1" w:themeFillShade="F2"/>
          </w:tcPr>
          <w:p w14:paraId="0867EC44" w14:textId="77777777" w:rsidR="003F4F9D" w:rsidRPr="00CF3D81" w:rsidRDefault="003F4F9D" w:rsidP="00020344">
            <w:pPr>
              <w:rPr>
                <w:sz w:val="18"/>
                <w:szCs w:val="18"/>
              </w:rPr>
            </w:pPr>
            <w:r w:rsidRPr="00681966">
              <w:rPr>
                <w:sz w:val="18"/>
                <w:szCs w:val="18"/>
              </w:rPr>
              <w:t>RESP 1485417 (TEMA 896)</w:t>
            </w:r>
          </w:p>
        </w:tc>
        <w:tc>
          <w:tcPr>
            <w:tcW w:w="1417" w:type="dxa"/>
            <w:tcBorders>
              <w:bottom w:val="single" w:sz="4" w:space="0" w:color="BFBFBF" w:themeColor="background1" w:themeShade="BF"/>
            </w:tcBorders>
            <w:shd w:val="clear" w:color="auto" w:fill="F2F2F2" w:themeFill="background1" w:themeFillShade="F2"/>
          </w:tcPr>
          <w:p w14:paraId="15DFA4FA" w14:textId="77777777" w:rsidR="003F4F9D" w:rsidRPr="008B1C60" w:rsidRDefault="003F4F9D" w:rsidP="00020344">
            <w:pPr>
              <w:autoSpaceDE w:val="0"/>
              <w:autoSpaceDN w:val="0"/>
              <w:adjustRightInd w:val="0"/>
              <w:jc w:val="right"/>
              <w:rPr>
                <w:sz w:val="18"/>
                <w:szCs w:val="18"/>
              </w:rPr>
            </w:pPr>
            <w:r w:rsidRPr="006013D7">
              <w:rPr>
                <w:rFonts w:cs="Times New Roman"/>
                <w:sz w:val="18"/>
                <w:szCs w:val="18"/>
              </w:rPr>
              <w:t>Não</w:t>
            </w:r>
            <w:r>
              <w:rPr>
                <w:sz w:val="18"/>
                <w:szCs w:val="18"/>
              </w:rPr>
              <w:t xml:space="preserve"> disponível</w:t>
            </w:r>
          </w:p>
        </w:tc>
      </w:tr>
      <w:tr w:rsidR="003F4F9D" w:rsidRPr="0022645B" w14:paraId="7DD9C1AD" w14:textId="77777777" w:rsidTr="00020344">
        <w:trPr>
          <w:jc w:val="center"/>
        </w:trPr>
        <w:tc>
          <w:tcPr>
            <w:tcW w:w="6379" w:type="dxa"/>
            <w:tcBorders>
              <w:bottom w:val="single" w:sz="4" w:space="0" w:color="BFBFBF" w:themeColor="background1" w:themeShade="BF"/>
            </w:tcBorders>
            <w:shd w:val="clear" w:color="auto" w:fill="auto"/>
          </w:tcPr>
          <w:p w14:paraId="1597BFFF" w14:textId="77777777" w:rsidR="003F4F9D" w:rsidRPr="00FD5D8B" w:rsidRDefault="003F4F9D" w:rsidP="00020344">
            <w:pPr>
              <w:jc w:val="both"/>
              <w:rPr>
                <w:sz w:val="18"/>
                <w:szCs w:val="18"/>
              </w:rPr>
            </w:pPr>
            <w:r w:rsidRPr="00DB028F">
              <w:rPr>
                <w:sz w:val="18"/>
                <w:szCs w:val="18"/>
              </w:rPr>
              <w:t>Indenização devida a servidor público que exerce atividade em contato com DDT.</w:t>
            </w:r>
          </w:p>
        </w:tc>
        <w:tc>
          <w:tcPr>
            <w:tcW w:w="2552" w:type="dxa"/>
            <w:tcBorders>
              <w:bottom w:val="single" w:sz="4" w:space="0" w:color="BFBFBF" w:themeColor="background1" w:themeShade="BF"/>
            </w:tcBorders>
            <w:shd w:val="clear" w:color="auto" w:fill="auto"/>
          </w:tcPr>
          <w:p w14:paraId="79AD5979" w14:textId="77777777" w:rsidR="003F4F9D" w:rsidRPr="00CF3D81" w:rsidRDefault="003F4F9D" w:rsidP="00020344">
            <w:pPr>
              <w:rPr>
                <w:sz w:val="18"/>
                <w:szCs w:val="18"/>
              </w:rPr>
            </w:pPr>
            <w:r w:rsidRPr="00DB028F">
              <w:rPr>
                <w:sz w:val="18"/>
                <w:szCs w:val="18"/>
              </w:rPr>
              <w:t>RESP 1809043 (TEMA 1023)</w:t>
            </w:r>
          </w:p>
        </w:tc>
        <w:tc>
          <w:tcPr>
            <w:tcW w:w="1417" w:type="dxa"/>
            <w:tcBorders>
              <w:bottom w:val="single" w:sz="4" w:space="0" w:color="BFBFBF" w:themeColor="background1" w:themeShade="BF"/>
            </w:tcBorders>
            <w:shd w:val="clear" w:color="auto" w:fill="auto"/>
          </w:tcPr>
          <w:p w14:paraId="0A4E6DDF" w14:textId="77777777" w:rsidR="003F4F9D" w:rsidRPr="008B1C60" w:rsidRDefault="003F4F9D" w:rsidP="00020344">
            <w:pPr>
              <w:jc w:val="right"/>
              <w:rPr>
                <w:sz w:val="18"/>
                <w:szCs w:val="18"/>
              </w:rPr>
            </w:pPr>
            <w:r>
              <w:rPr>
                <w:sz w:val="18"/>
                <w:szCs w:val="18"/>
              </w:rPr>
              <w:t>Não disponível</w:t>
            </w:r>
          </w:p>
        </w:tc>
      </w:tr>
      <w:tr w:rsidR="003F4F9D" w:rsidRPr="0022645B" w14:paraId="4005A4B7" w14:textId="77777777" w:rsidTr="00020344">
        <w:trPr>
          <w:jc w:val="center"/>
        </w:trPr>
        <w:tc>
          <w:tcPr>
            <w:tcW w:w="6379" w:type="dxa"/>
            <w:tcBorders>
              <w:bottom w:val="single" w:sz="4" w:space="0" w:color="BFBFBF" w:themeColor="background1" w:themeShade="BF"/>
            </w:tcBorders>
            <w:shd w:val="clear" w:color="auto" w:fill="F2F2F2" w:themeFill="background1" w:themeFillShade="F2"/>
          </w:tcPr>
          <w:p w14:paraId="25E7F67F" w14:textId="77777777" w:rsidR="003F4F9D" w:rsidRPr="00FD5D8B" w:rsidRDefault="003F4F9D" w:rsidP="00020344">
            <w:pPr>
              <w:jc w:val="both"/>
              <w:rPr>
                <w:sz w:val="18"/>
                <w:szCs w:val="18"/>
              </w:rPr>
            </w:pPr>
            <w:r w:rsidRPr="00DB028F">
              <w:rPr>
                <w:sz w:val="18"/>
                <w:szCs w:val="18"/>
              </w:rPr>
              <w:t>Aposentadoria especial do vigilante.</w:t>
            </w:r>
          </w:p>
        </w:tc>
        <w:tc>
          <w:tcPr>
            <w:tcW w:w="2552" w:type="dxa"/>
            <w:tcBorders>
              <w:bottom w:val="single" w:sz="4" w:space="0" w:color="BFBFBF" w:themeColor="background1" w:themeShade="BF"/>
            </w:tcBorders>
            <w:shd w:val="clear" w:color="auto" w:fill="F2F2F2" w:themeFill="background1" w:themeFillShade="F2"/>
          </w:tcPr>
          <w:p w14:paraId="4EE8284C" w14:textId="77777777" w:rsidR="003F4F9D" w:rsidRPr="00CF3D81" w:rsidRDefault="003F4F9D" w:rsidP="00020344">
            <w:pPr>
              <w:rPr>
                <w:sz w:val="18"/>
                <w:szCs w:val="18"/>
              </w:rPr>
            </w:pPr>
            <w:r w:rsidRPr="00DB028F">
              <w:rPr>
                <w:sz w:val="18"/>
                <w:szCs w:val="18"/>
              </w:rPr>
              <w:t>RESP 1830508 (TEMA 1031)</w:t>
            </w:r>
          </w:p>
        </w:tc>
        <w:tc>
          <w:tcPr>
            <w:tcW w:w="1417" w:type="dxa"/>
            <w:tcBorders>
              <w:bottom w:val="single" w:sz="4" w:space="0" w:color="BFBFBF" w:themeColor="background1" w:themeShade="BF"/>
            </w:tcBorders>
            <w:shd w:val="clear" w:color="auto" w:fill="F2F2F2" w:themeFill="background1" w:themeFillShade="F2"/>
          </w:tcPr>
          <w:p w14:paraId="3B5ED45C" w14:textId="77777777" w:rsidR="003F4F9D" w:rsidRPr="008B1C60" w:rsidRDefault="003F4F9D" w:rsidP="00020344">
            <w:pPr>
              <w:jc w:val="right"/>
              <w:rPr>
                <w:sz w:val="18"/>
                <w:szCs w:val="18"/>
              </w:rPr>
            </w:pPr>
            <w:r>
              <w:rPr>
                <w:sz w:val="18"/>
                <w:szCs w:val="18"/>
              </w:rPr>
              <w:t>151,0</w:t>
            </w:r>
          </w:p>
        </w:tc>
      </w:tr>
      <w:tr w:rsidR="003F4F9D" w:rsidRPr="0022645B" w14:paraId="1BC136DB" w14:textId="77777777" w:rsidTr="00020344">
        <w:trPr>
          <w:jc w:val="center"/>
        </w:trPr>
        <w:tc>
          <w:tcPr>
            <w:tcW w:w="6379" w:type="dxa"/>
            <w:tcBorders>
              <w:bottom w:val="single" w:sz="4" w:space="0" w:color="BFBFBF" w:themeColor="background1" w:themeShade="BF"/>
            </w:tcBorders>
            <w:shd w:val="clear" w:color="auto" w:fill="auto"/>
          </w:tcPr>
          <w:p w14:paraId="338CCB69" w14:textId="77777777" w:rsidR="003F4F9D" w:rsidRPr="00FD5D8B" w:rsidRDefault="003F4F9D" w:rsidP="00020344">
            <w:pPr>
              <w:jc w:val="both"/>
              <w:rPr>
                <w:sz w:val="18"/>
                <w:szCs w:val="18"/>
              </w:rPr>
            </w:pPr>
            <w:r w:rsidRPr="008D69A7">
              <w:rPr>
                <w:sz w:val="18"/>
                <w:szCs w:val="18"/>
              </w:rPr>
              <w:t>Aposentadoria especial. Gozo de auxílio-doença não acidentário.</w:t>
            </w:r>
          </w:p>
        </w:tc>
        <w:tc>
          <w:tcPr>
            <w:tcW w:w="2552" w:type="dxa"/>
            <w:tcBorders>
              <w:bottom w:val="single" w:sz="4" w:space="0" w:color="BFBFBF" w:themeColor="background1" w:themeShade="BF"/>
            </w:tcBorders>
            <w:shd w:val="clear" w:color="auto" w:fill="auto"/>
          </w:tcPr>
          <w:p w14:paraId="3B644733" w14:textId="77777777" w:rsidR="003F4F9D" w:rsidRPr="00CF3D81" w:rsidRDefault="003F4F9D" w:rsidP="00020344">
            <w:pPr>
              <w:rPr>
                <w:sz w:val="18"/>
                <w:szCs w:val="18"/>
              </w:rPr>
            </w:pPr>
            <w:r w:rsidRPr="008D69A7">
              <w:rPr>
                <w:sz w:val="18"/>
                <w:szCs w:val="18"/>
              </w:rPr>
              <w:t>RESP 1759098 (TEMA 998)</w:t>
            </w:r>
          </w:p>
        </w:tc>
        <w:tc>
          <w:tcPr>
            <w:tcW w:w="1417" w:type="dxa"/>
            <w:tcBorders>
              <w:bottom w:val="single" w:sz="4" w:space="0" w:color="BFBFBF" w:themeColor="background1" w:themeShade="BF"/>
            </w:tcBorders>
            <w:shd w:val="clear" w:color="auto" w:fill="auto"/>
          </w:tcPr>
          <w:p w14:paraId="110C3105" w14:textId="77777777" w:rsidR="003F4F9D" w:rsidRPr="008B1C60" w:rsidRDefault="003F4F9D" w:rsidP="00020344">
            <w:pPr>
              <w:jc w:val="right"/>
              <w:rPr>
                <w:sz w:val="18"/>
                <w:szCs w:val="18"/>
              </w:rPr>
            </w:pPr>
            <w:r w:rsidRPr="008D69A7">
              <w:rPr>
                <w:sz w:val="18"/>
                <w:szCs w:val="18"/>
              </w:rPr>
              <w:t>Não disponível</w:t>
            </w:r>
          </w:p>
        </w:tc>
      </w:tr>
      <w:tr w:rsidR="003F4F9D" w:rsidRPr="0022645B" w14:paraId="7DADF895" w14:textId="77777777" w:rsidTr="00020344">
        <w:trPr>
          <w:jc w:val="center"/>
        </w:trPr>
        <w:tc>
          <w:tcPr>
            <w:tcW w:w="6379" w:type="dxa"/>
            <w:tcBorders>
              <w:bottom w:val="single" w:sz="4" w:space="0" w:color="BFBFBF" w:themeColor="background1" w:themeShade="BF"/>
            </w:tcBorders>
            <w:shd w:val="clear" w:color="auto" w:fill="F2F2F2" w:themeFill="background1" w:themeFillShade="F2"/>
          </w:tcPr>
          <w:p w14:paraId="5E621F36" w14:textId="77777777" w:rsidR="003F4F9D" w:rsidRPr="00FD5D8B" w:rsidRDefault="003F4F9D" w:rsidP="00020344">
            <w:pPr>
              <w:jc w:val="both"/>
              <w:rPr>
                <w:sz w:val="18"/>
                <w:szCs w:val="18"/>
              </w:rPr>
            </w:pPr>
            <w:r w:rsidRPr="003122F2">
              <w:rPr>
                <w:sz w:val="18"/>
                <w:szCs w:val="18"/>
              </w:rPr>
              <w:t>Servidor. Aposentadoria. Reconhecimento e cômputo, nos proventos, de direito não concedido enquanto o servidor estava em atividade.</w:t>
            </w:r>
          </w:p>
        </w:tc>
        <w:tc>
          <w:tcPr>
            <w:tcW w:w="2552" w:type="dxa"/>
            <w:tcBorders>
              <w:bottom w:val="single" w:sz="4" w:space="0" w:color="BFBFBF" w:themeColor="background1" w:themeShade="BF"/>
            </w:tcBorders>
            <w:shd w:val="clear" w:color="auto" w:fill="F2F2F2" w:themeFill="background1" w:themeFillShade="F2"/>
          </w:tcPr>
          <w:p w14:paraId="75544889" w14:textId="77777777" w:rsidR="003F4F9D" w:rsidRPr="00CF3D81" w:rsidRDefault="003F4F9D" w:rsidP="00020344">
            <w:pPr>
              <w:rPr>
                <w:sz w:val="18"/>
                <w:szCs w:val="18"/>
              </w:rPr>
            </w:pPr>
            <w:r w:rsidRPr="003122F2">
              <w:rPr>
                <w:sz w:val="18"/>
                <w:szCs w:val="18"/>
              </w:rPr>
              <w:t>RESP 1783975(TEMA 1017)</w:t>
            </w:r>
          </w:p>
        </w:tc>
        <w:tc>
          <w:tcPr>
            <w:tcW w:w="1417" w:type="dxa"/>
            <w:tcBorders>
              <w:bottom w:val="single" w:sz="4" w:space="0" w:color="BFBFBF" w:themeColor="background1" w:themeShade="BF"/>
            </w:tcBorders>
            <w:shd w:val="clear" w:color="auto" w:fill="F2F2F2" w:themeFill="background1" w:themeFillShade="F2"/>
          </w:tcPr>
          <w:p w14:paraId="3D6F9B84" w14:textId="77777777" w:rsidR="003F4F9D" w:rsidRPr="008B1C60" w:rsidRDefault="003F4F9D" w:rsidP="00020344">
            <w:pPr>
              <w:jc w:val="right"/>
              <w:rPr>
                <w:sz w:val="18"/>
                <w:szCs w:val="18"/>
              </w:rPr>
            </w:pPr>
            <w:r w:rsidRPr="008D69A7">
              <w:rPr>
                <w:sz w:val="18"/>
                <w:szCs w:val="18"/>
              </w:rPr>
              <w:t>Não disponível</w:t>
            </w:r>
          </w:p>
        </w:tc>
      </w:tr>
      <w:tr w:rsidR="003F4F9D" w:rsidRPr="0022645B" w14:paraId="4BFBE396" w14:textId="77777777" w:rsidTr="00020344">
        <w:trPr>
          <w:jc w:val="center"/>
        </w:trPr>
        <w:tc>
          <w:tcPr>
            <w:tcW w:w="6379" w:type="dxa"/>
            <w:tcBorders>
              <w:bottom w:val="single" w:sz="4" w:space="0" w:color="BFBFBF" w:themeColor="background1" w:themeShade="BF"/>
            </w:tcBorders>
            <w:shd w:val="clear" w:color="auto" w:fill="auto"/>
          </w:tcPr>
          <w:p w14:paraId="16265FF9" w14:textId="77777777" w:rsidR="003F4F9D" w:rsidRPr="003122F2" w:rsidRDefault="003F4F9D" w:rsidP="00020344">
            <w:pPr>
              <w:jc w:val="both"/>
              <w:rPr>
                <w:sz w:val="18"/>
                <w:szCs w:val="18"/>
              </w:rPr>
            </w:pPr>
            <w:r w:rsidRPr="00EB4A6E">
              <w:rPr>
                <w:sz w:val="18"/>
                <w:szCs w:val="18"/>
              </w:rPr>
              <w:t xml:space="preserve">Benefício por incapacidade substitutivo da renda </w:t>
            </w:r>
            <w:proofErr w:type="spellStart"/>
            <w:r w:rsidRPr="00EB4A6E">
              <w:rPr>
                <w:sz w:val="18"/>
                <w:szCs w:val="18"/>
              </w:rPr>
              <w:t>condedido</w:t>
            </w:r>
            <w:proofErr w:type="spellEnd"/>
            <w:r w:rsidRPr="00EB4A6E">
              <w:rPr>
                <w:sz w:val="18"/>
                <w:szCs w:val="18"/>
              </w:rPr>
              <w:t xml:space="preserve"> judicialmente concomitante ao exercício de atividade laboral.</w:t>
            </w:r>
          </w:p>
        </w:tc>
        <w:tc>
          <w:tcPr>
            <w:tcW w:w="2552" w:type="dxa"/>
            <w:tcBorders>
              <w:bottom w:val="single" w:sz="4" w:space="0" w:color="BFBFBF" w:themeColor="background1" w:themeShade="BF"/>
            </w:tcBorders>
            <w:shd w:val="clear" w:color="auto" w:fill="auto"/>
          </w:tcPr>
          <w:p w14:paraId="593C800A" w14:textId="77777777" w:rsidR="003F4F9D" w:rsidRPr="003122F2" w:rsidRDefault="003F4F9D" w:rsidP="00020344">
            <w:pPr>
              <w:rPr>
                <w:sz w:val="18"/>
                <w:szCs w:val="18"/>
              </w:rPr>
            </w:pPr>
            <w:r w:rsidRPr="00EB4A6E">
              <w:rPr>
                <w:sz w:val="18"/>
                <w:szCs w:val="18"/>
              </w:rPr>
              <w:t>RESP 1786590 (TEMA 1013)</w:t>
            </w:r>
          </w:p>
        </w:tc>
        <w:tc>
          <w:tcPr>
            <w:tcW w:w="1417" w:type="dxa"/>
            <w:tcBorders>
              <w:bottom w:val="single" w:sz="4" w:space="0" w:color="BFBFBF" w:themeColor="background1" w:themeShade="BF"/>
            </w:tcBorders>
            <w:shd w:val="clear" w:color="auto" w:fill="auto"/>
          </w:tcPr>
          <w:p w14:paraId="0108DC66" w14:textId="77777777" w:rsidR="003F4F9D" w:rsidRPr="008D69A7" w:rsidRDefault="003F4F9D" w:rsidP="00020344">
            <w:pPr>
              <w:jc w:val="right"/>
              <w:rPr>
                <w:sz w:val="18"/>
                <w:szCs w:val="18"/>
              </w:rPr>
            </w:pPr>
            <w:r w:rsidRPr="008D69A7">
              <w:rPr>
                <w:sz w:val="18"/>
                <w:szCs w:val="18"/>
              </w:rPr>
              <w:t>Não disponível</w:t>
            </w:r>
          </w:p>
        </w:tc>
      </w:tr>
      <w:tr w:rsidR="003F4F9D" w:rsidRPr="00B66B82" w14:paraId="4FE62516" w14:textId="77777777" w:rsidTr="00020344">
        <w:trPr>
          <w:jc w:val="center"/>
        </w:trPr>
        <w:tc>
          <w:tcPr>
            <w:tcW w:w="8931" w:type="dxa"/>
            <w:gridSpan w:val="2"/>
            <w:tcBorders>
              <w:bottom w:val="single" w:sz="4" w:space="0" w:color="BFBFBF" w:themeColor="background1" w:themeShade="BF"/>
            </w:tcBorders>
            <w:shd w:val="clear" w:color="auto" w:fill="7F7F7F" w:themeFill="text1" w:themeFillTint="80"/>
          </w:tcPr>
          <w:p w14:paraId="1956C39E" w14:textId="77777777" w:rsidR="003F4F9D" w:rsidRPr="00B66B82" w:rsidRDefault="003F4F9D" w:rsidP="00020344">
            <w:pPr>
              <w:rPr>
                <w:b/>
                <w:bCs/>
                <w:color w:val="FFFFFF" w:themeColor="background1"/>
                <w:sz w:val="18"/>
                <w:szCs w:val="18"/>
              </w:rPr>
            </w:pPr>
            <w:r w:rsidRPr="00B66B82">
              <w:rPr>
                <w:b/>
                <w:bCs/>
                <w:color w:val="FFFFFF" w:themeColor="background1"/>
                <w:sz w:val="18"/>
                <w:szCs w:val="18"/>
              </w:rPr>
              <w:t>Total</w:t>
            </w:r>
          </w:p>
        </w:tc>
        <w:tc>
          <w:tcPr>
            <w:tcW w:w="1417" w:type="dxa"/>
            <w:tcBorders>
              <w:bottom w:val="single" w:sz="4" w:space="0" w:color="BFBFBF" w:themeColor="background1" w:themeShade="BF"/>
            </w:tcBorders>
            <w:shd w:val="clear" w:color="auto" w:fill="7F7F7F" w:themeFill="text1" w:themeFillTint="80"/>
          </w:tcPr>
          <w:p w14:paraId="309B4656" w14:textId="77777777" w:rsidR="003F4F9D" w:rsidRPr="00B66B82" w:rsidRDefault="003F4F9D" w:rsidP="00020344">
            <w:pPr>
              <w:jc w:val="right"/>
              <w:rPr>
                <w:b/>
                <w:bCs/>
                <w:color w:val="FFFFFF" w:themeColor="background1"/>
                <w:sz w:val="18"/>
                <w:szCs w:val="18"/>
              </w:rPr>
            </w:pPr>
            <w:r w:rsidRPr="00B66B82">
              <w:rPr>
                <w:b/>
                <w:bCs/>
                <w:color w:val="FFFFFF" w:themeColor="background1"/>
                <w:sz w:val="18"/>
                <w:szCs w:val="18"/>
              </w:rPr>
              <w:t>211,6</w:t>
            </w:r>
          </w:p>
        </w:tc>
      </w:tr>
      <w:tr w:rsidR="003F4F9D" w:rsidRPr="008B521C" w14:paraId="496FA053" w14:textId="77777777" w:rsidTr="00020344">
        <w:trPr>
          <w:jc w:val="center"/>
        </w:trPr>
        <w:tc>
          <w:tcPr>
            <w:tcW w:w="10348" w:type="dxa"/>
            <w:gridSpan w:val="3"/>
            <w:tcBorders>
              <w:top w:val="single" w:sz="4" w:space="0" w:color="BFBFBF" w:themeColor="background1" w:themeShade="BF"/>
              <w:left w:val="nil"/>
              <w:bottom w:val="nil"/>
              <w:right w:val="nil"/>
            </w:tcBorders>
          </w:tcPr>
          <w:p w14:paraId="2DCA6ACA" w14:textId="32C586B0" w:rsidR="003F4F9D" w:rsidRPr="008B521C" w:rsidRDefault="003F4F9D" w:rsidP="003A7A43">
            <w:pPr>
              <w:rPr>
                <w:i/>
                <w:w w:val="105"/>
                <w:sz w:val="16"/>
                <w:szCs w:val="16"/>
              </w:rPr>
            </w:pPr>
            <w:r w:rsidRPr="008B521C">
              <w:rPr>
                <w:b/>
                <w:i/>
                <w:w w:val="105"/>
                <w:sz w:val="16"/>
                <w:szCs w:val="16"/>
              </w:rPr>
              <w:t>Fonte</w:t>
            </w:r>
            <w:r w:rsidRPr="008B521C">
              <w:rPr>
                <w:i/>
                <w:w w:val="105"/>
                <w:sz w:val="16"/>
                <w:szCs w:val="16"/>
              </w:rPr>
              <w:t xml:space="preserve">: AGU. </w:t>
            </w:r>
            <w:r w:rsidRPr="008B521C">
              <w:rPr>
                <w:b/>
                <w:i/>
                <w:w w:val="105"/>
                <w:sz w:val="16"/>
                <w:szCs w:val="16"/>
              </w:rPr>
              <w:t>Elaboração</w:t>
            </w:r>
            <w:r w:rsidRPr="008B521C">
              <w:rPr>
                <w:i/>
                <w:w w:val="105"/>
                <w:sz w:val="16"/>
                <w:szCs w:val="16"/>
              </w:rPr>
              <w:t>: STN/ME</w:t>
            </w:r>
          </w:p>
        </w:tc>
      </w:tr>
    </w:tbl>
    <w:p w14:paraId="3D1CAD25" w14:textId="770DE2B5" w:rsidR="000D17A6" w:rsidRPr="008B521C" w:rsidRDefault="000D17A6" w:rsidP="00917EE3">
      <w:pPr>
        <w:pStyle w:val="Ttulo4"/>
        <w:keepLines/>
        <w:numPr>
          <w:ilvl w:val="3"/>
          <w:numId w:val="36"/>
        </w:numPr>
        <w:spacing w:before="240" w:after="120"/>
        <w:ind w:left="862" w:hanging="862"/>
        <w:jc w:val="left"/>
        <w:rPr>
          <w:rFonts w:asciiTheme="minorHAnsi" w:hAnsiTheme="minorHAnsi"/>
        </w:rPr>
      </w:pPr>
      <w:r w:rsidRPr="008B521C">
        <w:rPr>
          <w:rFonts w:asciiTheme="minorHAnsi" w:hAnsiTheme="minorHAnsi"/>
        </w:rPr>
        <w:t>Demandas Judiciais das Empresas Estatais Dependentes da União</w:t>
      </w:r>
      <w:bookmarkEnd w:id="209"/>
      <w:bookmarkEnd w:id="210"/>
      <w:bookmarkEnd w:id="211"/>
    </w:p>
    <w:p w14:paraId="2926A87F" w14:textId="6C70E57C" w:rsidR="003F4EB8" w:rsidRPr="006E79F9" w:rsidRDefault="00475FD1" w:rsidP="00244696">
      <w:pPr>
        <w:spacing w:after="120" w:line="240" w:lineRule="auto"/>
        <w:ind w:firstLine="1418"/>
        <w:jc w:val="both"/>
        <w:rPr>
          <w:w w:val="105"/>
          <w:sz w:val="24"/>
          <w:szCs w:val="24"/>
        </w:rPr>
      </w:pPr>
      <w:bookmarkStart w:id="212" w:name="_Hlk66461650"/>
      <w:r w:rsidRPr="000C51BE">
        <w:rPr>
          <w:w w:val="105"/>
          <w:sz w:val="24"/>
          <w:szCs w:val="24"/>
        </w:rPr>
        <w:t>Segundo as informações prestadas pela Secretaria de Coordenação e Governança das Empresas Estatais (SEST), órgão responsável pela supervisão e controle das empresas estatais federais, as ações judiciais das empresas dependentes em que o risco de perda é considerado possível, configurando passivos contingentes, totalizam</w:t>
      </w:r>
      <w:r w:rsidR="00227461">
        <w:rPr>
          <w:w w:val="105"/>
          <w:sz w:val="24"/>
          <w:szCs w:val="24"/>
        </w:rPr>
        <w:t xml:space="preserve"> cerca de</w:t>
      </w:r>
      <w:r w:rsidRPr="000C51BE">
        <w:rPr>
          <w:w w:val="105"/>
          <w:sz w:val="24"/>
          <w:szCs w:val="24"/>
        </w:rPr>
        <w:t xml:space="preserve"> R$ 4,9 bilhões, sendo </w:t>
      </w:r>
      <w:proofErr w:type="gramStart"/>
      <w:r w:rsidRPr="000C51BE">
        <w:rPr>
          <w:w w:val="105"/>
          <w:sz w:val="24"/>
          <w:szCs w:val="24"/>
        </w:rPr>
        <w:t>constituídas</w:t>
      </w:r>
      <w:proofErr w:type="gramEnd"/>
      <w:r w:rsidRPr="000C51BE">
        <w:rPr>
          <w:w w:val="105"/>
          <w:sz w:val="24"/>
          <w:szCs w:val="24"/>
        </w:rPr>
        <w:t xml:space="preserve"> por demandas judiciais de natureza trabalhista, tributária, previdenciária e cível, conforme demonstrado na </w:t>
      </w:r>
      <w:r w:rsidR="008A42DE" w:rsidRPr="006E79F9">
        <w:rPr>
          <w:w w:val="105"/>
          <w:sz w:val="24"/>
          <w:szCs w:val="24"/>
        </w:rPr>
        <w:fldChar w:fldCharType="begin"/>
      </w:r>
      <w:r w:rsidR="008A42DE" w:rsidRPr="006E79F9">
        <w:rPr>
          <w:w w:val="105"/>
          <w:sz w:val="24"/>
          <w:szCs w:val="24"/>
        </w:rPr>
        <w:instrText xml:space="preserve"> REF _Ref35797089 \h </w:instrText>
      </w:r>
      <w:r w:rsidR="006709F6" w:rsidRPr="006E79F9">
        <w:rPr>
          <w:w w:val="105"/>
          <w:sz w:val="24"/>
          <w:szCs w:val="24"/>
        </w:rPr>
        <w:instrText xml:space="preserve"> \* MERGEFORMAT </w:instrText>
      </w:r>
      <w:r w:rsidR="008A42DE" w:rsidRPr="006E79F9">
        <w:rPr>
          <w:w w:val="105"/>
          <w:sz w:val="24"/>
          <w:szCs w:val="24"/>
        </w:rPr>
      </w:r>
      <w:r w:rsidR="008A42DE" w:rsidRPr="006E79F9">
        <w:rPr>
          <w:w w:val="105"/>
          <w:sz w:val="24"/>
          <w:szCs w:val="24"/>
        </w:rPr>
        <w:fldChar w:fldCharType="separate"/>
      </w:r>
      <w:r w:rsidR="00304F5F" w:rsidRPr="00304F5F">
        <w:rPr>
          <w:w w:val="105"/>
          <w:sz w:val="24"/>
          <w:szCs w:val="24"/>
        </w:rPr>
        <w:t>Tabela 19</w:t>
      </w:r>
      <w:r w:rsidR="008A42DE" w:rsidRPr="006E79F9">
        <w:rPr>
          <w:w w:val="105"/>
          <w:sz w:val="24"/>
          <w:szCs w:val="24"/>
        </w:rPr>
        <w:fldChar w:fldCharType="end"/>
      </w:r>
      <w:r w:rsidR="008A42DE" w:rsidRPr="006E79F9">
        <w:rPr>
          <w:w w:val="105"/>
          <w:sz w:val="24"/>
          <w:szCs w:val="24"/>
        </w:rPr>
        <w:t>.</w:t>
      </w:r>
    </w:p>
    <w:p w14:paraId="4B1ACB8E" w14:textId="77777777" w:rsidR="00475FD1" w:rsidRPr="000C51BE" w:rsidRDefault="00475FD1" w:rsidP="00475FD1">
      <w:pPr>
        <w:spacing w:after="120" w:line="240" w:lineRule="auto"/>
        <w:ind w:firstLine="1418"/>
        <w:jc w:val="both"/>
        <w:rPr>
          <w:w w:val="105"/>
          <w:sz w:val="24"/>
          <w:szCs w:val="24"/>
        </w:rPr>
      </w:pPr>
      <w:r w:rsidRPr="2E16315C">
        <w:rPr>
          <w:sz w:val="24"/>
          <w:szCs w:val="24"/>
        </w:rPr>
        <w:t>As reclamações trabalhistas totalizam R$ 2,9 bilhões. Em geral, estas ações advêm de litígios por reivindicação de atualização salarial ou recomposição de perdas decorrentes de índices utilizados por ocasião dos Planos Econômicos. Também estão incluídas neste grupo as demais ações relativas aos empregados como solicitações de pagamento de horas-extras, descumprimento de dissídio coletivo, pagamento de diárias, adicional noturno, adicional de periculosidade e insalubridade e incorporação de gratificação.</w:t>
      </w:r>
    </w:p>
    <w:p w14:paraId="3670ECB6" w14:textId="77777777" w:rsidR="00611C18" w:rsidRPr="000C51BE" w:rsidRDefault="00611C18" w:rsidP="00611C18">
      <w:pPr>
        <w:spacing w:after="120" w:line="240" w:lineRule="auto"/>
        <w:ind w:firstLine="1418"/>
        <w:jc w:val="both"/>
        <w:rPr>
          <w:w w:val="105"/>
          <w:sz w:val="24"/>
          <w:szCs w:val="24"/>
        </w:rPr>
      </w:pPr>
      <w:r w:rsidRPr="2E16315C">
        <w:rPr>
          <w:sz w:val="24"/>
          <w:szCs w:val="24"/>
        </w:rPr>
        <w:t xml:space="preserve">As ações cíveis se referem a pleitos de direito de natureza civil, ou seja, </w:t>
      </w:r>
      <w:proofErr w:type="gramStart"/>
      <w:r w:rsidRPr="2E16315C">
        <w:rPr>
          <w:sz w:val="24"/>
          <w:szCs w:val="24"/>
        </w:rPr>
        <w:t>não-criminal</w:t>
      </w:r>
      <w:proofErr w:type="gramEnd"/>
      <w:r w:rsidRPr="2E16315C">
        <w:rPr>
          <w:sz w:val="24"/>
          <w:szCs w:val="24"/>
        </w:rPr>
        <w:t xml:space="preserve">, podendo se tratar de conflitos nas áreas familiar, sucessória, obrigacional ou real. No caso das empresas estatais federais, as ações se referem a uma diversidade de questionamentos, como indenizações por danos materiais, acidentes, desapropriação, garantia de participação do impetrante em contratos de opção e leilões eletrônicos, ação de cobrança, protesto de títulos, suspensão dos efeitos dos atos administrativos, suspensão de multa, dentre outros. As ações cíveis das Estatais Federais somaram aproximadamente </w:t>
      </w:r>
      <w:proofErr w:type="gramStart"/>
      <w:r w:rsidRPr="2E16315C">
        <w:rPr>
          <w:sz w:val="24"/>
          <w:szCs w:val="24"/>
        </w:rPr>
        <w:t>R$ 1,8 bilhões</w:t>
      </w:r>
      <w:proofErr w:type="gramEnd"/>
      <w:r w:rsidRPr="2E16315C">
        <w:rPr>
          <w:sz w:val="24"/>
          <w:szCs w:val="24"/>
        </w:rPr>
        <w:t>.</w:t>
      </w:r>
    </w:p>
    <w:p w14:paraId="5DFFE1FF" w14:textId="597DFE64" w:rsidR="00475FD1" w:rsidRPr="00981832" w:rsidRDefault="00475FD1" w:rsidP="00475FD1">
      <w:pPr>
        <w:spacing w:after="120" w:line="240" w:lineRule="auto"/>
        <w:ind w:firstLine="1418"/>
        <w:jc w:val="both"/>
        <w:rPr>
          <w:sz w:val="24"/>
          <w:szCs w:val="24"/>
        </w:rPr>
      </w:pPr>
      <w:r w:rsidRPr="2E16315C">
        <w:rPr>
          <w:sz w:val="24"/>
          <w:szCs w:val="24"/>
        </w:rPr>
        <w:t>As lides d</w:t>
      </w:r>
      <w:r w:rsidR="000F2D31">
        <w:rPr>
          <w:sz w:val="24"/>
          <w:szCs w:val="24"/>
        </w:rPr>
        <w:t>e</w:t>
      </w:r>
      <w:r w:rsidRPr="2E16315C">
        <w:rPr>
          <w:sz w:val="24"/>
          <w:szCs w:val="24"/>
        </w:rPr>
        <w:t xml:space="preserve"> ordem tributária somam R$ 143,2 milhões e derivam de não recolhimento de impostos pelas Empresas, </w:t>
      </w:r>
      <w:r w:rsidRPr="00981832">
        <w:rPr>
          <w:sz w:val="24"/>
          <w:szCs w:val="24"/>
        </w:rPr>
        <w:t xml:space="preserve">notadamente os devidos aos estados e municípios. As demandas previdenciárias totalizaram </w:t>
      </w:r>
      <w:r w:rsidR="006F5C56" w:rsidRPr="00981832">
        <w:rPr>
          <w:sz w:val="24"/>
          <w:szCs w:val="24"/>
        </w:rPr>
        <w:t xml:space="preserve">cerca de </w:t>
      </w:r>
      <w:r w:rsidRPr="00981832">
        <w:rPr>
          <w:sz w:val="24"/>
          <w:szCs w:val="24"/>
        </w:rPr>
        <w:t>R$ 15,</w:t>
      </w:r>
      <w:r w:rsidR="006F5C56" w:rsidRPr="00981832">
        <w:rPr>
          <w:sz w:val="24"/>
          <w:szCs w:val="24"/>
        </w:rPr>
        <w:t>8</w:t>
      </w:r>
      <w:r w:rsidRPr="00981832">
        <w:rPr>
          <w:sz w:val="24"/>
          <w:szCs w:val="24"/>
        </w:rPr>
        <w:t xml:space="preserve"> milhões e correspondem àquelas em que as Empresas são acionadas pelo Instituto Nacional de Seguridade Social (INSS) pelo não recolhimento das contribuições previdenciárias de seus empregados.</w:t>
      </w:r>
    </w:p>
    <w:p w14:paraId="3F17CAE9" w14:textId="77777777" w:rsidR="009258AE" w:rsidRPr="00981832" w:rsidRDefault="009258AE" w:rsidP="00C03151">
      <w:pPr>
        <w:spacing w:after="120" w:line="240" w:lineRule="auto"/>
        <w:jc w:val="both"/>
        <w:rPr>
          <w:sz w:val="24"/>
          <w:szCs w:val="24"/>
        </w:rPr>
      </w:pPr>
    </w:p>
    <w:p w14:paraId="0F641CCD" w14:textId="2161ED24" w:rsidR="00E52ED7" w:rsidRPr="00981832" w:rsidRDefault="000D17A6" w:rsidP="00E52ED7">
      <w:pPr>
        <w:pStyle w:val="Legenda"/>
        <w:spacing w:before="240" w:after="120"/>
        <w:jc w:val="center"/>
        <w:rPr>
          <w:rFonts w:asciiTheme="minorHAnsi" w:hAnsiTheme="minorHAnsi"/>
          <w:i w:val="0"/>
          <w:iCs w:val="0"/>
          <w:color w:val="auto"/>
          <w:sz w:val="22"/>
          <w:szCs w:val="22"/>
        </w:rPr>
      </w:pPr>
      <w:bookmarkStart w:id="213" w:name="_Ref35797089"/>
      <w:bookmarkStart w:id="214" w:name="_Toc5027590"/>
      <w:bookmarkStart w:id="215" w:name="_Toc69121365"/>
      <w:r w:rsidRPr="00981832">
        <w:rPr>
          <w:rFonts w:asciiTheme="minorHAnsi" w:hAnsiTheme="minorHAnsi"/>
          <w:i w:val="0"/>
          <w:color w:val="auto"/>
          <w:sz w:val="22"/>
          <w:szCs w:val="22"/>
        </w:rPr>
        <w:t xml:space="preserve">Tabela </w:t>
      </w:r>
      <w:r w:rsidRPr="00981832">
        <w:rPr>
          <w:rFonts w:asciiTheme="minorHAnsi" w:hAnsiTheme="minorHAnsi"/>
          <w:i w:val="0"/>
          <w:color w:val="auto"/>
          <w:sz w:val="22"/>
          <w:szCs w:val="22"/>
        </w:rPr>
        <w:fldChar w:fldCharType="begin"/>
      </w:r>
      <w:r w:rsidRPr="00981832">
        <w:rPr>
          <w:rFonts w:asciiTheme="minorHAnsi" w:hAnsiTheme="minorHAnsi"/>
          <w:i w:val="0"/>
          <w:color w:val="auto"/>
          <w:sz w:val="22"/>
          <w:szCs w:val="22"/>
        </w:rPr>
        <w:instrText xml:space="preserve"> SEQ Tabela \* ARABIC </w:instrText>
      </w:r>
      <w:r w:rsidRPr="00981832">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19</w:t>
      </w:r>
      <w:r w:rsidRPr="00981832">
        <w:rPr>
          <w:rFonts w:asciiTheme="minorHAnsi" w:hAnsiTheme="minorHAnsi"/>
          <w:i w:val="0"/>
          <w:color w:val="auto"/>
          <w:sz w:val="22"/>
          <w:szCs w:val="22"/>
        </w:rPr>
        <w:fldChar w:fldCharType="end"/>
      </w:r>
      <w:bookmarkEnd w:id="213"/>
      <w:r w:rsidR="00835A00" w:rsidRPr="00981832">
        <w:rPr>
          <w:rFonts w:asciiTheme="minorHAnsi" w:hAnsiTheme="minorHAnsi"/>
          <w:i w:val="0"/>
          <w:color w:val="auto"/>
          <w:sz w:val="22"/>
          <w:szCs w:val="22"/>
        </w:rPr>
        <w:t xml:space="preserve"> </w:t>
      </w:r>
      <w:r w:rsidR="00845B49" w:rsidRPr="00981832">
        <w:rPr>
          <w:rFonts w:asciiTheme="minorHAnsi" w:hAnsiTheme="minorHAnsi"/>
          <w:i w:val="0"/>
          <w:color w:val="auto"/>
          <w:sz w:val="22"/>
          <w:szCs w:val="22"/>
        </w:rPr>
        <w:t xml:space="preserve">- </w:t>
      </w:r>
      <w:r w:rsidRPr="00981832">
        <w:rPr>
          <w:rFonts w:asciiTheme="minorHAnsi" w:hAnsiTheme="minorHAnsi"/>
          <w:i w:val="0"/>
          <w:color w:val="auto"/>
          <w:sz w:val="22"/>
          <w:szCs w:val="22"/>
        </w:rPr>
        <w:t>Demandas Judiciais das Empresas Estatais Federais</w:t>
      </w:r>
      <w:bookmarkEnd w:id="214"/>
      <w:bookmarkEnd w:id="215"/>
    </w:p>
    <w:tbl>
      <w:tblPr>
        <w:tblW w:w="992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536"/>
        <w:gridCol w:w="1276"/>
        <w:gridCol w:w="851"/>
        <w:gridCol w:w="1417"/>
        <w:gridCol w:w="1134"/>
        <w:gridCol w:w="709"/>
      </w:tblGrid>
      <w:tr w:rsidR="00105982" w:rsidRPr="005C5000" w14:paraId="13C3D583" w14:textId="77777777" w:rsidTr="00655251">
        <w:trPr>
          <w:trHeight w:val="20"/>
          <w:tblHeader/>
          <w:jc w:val="center"/>
        </w:trPr>
        <w:tc>
          <w:tcPr>
            <w:tcW w:w="4536" w:type="dxa"/>
            <w:tcBorders>
              <w:top w:val="nil"/>
              <w:left w:val="nil"/>
              <w:bottom w:val="nil"/>
              <w:right w:val="nil"/>
            </w:tcBorders>
            <w:shd w:val="clear" w:color="auto" w:fill="auto"/>
            <w:noWrap/>
            <w:vAlign w:val="center"/>
          </w:tcPr>
          <w:p w14:paraId="10F0F680" w14:textId="77777777" w:rsidR="00105982" w:rsidRPr="00910F38" w:rsidRDefault="00105982" w:rsidP="00655251">
            <w:pPr>
              <w:spacing w:after="0" w:line="240" w:lineRule="auto"/>
              <w:jc w:val="right"/>
              <w:rPr>
                <w:rFonts w:eastAsia="Times New Roman" w:cs="Arial"/>
                <w:color w:val="FFFFFF" w:themeColor="background1"/>
                <w:sz w:val="20"/>
                <w:szCs w:val="20"/>
                <w:lang w:eastAsia="pt-BR"/>
              </w:rPr>
            </w:pPr>
          </w:p>
        </w:tc>
        <w:tc>
          <w:tcPr>
            <w:tcW w:w="5387" w:type="dxa"/>
            <w:gridSpan w:val="5"/>
            <w:tcBorders>
              <w:top w:val="nil"/>
              <w:left w:val="nil"/>
              <w:bottom w:val="nil"/>
              <w:right w:val="nil"/>
            </w:tcBorders>
            <w:shd w:val="clear" w:color="auto" w:fill="auto"/>
            <w:noWrap/>
            <w:vAlign w:val="center"/>
          </w:tcPr>
          <w:p w14:paraId="6E0D6AB7" w14:textId="77777777" w:rsidR="00105982" w:rsidRPr="00910F38" w:rsidRDefault="00105982" w:rsidP="0053154C">
            <w:pPr>
              <w:spacing w:after="0" w:line="240" w:lineRule="auto"/>
              <w:jc w:val="right"/>
              <w:rPr>
                <w:rFonts w:eastAsia="Times New Roman" w:cs="Arial"/>
                <w:color w:val="FFFFFF" w:themeColor="background1"/>
                <w:sz w:val="20"/>
                <w:szCs w:val="20"/>
                <w:lang w:eastAsia="pt-BR"/>
              </w:rPr>
            </w:pPr>
            <w:r w:rsidRPr="00A650EE">
              <w:rPr>
                <w:rFonts w:eastAsia="Times New Roman" w:cs="Arial"/>
                <w:i/>
                <w:sz w:val="16"/>
                <w:szCs w:val="16"/>
                <w:lang w:eastAsia="pt-BR"/>
              </w:rPr>
              <w:t>Em R$ milhões</w:t>
            </w:r>
          </w:p>
        </w:tc>
      </w:tr>
      <w:tr w:rsidR="00AE6A12" w:rsidRPr="005C5000" w14:paraId="7DE438C9" w14:textId="77777777" w:rsidTr="00985BE5">
        <w:trPr>
          <w:trHeight w:val="20"/>
          <w:tblHeader/>
          <w:jc w:val="center"/>
        </w:trPr>
        <w:tc>
          <w:tcPr>
            <w:tcW w:w="4536" w:type="dxa"/>
            <w:vMerge w:val="restart"/>
            <w:tcBorders>
              <w:top w:val="nil"/>
            </w:tcBorders>
            <w:shd w:val="clear" w:color="auto" w:fill="404040" w:themeFill="text1" w:themeFillTint="BF"/>
            <w:noWrap/>
            <w:vAlign w:val="center"/>
            <w:hideMark/>
          </w:tcPr>
          <w:p w14:paraId="5AE2ACC6" w14:textId="77777777" w:rsidR="00105982" w:rsidRPr="00180F85" w:rsidRDefault="00105982" w:rsidP="00655251">
            <w:pPr>
              <w:spacing w:after="0" w:line="240" w:lineRule="auto"/>
              <w:jc w:val="center"/>
              <w:rPr>
                <w:rFonts w:eastAsia="Times New Roman" w:cs="Arial"/>
                <w:b/>
                <w:bCs/>
                <w:color w:val="FFFFFF" w:themeColor="background1"/>
                <w:sz w:val="20"/>
                <w:szCs w:val="20"/>
                <w:lang w:eastAsia="pt-BR"/>
              </w:rPr>
            </w:pPr>
            <w:r w:rsidRPr="00180F85">
              <w:rPr>
                <w:rFonts w:eastAsia="Times New Roman" w:cs="Arial"/>
                <w:b/>
                <w:bCs/>
                <w:color w:val="FFFFFF" w:themeColor="background1"/>
                <w:sz w:val="20"/>
                <w:szCs w:val="20"/>
                <w:lang w:eastAsia="pt-BR"/>
              </w:rPr>
              <w:t>Empresa</w:t>
            </w:r>
          </w:p>
        </w:tc>
        <w:tc>
          <w:tcPr>
            <w:tcW w:w="4678" w:type="dxa"/>
            <w:gridSpan w:val="4"/>
            <w:tcBorders>
              <w:top w:val="nil"/>
            </w:tcBorders>
            <w:shd w:val="clear" w:color="auto" w:fill="404040" w:themeFill="text1" w:themeFillTint="BF"/>
            <w:noWrap/>
            <w:vAlign w:val="center"/>
            <w:hideMark/>
          </w:tcPr>
          <w:p w14:paraId="450B0BE2" w14:textId="77777777" w:rsidR="00105982" w:rsidRPr="00180F85" w:rsidRDefault="00105982" w:rsidP="00655251">
            <w:pPr>
              <w:spacing w:after="0" w:line="240" w:lineRule="auto"/>
              <w:jc w:val="center"/>
              <w:rPr>
                <w:rFonts w:eastAsia="Times New Roman" w:cs="Arial"/>
                <w:b/>
                <w:bCs/>
                <w:color w:val="FFFFFF" w:themeColor="background1"/>
                <w:sz w:val="20"/>
                <w:szCs w:val="20"/>
                <w:lang w:eastAsia="pt-BR"/>
              </w:rPr>
            </w:pPr>
            <w:r w:rsidRPr="00180F85">
              <w:rPr>
                <w:rFonts w:eastAsia="Times New Roman" w:cs="Arial"/>
                <w:b/>
                <w:bCs/>
                <w:color w:val="FFFFFF" w:themeColor="background1"/>
                <w:sz w:val="20"/>
                <w:szCs w:val="20"/>
                <w:lang w:eastAsia="pt-BR"/>
              </w:rPr>
              <w:t>Tipo de Demanda</w:t>
            </w:r>
          </w:p>
        </w:tc>
        <w:tc>
          <w:tcPr>
            <w:tcW w:w="709" w:type="dxa"/>
            <w:vMerge w:val="restart"/>
            <w:tcBorders>
              <w:top w:val="nil"/>
            </w:tcBorders>
            <w:shd w:val="clear" w:color="auto" w:fill="404040" w:themeFill="text1" w:themeFillTint="BF"/>
            <w:noWrap/>
            <w:vAlign w:val="center"/>
            <w:hideMark/>
          </w:tcPr>
          <w:p w14:paraId="53D3C2C7" w14:textId="77777777" w:rsidR="00105982" w:rsidRPr="00180F85" w:rsidRDefault="00105982" w:rsidP="00655251">
            <w:pPr>
              <w:spacing w:after="0" w:line="240" w:lineRule="auto"/>
              <w:jc w:val="center"/>
              <w:rPr>
                <w:rFonts w:eastAsia="Times New Roman" w:cs="Arial"/>
                <w:b/>
                <w:bCs/>
                <w:color w:val="FFFFFF" w:themeColor="background1"/>
                <w:sz w:val="20"/>
                <w:szCs w:val="20"/>
                <w:lang w:eastAsia="pt-BR"/>
              </w:rPr>
            </w:pPr>
            <w:r w:rsidRPr="00180F85">
              <w:rPr>
                <w:rFonts w:eastAsia="Times New Roman" w:cs="Arial"/>
                <w:b/>
                <w:bCs/>
                <w:color w:val="FFFFFF" w:themeColor="background1"/>
                <w:sz w:val="20"/>
                <w:szCs w:val="20"/>
                <w:lang w:eastAsia="pt-BR"/>
              </w:rPr>
              <w:t>Total</w:t>
            </w:r>
          </w:p>
        </w:tc>
      </w:tr>
      <w:tr w:rsidR="00105982" w:rsidRPr="005C5000" w14:paraId="69A9E16F" w14:textId="77777777" w:rsidTr="00985BE5">
        <w:trPr>
          <w:trHeight w:val="20"/>
          <w:tblHeader/>
          <w:jc w:val="center"/>
        </w:trPr>
        <w:tc>
          <w:tcPr>
            <w:tcW w:w="4536" w:type="dxa"/>
            <w:vMerge/>
            <w:shd w:val="clear" w:color="auto" w:fill="404040" w:themeFill="text1" w:themeFillTint="BF"/>
            <w:vAlign w:val="center"/>
            <w:hideMark/>
          </w:tcPr>
          <w:p w14:paraId="376377D2" w14:textId="77777777" w:rsidR="00105982" w:rsidRPr="00910F38" w:rsidRDefault="00105982" w:rsidP="00655251">
            <w:pPr>
              <w:spacing w:after="0" w:line="240" w:lineRule="auto"/>
              <w:rPr>
                <w:rFonts w:eastAsia="Times New Roman" w:cs="Arial"/>
                <w:b/>
                <w:color w:val="FFFFFF" w:themeColor="background1"/>
                <w:sz w:val="20"/>
                <w:szCs w:val="20"/>
                <w:lang w:eastAsia="pt-BR"/>
              </w:rPr>
            </w:pPr>
          </w:p>
        </w:tc>
        <w:tc>
          <w:tcPr>
            <w:tcW w:w="1276" w:type="dxa"/>
            <w:shd w:val="clear" w:color="auto" w:fill="404040" w:themeFill="text1" w:themeFillTint="BF"/>
            <w:noWrap/>
            <w:vAlign w:val="center"/>
            <w:hideMark/>
          </w:tcPr>
          <w:p w14:paraId="7DF8966A" w14:textId="77777777" w:rsidR="00105982" w:rsidRPr="00180F85" w:rsidRDefault="00105982" w:rsidP="00655251">
            <w:pPr>
              <w:spacing w:after="0" w:line="240" w:lineRule="auto"/>
              <w:jc w:val="center"/>
              <w:rPr>
                <w:rFonts w:eastAsia="Times New Roman" w:cs="Arial"/>
                <w:b/>
                <w:bCs/>
                <w:color w:val="FFFFFF" w:themeColor="background1"/>
                <w:sz w:val="20"/>
                <w:szCs w:val="20"/>
                <w:lang w:eastAsia="pt-BR"/>
              </w:rPr>
            </w:pPr>
            <w:r w:rsidRPr="00180F85">
              <w:rPr>
                <w:rFonts w:eastAsia="Times New Roman" w:cs="Arial"/>
                <w:b/>
                <w:bCs/>
                <w:color w:val="FFFFFF" w:themeColor="background1"/>
                <w:sz w:val="20"/>
                <w:szCs w:val="20"/>
                <w:lang w:eastAsia="pt-BR"/>
              </w:rPr>
              <w:t>Trabalhista</w:t>
            </w:r>
          </w:p>
        </w:tc>
        <w:tc>
          <w:tcPr>
            <w:tcW w:w="851" w:type="dxa"/>
            <w:shd w:val="clear" w:color="auto" w:fill="404040" w:themeFill="text1" w:themeFillTint="BF"/>
            <w:noWrap/>
            <w:vAlign w:val="center"/>
            <w:hideMark/>
          </w:tcPr>
          <w:p w14:paraId="44AF6CA0" w14:textId="77777777" w:rsidR="00105982" w:rsidRPr="00180F85" w:rsidRDefault="00105982" w:rsidP="00655251">
            <w:pPr>
              <w:spacing w:after="0" w:line="240" w:lineRule="auto"/>
              <w:jc w:val="center"/>
              <w:rPr>
                <w:rFonts w:eastAsia="Times New Roman" w:cs="Arial"/>
                <w:b/>
                <w:bCs/>
                <w:color w:val="FFFFFF" w:themeColor="background1"/>
                <w:sz w:val="20"/>
                <w:szCs w:val="20"/>
                <w:lang w:eastAsia="pt-BR"/>
              </w:rPr>
            </w:pPr>
            <w:r w:rsidRPr="00180F85">
              <w:rPr>
                <w:rFonts w:eastAsia="Times New Roman" w:cs="Arial"/>
                <w:b/>
                <w:bCs/>
                <w:color w:val="FFFFFF" w:themeColor="background1"/>
                <w:sz w:val="20"/>
                <w:szCs w:val="20"/>
                <w:lang w:eastAsia="pt-BR"/>
              </w:rPr>
              <w:t>Cível</w:t>
            </w:r>
          </w:p>
        </w:tc>
        <w:tc>
          <w:tcPr>
            <w:tcW w:w="1417" w:type="dxa"/>
            <w:shd w:val="clear" w:color="auto" w:fill="404040" w:themeFill="text1" w:themeFillTint="BF"/>
            <w:noWrap/>
            <w:vAlign w:val="center"/>
            <w:hideMark/>
          </w:tcPr>
          <w:p w14:paraId="18E70361" w14:textId="77777777" w:rsidR="00105982" w:rsidRPr="00180F85" w:rsidRDefault="00105982" w:rsidP="00655251">
            <w:pPr>
              <w:spacing w:after="0" w:line="240" w:lineRule="auto"/>
              <w:jc w:val="center"/>
              <w:rPr>
                <w:rFonts w:eastAsia="Times New Roman" w:cs="Arial"/>
                <w:b/>
                <w:bCs/>
                <w:color w:val="FFFFFF" w:themeColor="background1"/>
                <w:sz w:val="20"/>
                <w:szCs w:val="20"/>
                <w:lang w:eastAsia="pt-BR"/>
              </w:rPr>
            </w:pPr>
            <w:r w:rsidRPr="00180F85">
              <w:rPr>
                <w:rFonts w:eastAsia="Times New Roman" w:cs="Arial"/>
                <w:b/>
                <w:bCs/>
                <w:color w:val="FFFFFF" w:themeColor="background1"/>
                <w:sz w:val="20"/>
                <w:szCs w:val="20"/>
                <w:lang w:eastAsia="pt-BR"/>
              </w:rPr>
              <w:t>Previdenciário</w:t>
            </w:r>
          </w:p>
        </w:tc>
        <w:tc>
          <w:tcPr>
            <w:tcW w:w="1134" w:type="dxa"/>
            <w:shd w:val="clear" w:color="auto" w:fill="404040" w:themeFill="text1" w:themeFillTint="BF"/>
            <w:noWrap/>
            <w:vAlign w:val="center"/>
            <w:hideMark/>
          </w:tcPr>
          <w:p w14:paraId="71795E20" w14:textId="77777777" w:rsidR="00105982" w:rsidRPr="00180F85" w:rsidRDefault="00105982" w:rsidP="00655251">
            <w:pPr>
              <w:spacing w:after="0" w:line="240" w:lineRule="auto"/>
              <w:jc w:val="center"/>
              <w:rPr>
                <w:rFonts w:eastAsia="Times New Roman" w:cs="Arial"/>
                <w:b/>
                <w:bCs/>
                <w:color w:val="FFFFFF" w:themeColor="background1"/>
                <w:sz w:val="20"/>
                <w:szCs w:val="20"/>
                <w:lang w:eastAsia="pt-BR"/>
              </w:rPr>
            </w:pPr>
            <w:r w:rsidRPr="00180F85">
              <w:rPr>
                <w:rFonts w:eastAsia="Times New Roman" w:cs="Arial"/>
                <w:b/>
                <w:bCs/>
                <w:color w:val="FFFFFF" w:themeColor="background1"/>
                <w:sz w:val="20"/>
                <w:szCs w:val="20"/>
                <w:lang w:eastAsia="pt-BR"/>
              </w:rPr>
              <w:t>Tributário</w:t>
            </w:r>
          </w:p>
        </w:tc>
        <w:tc>
          <w:tcPr>
            <w:tcW w:w="709" w:type="dxa"/>
            <w:vMerge/>
            <w:shd w:val="clear" w:color="auto" w:fill="404040" w:themeFill="text1" w:themeFillTint="BF"/>
            <w:vAlign w:val="center"/>
            <w:hideMark/>
          </w:tcPr>
          <w:p w14:paraId="581CF32D" w14:textId="77777777" w:rsidR="00105982" w:rsidRPr="005C5000" w:rsidRDefault="00105982" w:rsidP="00655251">
            <w:pPr>
              <w:spacing w:after="0" w:line="240" w:lineRule="auto"/>
              <w:rPr>
                <w:rFonts w:eastAsia="Times New Roman" w:cs="Arial"/>
                <w:b/>
                <w:color w:val="FFFFFF" w:themeColor="background1"/>
                <w:sz w:val="18"/>
                <w:szCs w:val="18"/>
                <w:lang w:eastAsia="pt-BR"/>
              </w:rPr>
            </w:pPr>
          </w:p>
        </w:tc>
      </w:tr>
      <w:tr w:rsidR="00105982" w:rsidRPr="005C5000" w14:paraId="04959B81" w14:textId="77777777" w:rsidTr="0053154C">
        <w:trPr>
          <w:trHeight w:val="20"/>
          <w:jc w:val="center"/>
        </w:trPr>
        <w:tc>
          <w:tcPr>
            <w:tcW w:w="4536" w:type="dxa"/>
            <w:shd w:val="clear" w:color="000000" w:fill="FFFFFF"/>
            <w:noWrap/>
            <w:hideMark/>
          </w:tcPr>
          <w:p w14:paraId="353A423B"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Empresa de Planejamento e Logística - EPL</w:t>
            </w:r>
          </w:p>
        </w:tc>
        <w:tc>
          <w:tcPr>
            <w:tcW w:w="1276" w:type="dxa"/>
            <w:shd w:val="clear" w:color="000000" w:fill="FFFFFF"/>
            <w:noWrap/>
            <w:vAlign w:val="center"/>
            <w:hideMark/>
          </w:tcPr>
          <w:p w14:paraId="170BA249" w14:textId="77777777" w:rsidR="00105982" w:rsidRPr="005C5000" w:rsidRDefault="00105982" w:rsidP="00655251">
            <w:pPr>
              <w:spacing w:after="0" w:line="240" w:lineRule="auto"/>
              <w:jc w:val="right"/>
              <w:rPr>
                <w:rFonts w:eastAsia="Times New Roman" w:cstheme="minorHAnsi"/>
                <w:sz w:val="18"/>
                <w:szCs w:val="18"/>
                <w:lang w:eastAsia="pt-BR"/>
              </w:rPr>
            </w:pPr>
            <w:r>
              <w:rPr>
                <w:rFonts w:ascii="Calibri" w:hAnsi="Calibri" w:cs="Calibri"/>
                <w:color w:val="000000"/>
                <w:sz w:val="18"/>
                <w:szCs w:val="18"/>
              </w:rPr>
              <w:t>1,3</w:t>
            </w:r>
          </w:p>
        </w:tc>
        <w:tc>
          <w:tcPr>
            <w:tcW w:w="851" w:type="dxa"/>
            <w:shd w:val="clear" w:color="000000" w:fill="FFFFFF"/>
            <w:noWrap/>
            <w:vAlign w:val="center"/>
            <w:hideMark/>
          </w:tcPr>
          <w:p w14:paraId="345D7D9F" w14:textId="77777777" w:rsidR="00105982" w:rsidRPr="005C5000" w:rsidRDefault="00105982" w:rsidP="00655251">
            <w:pPr>
              <w:spacing w:after="0" w:line="240" w:lineRule="auto"/>
              <w:jc w:val="right"/>
              <w:rPr>
                <w:rFonts w:eastAsia="Times New Roman" w:cstheme="minorHAnsi"/>
                <w:sz w:val="18"/>
                <w:szCs w:val="18"/>
                <w:lang w:eastAsia="pt-BR"/>
              </w:rPr>
            </w:pPr>
            <w:r>
              <w:rPr>
                <w:rFonts w:ascii="Calibri" w:hAnsi="Calibri" w:cs="Calibri"/>
                <w:color w:val="000000"/>
                <w:sz w:val="18"/>
                <w:szCs w:val="18"/>
              </w:rPr>
              <w:t>48,4</w:t>
            </w:r>
          </w:p>
        </w:tc>
        <w:tc>
          <w:tcPr>
            <w:tcW w:w="1417" w:type="dxa"/>
            <w:shd w:val="clear" w:color="000000" w:fill="FFFFFF"/>
            <w:noWrap/>
            <w:vAlign w:val="center"/>
            <w:hideMark/>
          </w:tcPr>
          <w:p w14:paraId="01A911F6" w14:textId="3D80C62F" w:rsidR="00105982" w:rsidRPr="005C5000" w:rsidRDefault="00105982" w:rsidP="00655251">
            <w:pPr>
              <w:spacing w:after="0" w:line="240" w:lineRule="auto"/>
              <w:jc w:val="center"/>
              <w:rPr>
                <w:rFonts w:eastAsia="Times New Roman" w:cstheme="minorHAnsi"/>
                <w:sz w:val="18"/>
                <w:szCs w:val="18"/>
                <w:lang w:eastAsia="pt-BR"/>
              </w:rPr>
            </w:pPr>
            <w:r>
              <w:rPr>
                <w:rFonts w:ascii="Calibri" w:hAnsi="Calibri" w:cs="Calibri"/>
                <w:color w:val="000000"/>
                <w:sz w:val="18"/>
                <w:szCs w:val="18"/>
              </w:rPr>
              <w:t>-</w:t>
            </w:r>
          </w:p>
        </w:tc>
        <w:tc>
          <w:tcPr>
            <w:tcW w:w="1134" w:type="dxa"/>
            <w:shd w:val="clear" w:color="000000" w:fill="FFFFFF"/>
            <w:noWrap/>
            <w:vAlign w:val="center"/>
            <w:hideMark/>
          </w:tcPr>
          <w:p w14:paraId="4E22ABA3" w14:textId="103FD191" w:rsidR="00105982" w:rsidRPr="005C5000" w:rsidRDefault="00105982" w:rsidP="00655251">
            <w:pPr>
              <w:spacing w:after="0" w:line="240" w:lineRule="auto"/>
              <w:jc w:val="center"/>
              <w:rPr>
                <w:rFonts w:eastAsia="Times New Roman" w:cstheme="minorHAnsi"/>
                <w:sz w:val="18"/>
                <w:szCs w:val="18"/>
                <w:lang w:eastAsia="pt-BR"/>
              </w:rPr>
            </w:pPr>
            <w:r>
              <w:rPr>
                <w:rFonts w:ascii="Calibri" w:hAnsi="Calibri" w:cs="Calibri"/>
                <w:color w:val="000000"/>
                <w:sz w:val="18"/>
                <w:szCs w:val="18"/>
              </w:rPr>
              <w:t>-</w:t>
            </w:r>
          </w:p>
        </w:tc>
        <w:tc>
          <w:tcPr>
            <w:tcW w:w="709" w:type="dxa"/>
            <w:shd w:val="clear" w:color="000000" w:fill="FFFFFF"/>
            <w:noWrap/>
            <w:vAlign w:val="bottom"/>
          </w:tcPr>
          <w:p w14:paraId="231F5892"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49,7</w:t>
            </w:r>
          </w:p>
        </w:tc>
      </w:tr>
      <w:tr w:rsidR="00105982" w:rsidRPr="005C5000" w14:paraId="7171605F" w14:textId="77777777" w:rsidTr="0053154C">
        <w:trPr>
          <w:trHeight w:val="20"/>
          <w:jc w:val="center"/>
        </w:trPr>
        <w:tc>
          <w:tcPr>
            <w:tcW w:w="4536" w:type="dxa"/>
            <w:shd w:val="clear" w:color="auto" w:fill="F2F2F2" w:themeFill="background1" w:themeFillShade="F2"/>
            <w:noWrap/>
            <w:hideMark/>
          </w:tcPr>
          <w:p w14:paraId="7A7B5BC2"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Empresa Brasileira de serviços hospitalares - EBSERH</w:t>
            </w:r>
          </w:p>
        </w:tc>
        <w:tc>
          <w:tcPr>
            <w:tcW w:w="1276" w:type="dxa"/>
            <w:shd w:val="clear" w:color="auto" w:fill="F2F2F2" w:themeFill="background1" w:themeFillShade="F2"/>
            <w:noWrap/>
            <w:vAlign w:val="center"/>
          </w:tcPr>
          <w:p w14:paraId="697C0EA5"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68,8</w:t>
            </w:r>
          </w:p>
        </w:tc>
        <w:tc>
          <w:tcPr>
            <w:tcW w:w="851" w:type="dxa"/>
            <w:shd w:val="clear" w:color="auto" w:fill="F2F2F2" w:themeFill="background1" w:themeFillShade="F2"/>
            <w:noWrap/>
            <w:vAlign w:val="center"/>
          </w:tcPr>
          <w:p w14:paraId="574AC2CE"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68,8</w:t>
            </w:r>
          </w:p>
        </w:tc>
        <w:tc>
          <w:tcPr>
            <w:tcW w:w="1417" w:type="dxa"/>
            <w:shd w:val="clear" w:color="auto" w:fill="F2F2F2" w:themeFill="background1" w:themeFillShade="F2"/>
            <w:noWrap/>
            <w:vAlign w:val="center"/>
          </w:tcPr>
          <w:p w14:paraId="6A204422" w14:textId="7B576F01"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auto" w:fill="F2F2F2" w:themeFill="background1" w:themeFillShade="F2"/>
            <w:noWrap/>
            <w:vAlign w:val="center"/>
          </w:tcPr>
          <w:p w14:paraId="72E2AA62" w14:textId="644A7691"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auto" w:fill="F2F2F2" w:themeFill="background1" w:themeFillShade="F2"/>
            <w:noWrap/>
            <w:vAlign w:val="bottom"/>
          </w:tcPr>
          <w:p w14:paraId="7CAF703A"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137,6</w:t>
            </w:r>
          </w:p>
        </w:tc>
      </w:tr>
      <w:tr w:rsidR="00105982" w:rsidRPr="005C5000" w14:paraId="3D00AA22" w14:textId="77777777" w:rsidTr="0053154C">
        <w:trPr>
          <w:trHeight w:val="20"/>
          <w:jc w:val="center"/>
        </w:trPr>
        <w:tc>
          <w:tcPr>
            <w:tcW w:w="4536" w:type="dxa"/>
            <w:shd w:val="clear" w:color="000000" w:fill="FFFFFF"/>
            <w:noWrap/>
            <w:hideMark/>
          </w:tcPr>
          <w:p w14:paraId="258B0DBB"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Empresa Pesquisa Energética - EPE</w:t>
            </w:r>
          </w:p>
        </w:tc>
        <w:tc>
          <w:tcPr>
            <w:tcW w:w="1276" w:type="dxa"/>
            <w:shd w:val="clear" w:color="000000" w:fill="FFFFFF"/>
            <w:noWrap/>
            <w:vAlign w:val="center"/>
          </w:tcPr>
          <w:p w14:paraId="629A8417"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0,0</w:t>
            </w:r>
          </w:p>
        </w:tc>
        <w:tc>
          <w:tcPr>
            <w:tcW w:w="851" w:type="dxa"/>
            <w:shd w:val="clear" w:color="000000" w:fill="FFFFFF"/>
            <w:noWrap/>
            <w:vAlign w:val="center"/>
          </w:tcPr>
          <w:p w14:paraId="5CCA594B" w14:textId="17B38699"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w:t>
            </w:r>
          </w:p>
        </w:tc>
        <w:tc>
          <w:tcPr>
            <w:tcW w:w="1417" w:type="dxa"/>
            <w:shd w:val="clear" w:color="000000" w:fill="FFFFFF"/>
            <w:noWrap/>
            <w:vAlign w:val="center"/>
          </w:tcPr>
          <w:p w14:paraId="59D08483" w14:textId="5D3F60F7"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000000" w:fill="FFFFFF"/>
            <w:noWrap/>
            <w:vAlign w:val="center"/>
          </w:tcPr>
          <w:p w14:paraId="2F786F81" w14:textId="6377C536"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000000" w:fill="FFFFFF"/>
            <w:noWrap/>
            <w:vAlign w:val="bottom"/>
          </w:tcPr>
          <w:p w14:paraId="3A5A8081"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0,0</w:t>
            </w:r>
          </w:p>
        </w:tc>
      </w:tr>
      <w:tr w:rsidR="00105982" w:rsidRPr="005C5000" w14:paraId="5C2BD9DC" w14:textId="77777777" w:rsidTr="0053154C">
        <w:trPr>
          <w:trHeight w:val="20"/>
          <w:jc w:val="center"/>
        </w:trPr>
        <w:tc>
          <w:tcPr>
            <w:tcW w:w="4536" w:type="dxa"/>
            <w:shd w:val="clear" w:color="auto" w:fill="F2F2F2" w:themeFill="background1" w:themeFillShade="F2"/>
            <w:noWrap/>
            <w:hideMark/>
          </w:tcPr>
          <w:p w14:paraId="5D8BA8F3"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Empresa Brasil de Comunicação - EBC</w:t>
            </w:r>
          </w:p>
        </w:tc>
        <w:tc>
          <w:tcPr>
            <w:tcW w:w="1276" w:type="dxa"/>
            <w:shd w:val="clear" w:color="auto" w:fill="F2F2F2" w:themeFill="background1" w:themeFillShade="F2"/>
            <w:noWrap/>
            <w:vAlign w:val="center"/>
          </w:tcPr>
          <w:p w14:paraId="51DD60DF"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6,4</w:t>
            </w:r>
          </w:p>
        </w:tc>
        <w:tc>
          <w:tcPr>
            <w:tcW w:w="851" w:type="dxa"/>
            <w:shd w:val="clear" w:color="auto" w:fill="F2F2F2" w:themeFill="background1" w:themeFillShade="F2"/>
            <w:noWrap/>
            <w:vAlign w:val="center"/>
          </w:tcPr>
          <w:p w14:paraId="34DA28BF"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2,3</w:t>
            </w:r>
          </w:p>
        </w:tc>
        <w:tc>
          <w:tcPr>
            <w:tcW w:w="1417" w:type="dxa"/>
            <w:shd w:val="clear" w:color="auto" w:fill="F2F2F2" w:themeFill="background1" w:themeFillShade="F2"/>
            <w:noWrap/>
            <w:vAlign w:val="center"/>
          </w:tcPr>
          <w:p w14:paraId="305A0A25"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10,7</w:t>
            </w:r>
          </w:p>
        </w:tc>
        <w:tc>
          <w:tcPr>
            <w:tcW w:w="1134" w:type="dxa"/>
            <w:shd w:val="clear" w:color="auto" w:fill="F2F2F2" w:themeFill="background1" w:themeFillShade="F2"/>
            <w:noWrap/>
            <w:vAlign w:val="center"/>
          </w:tcPr>
          <w:p w14:paraId="0943F05B"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1,7</w:t>
            </w:r>
          </w:p>
        </w:tc>
        <w:tc>
          <w:tcPr>
            <w:tcW w:w="709" w:type="dxa"/>
            <w:shd w:val="clear" w:color="auto" w:fill="F2F2F2" w:themeFill="background1" w:themeFillShade="F2"/>
            <w:noWrap/>
            <w:vAlign w:val="bottom"/>
          </w:tcPr>
          <w:p w14:paraId="0E688E68"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21,1</w:t>
            </w:r>
          </w:p>
        </w:tc>
      </w:tr>
      <w:tr w:rsidR="00105982" w:rsidRPr="005C5000" w14:paraId="0A06395C" w14:textId="77777777" w:rsidTr="0053154C">
        <w:trPr>
          <w:trHeight w:val="20"/>
          <w:jc w:val="center"/>
        </w:trPr>
        <w:tc>
          <w:tcPr>
            <w:tcW w:w="4536" w:type="dxa"/>
            <w:shd w:val="clear" w:color="000000" w:fill="FFFFFF"/>
            <w:noWrap/>
            <w:hideMark/>
          </w:tcPr>
          <w:p w14:paraId="1951C1F6"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Cia Brasileira De Trens Urbanos - CBTU</w:t>
            </w:r>
          </w:p>
        </w:tc>
        <w:tc>
          <w:tcPr>
            <w:tcW w:w="1276" w:type="dxa"/>
            <w:shd w:val="clear" w:color="000000" w:fill="FFFFFF"/>
            <w:noWrap/>
            <w:vAlign w:val="center"/>
          </w:tcPr>
          <w:p w14:paraId="708AC990"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2.395,6</w:t>
            </w:r>
          </w:p>
        </w:tc>
        <w:tc>
          <w:tcPr>
            <w:tcW w:w="851" w:type="dxa"/>
            <w:shd w:val="clear" w:color="000000" w:fill="FFFFFF"/>
            <w:noWrap/>
            <w:vAlign w:val="center"/>
          </w:tcPr>
          <w:p w14:paraId="1763994B"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77,5</w:t>
            </w:r>
          </w:p>
        </w:tc>
        <w:tc>
          <w:tcPr>
            <w:tcW w:w="1417" w:type="dxa"/>
            <w:shd w:val="clear" w:color="000000" w:fill="FFFFFF"/>
            <w:noWrap/>
            <w:vAlign w:val="center"/>
          </w:tcPr>
          <w:p w14:paraId="62FC8F03" w14:textId="04D58E86"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000000" w:fill="FFFFFF"/>
            <w:noWrap/>
            <w:vAlign w:val="center"/>
          </w:tcPr>
          <w:p w14:paraId="0E074BD9"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8,6</w:t>
            </w:r>
          </w:p>
        </w:tc>
        <w:tc>
          <w:tcPr>
            <w:tcW w:w="709" w:type="dxa"/>
            <w:shd w:val="clear" w:color="000000" w:fill="FFFFFF"/>
            <w:noWrap/>
            <w:vAlign w:val="bottom"/>
          </w:tcPr>
          <w:p w14:paraId="48F56A92"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2</w:t>
            </w:r>
            <w:r>
              <w:rPr>
                <w:rFonts w:ascii="Calibri" w:hAnsi="Calibri" w:cs="Calibri"/>
                <w:color w:val="000000"/>
                <w:sz w:val="18"/>
                <w:szCs w:val="18"/>
              </w:rPr>
              <w:t>.</w:t>
            </w:r>
            <w:r w:rsidRPr="00605C77">
              <w:rPr>
                <w:rFonts w:ascii="Calibri" w:hAnsi="Calibri" w:cs="Calibri"/>
                <w:color w:val="000000"/>
                <w:sz w:val="18"/>
                <w:szCs w:val="18"/>
              </w:rPr>
              <w:t>481,7</w:t>
            </w:r>
          </w:p>
        </w:tc>
      </w:tr>
      <w:tr w:rsidR="00105982" w:rsidRPr="005C5000" w14:paraId="4ADBDBA0" w14:textId="77777777" w:rsidTr="0053154C">
        <w:trPr>
          <w:trHeight w:val="20"/>
          <w:jc w:val="center"/>
        </w:trPr>
        <w:tc>
          <w:tcPr>
            <w:tcW w:w="4536" w:type="dxa"/>
            <w:shd w:val="clear" w:color="auto" w:fill="F2F2F2" w:themeFill="background1" w:themeFillShade="F2"/>
            <w:noWrap/>
            <w:hideMark/>
          </w:tcPr>
          <w:p w14:paraId="2BD33B7D"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Cia de Pesquisa de Recursos Minerais - CPRM</w:t>
            </w:r>
          </w:p>
        </w:tc>
        <w:tc>
          <w:tcPr>
            <w:tcW w:w="1276" w:type="dxa"/>
            <w:shd w:val="clear" w:color="auto" w:fill="F2F2F2" w:themeFill="background1" w:themeFillShade="F2"/>
            <w:noWrap/>
            <w:vAlign w:val="center"/>
          </w:tcPr>
          <w:p w14:paraId="619E05AC"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6,2</w:t>
            </w:r>
          </w:p>
        </w:tc>
        <w:tc>
          <w:tcPr>
            <w:tcW w:w="851" w:type="dxa"/>
            <w:shd w:val="clear" w:color="auto" w:fill="F2F2F2" w:themeFill="background1" w:themeFillShade="F2"/>
            <w:noWrap/>
            <w:vAlign w:val="center"/>
          </w:tcPr>
          <w:p w14:paraId="064C7A78"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1,2</w:t>
            </w:r>
          </w:p>
        </w:tc>
        <w:tc>
          <w:tcPr>
            <w:tcW w:w="1417" w:type="dxa"/>
            <w:shd w:val="clear" w:color="auto" w:fill="F2F2F2" w:themeFill="background1" w:themeFillShade="F2"/>
            <w:noWrap/>
            <w:vAlign w:val="center"/>
          </w:tcPr>
          <w:p w14:paraId="3F02FF0C" w14:textId="0FC95F5C"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auto" w:fill="F2F2F2" w:themeFill="background1" w:themeFillShade="F2"/>
            <w:noWrap/>
            <w:vAlign w:val="center"/>
          </w:tcPr>
          <w:p w14:paraId="70FF44B3" w14:textId="3B5BF422"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auto" w:fill="F2F2F2" w:themeFill="background1" w:themeFillShade="F2"/>
            <w:noWrap/>
            <w:vAlign w:val="bottom"/>
          </w:tcPr>
          <w:p w14:paraId="0BFB82F6"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7,4</w:t>
            </w:r>
          </w:p>
        </w:tc>
      </w:tr>
      <w:tr w:rsidR="00105982" w:rsidRPr="005C5000" w14:paraId="0D34FDD8" w14:textId="77777777" w:rsidTr="0053154C">
        <w:trPr>
          <w:trHeight w:val="20"/>
          <w:jc w:val="center"/>
        </w:trPr>
        <w:tc>
          <w:tcPr>
            <w:tcW w:w="4536" w:type="dxa"/>
            <w:shd w:val="clear" w:color="000000" w:fill="FFFFFF"/>
            <w:noWrap/>
            <w:hideMark/>
          </w:tcPr>
          <w:p w14:paraId="6F85752B"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Indústrias Nucleares do Brasil S.A. - INB</w:t>
            </w:r>
          </w:p>
        </w:tc>
        <w:tc>
          <w:tcPr>
            <w:tcW w:w="1276" w:type="dxa"/>
            <w:shd w:val="clear" w:color="000000" w:fill="FFFFFF"/>
            <w:noWrap/>
            <w:vAlign w:val="center"/>
          </w:tcPr>
          <w:p w14:paraId="6DECEFF9"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108,5</w:t>
            </w:r>
          </w:p>
        </w:tc>
        <w:tc>
          <w:tcPr>
            <w:tcW w:w="851" w:type="dxa"/>
            <w:shd w:val="clear" w:color="000000" w:fill="FFFFFF"/>
            <w:noWrap/>
            <w:vAlign w:val="center"/>
          </w:tcPr>
          <w:p w14:paraId="35BF1F51"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114,8</w:t>
            </w:r>
          </w:p>
        </w:tc>
        <w:tc>
          <w:tcPr>
            <w:tcW w:w="1417" w:type="dxa"/>
            <w:shd w:val="clear" w:color="000000" w:fill="FFFFFF"/>
            <w:noWrap/>
            <w:vAlign w:val="center"/>
          </w:tcPr>
          <w:p w14:paraId="002123A5" w14:textId="51B1A088"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000000" w:fill="FFFFFF"/>
            <w:noWrap/>
            <w:vAlign w:val="center"/>
          </w:tcPr>
          <w:p w14:paraId="126133C8"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5,4</w:t>
            </w:r>
          </w:p>
        </w:tc>
        <w:tc>
          <w:tcPr>
            <w:tcW w:w="709" w:type="dxa"/>
            <w:shd w:val="clear" w:color="000000" w:fill="FFFFFF"/>
            <w:noWrap/>
            <w:vAlign w:val="bottom"/>
          </w:tcPr>
          <w:p w14:paraId="360C3409"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228,7</w:t>
            </w:r>
          </w:p>
        </w:tc>
      </w:tr>
      <w:tr w:rsidR="00105982" w:rsidRPr="005C5000" w14:paraId="37D1182B" w14:textId="77777777" w:rsidTr="0053154C">
        <w:trPr>
          <w:trHeight w:val="20"/>
          <w:jc w:val="center"/>
        </w:trPr>
        <w:tc>
          <w:tcPr>
            <w:tcW w:w="4536" w:type="dxa"/>
            <w:shd w:val="clear" w:color="auto" w:fill="F2F2F2" w:themeFill="background1" w:themeFillShade="F2"/>
            <w:noWrap/>
            <w:hideMark/>
          </w:tcPr>
          <w:p w14:paraId="44FAF27A" w14:textId="77777777" w:rsidR="00105982" w:rsidRPr="00F83BE7" w:rsidRDefault="00105982" w:rsidP="00655251">
            <w:pPr>
              <w:spacing w:after="0" w:line="240" w:lineRule="auto"/>
              <w:rPr>
                <w:rFonts w:eastAsia="Times New Roman" w:cstheme="minorHAnsi"/>
                <w:sz w:val="18"/>
                <w:szCs w:val="18"/>
                <w:lang w:eastAsia="pt-BR"/>
              </w:rPr>
            </w:pPr>
            <w:proofErr w:type="spellStart"/>
            <w:r w:rsidRPr="00F83BE7">
              <w:rPr>
                <w:rFonts w:eastAsia="Times New Roman" w:cstheme="minorHAnsi"/>
                <w:sz w:val="18"/>
                <w:szCs w:val="18"/>
                <w:lang w:eastAsia="pt-BR"/>
              </w:rPr>
              <w:t>Nuclebras</w:t>
            </w:r>
            <w:proofErr w:type="spellEnd"/>
            <w:r w:rsidRPr="00F83BE7">
              <w:rPr>
                <w:rFonts w:eastAsia="Times New Roman" w:cstheme="minorHAnsi"/>
                <w:sz w:val="18"/>
                <w:szCs w:val="18"/>
                <w:lang w:eastAsia="pt-BR"/>
              </w:rPr>
              <w:t xml:space="preserve"> Equipamentos Pesados S/A - NUCLEP</w:t>
            </w:r>
          </w:p>
        </w:tc>
        <w:tc>
          <w:tcPr>
            <w:tcW w:w="1276" w:type="dxa"/>
            <w:shd w:val="clear" w:color="auto" w:fill="F2F2F2" w:themeFill="background1" w:themeFillShade="F2"/>
            <w:noWrap/>
            <w:vAlign w:val="center"/>
          </w:tcPr>
          <w:p w14:paraId="6A351633"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14,7</w:t>
            </w:r>
          </w:p>
        </w:tc>
        <w:tc>
          <w:tcPr>
            <w:tcW w:w="851" w:type="dxa"/>
            <w:shd w:val="clear" w:color="auto" w:fill="F2F2F2" w:themeFill="background1" w:themeFillShade="F2"/>
            <w:noWrap/>
            <w:vAlign w:val="center"/>
          </w:tcPr>
          <w:p w14:paraId="11A1813D"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15,3</w:t>
            </w:r>
          </w:p>
        </w:tc>
        <w:tc>
          <w:tcPr>
            <w:tcW w:w="1417" w:type="dxa"/>
            <w:shd w:val="clear" w:color="auto" w:fill="F2F2F2" w:themeFill="background1" w:themeFillShade="F2"/>
            <w:noWrap/>
            <w:vAlign w:val="center"/>
          </w:tcPr>
          <w:p w14:paraId="7BE7CB69" w14:textId="266855A1"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auto" w:fill="F2F2F2" w:themeFill="background1" w:themeFillShade="F2"/>
            <w:noWrap/>
            <w:vAlign w:val="center"/>
          </w:tcPr>
          <w:p w14:paraId="06737B93" w14:textId="0BA9BB43"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 </w:t>
            </w:r>
          </w:p>
        </w:tc>
        <w:tc>
          <w:tcPr>
            <w:tcW w:w="709" w:type="dxa"/>
            <w:shd w:val="clear" w:color="auto" w:fill="F2F2F2" w:themeFill="background1" w:themeFillShade="F2"/>
            <w:noWrap/>
            <w:vAlign w:val="bottom"/>
          </w:tcPr>
          <w:p w14:paraId="175876C5"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30</w:t>
            </w:r>
            <w:r>
              <w:rPr>
                <w:rFonts w:ascii="Calibri" w:hAnsi="Calibri" w:cs="Calibri"/>
                <w:color w:val="000000"/>
                <w:sz w:val="18"/>
                <w:szCs w:val="18"/>
              </w:rPr>
              <w:t>,0</w:t>
            </w:r>
          </w:p>
        </w:tc>
      </w:tr>
      <w:tr w:rsidR="00105982" w:rsidRPr="005C5000" w14:paraId="7F2B6BEF" w14:textId="77777777" w:rsidTr="0053154C">
        <w:trPr>
          <w:trHeight w:val="20"/>
          <w:jc w:val="center"/>
        </w:trPr>
        <w:tc>
          <w:tcPr>
            <w:tcW w:w="4536" w:type="dxa"/>
            <w:shd w:val="clear" w:color="auto" w:fill="auto"/>
            <w:noWrap/>
            <w:hideMark/>
          </w:tcPr>
          <w:p w14:paraId="6B98F0BA"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Amazônia Azul Tecnologias de Defesa S.A - AMAZUL</w:t>
            </w:r>
          </w:p>
        </w:tc>
        <w:tc>
          <w:tcPr>
            <w:tcW w:w="1276" w:type="dxa"/>
            <w:shd w:val="clear" w:color="auto" w:fill="auto"/>
            <w:noWrap/>
            <w:vAlign w:val="center"/>
          </w:tcPr>
          <w:p w14:paraId="6557F7DE"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6,2</w:t>
            </w:r>
          </w:p>
        </w:tc>
        <w:tc>
          <w:tcPr>
            <w:tcW w:w="851" w:type="dxa"/>
            <w:shd w:val="clear" w:color="auto" w:fill="auto"/>
            <w:noWrap/>
            <w:vAlign w:val="center"/>
          </w:tcPr>
          <w:p w14:paraId="7ACCF9DA"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0,0</w:t>
            </w:r>
          </w:p>
        </w:tc>
        <w:tc>
          <w:tcPr>
            <w:tcW w:w="1417" w:type="dxa"/>
            <w:shd w:val="clear" w:color="auto" w:fill="auto"/>
            <w:noWrap/>
            <w:vAlign w:val="center"/>
          </w:tcPr>
          <w:p w14:paraId="249A2A37" w14:textId="0981AE8B"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auto" w:fill="auto"/>
            <w:noWrap/>
            <w:vAlign w:val="center"/>
          </w:tcPr>
          <w:p w14:paraId="495249EF" w14:textId="4F11BC9F"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auto" w:fill="auto"/>
            <w:noWrap/>
            <w:vAlign w:val="bottom"/>
          </w:tcPr>
          <w:p w14:paraId="74EB3A60" w14:textId="5B2C1BCA"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6,</w:t>
            </w:r>
            <w:r w:rsidR="003A6E39">
              <w:rPr>
                <w:rFonts w:ascii="Calibri" w:hAnsi="Calibri" w:cs="Calibri"/>
                <w:color w:val="000000"/>
                <w:sz w:val="18"/>
                <w:szCs w:val="18"/>
              </w:rPr>
              <w:t>2</w:t>
            </w:r>
          </w:p>
        </w:tc>
      </w:tr>
      <w:tr w:rsidR="00105982" w:rsidRPr="005C5000" w14:paraId="6DA48E7C" w14:textId="77777777" w:rsidTr="0053154C">
        <w:trPr>
          <w:trHeight w:val="20"/>
          <w:jc w:val="center"/>
        </w:trPr>
        <w:tc>
          <w:tcPr>
            <w:tcW w:w="4536" w:type="dxa"/>
            <w:shd w:val="clear" w:color="auto" w:fill="F2F2F2" w:themeFill="background1" w:themeFillShade="F2"/>
            <w:noWrap/>
            <w:hideMark/>
          </w:tcPr>
          <w:p w14:paraId="3FD8A1CA"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Empresa de Trens Urbanos de Porto Alegre S.A - TRENSURB</w:t>
            </w:r>
          </w:p>
        </w:tc>
        <w:tc>
          <w:tcPr>
            <w:tcW w:w="1276" w:type="dxa"/>
            <w:shd w:val="clear" w:color="auto" w:fill="F2F2F2" w:themeFill="background1" w:themeFillShade="F2"/>
            <w:noWrap/>
            <w:vAlign w:val="center"/>
          </w:tcPr>
          <w:p w14:paraId="74C3A6DC"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93,1</w:t>
            </w:r>
          </w:p>
        </w:tc>
        <w:tc>
          <w:tcPr>
            <w:tcW w:w="851" w:type="dxa"/>
            <w:shd w:val="clear" w:color="auto" w:fill="F2F2F2" w:themeFill="background1" w:themeFillShade="F2"/>
            <w:noWrap/>
            <w:vAlign w:val="center"/>
          </w:tcPr>
          <w:p w14:paraId="10E53605"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31,3</w:t>
            </w:r>
          </w:p>
        </w:tc>
        <w:tc>
          <w:tcPr>
            <w:tcW w:w="1417" w:type="dxa"/>
            <w:shd w:val="clear" w:color="auto" w:fill="F2F2F2" w:themeFill="background1" w:themeFillShade="F2"/>
            <w:noWrap/>
            <w:vAlign w:val="center"/>
          </w:tcPr>
          <w:p w14:paraId="4456071A" w14:textId="767E0D74"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auto" w:fill="F2F2F2" w:themeFill="background1" w:themeFillShade="F2"/>
            <w:noWrap/>
            <w:vAlign w:val="center"/>
          </w:tcPr>
          <w:p w14:paraId="335B4D82" w14:textId="5CD71858"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auto" w:fill="F2F2F2" w:themeFill="background1" w:themeFillShade="F2"/>
            <w:noWrap/>
            <w:vAlign w:val="bottom"/>
          </w:tcPr>
          <w:p w14:paraId="50B93EA1"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124,4</w:t>
            </w:r>
          </w:p>
        </w:tc>
      </w:tr>
      <w:tr w:rsidR="00105982" w:rsidRPr="005C5000" w14:paraId="6D018DAB" w14:textId="77777777" w:rsidTr="0053154C">
        <w:trPr>
          <w:trHeight w:val="20"/>
          <w:jc w:val="center"/>
        </w:trPr>
        <w:tc>
          <w:tcPr>
            <w:tcW w:w="4536" w:type="dxa"/>
            <w:shd w:val="clear" w:color="auto" w:fill="auto"/>
            <w:noWrap/>
          </w:tcPr>
          <w:p w14:paraId="5CFB2FBE" w14:textId="77777777" w:rsidR="00105982" w:rsidRPr="00F83BE7" w:rsidRDefault="00105982" w:rsidP="00655251">
            <w:pPr>
              <w:spacing w:after="0" w:line="240" w:lineRule="auto"/>
              <w:rPr>
                <w:rFonts w:eastAsia="Times New Roman" w:cstheme="minorHAnsi"/>
                <w:sz w:val="18"/>
                <w:szCs w:val="18"/>
                <w:lang w:eastAsia="pt-BR"/>
              </w:rPr>
            </w:pPr>
            <w:r w:rsidRPr="00661F3A">
              <w:rPr>
                <w:rFonts w:eastAsia="Times New Roman" w:cstheme="minorHAnsi"/>
                <w:sz w:val="18"/>
                <w:szCs w:val="18"/>
                <w:lang w:eastAsia="pt-BR"/>
              </w:rPr>
              <w:t>Empresa Brasileira de Pesquisa Agropecuária - Embrapa</w:t>
            </w:r>
          </w:p>
        </w:tc>
        <w:tc>
          <w:tcPr>
            <w:tcW w:w="1276" w:type="dxa"/>
            <w:shd w:val="clear" w:color="auto" w:fill="auto"/>
            <w:noWrap/>
            <w:vAlign w:val="center"/>
          </w:tcPr>
          <w:p w14:paraId="2B63803D"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108,8</w:t>
            </w:r>
          </w:p>
        </w:tc>
        <w:tc>
          <w:tcPr>
            <w:tcW w:w="851" w:type="dxa"/>
            <w:shd w:val="clear" w:color="auto" w:fill="auto"/>
            <w:noWrap/>
            <w:vAlign w:val="center"/>
          </w:tcPr>
          <w:p w14:paraId="233B7370"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12,5</w:t>
            </w:r>
          </w:p>
        </w:tc>
        <w:tc>
          <w:tcPr>
            <w:tcW w:w="1417" w:type="dxa"/>
            <w:shd w:val="clear" w:color="auto" w:fill="auto"/>
            <w:noWrap/>
            <w:vAlign w:val="center"/>
          </w:tcPr>
          <w:p w14:paraId="3AC849E8"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0,0</w:t>
            </w:r>
          </w:p>
        </w:tc>
        <w:tc>
          <w:tcPr>
            <w:tcW w:w="1134" w:type="dxa"/>
            <w:shd w:val="clear" w:color="auto" w:fill="auto"/>
            <w:noWrap/>
            <w:vAlign w:val="center"/>
          </w:tcPr>
          <w:p w14:paraId="30C8284B" w14:textId="18226EBF"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auto" w:fill="auto"/>
            <w:noWrap/>
            <w:vAlign w:val="bottom"/>
          </w:tcPr>
          <w:p w14:paraId="09BE8504"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121,</w:t>
            </w:r>
            <w:r>
              <w:rPr>
                <w:rFonts w:ascii="Calibri" w:hAnsi="Calibri" w:cs="Calibri"/>
                <w:color w:val="000000"/>
                <w:sz w:val="18"/>
                <w:szCs w:val="18"/>
              </w:rPr>
              <w:t>4</w:t>
            </w:r>
          </w:p>
        </w:tc>
      </w:tr>
      <w:tr w:rsidR="00105982" w:rsidRPr="005C5000" w14:paraId="0E8C19E5" w14:textId="77777777" w:rsidTr="0053154C">
        <w:trPr>
          <w:trHeight w:val="20"/>
          <w:jc w:val="center"/>
        </w:trPr>
        <w:tc>
          <w:tcPr>
            <w:tcW w:w="4536" w:type="dxa"/>
            <w:shd w:val="clear" w:color="auto" w:fill="F2F2F2" w:themeFill="background1" w:themeFillShade="F2"/>
            <w:noWrap/>
            <w:hideMark/>
          </w:tcPr>
          <w:p w14:paraId="6FA4C132"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Indústria de Material Bélico do Brasil - IMBEL</w:t>
            </w:r>
          </w:p>
        </w:tc>
        <w:tc>
          <w:tcPr>
            <w:tcW w:w="1276" w:type="dxa"/>
            <w:shd w:val="clear" w:color="auto" w:fill="F2F2F2" w:themeFill="background1" w:themeFillShade="F2"/>
            <w:noWrap/>
            <w:vAlign w:val="center"/>
          </w:tcPr>
          <w:p w14:paraId="1E94808B"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14,5</w:t>
            </w:r>
          </w:p>
        </w:tc>
        <w:tc>
          <w:tcPr>
            <w:tcW w:w="851" w:type="dxa"/>
            <w:shd w:val="clear" w:color="auto" w:fill="F2F2F2" w:themeFill="background1" w:themeFillShade="F2"/>
            <w:noWrap/>
            <w:vAlign w:val="center"/>
          </w:tcPr>
          <w:p w14:paraId="42142532"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2,7</w:t>
            </w:r>
          </w:p>
        </w:tc>
        <w:tc>
          <w:tcPr>
            <w:tcW w:w="1417" w:type="dxa"/>
            <w:shd w:val="clear" w:color="auto" w:fill="F2F2F2" w:themeFill="background1" w:themeFillShade="F2"/>
            <w:noWrap/>
            <w:vAlign w:val="center"/>
          </w:tcPr>
          <w:p w14:paraId="19E3BAB2" w14:textId="6D935136"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auto" w:fill="F2F2F2" w:themeFill="background1" w:themeFillShade="F2"/>
            <w:noWrap/>
            <w:vAlign w:val="center"/>
          </w:tcPr>
          <w:p w14:paraId="507DF5BC" w14:textId="7BFF40EB"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auto" w:fill="F2F2F2" w:themeFill="background1" w:themeFillShade="F2"/>
            <w:noWrap/>
            <w:vAlign w:val="bottom"/>
          </w:tcPr>
          <w:p w14:paraId="0B491A8C"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17,2</w:t>
            </w:r>
          </w:p>
        </w:tc>
      </w:tr>
      <w:tr w:rsidR="00105982" w:rsidRPr="005C5000" w14:paraId="09C3A739" w14:textId="77777777" w:rsidTr="0053154C">
        <w:trPr>
          <w:trHeight w:val="20"/>
          <w:jc w:val="center"/>
        </w:trPr>
        <w:tc>
          <w:tcPr>
            <w:tcW w:w="4536" w:type="dxa"/>
            <w:shd w:val="clear" w:color="auto" w:fill="auto"/>
            <w:noWrap/>
            <w:hideMark/>
          </w:tcPr>
          <w:p w14:paraId="2FCA200A"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Cia Nacional de Abastecimento - CONAB</w:t>
            </w:r>
          </w:p>
        </w:tc>
        <w:tc>
          <w:tcPr>
            <w:tcW w:w="1276" w:type="dxa"/>
            <w:shd w:val="clear" w:color="auto" w:fill="auto"/>
            <w:noWrap/>
            <w:vAlign w:val="center"/>
          </w:tcPr>
          <w:p w14:paraId="783BDBCC"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49,5</w:t>
            </w:r>
          </w:p>
        </w:tc>
        <w:tc>
          <w:tcPr>
            <w:tcW w:w="851" w:type="dxa"/>
            <w:shd w:val="clear" w:color="auto" w:fill="auto"/>
            <w:noWrap/>
            <w:vAlign w:val="center"/>
          </w:tcPr>
          <w:p w14:paraId="2B6C1BD8"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25,3</w:t>
            </w:r>
          </w:p>
        </w:tc>
        <w:tc>
          <w:tcPr>
            <w:tcW w:w="1417" w:type="dxa"/>
            <w:shd w:val="clear" w:color="auto" w:fill="auto"/>
            <w:noWrap/>
            <w:vAlign w:val="center"/>
          </w:tcPr>
          <w:p w14:paraId="6D74F553" w14:textId="491CB30F" w:rsidR="00105982" w:rsidRPr="00661F3A"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1134" w:type="dxa"/>
            <w:shd w:val="clear" w:color="auto" w:fill="auto"/>
            <w:noWrap/>
            <w:vAlign w:val="center"/>
          </w:tcPr>
          <w:p w14:paraId="3AF45269" w14:textId="77777777" w:rsidR="00105982" w:rsidRPr="00661F3A" w:rsidRDefault="00105982" w:rsidP="00655251">
            <w:pPr>
              <w:spacing w:after="0" w:line="240" w:lineRule="auto"/>
              <w:jc w:val="right"/>
              <w:rPr>
                <w:rFonts w:ascii="Calibri" w:hAnsi="Calibri" w:cs="Calibri"/>
                <w:color w:val="000000"/>
                <w:sz w:val="18"/>
                <w:szCs w:val="18"/>
              </w:rPr>
            </w:pPr>
            <w:r w:rsidRPr="00661F3A">
              <w:rPr>
                <w:rFonts w:ascii="Calibri" w:hAnsi="Calibri" w:cs="Calibri"/>
                <w:color w:val="000000"/>
                <w:sz w:val="18"/>
                <w:szCs w:val="18"/>
              </w:rPr>
              <w:t>86,4</w:t>
            </w:r>
          </w:p>
        </w:tc>
        <w:tc>
          <w:tcPr>
            <w:tcW w:w="709" w:type="dxa"/>
            <w:shd w:val="clear" w:color="auto" w:fill="auto"/>
            <w:noWrap/>
            <w:vAlign w:val="bottom"/>
          </w:tcPr>
          <w:p w14:paraId="4A0A574B" w14:textId="77777777" w:rsidR="00105982" w:rsidRPr="00661F3A"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161,2</w:t>
            </w:r>
          </w:p>
        </w:tc>
      </w:tr>
      <w:tr w:rsidR="00105982" w:rsidRPr="005C5000" w14:paraId="1814813C" w14:textId="77777777" w:rsidTr="00A104B7">
        <w:trPr>
          <w:trHeight w:val="20"/>
          <w:jc w:val="center"/>
        </w:trPr>
        <w:tc>
          <w:tcPr>
            <w:tcW w:w="4536" w:type="dxa"/>
            <w:shd w:val="clear" w:color="auto" w:fill="F2F2F2" w:themeFill="background1" w:themeFillShade="F2"/>
            <w:noWrap/>
            <w:hideMark/>
          </w:tcPr>
          <w:p w14:paraId="31F2FA6B"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Cia Desenvolvimento V. S. Francisco e Parnaíba - CODEVASF</w:t>
            </w:r>
          </w:p>
        </w:tc>
        <w:tc>
          <w:tcPr>
            <w:tcW w:w="1276" w:type="dxa"/>
            <w:shd w:val="clear" w:color="auto" w:fill="F2F2F2" w:themeFill="background1" w:themeFillShade="F2"/>
            <w:noWrap/>
            <w:vAlign w:val="center"/>
          </w:tcPr>
          <w:p w14:paraId="517DA400"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15,1</w:t>
            </w:r>
          </w:p>
        </w:tc>
        <w:tc>
          <w:tcPr>
            <w:tcW w:w="851" w:type="dxa"/>
            <w:shd w:val="clear" w:color="auto" w:fill="F2F2F2" w:themeFill="background1" w:themeFillShade="F2"/>
            <w:noWrap/>
            <w:vAlign w:val="center"/>
          </w:tcPr>
          <w:p w14:paraId="5C0978A1"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52,7</w:t>
            </w:r>
          </w:p>
        </w:tc>
        <w:tc>
          <w:tcPr>
            <w:tcW w:w="1417" w:type="dxa"/>
            <w:shd w:val="clear" w:color="auto" w:fill="F2F2F2" w:themeFill="background1" w:themeFillShade="F2"/>
            <w:noWrap/>
            <w:vAlign w:val="center"/>
          </w:tcPr>
          <w:p w14:paraId="72659027"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4,7</w:t>
            </w:r>
          </w:p>
        </w:tc>
        <w:tc>
          <w:tcPr>
            <w:tcW w:w="1134" w:type="dxa"/>
            <w:shd w:val="clear" w:color="auto" w:fill="F2F2F2" w:themeFill="background1" w:themeFillShade="F2"/>
            <w:noWrap/>
            <w:vAlign w:val="center"/>
          </w:tcPr>
          <w:p w14:paraId="3D5815F0" w14:textId="2ECB12FC" w:rsidR="00105982" w:rsidRPr="00605C77" w:rsidRDefault="00105982" w:rsidP="00A104B7">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w:t>
            </w:r>
          </w:p>
        </w:tc>
        <w:tc>
          <w:tcPr>
            <w:tcW w:w="709" w:type="dxa"/>
            <w:shd w:val="clear" w:color="auto" w:fill="F2F2F2" w:themeFill="background1" w:themeFillShade="F2"/>
            <w:noWrap/>
            <w:vAlign w:val="bottom"/>
          </w:tcPr>
          <w:p w14:paraId="774E7612"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72,5</w:t>
            </w:r>
          </w:p>
        </w:tc>
      </w:tr>
      <w:tr w:rsidR="00105982" w:rsidRPr="005C5000" w14:paraId="4AEA2C1D" w14:textId="77777777" w:rsidTr="0053154C">
        <w:trPr>
          <w:trHeight w:val="20"/>
          <w:jc w:val="center"/>
        </w:trPr>
        <w:tc>
          <w:tcPr>
            <w:tcW w:w="4536" w:type="dxa"/>
            <w:shd w:val="clear" w:color="auto" w:fill="auto"/>
            <w:noWrap/>
            <w:hideMark/>
          </w:tcPr>
          <w:p w14:paraId="65AE9577"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 xml:space="preserve">Engenharia, Construções e Ferrovias - </w:t>
            </w:r>
            <w:proofErr w:type="gramStart"/>
            <w:r w:rsidRPr="00F83BE7">
              <w:rPr>
                <w:rFonts w:eastAsia="Times New Roman" w:cstheme="minorHAnsi"/>
                <w:sz w:val="18"/>
                <w:szCs w:val="18"/>
                <w:lang w:eastAsia="pt-BR"/>
              </w:rPr>
              <w:t>VALEC</w:t>
            </w:r>
            <w:proofErr w:type="gramEnd"/>
          </w:p>
        </w:tc>
        <w:tc>
          <w:tcPr>
            <w:tcW w:w="1276" w:type="dxa"/>
            <w:shd w:val="clear" w:color="auto" w:fill="auto"/>
            <w:noWrap/>
            <w:vAlign w:val="center"/>
          </w:tcPr>
          <w:p w14:paraId="75A8D8AF"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30,5</w:t>
            </w:r>
          </w:p>
        </w:tc>
        <w:tc>
          <w:tcPr>
            <w:tcW w:w="851" w:type="dxa"/>
            <w:shd w:val="clear" w:color="auto" w:fill="auto"/>
            <w:noWrap/>
            <w:vAlign w:val="center"/>
          </w:tcPr>
          <w:p w14:paraId="698DA556"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1.136,1</w:t>
            </w:r>
          </w:p>
        </w:tc>
        <w:tc>
          <w:tcPr>
            <w:tcW w:w="1417" w:type="dxa"/>
            <w:shd w:val="clear" w:color="auto" w:fill="auto"/>
            <w:noWrap/>
            <w:vAlign w:val="center"/>
          </w:tcPr>
          <w:p w14:paraId="7A0CC681"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0,3</w:t>
            </w:r>
          </w:p>
        </w:tc>
        <w:tc>
          <w:tcPr>
            <w:tcW w:w="1134" w:type="dxa"/>
            <w:shd w:val="clear" w:color="auto" w:fill="auto"/>
            <w:noWrap/>
            <w:vAlign w:val="center"/>
          </w:tcPr>
          <w:p w14:paraId="57284324"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18,3</w:t>
            </w:r>
          </w:p>
        </w:tc>
        <w:tc>
          <w:tcPr>
            <w:tcW w:w="709" w:type="dxa"/>
            <w:shd w:val="clear" w:color="auto" w:fill="auto"/>
            <w:noWrap/>
            <w:vAlign w:val="bottom"/>
          </w:tcPr>
          <w:p w14:paraId="3EA494B8"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w:t>
            </w:r>
            <w:r>
              <w:rPr>
                <w:rFonts w:ascii="Calibri" w:hAnsi="Calibri" w:cs="Calibri"/>
                <w:color w:val="000000"/>
                <w:sz w:val="18"/>
                <w:szCs w:val="18"/>
              </w:rPr>
              <w:t>.</w:t>
            </w:r>
            <w:r w:rsidRPr="00605C77">
              <w:rPr>
                <w:rFonts w:ascii="Calibri" w:hAnsi="Calibri" w:cs="Calibri"/>
                <w:color w:val="000000"/>
                <w:sz w:val="18"/>
                <w:szCs w:val="18"/>
              </w:rPr>
              <w:t>185,2</w:t>
            </w:r>
          </w:p>
        </w:tc>
      </w:tr>
      <w:tr w:rsidR="00105982" w:rsidRPr="005C5000" w14:paraId="3FEFF874" w14:textId="77777777" w:rsidTr="0053154C">
        <w:trPr>
          <w:trHeight w:val="20"/>
          <w:jc w:val="center"/>
        </w:trPr>
        <w:tc>
          <w:tcPr>
            <w:tcW w:w="4536" w:type="dxa"/>
            <w:shd w:val="clear" w:color="auto" w:fill="F2F2F2" w:themeFill="background1" w:themeFillShade="F2"/>
            <w:noWrap/>
            <w:hideMark/>
          </w:tcPr>
          <w:p w14:paraId="14AB2323"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Grupo Hospitalar Conceição - GHC</w:t>
            </w:r>
          </w:p>
        </w:tc>
        <w:tc>
          <w:tcPr>
            <w:tcW w:w="1276" w:type="dxa"/>
            <w:shd w:val="clear" w:color="auto" w:fill="F2F2F2" w:themeFill="background1" w:themeFillShade="F2"/>
            <w:noWrap/>
            <w:vAlign w:val="center"/>
          </w:tcPr>
          <w:p w14:paraId="046FBDF3"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3,6</w:t>
            </w:r>
          </w:p>
        </w:tc>
        <w:tc>
          <w:tcPr>
            <w:tcW w:w="851" w:type="dxa"/>
            <w:shd w:val="clear" w:color="auto" w:fill="F2F2F2" w:themeFill="background1" w:themeFillShade="F2"/>
            <w:noWrap/>
            <w:vAlign w:val="center"/>
          </w:tcPr>
          <w:p w14:paraId="4DD6CAA6"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117,2</w:t>
            </w:r>
          </w:p>
        </w:tc>
        <w:tc>
          <w:tcPr>
            <w:tcW w:w="1417" w:type="dxa"/>
            <w:shd w:val="clear" w:color="auto" w:fill="F2F2F2" w:themeFill="background1" w:themeFillShade="F2"/>
            <w:noWrap/>
            <w:vAlign w:val="center"/>
          </w:tcPr>
          <w:p w14:paraId="4429250F" w14:textId="5332DA75" w:rsidR="00105982" w:rsidRPr="00605C77" w:rsidRDefault="00105982" w:rsidP="00655251">
            <w:pPr>
              <w:spacing w:after="0" w:line="240" w:lineRule="auto"/>
              <w:jc w:val="center"/>
              <w:rPr>
                <w:rFonts w:ascii="Calibri" w:hAnsi="Calibri" w:cs="Calibri"/>
                <w:color w:val="000000"/>
                <w:sz w:val="18"/>
                <w:szCs w:val="18"/>
              </w:rPr>
            </w:pPr>
            <w:r w:rsidRPr="00605C77">
              <w:rPr>
                <w:rFonts w:ascii="Calibri" w:hAnsi="Calibri" w:cs="Calibri"/>
                <w:color w:val="000000"/>
                <w:sz w:val="18"/>
                <w:szCs w:val="18"/>
              </w:rPr>
              <w:t>-</w:t>
            </w:r>
          </w:p>
        </w:tc>
        <w:tc>
          <w:tcPr>
            <w:tcW w:w="1134" w:type="dxa"/>
            <w:shd w:val="clear" w:color="auto" w:fill="F2F2F2" w:themeFill="background1" w:themeFillShade="F2"/>
            <w:noWrap/>
            <w:vAlign w:val="center"/>
          </w:tcPr>
          <w:p w14:paraId="797F99B8" w14:textId="60F39F22" w:rsidR="00105982" w:rsidRPr="00605C77" w:rsidRDefault="00105982" w:rsidP="00655251">
            <w:pPr>
              <w:spacing w:after="0" w:line="240" w:lineRule="auto"/>
              <w:jc w:val="center"/>
              <w:rPr>
                <w:rFonts w:ascii="Calibri" w:hAnsi="Calibri" w:cs="Calibri"/>
                <w:color w:val="000000"/>
                <w:sz w:val="18"/>
                <w:szCs w:val="18"/>
              </w:rPr>
            </w:pPr>
            <w:r w:rsidRPr="00661F3A">
              <w:rPr>
                <w:rFonts w:ascii="Calibri" w:hAnsi="Calibri" w:cs="Calibri"/>
                <w:color w:val="000000"/>
                <w:sz w:val="18"/>
                <w:szCs w:val="18"/>
              </w:rPr>
              <w:t>- </w:t>
            </w:r>
            <w:r w:rsidRPr="00605C77">
              <w:rPr>
                <w:rFonts w:ascii="Calibri" w:hAnsi="Calibri" w:cs="Calibri"/>
                <w:color w:val="000000"/>
                <w:sz w:val="18"/>
                <w:szCs w:val="18"/>
              </w:rPr>
              <w:t> </w:t>
            </w:r>
          </w:p>
        </w:tc>
        <w:tc>
          <w:tcPr>
            <w:tcW w:w="709" w:type="dxa"/>
            <w:shd w:val="clear" w:color="auto" w:fill="F2F2F2" w:themeFill="background1" w:themeFillShade="F2"/>
            <w:noWrap/>
            <w:vAlign w:val="bottom"/>
          </w:tcPr>
          <w:p w14:paraId="2F392FEA"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120,8</w:t>
            </w:r>
          </w:p>
        </w:tc>
      </w:tr>
      <w:tr w:rsidR="00105982" w:rsidRPr="005C5000" w14:paraId="3FAE2C1D" w14:textId="77777777" w:rsidTr="0053154C">
        <w:trPr>
          <w:trHeight w:val="20"/>
          <w:jc w:val="center"/>
        </w:trPr>
        <w:tc>
          <w:tcPr>
            <w:tcW w:w="4536" w:type="dxa"/>
            <w:shd w:val="clear" w:color="auto" w:fill="auto"/>
            <w:noWrap/>
          </w:tcPr>
          <w:p w14:paraId="741B48D0"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Centro Nac. de Tecnologia Eletrônica Avançada S.A - CEITEC</w:t>
            </w:r>
          </w:p>
        </w:tc>
        <w:tc>
          <w:tcPr>
            <w:tcW w:w="1276" w:type="dxa"/>
            <w:shd w:val="clear" w:color="auto" w:fill="auto"/>
            <w:noWrap/>
            <w:vAlign w:val="center"/>
          </w:tcPr>
          <w:p w14:paraId="55C54920"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3,6</w:t>
            </w:r>
          </w:p>
        </w:tc>
        <w:tc>
          <w:tcPr>
            <w:tcW w:w="851" w:type="dxa"/>
            <w:shd w:val="clear" w:color="auto" w:fill="auto"/>
            <w:noWrap/>
            <w:vAlign w:val="center"/>
          </w:tcPr>
          <w:p w14:paraId="0C932A51"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0,9</w:t>
            </w:r>
          </w:p>
        </w:tc>
        <w:tc>
          <w:tcPr>
            <w:tcW w:w="1417" w:type="dxa"/>
            <w:shd w:val="clear" w:color="auto" w:fill="auto"/>
            <w:noWrap/>
            <w:vAlign w:val="center"/>
          </w:tcPr>
          <w:p w14:paraId="04CB292A" w14:textId="7D2CB304" w:rsidR="00105982" w:rsidRPr="00605C77" w:rsidRDefault="00105982" w:rsidP="00655251">
            <w:pPr>
              <w:spacing w:after="0" w:line="240" w:lineRule="auto"/>
              <w:jc w:val="center"/>
              <w:rPr>
                <w:rFonts w:ascii="Calibri" w:hAnsi="Calibri" w:cs="Calibri"/>
                <w:color w:val="000000"/>
                <w:sz w:val="18"/>
                <w:szCs w:val="18"/>
              </w:rPr>
            </w:pPr>
            <w:r w:rsidRPr="00605C77">
              <w:rPr>
                <w:rFonts w:ascii="Calibri" w:hAnsi="Calibri" w:cs="Calibri"/>
                <w:color w:val="000000"/>
                <w:sz w:val="18"/>
                <w:szCs w:val="18"/>
              </w:rPr>
              <w:t>-</w:t>
            </w:r>
          </w:p>
        </w:tc>
        <w:tc>
          <w:tcPr>
            <w:tcW w:w="1134" w:type="dxa"/>
            <w:shd w:val="clear" w:color="auto" w:fill="auto"/>
            <w:noWrap/>
            <w:vAlign w:val="center"/>
          </w:tcPr>
          <w:p w14:paraId="00F6EB88" w14:textId="36DC8E39" w:rsidR="00105982" w:rsidRPr="00605C77" w:rsidRDefault="00105982" w:rsidP="00655251">
            <w:pPr>
              <w:spacing w:after="0" w:line="240" w:lineRule="auto"/>
              <w:jc w:val="center"/>
              <w:rPr>
                <w:rFonts w:ascii="Calibri" w:hAnsi="Calibri" w:cs="Calibri"/>
                <w:color w:val="000000"/>
                <w:sz w:val="18"/>
                <w:szCs w:val="18"/>
              </w:rPr>
            </w:pPr>
            <w:r w:rsidRPr="00605C77">
              <w:rPr>
                <w:rFonts w:ascii="Calibri" w:hAnsi="Calibri" w:cs="Calibri"/>
                <w:color w:val="000000"/>
                <w:sz w:val="18"/>
                <w:szCs w:val="18"/>
              </w:rPr>
              <w:t>- </w:t>
            </w:r>
          </w:p>
        </w:tc>
        <w:tc>
          <w:tcPr>
            <w:tcW w:w="709" w:type="dxa"/>
            <w:shd w:val="clear" w:color="auto" w:fill="auto"/>
            <w:noWrap/>
            <w:vAlign w:val="bottom"/>
          </w:tcPr>
          <w:p w14:paraId="1BB66785"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4,5</w:t>
            </w:r>
          </w:p>
        </w:tc>
      </w:tr>
      <w:tr w:rsidR="00105982" w:rsidRPr="005C5000" w14:paraId="6A005AA2" w14:textId="77777777" w:rsidTr="0053154C">
        <w:trPr>
          <w:trHeight w:val="20"/>
          <w:jc w:val="center"/>
        </w:trPr>
        <w:tc>
          <w:tcPr>
            <w:tcW w:w="4536" w:type="dxa"/>
            <w:tcBorders>
              <w:bottom w:val="single" w:sz="4" w:space="0" w:color="BFBFBF" w:themeColor="background1" w:themeShade="BF"/>
            </w:tcBorders>
            <w:shd w:val="clear" w:color="auto" w:fill="F2F2F2" w:themeFill="background1" w:themeFillShade="F2"/>
            <w:noWrap/>
            <w:hideMark/>
          </w:tcPr>
          <w:p w14:paraId="17DF2EDD" w14:textId="77777777" w:rsidR="00105982" w:rsidRPr="00F83BE7" w:rsidRDefault="00105982" w:rsidP="00655251">
            <w:pPr>
              <w:spacing w:after="0" w:line="240" w:lineRule="auto"/>
              <w:rPr>
                <w:rFonts w:eastAsia="Times New Roman" w:cstheme="minorHAnsi"/>
                <w:sz w:val="18"/>
                <w:szCs w:val="18"/>
                <w:lang w:eastAsia="pt-BR"/>
              </w:rPr>
            </w:pPr>
            <w:r w:rsidRPr="00F83BE7">
              <w:rPr>
                <w:rFonts w:eastAsia="Times New Roman" w:cstheme="minorHAnsi"/>
                <w:sz w:val="18"/>
                <w:szCs w:val="18"/>
                <w:lang w:eastAsia="pt-BR"/>
              </w:rPr>
              <w:t>Telecomunicações Brasileiras S.A - TELEBRAS</w:t>
            </w:r>
          </w:p>
        </w:tc>
        <w:tc>
          <w:tcPr>
            <w:tcW w:w="1276" w:type="dxa"/>
            <w:tcBorders>
              <w:bottom w:val="single" w:sz="4" w:space="0" w:color="BFBFBF" w:themeColor="background1" w:themeShade="BF"/>
            </w:tcBorders>
            <w:shd w:val="clear" w:color="auto" w:fill="F2F2F2" w:themeFill="background1" w:themeFillShade="F2"/>
            <w:noWrap/>
            <w:vAlign w:val="center"/>
          </w:tcPr>
          <w:p w14:paraId="681599AB"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6,5</w:t>
            </w:r>
          </w:p>
        </w:tc>
        <w:tc>
          <w:tcPr>
            <w:tcW w:w="851" w:type="dxa"/>
            <w:tcBorders>
              <w:bottom w:val="single" w:sz="4" w:space="0" w:color="BFBFBF" w:themeColor="background1" w:themeShade="BF"/>
            </w:tcBorders>
            <w:shd w:val="clear" w:color="auto" w:fill="F2F2F2" w:themeFill="background1" w:themeFillShade="F2"/>
            <w:noWrap/>
            <w:vAlign w:val="center"/>
          </w:tcPr>
          <w:p w14:paraId="1FB5169B"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82,5</w:t>
            </w:r>
          </w:p>
        </w:tc>
        <w:tc>
          <w:tcPr>
            <w:tcW w:w="1417" w:type="dxa"/>
            <w:tcBorders>
              <w:bottom w:val="single" w:sz="4" w:space="0" w:color="BFBFBF" w:themeColor="background1" w:themeShade="BF"/>
            </w:tcBorders>
            <w:shd w:val="clear" w:color="auto" w:fill="F2F2F2" w:themeFill="background1" w:themeFillShade="F2"/>
            <w:noWrap/>
            <w:vAlign w:val="center"/>
          </w:tcPr>
          <w:p w14:paraId="0130F7DA" w14:textId="4648FE98" w:rsidR="00105982" w:rsidRPr="00605C77" w:rsidRDefault="00105982" w:rsidP="00655251">
            <w:pPr>
              <w:spacing w:after="0" w:line="240" w:lineRule="auto"/>
              <w:jc w:val="center"/>
              <w:rPr>
                <w:rFonts w:ascii="Calibri" w:hAnsi="Calibri" w:cs="Calibri"/>
                <w:color w:val="000000"/>
                <w:sz w:val="18"/>
                <w:szCs w:val="18"/>
              </w:rPr>
            </w:pPr>
            <w:r w:rsidRPr="00605C77">
              <w:rPr>
                <w:rFonts w:ascii="Calibri" w:hAnsi="Calibri" w:cs="Calibri"/>
                <w:color w:val="000000"/>
                <w:sz w:val="18"/>
                <w:szCs w:val="18"/>
              </w:rPr>
              <w:t>-</w:t>
            </w:r>
          </w:p>
        </w:tc>
        <w:tc>
          <w:tcPr>
            <w:tcW w:w="1134" w:type="dxa"/>
            <w:tcBorders>
              <w:bottom w:val="single" w:sz="4" w:space="0" w:color="BFBFBF" w:themeColor="background1" w:themeShade="BF"/>
            </w:tcBorders>
            <w:shd w:val="clear" w:color="auto" w:fill="F2F2F2" w:themeFill="background1" w:themeFillShade="F2"/>
            <w:noWrap/>
            <w:vAlign w:val="center"/>
          </w:tcPr>
          <w:p w14:paraId="4EA11ADF"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22,8</w:t>
            </w:r>
          </w:p>
        </w:tc>
        <w:tc>
          <w:tcPr>
            <w:tcW w:w="709" w:type="dxa"/>
            <w:tcBorders>
              <w:bottom w:val="single" w:sz="4" w:space="0" w:color="BFBFBF" w:themeColor="background1" w:themeShade="BF"/>
            </w:tcBorders>
            <w:shd w:val="clear" w:color="auto" w:fill="F2F2F2" w:themeFill="background1" w:themeFillShade="F2"/>
            <w:noWrap/>
            <w:vAlign w:val="bottom"/>
          </w:tcPr>
          <w:p w14:paraId="1590AB17" w14:textId="77777777" w:rsidR="00105982" w:rsidRPr="00605C77" w:rsidRDefault="00105982" w:rsidP="00655251">
            <w:pPr>
              <w:spacing w:after="0" w:line="240" w:lineRule="auto"/>
              <w:jc w:val="right"/>
              <w:rPr>
                <w:rFonts w:ascii="Calibri" w:hAnsi="Calibri" w:cs="Calibri"/>
                <w:color w:val="000000"/>
                <w:sz w:val="18"/>
                <w:szCs w:val="18"/>
              </w:rPr>
            </w:pPr>
            <w:r w:rsidRPr="00605C77">
              <w:rPr>
                <w:rFonts w:ascii="Calibri" w:hAnsi="Calibri" w:cs="Calibri"/>
                <w:color w:val="000000"/>
                <w:sz w:val="18"/>
                <w:szCs w:val="18"/>
              </w:rPr>
              <w:t>111,8</w:t>
            </w:r>
          </w:p>
        </w:tc>
      </w:tr>
      <w:tr w:rsidR="00105982" w:rsidRPr="00DC104C" w14:paraId="7B851E80" w14:textId="77777777" w:rsidTr="0053154C">
        <w:trPr>
          <w:trHeight w:val="20"/>
          <w:jc w:val="center"/>
        </w:trPr>
        <w:tc>
          <w:tcPr>
            <w:tcW w:w="4536" w:type="dxa"/>
            <w:tcBorders>
              <w:bottom w:val="single" w:sz="4" w:space="0" w:color="BFBFBF" w:themeColor="background1" w:themeShade="BF"/>
            </w:tcBorders>
            <w:shd w:val="clear" w:color="auto" w:fill="7F7F7F" w:themeFill="text1" w:themeFillTint="80"/>
            <w:noWrap/>
            <w:vAlign w:val="center"/>
            <w:hideMark/>
          </w:tcPr>
          <w:p w14:paraId="2AA1EB6B" w14:textId="77777777" w:rsidR="00105982" w:rsidRPr="00DC104C" w:rsidRDefault="00105982" w:rsidP="00655251">
            <w:pPr>
              <w:spacing w:after="0" w:line="240" w:lineRule="auto"/>
              <w:rPr>
                <w:rFonts w:eastAsia="Times New Roman" w:cstheme="minorHAnsi"/>
                <w:b/>
                <w:bCs/>
                <w:color w:val="FFFFFF" w:themeColor="background1"/>
                <w:sz w:val="18"/>
                <w:szCs w:val="18"/>
                <w:lang w:eastAsia="pt-BR"/>
              </w:rPr>
            </w:pPr>
            <w:r w:rsidRPr="00DC104C">
              <w:rPr>
                <w:rFonts w:eastAsia="Times New Roman" w:cstheme="minorHAnsi"/>
                <w:b/>
                <w:bCs/>
                <w:color w:val="FFFFFF" w:themeColor="background1"/>
                <w:sz w:val="18"/>
                <w:szCs w:val="18"/>
                <w:lang w:eastAsia="pt-BR"/>
              </w:rPr>
              <w:t>Total</w:t>
            </w:r>
          </w:p>
        </w:tc>
        <w:tc>
          <w:tcPr>
            <w:tcW w:w="1276" w:type="dxa"/>
            <w:tcBorders>
              <w:bottom w:val="single" w:sz="4" w:space="0" w:color="BFBFBF" w:themeColor="background1" w:themeShade="BF"/>
            </w:tcBorders>
            <w:shd w:val="clear" w:color="auto" w:fill="7F7F7F" w:themeFill="text1" w:themeFillTint="80"/>
            <w:noWrap/>
            <w:vAlign w:val="bottom"/>
          </w:tcPr>
          <w:p w14:paraId="20D1374C" w14:textId="77777777" w:rsidR="00105982" w:rsidRPr="00DC104C" w:rsidRDefault="00105982" w:rsidP="00655251">
            <w:pPr>
              <w:spacing w:after="0" w:line="240" w:lineRule="auto"/>
              <w:jc w:val="right"/>
              <w:rPr>
                <w:rFonts w:ascii="Calibri" w:hAnsi="Calibri" w:cs="Calibri"/>
                <w:b/>
                <w:bCs/>
                <w:color w:val="FFFFFF" w:themeColor="background1"/>
                <w:sz w:val="18"/>
                <w:szCs w:val="18"/>
              </w:rPr>
            </w:pPr>
            <w:r w:rsidRPr="00DC104C">
              <w:rPr>
                <w:rFonts w:ascii="Calibri" w:hAnsi="Calibri" w:cs="Calibri"/>
                <w:b/>
                <w:bCs/>
                <w:color w:val="FFFFFF" w:themeColor="background1"/>
                <w:sz w:val="18"/>
                <w:szCs w:val="18"/>
              </w:rPr>
              <w:t>2.932,9</w:t>
            </w:r>
          </w:p>
        </w:tc>
        <w:tc>
          <w:tcPr>
            <w:tcW w:w="851" w:type="dxa"/>
            <w:tcBorders>
              <w:bottom w:val="single" w:sz="4" w:space="0" w:color="BFBFBF" w:themeColor="background1" w:themeShade="BF"/>
            </w:tcBorders>
            <w:shd w:val="clear" w:color="auto" w:fill="7F7F7F" w:themeFill="text1" w:themeFillTint="80"/>
            <w:noWrap/>
            <w:vAlign w:val="bottom"/>
          </w:tcPr>
          <w:p w14:paraId="154326C5" w14:textId="77777777" w:rsidR="00105982" w:rsidRPr="00DC104C" w:rsidRDefault="00105982" w:rsidP="00655251">
            <w:pPr>
              <w:spacing w:after="0" w:line="240" w:lineRule="auto"/>
              <w:jc w:val="right"/>
              <w:rPr>
                <w:rFonts w:ascii="Calibri" w:hAnsi="Calibri" w:cs="Calibri"/>
                <w:b/>
                <w:bCs/>
                <w:color w:val="FFFFFF" w:themeColor="background1"/>
                <w:sz w:val="18"/>
                <w:szCs w:val="18"/>
              </w:rPr>
            </w:pPr>
            <w:r w:rsidRPr="00DC104C">
              <w:rPr>
                <w:rFonts w:ascii="Calibri" w:hAnsi="Calibri" w:cs="Calibri"/>
                <w:b/>
                <w:bCs/>
                <w:color w:val="FFFFFF" w:themeColor="background1"/>
                <w:sz w:val="18"/>
                <w:szCs w:val="18"/>
              </w:rPr>
              <w:t>1.789,6</w:t>
            </w:r>
          </w:p>
        </w:tc>
        <w:tc>
          <w:tcPr>
            <w:tcW w:w="1417" w:type="dxa"/>
            <w:tcBorders>
              <w:bottom w:val="single" w:sz="4" w:space="0" w:color="BFBFBF" w:themeColor="background1" w:themeShade="BF"/>
            </w:tcBorders>
            <w:shd w:val="clear" w:color="auto" w:fill="7F7F7F" w:themeFill="text1" w:themeFillTint="80"/>
            <w:noWrap/>
            <w:vAlign w:val="bottom"/>
          </w:tcPr>
          <w:p w14:paraId="4C3303F8" w14:textId="77777777" w:rsidR="00105982" w:rsidRPr="00DC104C" w:rsidRDefault="00105982" w:rsidP="00655251">
            <w:pPr>
              <w:spacing w:after="0" w:line="240" w:lineRule="auto"/>
              <w:jc w:val="right"/>
              <w:rPr>
                <w:rFonts w:ascii="Calibri" w:hAnsi="Calibri" w:cs="Calibri"/>
                <w:b/>
                <w:bCs/>
                <w:color w:val="FFFFFF" w:themeColor="background1"/>
                <w:sz w:val="18"/>
                <w:szCs w:val="18"/>
              </w:rPr>
            </w:pPr>
            <w:r w:rsidRPr="00DC104C">
              <w:rPr>
                <w:rFonts w:ascii="Calibri" w:hAnsi="Calibri" w:cs="Calibri"/>
                <w:b/>
                <w:bCs/>
                <w:color w:val="FFFFFF" w:themeColor="background1"/>
                <w:sz w:val="18"/>
                <w:szCs w:val="18"/>
              </w:rPr>
              <w:t>15,8</w:t>
            </w:r>
          </w:p>
        </w:tc>
        <w:tc>
          <w:tcPr>
            <w:tcW w:w="1134" w:type="dxa"/>
            <w:tcBorders>
              <w:bottom w:val="single" w:sz="4" w:space="0" w:color="BFBFBF" w:themeColor="background1" w:themeShade="BF"/>
            </w:tcBorders>
            <w:shd w:val="clear" w:color="auto" w:fill="7F7F7F" w:themeFill="text1" w:themeFillTint="80"/>
            <w:noWrap/>
            <w:vAlign w:val="bottom"/>
          </w:tcPr>
          <w:p w14:paraId="5C2C27F8" w14:textId="77777777" w:rsidR="00105982" w:rsidRPr="00DC104C" w:rsidRDefault="00105982" w:rsidP="00655251">
            <w:pPr>
              <w:spacing w:after="0" w:line="240" w:lineRule="auto"/>
              <w:jc w:val="right"/>
              <w:rPr>
                <w:rFonts w:ascii="Calibri" w:hAnsi="Calibri" w:cs="Calibri"/>
                <w:b/>
                <w:bCs/>
                <w:color w:val="FFFFFF" w:themeColor="background1"/>
                <w:sz w:val="18"/>
                <w:szCs w:val="18"/>
              </w:rPr>
            </w:pPr>
            <w:r w:rsidRPr="00DC104C">
              <w:rPr>
                <w:rFonts w:ascii="Calibri" w:hAnsi="Calibri" w:cs="Calibri"/>
                <w:b/>
                <w:bCs/>
                <w:color w:val="FFFFFF" w:themeColor="background1"/>
                <w:sz w:val="18"/>
                <w:szCs w:val="18"/>
              </w:rPr>
              <w:t>143,2</w:t>
            </w:r>
          </w:p>
        </w:tc>
        <w:tc>
          <w:tcPr>
            <w:tcW w:w="709" w:type="dxa"/>
            <w:tcBorders>
              <w:bottom w:val="single" w:sz="4" w:space="0" w:color="BFBFBF" w:themeColor="background1" w:themeShade="BF"/>
            </w:tcBorders>
            <w:shd w:val="clear" w:color="auto" w:fill="7F7F7F" w:themeFill="text1" w:themeFillTint="80"/>
            <w:noWrap/>
            <w:vAlign w:val="bottom"/>
          </w:tcPr>
          <w:p w14:paraId="25063DFF" w14:textId="77777777" w:rsidR="00105982" w:rsidRPr="00DC104C" w:rsidRDefault="00105982" w:rsidP="00655251">
            <w:pPr>
              <w:spacing w:after="0" w:line="240" w:lineRule="auto"/>
              <w:jc w:val="right"/>
              <w:rPr>
                <w:rFonts w:ascii="Calibri" w:hAnsi="Calibri" w:cs="Calibri"/>
                <w:b/>
                <w:bCs/>
                <w:color w:val="FFFFFF" w:themeColor="background1"/>
                <w:sz w:val="18"/>
                <w:szCs w:val="18"/>
              </w:rPr>
            </w:pPr>
            <w:r w:rsidRPr="00DC104C">
              <w:rPr>
                <w:rFonts w:ascii="Calibri" w:hAnsi="Calibri" w:cs="Calibri"/>
                <w:b/>
                <w:bCs/>
                <w:color w:val="FFFFFF" w:themeColor="background1"/>
                <w:sz w:val="18"/>
                <w:szCs w:val="18"/>
              </w:rPr>
              <w:t>4.881,4</w:t>
            </w:r>
          </w:p>
        </w:tc>
      </w:tr>
      <w:tr w:rsidR="00105982" w:rsidRPr="00324C66" w14:paraId="4F9E4D09" w14:textId="77777777" w:rsidTr="00655251">
        <w:trPr>
          <w:trHeight w:val="20"/>
          <w:jc w:val="center"/>
        </w:trPr>
        <w:tc>
          <w:tcPr>
            <w:tcW w:w="9923" w:type="dxa"/>
            <w:gridSpan w:val="6"/>
            <w:tcBorders>
              <w:top w:val="single" w:sz="4" w:space="0" w:color="BFBFBF" w:themeColor="background1" w:themeShade="BF"/>
              <w:left w:val="nil"/>
              <w:bottom w:val="nil"/>
              <w:right w:val="nil"/>
            </w:tcBorders>
            <w:shd w:val="clear" w:color="000000" w:fill="FFFFFF"/>
            <w:noWrap/>
            <w:hideMark/>
          </w:tcPr>
          <w:p w14:paraId="78D6483D" w14:textId="15006152" w:rsidR="00105982" w:rsidRPr="00A650EE" w:rsidRDefault="00105982" w:rsidP="0009679D">
            <w:pPr>
              <w:spacing w:after="0" w:line="240" w:lineRule="auto"/>
              <w:rPr>
                <w:rFonts w:eastAsia="Times New Roman" w:cs="Arial"/>
                <w:i/>
                <w:sz w:val="16"/>
                <w:szCs w:val="16"/>
                <w:lang w:eastAsia="pt-BR"/>
              </w:rPr>
            </w:pPr>
            <w:r w:rsidRPr="00A650EE">
              <w:rPr>
                <w:rFonts w:eastAsia="Times New Roman" w:cs="Arial"/>
                <w:b/>
                <w:i/>
                <w:sz w:val="16"/>
                <w:szCs w:val="16"/>
                <w:lang w:eastAsia="pt-BR"/>
              </w:rPr>
              <w:t>Fonte</w:t>
            </w:r>
            <w:r w:rsidRPr="00A650EE">
              <w:rPr>
                <w:rFonts w:eastAsia="Times New Roman" w:cs="Arial"/>
                <w:i/>
                <w:sz w:val="16"/>
                <w:szCs w:val="16"/>
                <w:lang w:eastAsia="pt-BR"/>
              </w:rPr>
              <w:t xml:space="preserve">: SEST/ME. </w:t>
            </w:r>
            <w:r w:rsidRPr="00A650EE">
              <w:rPr>
                <w:rFonts w:eastAsia="Times New Roman" w:cs="Arial"/>
                <w:b/>
                <w:i/>
                <w:sz w:val="16"/>
                <w:szCs w:val="16"/>
                <w:lang w:eastAsia="pt-BR"/>
              </w:rPr>
              <w:t>Elaboração</w:t>
            </w:r>
            <w:r w:rsidRPr="00A650EE">
              <w:rPr>
                <w:rFonts w:eastAsia="Times New Roman" w:cs="Arial"/>
                <w:i/>
                <w:sz w:val="16"/>
                <w:szCs w:val="16"/>
                <w:lang w:eastAsia="pt-BR"/>
              </w:rPr>
              <w:t>: STN/ME.</w:t>
            </w:r>
          </w:p>
        </w:tc>
      </w:tr>
    </w:tbl>
    <w:p w14:paraId="3C848A3C" w14:textId="68E1AC87" w:rsidR="009258AE" w:rsidRPr="000C51BE" w:rsidRDefault="009258AE" w:rsidP="00C03151">
      <w:pPr>
        <w:spacing w:after="120" w:line="240" w:lineRule="auto"/>
        <w:rPr>
          <w:w w:val="105"/>
          <w:sz w:val="24"/>
          <w:szCs w:val="24"/>
        </w:rPr>
      </w:pPr>
    </w:p>
    <w:p w14:paraId="4E2EAFBF" w14:textId="77777777" w:rsidR="000D17A6" w:rsidRPr="00981832" w:rsidRDefault="000D17A6" w:rsidP="00180F85">
      <w:pPr>
        <w:pStyle w:val="Ttulo4"/>
        <w:keepLines/>
        <w:numPr>
          <w:ilvl w:val="3"/>
          <w:numId w:val="36"/>
        </w:numPr>
        <w:spacing w:before="240" w:after="120"/>
        <w:ind w:left="862" w:hanging="862"/>
        <w:jc w:val="left"/>
        <w:rPr>
          <w:rFonts w:asciiTheme="minorHAnsi" w:hAnsiTheme="minorHAnsi"/>
        </w:rPr>
      </w:pPr>
      <w:bookmarkStart w:id="216" w:name="_Toc5012239"/>
      <w:bookmarkStart w:id="217" w:name="_Toc5030485"/>
      <w:bookmarkEnd w:id="212"/>
      <w:r w:rsidRPr="00981832">
        <w:rPr>
          <w:rFonts w:asciiTheme="minorHAnsi" w:hAnsiTheme="minorHAnsi"/>
        </w:rPr>
        <w:t xml:space="preserve">Demandas Judiciais Contra o Banco Central </w:t>
      </w:r>
      <w:r w:rsidR="00247449" w:rsidRPr="00981832">
        <w:rPr>
          <w:rFonts w:asciiTheme="minorHAnsi" w:hAnsiTheme="minorHAnsi"/>
        </w:rPr>
        <w:t>do</w:t>
      </w:r>
      <w:r w:rsidRPr="009739F2">
        <w:rPr>
          <w:rFonts w:asciiTheme="minorHAnsi" w:hAnsiTheme="minorHAnsi"/>
        </w:rPr>
        <w:t xml:space="preserve"> Brasil</w:t>
      </w:r>
      <w:r w:rsidR="00247449" w:rsidRPr="005C5D8A">
        <w:rPr>
          <w:rFonts w:asciiTheme="minorHAnsi" w:hAnsiTheme="minorHAnsi"/>
        </w:rPr>
        <w:t xml:space="preserve"> (</w:t>
      </w:r>
      <w:r w:rsidRPr="00981832">
        <w:rPr>
          <w:rFonts w:asciiTheme="minorHAnsi" w:hAnsiTheme="minorHAnsi"/>
        </w:rPr>
        <w:t>BCB</w:t>
      </w:r>
      <w:bookmarkEnd w:id="216"/>
      <w:bookmarkEnd w:id="217"/>
      <w:r w:rsidR="00247449" w:rsidRPr="00981832">
        <w:rPr>
          <w:rFonts w:asciiTheme="minorHAnsi" w:hAnsiTheme="minorHAnsi"/>
        </w:rPr>
        <w:t>)</w:t>
      </w:r>
    </w:p>
    <w:p w14:paraId="02958E2A" w14:textId="4F74B777" w:rsidR="008F5588" w:rsidRPr="002E603A" w:rsidRDefault="008F5588" w:rsidP="008F5588">
      <w:pPr>
        <w:spacing w:after="120" w:line="240" w:lineRule="auto"/>
        <w:ind w:firstLine="1418"/>
        <w:jc w:val="both"/>
        <w:rPr>
          <w:rFonts w:cstheme="minorHAnsi"/>
          <w:w w:val="105"/>
          <w:sz w:val="24"/>
          <w:szCs w:val="24"/>
        </w:rPr>
      </w:pPr>
      <w:r w:rsidRPr="002E603A">
        <w:rPr>
          <w:rFonts w:cstheme="minorHAnsi"/>
          <w:w w:val="105"/>
          <w:sz w:val="24"/>
          <w:szCs w:val="24"/>
        </w:rPr>
        <w:t>O Banco Central do Brasil (BCB), em 31 de dezembro de 2020, era parte em 9.288 ações, sendo 2.743 no polo ativo, 6.361 no polo passivo e 184 tendo o BCB como parte interessada.</w:t>
      </w:r>
      <w:r w:rsidRPr="002E603A">
        <w:rPr>
          <w:rFonts w:cstheme="minorHAnsi"/>
        </w:rPr>
        <w:t xml:space="preserve"> </w:t>
      </w:r>
      <w:r w:rsidRPr="002E603A">
        <w:rPr>
          <w:rFonts w:cstheme="minorHAnsi"/>
          <w:w w:val="105"/>
          <w:sz w:val="24"/>
          <w:szCs w:val="24"/>
        </w:rPr>
        <w:t>Não houve reconhecimento de ativos contingentes em virtude das ações no polo ativo e, das ações no polo passivo, 830 foram classificadas como risco provável e, assim, estavam reconhecidas em sua contabilidade, totalizando R$</w:t>
      </w:r>
      <w:r w:rsidR="00DE220B" w:rsidRPr="002E603A">
        <w:rPr>
          <w:rFonts w:cstheme="minorHAnsi"/>
          <w:w w:val="105"/>
          <w:sz w:val="24"/>
          <w:szCs w:val="24"/>
        </w:rPr>
        <w:t xml:space="preserve"> </w:t>
      </w:r>
      <w:r w:rsidRPr="002E603A">
        <w:rPr>
          <w:rFonts w:cstheme="minorHAnsi"/>
          <w:w w:val="105"/>
          <w:sz w:val="24"/>
          <w:szCs w:val="24"/>
        </w:rPr>
        <w:t>9</w:t>
      </w:r>
      <w:r w:rsidR="004E5DFE" w:rsidRPr="002E603A">
        <w:rPr>
          <w:rFonts w:cstheme="minorHAnsi"/>
          <w:w w:val="105"/>
          <w:sz w:val="24"/>
          <w:szCs w:val="24"/>
        </w:rPr>
        <w:t>,</w:t>
      </w:r>
      <w:r w:rsidR="00DE220B" w:rsidRPr="002E603A">
        <w:rPr>
          <w:rFonts w:cstheme="minorHAnsi"/>
          <w:w w:val="105"/>
          <w:sz w:val="24"/>
          <w:szCs w:val="24"/>
        </w:rPr>
        <w:t>5 bilhões</w:t>
      </w:r>
      <w:r w:rsidRPr="002E603A">
        <w:rPr>
          <w:rFonts w:cstheme="minorHAnsi"/>
          <w:w w:val="105"/>
          <w:sz w:val="24"/>
          <w:szCs w:val="24"/>
        </w:rPr>
        <w:t>.</w:t>
      </w:r>
    </w:p>
    <w:p w14:paraId="3E7B9123" w14:textId="77777777" w:rsidR="008F5588" w:rsidRPr="002E603A" w:rsidRDefault="008F5588" w:rsidP="008F5588">
      <w:pPr>
        <w:spacing w:after="120" w:line="240" w:lineRule="auto"/>
        <w:ind w:firstLine="1418"/>
        <w:jc w:val="both"/>
        <w:rPr>
          <w:rFonts w:cstheme="minorHAnsi"/>
          <w:w w:val="105"/>
          <w:sz w:val="24"/>
          <w:szCs w:val="24"/>
        </w:rPr>
      </w:pPr>
      <w:r w:rsidRPr="002E603A">
        <w:rPr>
          <w:rFonts w:cstheme="minorHAnsi"/>
          <w:w w:val="105"/>
          <w:sz w:val="24"/>
          <w:szCs w:val="24"/>
        </w:rPr>
        <w:t>As ações judiciais nas quais o BCB era parte em 31 de dezembro de 2020 referem-se a assuntos diversos, entre os quais planos econômicos, reclamações trabalhistas, liquidações de instituições financeiras e privatizações.</w:t>
      </w:r>
    </w:p>
    <w:p w14:paraId="257BC82E" w14:textId="77777777" w:rsidR="008F5588" w:rsidRPr="002E603A" w:rsidRDefault="008F5588" w:rsidP="008F5588">
      <w:pPr>
        <w:spacing w:after="120" w:line="240" w:lineRule="auto"/>
        <w:ind w:firstLine="1418"/>
        <w:jc w:val="both"/>
        <w:rPr>
          <w:rFonts w:cstheme="minorHAnsi"/>
          <w:sz w:val="24"/>
          <w:szCs w:val="24"/>
          <w:u w:val="single"/>
          <w:lang w:eastAsia="pt-BR"/>
        </w:rPr>
      </w:pPr>
      <w:r w:rsidRPr="002E603A">
        <w:rPr>
          <w:rFonts w:cstheme="minorHAnsi"/>
          <w:w w:val="105"/>
          <w:sz w:val="24"/>
          <w:szCs w:val="24"/>
        </w:rPr>
        <w:t>Em atenção ao disposto no art. 32 da Lei nº 14.116, de 31 de dezembro de 2020 (Lei de Diretrizes Orçamentárias – LDO 2021), as dotações aprovadas na lei orçamentária anual, destinadas ao pagamento de débitos oriundos de decisões judiciais transitadas em julgado, serão descentralizadas aos tribunais requisitantes dos precatórios, aos quais competirá efetuar os pagamentos aos beneficiários. Em virtude disso, os recursos orçamentários e financeiros não transitarão pelo BCB (entidade devedora).</w:t>
      </w:r>
    </w:p>
    <w:p w14:paraId="66E171D6" w14:textId="65B83F8C" w:rsidR="008F5588" w:rsidRPr="002E603A" w:rsidRDefault="008F5588" w:rsidP="008F5588">
      <w:pPr>
        <w:spacing w:after="120" w:line="240" w:lineRule="auto"/>
        <w:ind w:firstLine="1418"/>
        <w:jc w:val="both"/>
        <w:rPr>
          <w:rFonts w:cstheme="minorHAnsi"/>
          <w:w w:val="105"/>
          <w:sz w:val="24"/>
          <w:szCs w:val="24"/>
        </w:rPr>
      </w:pPr>
      <w:r w:rsidRPr="002E603A">
        <w:rPr>
          <w:rFonts w:cstheme="minorHAnsi"/>
          <w:w w:val="105"/>
          <w:sz w:val="24"/>
          <w:szCs w:val="24"/>
        </w:rPr>
        <w:t>As ações judiciais em que o risco de perda foi considerado menor que provável e maior que remoto foram classificadas como passivos contingentes e assim não foram provisionadas. Em 31 de dezembro de 2020 havia 852 ações nessa situação, totalizando R$</w:t>
      </w:r>
      <w:r w:rsidR="00626304" w:rsidRPr="002E603A">
        <w:rPr>
          <w:rFonts w:cstheme="minorHAnsi"/>
          <w:w w:val="105"/>
          <w:sz w:val="24"/>
          <w:szCs w:val="24"/>
        </w:rPr>
        <w:t>6,0</w:t>
      </w:r>
      <w:r w:rsidR="00957ED2" w:rsidRPr="002E603A">
        <w:rPr>
          <w:rFonts w:cstheme="minorHAnsi"/>
          <w:w w:val="105"/>
          <w:sz w:val="24"/>
          <w:szCs w:val="24"/>
        </w:rPr>
        <w:t xml:space="preserve"> bilhões</w:t>
      </w:r>
      <w:r w:rsidRPr="002E603A">
        <w:rPr>
          <w:rFonts w:cstheme="minorHAnsi"/>
          <w:w w:val="105"/>
          <w:sz w:val="24"/>
          <w:szCs w:val="24"/>
        </w:rPr>
        <w:t>. A maior parte desse valor refere-se a regimes especiais de resolução para instituições financeiras, no montante de R$5</w:t>
      </w:r>
      <w:r w:rsidR="004E5DFE" w:rsidRPr="002E603A">
        <w:rPr>
          <w:rFonts w:cstheme="minorHAnsi"/>
          <w:w w:val="105"/>
          <w:sz w:val="24"/>
          <w:szCs w:val="24"/>
        </w:rPr>
        <w:t>,3 bilhões</w:t>
      </w:r>
      <w:r w:rsidRPr="002E603A">
        <w:rPr>
          <w:rFonts w:cstheme="minorHAnsi"/>
          <w:w w:val="105"/>
          <w:sz w:val="24"/>
          <w:szCs w:val="24"/>
        </w:rPr>
        <w:t>.</w:t>
      </w:r>
    </w:p>
    <w:p w14:paraId="71D8FAE7" w14:textId="77777777" w:rsidR="008F5588" w:rsidRPr="002E603A" w:rsidRDefault="008F5588" w:rsidP="008F5588">
      <w:pPr>
        <w:spacing w:after="120" w:line="240" w:lineRule="auto"/>
        <w:ind w:firstLine="1418"/>
        <w:jc w:val="both"/>
        <w:rPr>
          <w:rFonts w:cstheme="minorHAnsi"/>
          <w:w w:val="105"/>
          <w:sz w:val="24"/>
          <w:szCs w:val="24"/>
        </w:rPr>
      </w:pPr>
      <w:r w:rsidRPr="002E603A">
        <w:rPr>
          <w:rFonts w:cstheme="minorHAnsi"/>
          <w:w w:val="105"/>
          <w:sz w:val="24"/>
          <w:szCs w:val="24"/>
        </w:rPr>
        <w:lastRenderedPageBreak/>
        <w:t>A área jurídica avalia todas as ações judiciais levando em consideração o valor em discussão, a fase processual e o risco de perda, que é calculado com base em decisões ocorridas no processo, na jurisprudência aplicável e em precedentes para casos similares.</w:t>
      </w:r>
    </w:p>
    <w:p w14:paraId="23678D8D" w14:textId="487BD140" w:rsidR="008F5588" w:rsidRPr="002E603A" w:rsidRDefault="008F5588" w:rsidP="008F5588">
      <w:pPr>
        <w:spacing w:after="120" w:line="240" w:lineRule="auto"/>
        <w:ind w:firstLine="1418"/>
        <w:jc w:val="both"/>
        <w:rPr>
          <w:rFonts w:cstheme="minorHAnsi"/>
          <w:w w:val="105"/>
          <w:sz w:val="24"/>
          <w:szCs w:val="24"/>
        </w:rPr>
      </w:pPr>
      <w:r w:rsidRPr="002E603A">
        <w:rPr>
          <w:rFonts w:cstheme="minorHAnsi"/>
          <w:w w:val="105"/>
          <w:sz w:val="24"/>
          <w:szCs w:val="24"/>
        </w:rPr>
        <w:t>A distribuição dos valores do passivo contingente do BCB de acordo com a instância</w:t>
      </w:r>
      <w:r w:rsidR="002E603A" w:rsidRPr="002E603A">
        <w:rPr>
          <w:rFonts w:cstheme="minorHAnsi"/>
          <w:w w:val="105"/>
          <w:sz w:val="24"/>
          <w:szCs w:val="24"/>
        </w:rPr>
        <w:t xml:space="preserve"> </w:t>
      </w:r>
      <w:r w:rsidRPr="002E603A">
        <w:rPr>
          <w:rFonts w:cstheme="minorHAnsi"/>
          <w:w w:val="105"/>
          <w:sz w:val="24"/>
          <w:szCs w:val="24"/>
        </w:rPr>
        <w:t xml:space="preserve">está discriminada na </w:t>
      </w:r>
      <w:r w:rsidR="00A55C3A" w:rsidRPr="002E603A">
        <w:rPr>
          <w:rFonts w:cstheme="minorHAnsi"/>
          <w:w w:val="105"/>
          <w:sz w:val="24"/>
          <w:szCs w:val="24"/>
        </w:rPr>
        <w:fldChar w:fldCharType="begin"/>
      </w:r>
      <w:r w:rsidR="00A55C3A" w:rsidRPr="002E603A">
        <w:rPr>
          <w:rFonts w:cstheme="minorHAnsi"/>
          <w:w w:val="105"/>
          <w:sz w:val="24"/>
          <w:szCs w:val="24"/>
        </w:rPr>
        <w:instrText xml:space="preserve"> REF _Ref67468795 \h </w:instrText>
      </w:r>
      <w:r w:rsidR="008F52FE" w:rsidRPr="002E603A">
        <w:rPr>
          <w:rFonts w:cstheme="minorHAnsi"/>
          <w:w w:val="105"/>
          <w:sz w:val="24"/>
          <w:szCs w:val="24"/>
        </w:rPr>
        <w:instrText xml:space="preserve"> \* MERGEFORMAT </w:instrText>
      </w:r>
      <w:r w:rsidR="00A55C3A" w:rsidRPr="002E603A">
        <w:rPr>
          <w:rFonts w:cstheme="minorHAnsi"/>
          <w:w w:val="105"/>
          <w:sz w:val="24"/>
          <w:szCs w:val="24"/>
        </w:rPr>
      </w:r>
      <w:r w:rsidR="00A55C3A" w:rsidRPr="002E603A">
        <w:rPr>
          <w:rFonts w:cstheme="minorHAnsi"/>
          <w:w w:val="105"/>
          <w:sz w:val="24"/>
          <w:szCs w:val="24"/>
        </w:rPr>
        <w:fldChar w:fldCharType="separate"/>
      </w:r>
      <w:r w:rsidR="00304F5F" w:rsidRPr="00304F5F">
        <w:rPr>
          <w:rFonts w:cstheme="minorHAnsi"/>
          <w:w w:val="105"/>
          <w:sz w:val="24"/>
          <w:szCs w:val="24"/>
        </w:rPr>
        <w:t>Tabela 20</w:t>
      </w:r>
      <w:r w:rsidR="00A55C3A" w:rsidRPr="002E603A">
        <w:rPr>
          <w:rFonts w:cstheme="minorHAnsi"/>
          <w:w w:val="105"/>
          <w:sz w:val="24"/>
          <w:szCs w:val="24"/>
        </w:rPr>
        <w:fldChar w:fldCharType="end"/>
      </w:r>
      <w:r w:rsidRPr="002E603A">
        <w:rPr>
          <w:rFonts w:cstheme="minorHAnsi"/>
          <w:w w:val="105"/>
          <w:sz w:val="24"/>
          <w:szCs w:val="24"/>
        </w:rPr>
        <w:t>, a seguir:</w:t>
      </w:r>
    </w:p>
    <w:p w14:paraId="489A7437" w14:textId="7014D40A" w:rsidR="00965AEC" w:rsidRPr="00981832" w:rsidRDefault="00D13F4C" w:rsidP="00DC104C">
      <w:pPr>
        <w:jc w:val="center"/>
        <w:rPr>
          <w:w w:val="105"/>
          <w:sz w:val="24"/>
          <w:szCs w:val="24"/>
        </w:rPr>
      </w:pPr>
      <w:bookmarkStart w:id="218" w:name="_Ref67468795"/>
      <w:bookmarkStart w:id="219" w:name="_Ref67468785"/>
      <w:bookmarkStart w:id="220" w:name="_Toc69121366"/>
      <w:r w:rsidRPr="00981832">
        <w:t xml:space="preserve">Tabela </w:t>
      </w:r>
      <w:fldSimple w:instr=" SEQ Tabela \* ARABIC ">
        <w:r w:rsidR="00304F5F">
          <w:rPr>
            <w:noProof/>
          </w:rPr>
          <w:t>20</w:t>
        </w:r>
      </w:fldSimple>
      <w:bookmarkEnd w:id="218"/>
      <w:r w:rsidR="00965AEC" w:rsidRPr="00981832">
        <w:t xml:space="preserve"> </w:t>
      </w:r>
      <w:r w:rsidR="00DC104C">
        <w:t>-</w:t>
      </w:r>
      <w:r w:rsidR="00965AEC" w:rsidRPr="00981832">
        <w:t xml:space="preserve"> Passivo Contingente do BCB por instância</w:t>
      </w:r>
      <w:bookmarkEnd w:id="219"/>
      <w:bookmarkEnd w:id="220"/>
    </w:p>
    <w:tbl>
      <w:tblPr>
        <w:tblW w:w="1821"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115"/>
        <w:gridCol w:w="1550"/>
      </w:tblGrid>
      <w:tr w:rsidR="00981832" w:rsidRPr="00981832" w14:paraId="4553561A" w14:textId="77777777" w:rsidTr="0065286E">
        <w:trPr>
          <w:trHeight w:val="314"/>
          <w:tblHeader/>
          <w:jc w:val="center"/>
        </w:trPr>
        <w:tc>
          <w:tcPr>
            <w:tcW w:w="2886" w:type="pct"/>
            <w:tcBorders>
              <w:top w:val="nil"/>
              <w:left w:val="nil"/>
              <w:bottom w:val="nil"/>
              <w:right w:val="nil"/>
            </w:tcBorders>
            <w:shd w:val="clear" w:color="auto" w:fill="auto"/>
            <w:noWrap/>
            <w:vAlign w:val="center"/>
          </w:tcPr>
          <w:p w14:paraId="4635AD8A" w14:textId="77777777" w:rsidR="003D713B" w:rsidRPr="00981832" w:rsidRDefault="003D713B" w:rsidP="0065286E">
            <w:pPr>
              <w:spacing w:after="0" w:line="240" w:lineRule="auto"/>
              <w:jc w:val="center"/>
              <w:rPr>
                <w:rFonts w:eastAsia="Times New Roman" w:cs="Times New Roman"/>
                <w:sz w:val="20"/>
                <w:szCs w:val="20"/>
                <w:lang w:eastAsia="pt-BR"/>
              </w:rPr>
            </w:pPr>
          </w:p>
        </w:tc>
        <w:tc>
          <w:tcPr>
            <w:tcW w:w="2114" w:type="pct"/>
            <w:tcBorders>
              <w:top w:val="nil"/>
              <w:left w:val="nil"/>
              <w:bottom w:val="nil"/>
              <w:right w:val="nil"/>
            </w:tcBorders>
            <w:shd w:val="clear" w:color="auto" w:fill="auto"/>
            <w:noWrap/>
            <w:vAlign w:val="center"/>
          </w:tcPr>
          <w:p w14:paraId="144F67F1" w14:textId="12613722" w:rsidR="003D713B" w:rsidRPr="00981832" w:rsidRDefault="003D713B" w:rsidP="0065286E">
            <w:pPr>
              <w:spacing w:after="0" w:line="240" w:lineRule="auto"/>
              <w:jc w:val="right"/>
              <w:rPr>
                <w:rFonts w:eastAsia="Times New Roman" w:cs="Times New Roman"/>
                <w:sz w:val="20"/>
                <w:szCs w:val="20"/>
                <w:lang w:eastAsia="pt-BR"/>
              </w:rPr>
            </w:pPr>
            <w:r w:rsidRPr="00981832">
              <w:rPr>
                <w:rFonts w:eastAsia="Times New Roman" w:cs="Times New Roman"/>
                <w:i/>
                <w:iCs/>
                <w:sz w:val="16"/>
                <w:szCs w:val="16"/>
                <w:lang w:eastAsia="pt-BR"/>
              </w:rPr>
              <w:t>Em R$ mi</w:t>
            </w:r>
            <w:r w:rsidR="00C21BE7">
              <w:rPr>
                <w:rFonts w:eastAsia="Times New Roman" w:cs="Times New Roman"/>
                <w:i/>
                <w:iCs/>
                <w:sz w:val="16"/>
                <w:szCs w:val="16"/>
                <w:lang w:eastAsia="pt-BR"/>
              </w:rPr>
              <w:t>l</w:t>
            </w:r>
            <w:r w:rsidR="00CD5200" w:rsidRPr="00981832">
              <w:rPr>
                <w:rFonts w:eastAsia="Times New Roman" w:cs="Times New Roman"/>
                <w:i/>
                <w:iCs/>
                <w:sz w:val="16"/>
                <w:szCs w:val="16"/>
                <w:lang w:eastAsia="pt-BR"/>
              </w:rPr>
              <w:t>hões</w:t>
            </w:r>
          </w:p>
        </w:tc>
      </w:tr>
      <w:tr w:rsidR="00981832" w:rsidRPr="00981832" w14:paraId="0134E64E" w14:textId="77777777" w:rsidTr="0065286E">
        <w:trPr>
          <w:trHeight w:val="314"/>
          <w:tblHeader/>
          <w:jc w:val="center"/>
        </w:trPr>
        <w:tc>
          <w:tcPr>
            <w:tcW w:w="2886" w:type="pct"/>
            <w:tcBorders>
              <w:top w:val="nil"/>
            </w:tcBorders>
            <w:shd w:val="clear" w:color="auto" w:fill="404040" w:themeFill="text1" w:themeFillTint="BF"/>
            <w:noWrap/>
            <w:vAlign w:val="center"/>
          </w:tcPr>
          <w:p w14:paraId="291AFD36" w14:textId="77777777" w:rsidR="003D713B" w:rsidRPr="00600C95" w:rsidRDefault="003D713B" w:rsidP="0065286E">
            <w:pPr>
              <w:spacing w:after="0" w:line="240" w:lineRule="auto"/>
              <w:jc w:val="center"/>
              <w:rPr>
                <w:rFonts w:eastAsia="Times New Roman" w:cs="Times New Roman"/>
                <w:b/>
                <w:bCs/>
                <w:color w:val="FFFFFF" w:themeColor="background1"/>
                <w:sz w:val="20"/>
                <w:szCs w:val="20"/>
                <w:lang w:eastAsia="pt-BR"/>
              </w:rPr>
            </w:pPr>
            <w:r w:rsidRPr="00600C95">
              <w:rPr>
                <w:rFonts w:eastAsia="Times New Roman" w:cs="Times New Roman"/>
                <w:b/>
                <w:bCs/>
                <w:color w:val="FFFFFF" w:themeColor="background1"/>
                <w:sz w:val="20"/>
                <w:szCs w:val="20"/>
                <w:lang w:eastAsia="pt-BR"/>
              </w:rPr>
              <w:t>Instância</w:t>
            </w:r>
          </w:p>
        </w:tc>
        <w:tc>
          <w:tcPr>
            <w:tcW w:w="2114" w:type="pct"/>
            <w:tcBorders>
              <w:top w:val="nil"/>
            </w:tcBorders>
            <w:shd w:val="clear" w:color="auto" w:fill="404040" w:themeFill="text1" w:themeFillTint="BF"/>
            <w:noWrap/>
            <w:vAlign w:val="center"/>
          </w:tcPr>
          <w:p w14:paraId="0B70CB53" w14:textId="77777777" w:rsidR="003D713B" w:rsidRPr="00600C95" w:rsidRDefault="003D713B" w:rsidP="0065286E">
            <w:pPr>
              <w:spacing w:after="0" w:line="240" w:lineRule="auto"/>
              <w:jc w:val="center"/>
              <w:rPr>
                <w:rFonts w:eastAsia="Times New Roman" w:cs="Times New Roman"/>
                <w:b/>
                <w:bCs/>
                <w:color w:val="FFFFFF" w:themeColor="background1"/>
                <w:sz w:val="20"/>
                <w:szCs w:val="20"/>
                <w:lang w:eastAsia="pt-BR"/>
              </w:rPr>
            </w:pPr>
            <w:r w:rsidRPr="00600C95">
              <w:rPr>
                <w:rFonts w:eastAsia="Times New Roman" w:cs="Times New Roman"/>
                <w:b/>
                <w:bCs/>
                <w:color w:val="FFFFFF" w:themeColor="background1"/>
                <w:sz w:val="20"/>
                <w:szCs w:val="20"/>
                <w:lang w:eastAsia="pt-BR"/>
              </w:rPr>
              <w:t>Valor</w:t>
            </w:r>
          </w:p>
        </w:tc>
      </w:tr>
      <w:tr w:rsidR="00981832" w:rsidRPr="00981832" w14:paraId="2591D625" w14:textId="77777777" w:rsidTr="0065286E">
        <w:trPr>
          <w:trHeight w:val="19"/>
          <w:jc w:val="center"/>
        </w:trPr>
        <w:tc>
          <w:tcPr>
            <w:tcW w:w="2886" w:type="pct"/>
            <w:shd w:val="clear" w:color="auto" w:fill="F2F2F2" w:themeFill="background1" w:themeFillShade="F2"/>
            <w:noWrap/>
          </w:tcPr>
          <w:p w14:paraId="6573E5D2" w14:textId="77777777" w:rsidR="003D713B" w:rsidRPr="00981832" w:rsidRDefault="003D713B" w:rsidP="0065286E">
            <w:pPr>
              <w:spacing w:after="0" w:line="240" w:lineRule="auto"/>
              <w:rPr>
                <w:rFonts w:eastAsia="Times New Roman" w:cstheme="minorHAnsi"/>
                <w:sz w:val="18"/>
                <w:szCs w:val="18"/>
                <w:lang w:eastAsia="pt-BR"/>
              </w:rPr>
            </w:pPr>
            <w:r w:rsidRPr="00981832">
              <w:rPr>
                <w:rFonts w:eastAsia="Times New Roman" w:cstheme="minorHAnsi"/>
                <w:sz w:val="18"/>
                <w:szCs w:val="18"/>
                <w:lang w:eastAsia="pt-BR"/>
              </w:rPr>
              <w:t>STF</w:t>
            </w:r>
          </w:p>
        </w:tc>
        <w:tc>
          <w:tcPr>
            <w:tcW w:w="2114" w:type="pct"/>
            <w:shd w:val="clear" w:color="auto" w:fill="F2F2F2" w:themeFill="background1" w:themeFillShade="F2"/>
            <w:noWrap/>
          </w:tcPr>
          <w:p w14:paraId="2A449EEE" w14:textId="4DC022F1" w:rsidR="003D713B" w:rsidRPr="00981832" w:rsidRDefault="003D713B" w:rsidP="0065286E">
            <w:pPr>
              <w:spacing w:after="0" w:line="240" w:lineRule="auto"/>
              <w:jc w:val="right"/>
              <w:rPr>
                <w:rFonts w:eastAsia="Times New Roman" w:cstheme="minorHAnsi"/>
                <w:sz w:val="18"/>
                <w:szCs w:val="18"/>
                <w:lang w:eastAsia="pt-BR"/>
              </w:rPr>
            </w:pPr>
            <w:r w:rsidRPr="00981832">
              <w:rPr>
                <w:rFonts w:eastAsia="Times New Roman" w:cstheme="minorHAnsi"/>
                <w:sz w:val="18"/>
                <w:szCs w:val="18"/>
                <w:lang w:eastAsia="pt-BR"/>
              </w:rPr>
              <w:t>7</w:t>
            </w:r>
            <w:r w:rsidR="00CA4464" w:rsidRPr="00981832">
              <w:rPr>
                <w:rFonts w:eastAsia="Times New Roman" w:cstheme="minorHAnsi"/>
                <w:sz w:val="18"/>
                <w:szCs w:val="18"/>
                <w:lang w:eastAsia="pt-BR"/>
              </w:rPr>
              <w:t>,2</w:t>
            </w:r>
          </w:p>
        </w:tc>
      </w:tr>
      <w:tr w:rsidR="00981832" w:rsidRPr="00981832" w14:paraId="5359B08F" w14:textId="77777777" w:rsidTr="0065286E">
        <w:trPr>
          <w:trHeight w:val="19"/>
          <w:jc w:val="center"/>
        </w:trPr>
        <w:tc>
          <w:tcPr>
            <w:tcW w:w="2886" w:type="pct"/>
            <w:shd w:val="clear" w:color="auto" w:fill="auto"/>
            <w:noWrap/>
          </w:tcPr>
          <w:p w14:paraId="66D1206E" w14:textId="77777777" w:rsidR="003D713B" w:rsidRPr="00981832" w:rsidRDefault="003D713B" w:rsidP="0065286E">
            <w:pPr>
              <w:spacing w:after="0" w:line="240" w:lineRule="auto"/>
              <w:rPr>
                <w:rFonts w:eastAsia="Times New Roman" w:cstheme="minorHAnsi"/>
                <w:sz w:val="18"/>
                <w:szCs w:val="18"/>
                <w:lang w:eastAsia="pt-BR"/>
              </w:rPr>
            </w:pPr>
            <w:r w:rsidRPr="00981832">
              <w:rPr>
                <w:rFonts w:eastAsia="Times New Roman" w:cstheme="minorHAnsi"/>
                <w:sz w:val="18"/>
                <w:szCs w:val="18"/>
                <w:lang w:eastAsia="pt-BR"/>
              </w:rPr>
              <w:t>STJ</w:t>
            </w:r>
          </w:p>
        </w:tc>
        <w:tc>
          <w:tcPr>
            <w:tcW w:w="2114" w:type="pct"/>
            <w:shd w:val="clear" w:color="auto" w:fill="auto"/>
            <w:noWrap/>
          </w:tcPr>
          <w:p w14:paraId="7FD617BD" w14:textId="4438726F" w:rsidR="003D713B" w:rsidRPr="00981832" w:rsidRDefault="003D713B" w:rsidP="0065286E">
            <w:pPr>
              <w:spacing w:after="0" w:line="240" w:lineRule="auto"/>
              <w:jc w:val="right"/>
              <w:rPr>
                <w:rFonts w:eastAsia="Times New Roman" w:cstheme="minorHAnsi"/>
                <w:sz w:val="18"/>
                <w:szCs w:val="18"/>
                <w:lang w:eastAsia="pt-BR"/>
              </w:rPr>
            </w:pPr>
            <w:r w:rsidRPr="00981832">
              <w:rPr>
                <w:rFonts w:eastAsia="Times New Roman" w:cstheme="minorHAnsi"/>
                <w:sz w:val="18"/>
                <w:szCs w:val="18"/>
                <w:lang w:eastAsia="pt-BR"/>
              </w:rPr>
              <w:t>906</w:t>
            </w:r>
            <w:r w:rsidR="00CA4464" w:rsidRPr="00981832">
              <w:rPr>
                <w:rFonts w:eastAsia="Times New Roman" w:cstheme="minorHAnsi"/>
                <w:sz w:val="18"/>
                <w:szCs w:val="18"/>
                <w:lang w:eastAsia="pt-BR"/>
              </w:rPr>
              <w:t>,9</w:t>
            </w:r>
          </w:p>
        </w:tc>
      </w:tr>
      <w:tr w:rsidR="00981832" w:rsidRPr="00981832" w14:paraId="14EAFA1C" w14:textId="77777777" w:rsidTr="0065286E">
        <w:trPr>
          <w:trHeight w:val="19"/>
          <w:jc w:val="center"/>
        </w:trPr>
        <w:tc>
          <w:tcPr>
            <w:tcW w:w="2886" w:type="pct"/>
            <w:shd w:val="clear" w:color="auto" w:fill="F2F2F2" w:themeFill="background1" w:themeFillShade="F2"/>
            <w:noWrap/>
          </w:tcPr>
          <w:p w14:paraId="32D74461" w14:textId="77777777" w:rsidR="003D713B" w:rsidRPr="00981832" w:rsidRDefault="003D713B" w:rsidP="0065286E">
            <w:pPr>
              <w:spacing w:after="0" w:line="240" w:lineRule="auto"/>
              <w:rPr>
                <w:rFonts w:eastAsia="Times New Roman" w:cstheme="minorHAnsi"/>
                <w:sz w:val="18"/>
                <w:szCs w:val="18"/>
                <w:lang w:eastAsia="pt-BR"/>
              </w:rPr>
            </w:pPr>
            <w:r w:rsidRPr="00981832">
              <w:rPr>
                <w:rFonts w:eastAsia="Times New Roman" w:cstheme="minorHAnsi"/>
                <w:sz w:val="18"/>
                <w:szCs w:val="18"/>
                <w:lang w:eastAsia="pt-BR"/>
              </w:rPr>
              <w:t>Turmas Recursais</w:t>
            </w:r>
          </w:p>
        </w:tc>
        <w:tc>
          <w:tcPr>
            <w:tcW w:w="2114" w:type="pct"/>
            <w:shd w:val="clear" w:color="auto" w:fill="F2F2F2" w:themeFill="background1" w:themeFillShade="F2"/>
            <w:noWrap/>
          </w:tcPr>
          <w:p w14:paraId="0766FC55" w14:textId="01B6825B" w:rsidR="003D713B" w:rsidRPr="00981832" w:rsidRDefault="003D713B" w:rsidP="0065286E">
            <w:pPr>
              <w:spacing w:after="0" w:line="240" w:lineRule="auto"/>
              <w:jc w:val="right"/>
              <w:rPr>
                <w:rFonts w:eastAsia="Times New Roman" w:cstheme="minorHAnsi"/>
                <w:sz w:val="18"/>
                <w:szCs w:val="18"/>
                <w:lang w:eastAsia="pt-BR"/>
              </w:rPr>
            </w:pPr>
            <w:r w:rsidRPr="00981832">
              <w:rPr>
                <w:rFonts w:eastAsia="Times New Roman" w:cstheme="minorHAnsi"/>
                <w:sz w:val="18"/>
                <w:szCs w:val="18"/>
                <w:lang w:eastAsia="pt-BR"/>
              </w:rPr>
              <w:t>1</w:t>
            </w:r>
            <w:r w:rsidR="0049287C" w:rsidRPr="00981832">
              <w:rPr>
                <w:rFonts w:eastAsia="Times New Roman" w:cstheme="minorHAnsi"/>
                <w:sz w:val="18"/>
                <w:szCs w:val="18"/>
                <w:lang w:eastAsia="pt-BR"/>
              </w:rPr>
              <w:t>,</w:t>
            </w:r>
            <w:r w:rsidRPr="00981832">
              <w:rPr>
                <w:rFonts w:eastAsia="Times New Roman" w:cstheme="minorHAnsi"/>
                <w:sz w:val="18"/>
                <w:szCs w:val="18"/>
                <w:lang w:eastAsia="pt-BR"/>
              </w:rPr>
              <w:t>5</w:t>
            </w:r>
          </w:p>
        </w:tc>
      </w:tr>
      <w:tr w:rsidR="00981832" w:rsidRPr="00981832" w14:paraId="33FADB4C" w14:textId="77777777" w:rsidTr="0065286E">
        <w:trPr>
          <w:trHeight w:val="19"/>
          <w:jc w:val="center"/>
        </w:trPr>
        <w:tc>
          <w:tcPr>
            <w:tcW w:w="2886" w:type="pct"/>
            <w:shd w:val="clear" w:color="auto" w:fill="auto"/>
            <w:noWrap/>
          </w:tcPr>
          <w:p w14:paraId="1589C49D" w14:textId="77777777" w:rsidR="003D713B" w:rsidRPr="00981832" w:rsidRDefault="003D713B" w:rsidP="0065286E">
            <w:pPr>
              <w:spacing w:after="0" w:line="240" w:lineRule="auto"/>
              <w:rPr>
                <w:rFonts w:eastAsia="Times New Roman" w:cstheme="minorHAnsi"/>
                <w:sz w:val="18"/>
                <w:szCs w:val="18"/>
                <w:lang w:eastAsia="pt-BR"/>
              </w:rPr>
            </w:pPr>
            <w:r w:rsidRPr="00981832">
              <w:rPr>
                <w:rFonts w:eastAsia="Times New Roman" w:cstheme="minorHAnsi"/>
                <w:sz w:val="18"/>
                <w:szCs w:val="18"/>
                <w:lang w:eastAsia="pt-BR"/>
              </w:rPr>
              <w:t>Juizado Especial</w:t>
            </w:r>
          </w:p>
        </w:tc>
        <w:tc>
          <w:tcPr>
            <w:tcW w:w="2114" w:type="pct"/>
            <w:shd w:val="clear" w:color="auto" w:fill="auto"/>
            <w:noWrap/>
          </w:tcPr>
          <w:p w14:paraId="6148769A" w14:textId="306C5DE9" w:rsidR="003D713B" w:rsidRPr="00981832" w:rsidRDefault="0049287C" w:rsidP="0065286E">
            <w:pPr>
              <w:spacing w:after="0" w:line="240" w:lineRule="auto"/>
              <w:jc w:val="right"/>
              <w:rPr>
                <w:rFonts w:eastAsia="Times New Roman" w:cstheme="minorHAnsi"/>
                <w:sz w:val="18"/>
                <w:szCs w:val="18"/>
                <w:lang w:eastAsia="pt-BR"/>
              </w:rPr>
            </w:pPr>
            <w:r w:rsidRPr="00981832">
              <w:rPr>
                <w:rFonts w:eastAsia="Times New Roman" w:cstheme="minorHAnsi"/>
                <w:sz w:val="18"/>
                <w:szCs w:val="18"/>
                <w:lang w:eastAsia="pt-BR"/>
              </w:rPr>
              <w:t>0,</w:t>
            </w:r>
            <w:r w:rsidR="003D713B" w:rsidRPr="00981832">
              <w:rPr>
                <w:rFonts w:eastAsia="Times New Roman" w:cstheme="minorHAnsi"/>
                <w:sz w:val="18"/>
                <w:szCs w:val="18"/>
                <w:lang w:eastAsia="pt-BR"/>
              </w:rPr>
              <w:t>4</w:t>
            </w:r>
          </w:p>
        </w:tc>
      </w:tr>
      <w:tr w:rsidR="00981832" w:rsidRPr="00981832" w14:paraId="56A8187F" w14:textId="77777777" w:rsidTr="0065286E">
        <w:trPr>
          <w:trHeight w:val="19"/>
          <w:jc w:val="center"/>
        </w:trPr>
        <w:tc>
          <w:tcPr>
            <w:tcW w:w="2886" w:type="pct"/>
            <w:shd w:val="clear" w:color="auto" w:fill="F2F2F2" w:themeFill="background1" w:themeFillShade="F2"/>
            <w:noWrap/>
          </w:tcPr>
          <w:p w14:paraId="39BBB4EC" w14:textId="77777777" w:rsidR="003D713B" w:rsidRPr="00981832" w:rsidRDefault="003D713B" w:rsidP="0065286E">
            <w:pPr>
              <w:spacing w:after="0" w:line="240" w:lineRule="auto"/>
              <w:rPr>
                <w:rFonts w:eastAsia="Times New Roman" w:cstheme="minorHAnsi"/>
                <w:sz w:val="18"/>
                <w:szCs w:val="18"/>
                <w:lang w:eastAsia="pt-BR"/>
              </w:rPr>
            </w:pPr>
            <w:r w:rsidRPr="00981832">
              <w:rPr>
                <w:rFonts w:eastAsia="Times New Roman" w:cstheme="minorHAnsi"/>
                <w:sz w:val="18"/>
                <w:szCs w:val="18"/>
                <w:lang w:eastAsia="pt-BR"/>
              </w:rPr>
              <w:t>1º Grau</w:t>
            </w:r>
          </w:p>
        </w:tc>
        <w:tc>
          <w:tcPr>
            <w:tcW w:w="2114" w:type="pct"/>
            <w:shd w:val="clear" w:color="auto" w:fill="F2F2F2" w:themeFill="background1" w:themeFillShade="F2"/>
            <w:noWrap/>
          </w:tcPr>
          <w:p w14:paraId="7118920E" w14:textId="4A8C2AE4" w:rsidR="003D713B" w:rsidRPr="00981832" w:rsidRDefault="003D713B" w:rsidP="0065286E">
            <w:pPr>
              <w:spacing w:after="0" w:line="240" w:lineRule="auto"/>
              <w:jc w:val="right"/>
              <w:rPr>
                <w:rFonts w:eastAsia="Times New Roman" w:cstheme="minorHAnsi"/>
                <w:sz w:val="18"/>
                <w:szCs w:val="18"/>
                <w:lang w:eastAsia="pt-BR"/>
              </w:rPr>
            </w:pPr>
            <w:r w:rsidRPr="00981832">
              <w:rPr>
                <w:rFonts w:eastAsia="Times New Roman" w:cstheme="minorHAnsi"/>
                <w:sz w:val="18"/>
                <w:szCs w:val="18"/>
                <w:lang w:eastAsia="pt-BR"/>
              </w:rPr>
              <w:t>4.771</w:t>
            </w:r>
            <w:r w:rsidR="00574B43" w:rsidRPr="00981832">
              <w:rPr>
                <w:rFonts w:eastAsia="Times New Roman" w:cstheme="minorHAnsi"/>
                <w:sz w:val="18"/>
                <w:szCs w:val="18"/>
                <w:lang w:eastAsia="pt-BR"/>
              </w:rPr>
              <w:t>,</w:t>
            </w:r>
            <w:r w:rsidR="00354475" w:rsidRPr="00981832">
              <w:rPr>
                <w:rFonts w:eastAsia="Times New Roman" w:cstheme="minorHAnsi"/>
                <w:sz w:val="18"/>
                <w:szCs w:val="18"/>
                <w:lang w:eastAsia="pt-BR"/>
              </w:rPr>
              <w:t>0</w:t>
            </w:r>
          </w:p>
        </w:tc>
      </w:tr>
      <w:tr w:rsidR="00981832" w:rsidRPr="00981832" w14:paraId="045F08BE" w14:textId="77777777" w:rsidTr="0065286E">
        <w:trPr>
          <w:trHeight w:val="19"/>
          <w:jc w:val="center"/>
        </w:trPr>
        <w:tc>
          <w:tcPr>
            <w:tcW w:w="2886" w:type="pct"/>
            <w:shd w:val="clear" w:color="auto" w:fill="auto"/>
            <w:noWrap/>
          </w:tcPr>
          <w:p w14:paraId="09C0B242" w14:textId="77777777" w:rsidR="003D713B" w:rsidRPr="00981832" w:rsidRDefault="003D713B" w:rsidP="0065286E">
            <w:pPr>
              <w:spacing w:after="0" w:line="240" w:lineRule="auto"/>
              <w:rPr>
                <w:rFonts w:eastAsia="Times New Roman" w:cstheme="minorHAnsi"/>
                <w:sz w:val="18"/>
                <w:szCs w:val="18"/>
                <w:lang w:eastAsia="pt-BR"/>
              </w:rPr>
            </w:pPr>
            <w:r w:rsidRPr="00981832">
              <w:rPr>
                <w:rFonts w:eastAsia="Times New Roman" w:cstheme="minorHAnsi"/>
                <w:sz w:val="18"/>
                <w:szCs w:val="18"/>
                <w:lang w:eastAsia="pt-BR"/>
              </w:rPr>
              <w:t>2º Grau</w:t>
            </w:r>
          </w:p>
        </w:tc>
        <w:tc>
          <w:tcPr>
            <w:tcW w:w="2114" w:type="pct"/>
            <w:shd w:val="clear" w:color="auto" w:fill="auto"/>
            <w:noWrap/>
          </w:tcPr>
          <w:p w14:paraId="40833397" w14:textId="54C086C0" w:rsidR="003D713B" w:rsidRPr="00981832" w:rsidRDefault="003D713B" w:rsidP="0065286E">
            <w:pPr>
              <w:spacing w:after="0" w:line="240" w:lineRule="auto"/>
              <w:jc w:val="right"/>
              <w:rPr>
                <w:rFonts w:eastAsia="Times New Roman" w:cstheme="minorHAnsi"/>
                <w:sz w:val="18"/>
                <w:szCs w:val="18"/>
                <w:lang w:eastAsia="pt-BR"/>
              </w:rPr>
            </w:pPr>
            <w:r w:rsidRPr="00981832">
              <w:rPr>
                <w:rFonts w:eastAsia="Times New Roman" w:cstheme="minorHAnsi"/>
                <w:sz w:val="18"/>
                <w:szCs w:val="18"/>
                <w:lang w:eastAsia="pt-BR"/>
              </w:rPr>
              <w:t>292</w:t>
            </w:r>
            <w:r w:rsidR="00354475" w:rsidRPr="00981832">
              <w:rPr>
                <w:rFonts w:eastAsia="Times New Roman" w:cstheme="minorHAnsi"/>
                <w:sz w:val="18"/>
                <w:szCs w:val="18"/>
                <w:lang w:eastAsia="pt-BR"/>
              </w:rPr>
              <w:t>,8</w:t>
            </w:r>
          </w:p>
        </w:tc>
      </w:tr>
      <w:tr w:rsidR="00981832" w:rsidRPr="00981832" w14:paraId="1916C724" w14:textId="77777777" w:rsidTr="0065286E">
        <w:trPr>
          <w:trHeight w:val="19"/>
          <w:jc w:val="center"/>
        </w:trPr>
        <w:tc>
          <w:tcPr>
            <w:tcW w:w="2886" w:type="pct"/>
            <w:shd w:val="clear" w:color="auto" w:fill="F2F2F2" w:themeFill="background1" w:themeFillShade="F2"/>
            <w:noWrap/>
          </w:tcPr>
          <w:p w14:paraId="4CDF0F2E" w14:textId="77777777" w:rsidR="003D713B" w:rsidRPr="00981832" w:rsidRDefault="003D713B" w:rsidP="0065286E">
            <w:pPr>
              <w:spacing w:after="0" w:line="240" w:lineRule="auto"/>
              <w:rPr>
                <w:rFonts w:eastAsia="Times New Roman" w:cstheme="minorHAnsi"/>
                <w:sz w:val="18"/>
                <w:szCs w:val="18"/>
                <w:lang w:eastAsia="pt-BR"/>
              </w:rPr>
            </w:pPr>
            <w:r w:rsidRPr="00981832">
              <w:rPr>
                <w:rFonts w:eastAsia="Times New Roman" w:cstheme="minorHAnsi"/>
                <w:sz w:val="18"/>
                <w:szCs w:val="18"/>
                <w:lang w:eastAsia="pt-BR"/>
              </w:rPr>
              <w:t>TST</w:t>
            </w:r>
          </w:p>
        </w:tc>
        <w:tc>
          <w:tcPr>
            <w:tcW w:w="2114" w:type="pct"/>
            <w:shd w:val="clear" w:color="auto" w:fill="F2F2F2" w:themeFill="background1" w:themeFillShade="F2"/>
            <w:noWrap/>
          </w:tcPr>
          <w:p w14:paraId="24562D5B" w14:textId="0BF9E8C5" w:rsidR="003D713B" w:rsidRPr="00981832" w:rsidRDefault="003D713B" w:rsidP="0065286E">
            <w:pPr>
              <w:spacing w:after="0" w:line="240" w:lineRule="auto"/>
              <w:jc w:val="right"/>
              <w:rPr>
                <w:rFonts w:eastAsia="Times New Roman" w:cstheme="minorHAnsi"/>
                <w:sz w:val="18"/>
                <w:szCs w:val="18"/>
                <w:lang w:eastAsia="pt-BR"/>
              </w:rPr>
            </w:pPr>
            <w:r w:rsidRPr="00981832">
              <w:rPr>
                <w:rFonts w:eastAsia="Times New Roman" w:cstheme="minorHAnsi"/>
                <w:sz w:val="18"/>
                <w:szCs w:val="18"/>
                <w:lang w:eastAsia="pt-BR"/>
              </w:rPr>
              <w:t>7</w:t>
            </w:r>
            <w:r w:rsidR="00354475" w:rsidRPr="00981832">
              <w:rPr>
                <w:rFonts w:eastAsia="Times New Roman" w:cstheme="minorHAnsi"/>
                <w:sz w:val="18"/>
                <w:szCs w:val="18"/>
                <w:lang w:eastAsia="pt-BR"/>
              </w:rPr>
              <w:t>,</w:t>
            </w:r>
            <w:r w:rsidRPr="00981832">
              <w:rPr>
                <w:rFonts w:eastAsia="Times New Roman" w:cstheme="minorHAnsi"/>
                <w:sz w:val="18"/>
                <w:szCs w:val="18"/>
                <w:lang w:eastAsia="pt-BR"/>
              </w:rPr>
              <w:t>4</w:t>
            </w:r>
          </w:p>
        </w:tc>
      </w:tr>
      <w:tr w:rsidR="00981832" w:rsidRPr="00981832" w14:paraId="35936126" w14:textId="77777777" w:rsidTr="0065286E">
        <w:trPr>
          <w:trHeight w:val="19"/>
          <w:jc w:val="center"/>
        </w:trPr>
        <w:tc>
          <w:tcPr>
            <w:tcW w:w="2886"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7F7F7F" w:themeFill="text1" w:themeFillTint="80"/>
            <w:noWrap/>
          </w:tcPr>
          <w:p w14:paraId="19E263B5" w14:textId="65F05584" w:rsidR="003D713B" w:rsidRPr="00600C95" w:rsidRDefault="003D713B" w:rsidP="0065286E">
            <w:pPr>
              <w:spacing w:after="0" w:line="240" w:lineRule="auto"/>
              <w:rPr>
                <w:rFonts w:eastAsia="Times New Roman" w:cstheme="minorHAnsi"/>
                <w:b/>
                <w:bCs/>
                <w:color w:val="FFFFFF" w:themeColor="background1"/>
                <w:sz w:val="18"/>
                <w:szCs w:val="18"/>
                <w:lang w:eastAsia="pt-BR"/>
              </w:rPr>
            </w:pPr>
            <w:r w:rsidRPr="00600C95">
              <w:rPr>
                <w:rFonts w:eastAsia="Times New Roman" w:cstheme="minorHAnsi"/>
                <w:b/>
                <w:bCs/>
                <w:color w:val="FFFFFF" w:themeColor="background1"/>
                <w:sz w:val="18"/>
                <w:szCs w:val="18"/>
                <w:lang w:eastAsia="pt-BR"/>
              </w:rPr>
              <w:t>T</w:t>
            </w:r>
            <w:r w:rsidR="00600C95">
              <w:rPr>
                <w:rFonts w:eastAsia="Times New Roman" w:cstheme="minorHAnsi"/>
                <w:b/>
                <w:bCs/>
                <w:color w:val="FFFFFF" w:themeColor="background1"/>
                <w:sz w:val="18"/>
                <w:szCs w:val="18"/>
                <w:lang w:eastAsia="pt-BR"/>
              </w:rPr>
              <w:t>otal</w:t>
            </w:r>
          </w:p>
        </w:tc>
        <w:tc>
          <w:tcPr>
            <w:tcW w:w="211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7F7F7F" w:themeFill="text1" w:themeFillTint="80"/>
            <w:noWrap/>
            <w:hideMark/>
          </w:tcPr>
          <w:p w14:paraId="1D17D000" w14:textId="44CDAC26" w:rsidR="003D713B" w:rsidRPr="00600C95" w:rsidRDefault="003D713B" w:rsidP="0065286E">
            <w:pPr>
              <w:spacing w:after="0" w:line="240" w:lineRule="auto"/>
              <w:jc w:val="right"/>
              <w:rPr>
                <w:rFonts w:eastAsia="Times New Roman" w:cstheme="minorHAnsi"/>
                <w:b/>
                <w:bCs/>
                <w:color w:val="FFFFFF" w:themeColor="background1"/>
                <w:sz w:val="18"/>
                <w:szCs w:val="18"/>
                <w:lang w:eastAsia="pt-BR"/>
              </w:rPr>
            </w:pPr>
            <w:r w:rsidRPr="00600C95">
              <w:rPr>
                <w:rFonts w:eastAsia="Times New Roman" w:cstheme="minorHAnsi"/>
                <w:b/>
                <w:bCs/>
                <w:color w:val="FFFFFF" w:themeColor="background1"/>
                <w:sz w:val="18"/>
                <w:szCs w:val="18"/>
                <w:lang w:eastAsia="pt-BR"/>
              </w:rPr>
              <w:t>5.987</w:t>
            </w:r>
            <w:r w:rsidR="00D13F4C" w:rsidRPr="00600C95">
              <w:rPr>
                <w:rFonts w:eastAsia="Times New Roman" w:cstheme="minorHAnsi"/>
                <w:b/>
                <w:bCs/>
                <w:color w:val="FFFFFF" w:themeColor="background1"/>
                <w:sz w:val="18"/>
                <w:szCs w:val="18"/>
                <w:lang w:eastAsia="pt-BR"/>
              </w:rPr>
              <w:t>,2</w:t>
            </w:r>
          </w:p>
        </w:tc>
      </w:tr>
      <w:tr w:rsidR="003D713B" w:rsidRPr="00981832" w14:paraId="5E5EED5A" w14:textId="77777777" w:rsidTr="0065286E">
        <w:trPr>
          <w:trHeight w:val="19"/>
          <w:jc w:val="center"/>
        </w:trPr>
        <w:tc>
          <w:tcPr>
            <w:tcW w:w="5000" w:type="pct"/>
            <w:gridSpan w:val="2"/>
            <w:tcBorders>
              <w:top w:val="nil"/>
              <w:left w:val="nil"/>
              <w:bottom w:val="nil"/>
              <w:right w:val="nil"/>
            </w:tcBorders>
            <w:shd w:val="clear" w:color="auto" w:fill="auto"/>
            <w:noWrap/>
          </w:tcPr>
          <w:p w14:paraId="6E37665D" w14:textId="6979C42D" w:rsidR="003D713B" w:rsidRPr="00981832" w:rsidRDefault="003D713B" w:rsidP="005756FC">
            <w:pPr>
              <w:spacing w:after="120" w:line="240" w:lineRule="auto"/>
              <w:jc w:val="both"/>
              <w:rPr>
                <w:rFonts w:eastAsia="Times New Roman" w:cstheme="minorHAnsi"/>
                <w:sz w:val="18"/>
                <w:szCs w:val="18"/>
                <w:lang w:eastAsia="pt-BR"/>
              </w:rPr>
            </w:pPr>
            <w:r w:rsidRPr="00981832">
              <w:rPr>
                <w:rFonts w:eastAsia="Times New Roman" w:cs="Times New Roman"/>
                <w:b/>
                <w:i/>
                <w:sz w:val="16"/>
                <w:szCs w:val="16"/>
                <w:lang w:eastAsia="pt-BR"/>
              </w:rPr>
              <w:t>Fonte:</w:t>
            </w:r>
            <w:r w:rsidRPr="00981832">
              <w:rPr>
                <w:rFonts w:eastAsia="Times New Roman" w:cs="Times New Roman"/>
                <w:i/>
                <w:sz w:val="16"/>
                <w:szCs w:val="16"/>
                <w:lang w:eastAsia="pt-BR"/>
              </w:rPr>
              <w:t xml:space="preserve"> BCB. </w:t>
            </w:r>
            <w:r w:rsidRPr="00981832">
              <w:rPr>
                <w:rFonts w:eastAsia="Times New Roman" w:cs="Times New Roman"/>
                <w:b/>
                <w:i/>
                <w:sz w:val="16"/>
                <w:szCs w:val="16"/>
                <w:lang w:eastAsia="pt-BR"/>
              </w:rPr>
              <w:t>Elaboração:</w:t>
            </w:r>
            <w:r w:rsidRPr="00981832">
              <w:rPr>
                <w:rFonts w:eastAsia="Times New Roman" w:cs="Times New Roman"/>
                <w:i/>
                <w:sz w:val="16"/>
                <w:szCs w:val="16"/>
                <w:lang w:eastAsia="pt-BR"/>
              </w:rPr>
              <w:t xml:space="preserve"> STN/ME.</w:t>
            </w:r>
          </w:p>
        </w:tc>
      </w:tr>
    </w:tbl>
    <w:p w14:paraId="73D1CE9E" w14:textId="77777777" w:rsidR="005756FC" w:rsidRPr="00981832" w:rsidRDefault="005756FC" w:rsidP="008F5588">
      <w:pPr>
        <w:rPr>
          <w:lang w:eastAsia="pt-BR"/>
        </w:rPr>
      </w:pPr>
    </w:p>
    <w:p w14:paraId="23511109" w14:textId="00BFFB45" w:rsidR="003901BE" w:rsidRPr="00981832" w:rsidRDefault="003901BE" w:rsidP="00820383">
      <w:pPr>
        <w:spacing w:after="120" w:line="240" w:lineRule="auto"/>
        <w:ind w:firstLine="1416"/>
        <w:jc w:val="both"/>
        <w:rPr>
          <w:w w:val="105"/>
          <w:sz w:val="24"/>
          <w:szCs w:val="24"/>
        </w:rPr>
      </w:pPr>
      <w:r w:rsidRPr="00981832">
        <w:rPr>
          <w:w w:val="105"/>
          <w:sz w:val="24"/>
          <w:szCs w:val="24"/>
        </w:rPr>
        <w:t>Até o ano de 2020, o BCB divulgava, nas notas explicativas das suas demonstrações financeiras, o fluxo esperado para a liquidação das provisões para ações judiciais, considerando para tanto, o prazo médio histórico de encerramento de ações da mesma</w:t>
      </w:r>
      <w:r w:rsidRPr="00981832">
        <w:rPr>
          <w:sz w:val="24"/>
          <w:szCs w:val="24"/>
        </w:rPr>
        <w:t xml:space="preserve"> natureza e jurisdição. Entretanto, a comparação entre os fluxos projetados e os efetivamente realizados vinha demonstrando que a metodologia utilizada não espelhava com a mínima confiabilidade a situação real e, portanto, a divulgação dessa projeção poderia induzir os usuários contábeis a erros de avaliação.</w:t>
      </w:r>
    </w:p>
    <w:p w14:paraId="4CD1116C" w14:textId="656A8805" w:rsidR="003901BE" w:rsidRPr="00E53C9D" w:rsidRDefault="003901BE" w:rsidP="003E4710">
      <w:pPr>
        <w:spacing w:after="120" w:line="240" w:lineRule="auto"/>
        <w:ind w:firstLine="1418"/>
        <w:jc w:val="both"/>
        <w:rPr>
          <w:w w:val="105"/>
          <w:sz w:val="24"/>
          <w:szCs w:val="24"/>
        </w:rPr>
      </w:pPr>
      <w:r w:rsidRPr="00981832">
        <w:rPr>
          <w:sz w:val="24"/>
          <w:szCs w:val="24"/>
        </w:rPr>
        <w:t xml:space="preserve">Em razão da elevada imprevisibilidade dos processos no sistema judiciário brasileiro, não foi possível estabelecer metodologia alternativa que produzisse </w:t>
      </w:r>
      <w:r w:rsidRPr="00E53C9D">
        <w:rPr>
          <w:sz w:val="24"/>
          <w:szCs w:val="24"/>
        </w:rPr>
        <w:t>informações consistentes e confiáveis e, dessa forma, o BCB decidiu por não apresentar essa publicação a partir desta data.</w:t>
      </w:r>
      <w:r w:rsidR="0095670C" w:rsidRPr="00E53C9D">
        <w:rPr>
          <w:sz w:val="24"/>
          <w:szCs w:val="24"/>
        </w:rPr>
        <w:t xml:space="preserve"> </w:t>
      </w:r>
      <w:r w:rsidRPr="00E53C9D">
        <w:rPr>
          <w:sz w:val="24"/>
          <w:szCs w:val="24"/>
        </w:rPr>
        <w:t xml:space="preserve">Por sua vez, estima-se o impacto nas contas públicas, pelo valor em risco em 31 de dezembro de 2020, de R$ </w:t>
      </w:r>
      <w:r w:rsidR="000B732C">
        <w:rPr>
          <w:sz w:val="24"/>
          <w:szCs w:val="24"/>
        </w:rPr>
        <w:t>6,0</w:t>
      </w:r>
      <w:r w:rsidR="004E5DFE" w:rsidRPr="00E53C9D">
        <w:rPr>
          <w:sz w:val="24"/>
          <w:szCs w:val="24"/>
        </w:rPr>
        <w:t xml:space="preserve"> bilhões</w:t>
      </w:r>
      <w:r w:rsidRPr="00E53C9D">
        <w:rPr>
          <w:sz w:val="24"/>
          <w:szCs w:val="24"/>
        </w:rPr>
        <w:t>.</w:t>
      </w:r>
    </w:p>
    <w:p w14:paraId="0B96406B" w14:textId="75D61331" w:rsidR="003901BE" w:rsidRPr="00981832" w:rsidRDefault="003901BE" w:rsidP="003901BE">
      <w:pPr>
        <w:ind w:firstLine="1418"/>
        <w:jc w:val="both"/>
        <w:rPr>
          <w:w w:val="105"/>
          <w:sz w:val="24"/>
          <w:szCs w:val="24"/>
        </w:rPr>
      </w:pPr>
      <w:r w:rsidRPr="00E53C9D">
        <w:rPr>
          <w:sz w:val="24"/>
          <w:szCs w:val="24"/>
        </w:rPr>
        <w:t xml:space="preserve">O </w:t>
      </w:r>
      <w:r w:rsidRPr="00E53C9D">
        <w:rPr>
          <w:b/>
          <w:sz w:val="24"/>
          <w:szCs w:val="24"/>
        </w:rPr>
        <w:t>Programa de Garantia da Atividade Agropecuária (</w:t>
      </w:r>
      <w:proofErr w:type="spellStart"/>
      <w:r w:rsidRPr="00E53C9D">
        <w:rPr>
          <w:b/>
          <w:sz w:val="24"/>
          <w:szCs w:val="24"/>
        </w:rPr>
        <w:t>Proagro</w:t>
      </w:r>
      <w:proofErr w:type="spellEnd"/>
      <w:r w:rsidRPr="00E53C9D">
        <w:rPr>
          <w:b/>
          <w:sz w:val="24"/>
          <w:szCs w:val="24"/>
        </w:rPr>
        <w:t>)</w:t>
      </w:r>
      <w:r w:rsidRPr="00E53C9D">
        <w:rPr>
          <w:sz w:val="24"/>
          <w:szCs w:val="24"/>
        </w:rPr>
        <w:t xml:space="preserve"> era parte em 563 ações judiciais em 31 de dezembro de 2020, sendo </w:t>
      </w:r>
      <w:proofErr w:type="gramStart"/>
      <w:r w:rsidRPr="00E53C9D">
        <w:rPr>
          <w:sz w:val="24"/>
          <w:szCs w:val="24"/>
        </w:rPr>
        <w:t>3</w:t>
      </w:r>
      <w:proofErr w:type="gramEnd"/>
      <w:r w:rsidRPr="00E53C9D">
        <w:rPr>
          <w:sz w:val="24"/>
          <w:szCs w:val="24"/>
        </w:rPr>
        <w:t xml:space="preserve"> no polo ativo, 559 no polo passivo e 1 como parte interessada. As ações judiciais estão relacionadas, principalmente, a contestação das decisões sobre os pedidos de cobertura dos produtores rurais. </w:t>
      </w:r>
    </w:p>
    <w:p w14:paraId="441CA472" w14:textId="77777777" w:rsidR="00D21BBA" w:rsidRPr="00981832" w:rsidRDefault="003901BE" w:rsidP="00D21BBA">
      <w:pPr>
        <w:ind w:firstLine="1418"/>
        <w:jc w:val="both"/>
        <w:rPr>
          <w:w w:val="105"/>
          <w:sz w:val="24"/>
          <w:szCs w:val="24"/>
        </w:rPr>
      </w:pPr>
      <w:r w:rsidRPr="00981832">
        <w:rPr>
          <w:sz w:val="24"/>
          <w:szCs w:val="24"/>
        </w:rPr>
        <w:t xml:space="preserve">As ações judiciais em que o risco de perda foi considerado menor que provável e maior que remoto foram consideradas como passivos contingentes e assim não foram provisionadas. </w:t>
      </w:r>
      <w:r w:rsidR="00D21BBA" w:rsidRPr="00981832">
        <w:rPr>
          <w:w w:val="105"/>
          <w:sz w:val="24"/>
          <w:szCs w:val="24"/>
        </w:rPr>
        <w:t>Por fim, estima-se que o impacto nas contas públicas, pelo valor em risco em 31 de dezembro de 2020, seja de R$ 58,2 milhões, em ações judiciais.</w:t>
      </w:r>
    </w:p>
    <w:p w14:paraId="5A608848" w14:textId="77777777" w:rsidR="008F5588" w:rsidRPr="00981832" w:rsidRDefault="008F5588" w:rsidP="00E67D8F"/>
    <w:p w14:paraId="6344FF91" w14:textId="77777777" w:rsidR="000D17A6" w:rsidRPr="00036FF9" w:rsidRDefault="0061669C" w:rsidP="00646590">
      <w:pPr>
        <w:pStyle w:val="Ttulo4"/>
        <w:keepLines/>
        <w:numPr>
          <w:ilvl w:val="3"/>
          <w:numId w:val="36"/>
        </w:numPr>
        <w:spacing w:before="240" w:after="120"/>
        <w:ind w:left="862" w:hanging="862"/>
        <w:jc w:val="left"/>
        <w:rPr>
          <w:rFonts w:asciiTheme="minorHAnsi" w:hAnsiTheme="minorHAnsi"/>
        </w:rPr>
      </w:pPr>
      <w:r w:rsidRPr="00036FF9">
        <w:rPr>
          <w:rFonts w:asciiTheme="minorHAnsi" w:hAnsiTheme="minorHAnsi"/>
        </w:rPr>
        <w:t>Avaliação de Risco das Demandas Judiciais</w:t>
      </w:r>
    </w:p>
    <w:p w14:paraId="690D3BA2" w14:textId="203F1ABA" w:rsidR="00966A1B" w:rsidRDefault="00D85198" w:rsidP="0061669C">
      <w:pPr>
        <w:spacing w:after="120" w:line="240" w:lineRule="auto"/>
        <w:ind w:firstLine="1418"/>
        <w:jc w:val="both"/>
        <w:rPr>
          <w:w w:val="105"/>
          <w:sz w:val="24"/>
          <w:szCs w:val="24"/>
        </w:rPr>
      </w:pPr>
      <w:r w:rsidRPr="00D85198">
        <w:rPr>
          <w:w w:val="105"/>
          <w:sz w:val="24"/>
          <w:szCs w:val="24"/>
        </w:rPr>
        <w:t>Conforme apresentado nas subseções acima, o risco fiscal relativo às Demandas Judiciais diz respeito às ações classificadas como de risco possível. Esse conjunto de ações alcançou o somatório de R$ 1.</w:t>
      </w:r>
      <w:r w:rsidR="00475434" w:rsidRPr="00475434">
        <w:rPr>
          <w:w w:val="105"/>
          <w:sz w:val="24"/>
          <w:szCs w:val="24"/>
        </w:rPr>
        <w:t>316</w:t>
      </w:r>
      <w:r w:rsidRPr="00D85198">
        <w:rPr>
          <w:w w:val="105"/>
          <w:sz w:val="24"/>
          <w:szCs w:val="24"/>
        </w:rPr>
        <w:t xml:space="preserve">,1 bilhões em </w:t>
      </w:r>
      <w:r w:rsidRPr="00475434">
        <w:rPr>
          <w:w w:val="105"/>
          <w:sz w:val="24"/>
          <w:szCs w:val="24"/>
        </w:rPr>
        <w:t>20</w:t>
      </w:r>
      <w:r w:rsidR="00475434" w:rsidRPr="00475434">
        <w:rPr>
          <w:w w:val="105"/>
          <w:sz w:val="24"/>
          <w:szCs w:val="24"/>
        </w:rPr>
        <w:t>20</w:t>
      </w:r>
      <w:r w:rsidRPr="00D85198">
        <w:rPr>
          <w:w w:val="105"/>
          <w:sz w:val="24"/>
          <w:szCs w:val="24"/>
        </w:rPr>
        <w:t xml:space="preserve">, uma </w:t>
      </w:r>
      <w:r w:rsidR="0089407D">
        <w:rPr>
          <w:w w:val="105"/>
          <w:sz w:val="24"/>
          <w:szCs w:val="24"/>
        </w:rPr>
        <w:t>diminuição</w:t>
      </w:r>
      <w:r w:rsidRPr="00D85198">
        <w:rPr>
          <w:w w:val="105"/>
          <w:sz w:val="24"/>
          <w:szCs w:val="24"/>
        </w:rPr>
        <w:t xml:space="preserve"> de R$ </w:t>
      </w:r>
      <w:r w:rsidR="000258DC">
        <w:rPr>
          <w:w w:val="105"/>
          <w:sz w:val="24"/>
          <w:szCs w:val="24"/>
        </w:rPr>
        <w:t>224,0</w:t>
      </w:r>
      <w:r w:rsidRPr="00D85198">
        <w:rPr>
          <w:w w:val="105"/>
          <w:sz w:val="24"/>
          <w:szCs w:val="24"/>
        </w:rPr>
        <w:t xml:space="preserve"> bilhões em </w:t>
      </w:r>
      <w:r w:rsidRPr="00D85198">
        <w:rPr>
          <w:w w:val="105"/>
          <w:sz w:val="24"/>
          <w:szCs w:val="24"/>
        </w:rPr>
        <w:lastRenderedPageBreak/>
        <w:t>relação ao observado em 201</w:t>
      </w:r>
      <w:r w:rsidR="000258DC">
        <w:rPr>
          <w:w w:val="105"/>
          <w:sz w:val="24"/>
          <w:szCs w:val="24"/>
        </w:rPr>
        <w:t>9</w:t>
      </w:r>
      <w:r w:rsidRPr="00D85198">
        <w:rPr>
          <w:w w:val="105"/>
          <w:sz w:val="24"/>
          <w:szCs w:val="24"/>
        </w:rPr>
        <w:t xml:space="preserve">, representando uma variação de </w:t>
      </w:r>
      <w:r w:rsidR="00A54C92">
        <w:rPr>
          <w:w w:val="105"/>
          <w:sz w:val="24"/>
          <w:szCs w:val="24"/>
        </w:rPr>
        <w:t>14,5</w:t>
      </w:r>
      <w:r w:rsidRPr="00D85198">
        <w:rPr>
          <w:w w:val="105"/>
          <w:sz w:val="24"/>
          <w:szCs w:val="24"/>
        </w:rPr>
        <w:t xml:space="preserve">%. </w:t>
      </w:r>
      <w:r w:rsidR="000B2374">
        <w:rPr>
          <w:w w:val="105"/>
          <w:sz w:val="24"/>
          <w:szCs w:val="24"/>
        </w:rPr>
        <w:t>O</w:t>
      </w:r>
      <w:r w:rsidRPr="00D85198">
        <w:rPr>
          <w:w w:val="105"/>
          <w:sz w:val="24"/>
          <w:szCs w:val="24"/>
        </w:rPr>
        <w:t xml:space="preserve"> montante </w:t>
      </w:r>
      <w:r w:rsidR="000B2374">
        <w:rPr>
          <w:w w:val="105"/>
          <w:sz w:val="24"/>
          <w:szCs w:val="24"/>
        </w:rPr>
        <w:t>total</w:t>
      </w:r>
      <w:r w:rsidRPr="00D85198">
        <w:rPr>
          <w:w w:val="105"/>
          <w:sz w:val="24"/>
          <w:szCs w:val="24"/>
        </w:rPr>
        <w:t xml:space="preserve"> corresponde a 68% da despesa primária total realizada em 20</w:t>
      </w:r>
      <w:r w:rsidR="005D29DF">
        <w:rPr>
          <w:w w:val="105"/>
          <w:sz w:val="24"/>
          <w:szCs w:val="24"/>
        </w:rPr>
        <w:t>20</w:t>
      </w:r>
      <w:r w:rsidRPr="00D85198">
        <w:rPr>
          <w:w w:val="105"/>
          <w:sz w:val="24"/>
          <w:szCs w:val="24"/>
        </w:rPr>
        <w:t xml:space="preserve">. </w:t>
      </w:r>
      <w:r w:rsidR="00AC7D7F">
        <w:rPr>
          <w:w w:val="105"/>
          <w:sz w:val="24"/>
          <w:szCs w:val="24"/>
        </w:rPr>
        <w:t>Trata-se de uma diminuição relevante</w:t>
      </w:r>
      <w:r w:rsidR="004A4AFA">
        <w:rPr>
          <w:w w:val="105"/>
          <w:sz w:val="24"/>
          <w:szCs w:val="24"/>
        </w:rPr>
        <w:t xml:space="preserve"> em valores nominais</w:t>
      </w:r>
      <w:r w:rsidR="000A4995">
        <w:rPr>
          <w:w w:val="105"/>
          <w:sz w:val="24"/>
          <w:szCs w:val="24"/>
        </w:rPr>
        <w:t>, ao se avaliar a série histórica iniciada em 2013</w:t>
      </w:r>
      <w:r w:rsidRPr="00D85198">
        <w:rPr>
          <w:w w:val="105"/>
          <w:sz w:val="24"/>
          <w:szCs w:val="24"/>
        </w:rPr>
        <w:t xml:space="preserve">, conforme apresentado </w:t>
      </w:r>
      <w:r w:rsidRPr="00AF3BF1">
        <w:rPr>
          <w:w w:val="105"/>
          <w:sz w:val="24"/>
          <w:szCs w:val="24"/>
        </w:rPr>
        <w:t>na</w:t>
      </w:r>
      <w:r w:rsidR="002E1448" w:rsidRPr="00AF3BF1">
        <w:rPr>
          <w:w w:val="105"/>
          <w:sz w:val="24"/>
          <w:szCs w:val="24"/>
        </w:rPr>
        <w:t xml:space="preserve"> </w:t>
      </w:r>
      <w:r w:rsidR="00AF3BF1" w:rsidRPr="00AF3BF1">
        <w:rPr>
          <w:w w:val="105"/>
          <w:sz w:val="24"/>
          <w:szCs w:val="24"/>
        </w:rPr>
        <w:fldChar w:fldCharType="begin"/>
      </w:r>
      <w:r w:rsidR="00AF3BF1" w:rsidRPr="00AF3BF1">
        <w:rPr>
          <w:w w:val="105"/>
          <w:sz w:val="24"/>
          <w:szCs w:val="24"/>
        </w:rPr>
        <w:instrText xml:space="preserve"> REF _Ref5265298 \h </w:instrText>
      </w:r>
      <w:r w:rsidR="00AF3BF1">
        <w:rPr>
          <w:w w:val="105"/>
          <w:sz w:val="24"/>
          <w:szCs w:val="24"/>
        </w:rPr>
        <w:instrText xml:space="preserve"> \* MERGEFORMAT </w:instrText>
      </w:r>
      <w:r w:rsidR="00AF3BF1" w:rsidRPr="00AF3BF1">
        <w:rPr>
          <w:w w:val="105"/>
          <w:sz w:val="24"/>
          <w:szCs w:val="24"/>
        </w:rPr>
      </w:r>
      <w:r w:rsidR="00AF3BF1" w:rsidRPr="00AF3BF1">
        <w:rPr>
          <w:w w:val="105"/>
          <w:sz w:val="24"/>
          <w:szCs w:val="24"/>
        </w:rPr>
        <w:fldChar w:fldCharType="separate"/>
      </w:r>
      <w:r w:rsidR="00304F5F" w:rsidRPr="00304F5F">
        <w:rPr>
          <w:sz w:val="24"/>
          <w:szCs w:val="24"/>
        </w:rPr>
        <w:t xml:space="preserve">Tabela </w:t>
      </w:r>
      <w:r w:rsidR="00304F5F" w:rsidRPr="00304F5F">
        <w:rPr>
          <w:noProof/>
          <w:sz w:val="24"/>
          <w:szCs w:val="24"/>
        </w:rPr>
        <w:t>21</w:t>
      </w:r>
      <w:r w:rsidR="00AF3BF1" w:rsidRPr="00AF3BF1">
        <w:rPr>
          <w:w w:val="105"/>
          <w:sz w:val="24"/>
          <w:szCs w:val="24"/>
        </w:rPr>
        <w:fldChar w:fldCharType="end"/>
      </w:r>
      <w:r w:rsidR="00AF3BF1">
        <w:rPr>
          <w:w w:val="105"/>
          <w:sz w:val="24"/>
          <w:szCs w:val="24"/>
        </w:rPr>
        <w:t>.</w:t>
      </w:r>
    </w:p>
    <w:p w14:paraId="2441FCA2" w14:textId="515E1E99" w:rsidR="0061669C" w:rsidRPr="0022645B" w:rsidRDefault="00F15B0F" w:rsidP="00327142">
      <w:pPr>
        <w:spacing w:before="240" w:after="120" w:line="240" w:lineRule="auto"/>
        <w:jc w:val="center"/>
      </w:pPr>
      <w:bookmarkStart w:id="221" w:name="_Ref5265298"/>
      <w:bookmarkStart w:id="222" w:name="_Ref35858363"/>
      <w:bookmarkStart w:id="223" w:name="_Ref67393178"/>
      <w:bookmarkStart w:id="224" w:name="_Toc69121367"/>
      <w:r w:rsidRPr="0022645B">
        <w:t xml:space="preserve">Tabela </w:t>
      </w:r>
      <w:r w:rsidR="00F635EA" w:rsidRPr="0022645B">
        <w:rPr>
          <w:noProof/>
        </w:rPr>
        <w:fldChar w:fldCharType="begin"/>
      </w:r>
      <w:r w:rsidR="00F635EA" w:rsidRPr="0022645B">
        <w:rPr>
          <w:noProof/>
        </w:rPr>
        <w:instrText xml:space="preserve"> SEQ Tabela \* ARABIC </w:instrText>
      </w:r>
      <w:r w:rsidR="00F635EA" w:rsidRPr="0022645B">
        <w:rPr>
          <w:noProof/>
        </w:rPr>
        <w:fldChar w:fldCharType="separate"/>
      </w:r>
      <w:r w:rsidR="00304F5F">
        <w:rPr>
          <w:noProof/>
        </w:rPr>
        <w:t>21</w:t>
      </w:r>
      <w:r w:rsidR="00F635EA" w:rsidRPr="0022645B">
        <w:rPr>
          <w:noProof/>
        </w:rPr>
        <w:fldChar w:fldCharType="end"/>
      </w:r>
      <w:bookmarkEnd w:id="221"/>
      <w:bookmarkEnd w:id="222"/>
      <w:r w:rsidR="00621579" w:rsidRPr="0022645B">
        <w:t xml:space="preserve"> </w:t>
      </w:r>
      <w:r w:rsidR="007F45BB">
        <w:t>-</w:t>
      </w:r>
      <w:r w:rsidR="00327142">
        <w:t xml:space="preserve"> </w:t>
      </w:r>
      <w:r w:rsidR="00D85198">
        <w:t>D</w:t>
      </w:r>
      <w:r w:rsidR="00621579" w:rsidRPr="0022645B">
        <w:t xml:space="preserve">emandas </w:t>
      </w:r>
      <w:r w:rsidR="00D85198">
        <w:t>J</w:t>
      </w:r>
      <w:r w:rsidR="00621579" w:rsidRPr="0022645B">
        <w:t>udiciais</w:t>
      </w:r>
      <w:r w:rsidR="00D85198">
        <w:t xml:space="preserve"> de Risco Possível</w:t>
      </w:r>
      <w:bookmarkEnd w:id="223"/>
      <w:bookmarkEnd w:id="224"/>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020"/>
        <w:gridCol w:w="736"/>
        <w:gridCol w:w="775"/>
        <w:gridCol w:w="775"/>
        <w:gridCol w:w="775"/>
        <w:gridCol w:w="745"/>
        <w:gridCol w:w="745"/>
        <w:gridCol w:w="749"/>
        <w:gridCol w:w="743"/>
      </w:tblGrid>
      <w:tr w:rsidR="00327142" w:rsidRPr="001D1B9F" w14:paraId="2B0B6D52" w14:textId="77777777" w:rsidTr="002D7067">
        <w:trPr>
          <w:trHeight w:val="20"/>
          <w:tblHeader/>
          <w:jc w:val="center"/>
        </w:trPr>
        <w:tc>
          <w:tcPr>
            <w:tcW w:w="5000" w:type="pct"/>
            <w:gridSpan w:val="9"/>
            <w:tcBorders>
              <w:top w:val="nil"/>
              <w:left w:val="nil"/>
              <w:bottom w:val="single" w:sz="4" w:space="0" w:color="BFBFBF" w:themeColor="background1" w:themeShade="BF"/>
              <w:right w:val="nil"/>
            </w:tcBorders>
          </w:tcPr>
          <w:p w14:paraId="61AE1608" w14:textId="13A8D003" w:rsidR="002D7067" w:rsidRPr="001A56EF" w:rsidRDefault="002D7067" w:rsidP="009F2729">
            <w:pPr>
              <w:spacing w:after="0" w:line="240" w:lineRule="auto"/>
              <w:jc w:val="right"/>
              <w:rPr>
                <w:rFonts w:eastAsia="Times New Roman" w:cs="Times New Roman"/>
                <w:i/>
                <w:iCs/>
                <w:color w:val="000000"/>
                <w:sz w:val="16"/>
                <w:szCs w:val="16"/>
                <w:lang w:eastAsia="pt-BR"/>
              </w:rPr>
            </w:pPr>
            <w:r w:rsidRPr="001A56EF">
              <w:rPr>
                <w:rFonts w:eastAsia="Times New Roman" w:cs="Times New Roman"/>
                <w:i/>
                <w:iCs/>
                <w:color w:val="000000"/>
                <w:sz w:val="16"/>
                <w:szCs w:val="16"/>
                <w:lang w:eastAsia="pt-BR"/>
              </w:rPr>
              <w:t>Em R$ bilhões</w:t>
            </w:r>
          </w:p>
        </w:tc>
      </w:tr>
      <w:tr w:rsidR="00F74720" w:rsidRPr="00A90CF1" w14:paraId="7B6C9DE0" w14:textId="05C9CEDC" w:rsidTr="00F74720">
        <w:trPr>
          <w:trHeight w:val="20"/>
          <w:tblHeader/>
          <w:jc w:val="center"/>
        </w:trPr>
        <w:tc>
          <w:tcPr>
            <w:tcW w:w="1998" w:type="pct"/>
            <w:vMerge w:val="restart"/>
            <w:tcBorders>
              <w:top w:val="single" w:sz="4" w:space="0" w:color="BFBFBF" w:themeColor="background1" w:themeShade="BF"/>
            </w:tcBorders>
            <w:shd w:val="clear" w:color="auto" w:fill="404040" w:themeFill="text1" w:themeFillTint="BF"/>
            <w:noWrap/>
            <w:vAlign w:val="center"/>
          </w:tcPr>
          <w:p w14:paraId="706DBE46" w14:textId="3F52FCF1" w:rsidR="00F74720" w:rsidRPr="00F74720" w:rsidRDefault="00F74720"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Demandas Judiciais</w:t>
            </w:r>
          </w:p>
        </w:tc>
        <w:tc>
          <w:tcPr>
            <w:tcW w:w="3002" w:type="pct"/>
            <w:gridSpan w:val="8"/>
            <w:tcBorders>
              <w:top w:val="single" w:sz="4" w:space="0" w:color="BFBFBF" w:themeColor="background1" w:themeShade="BF"/>
            </w:tcBorders>
            <w:shd w:val="clear" w:color="auto" w:fill="404040" w:themeFill="text1" w:themeFillTint="BF"/>
          </w:tcPr>
          <w:p w14:paraId="3C72E773" w14:textId="224D0051" w:rsidR="00F74720" w:rsidRPr="00F74720" w:rsidRDefault="00F74720"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Ano Base</w:t>
            </w:r>
          </w:p>
        </w:tc>
      </w:tr>
      <w:tr w:rsidR="0063434F" w:rsidRPr="00A90CF1" w14:paraId="67AE9030" w14:textId="3159909F" w:rsidTr="002D7067">
        <w:trPr>
          <w:trHeight w:val="20"/>
          <w:tblHeader/>
          <w:jc w:val="center"/>
        </w:trPr>
        <w:tc>
          <w:tcPr>
            <w:tcW w:w="1998" w:type="pct"/>
            <w:vMerge/>
            <w:shd w:val="clear" w:color="auto" w:fill="404040" w:themeFill="text1" w:themeFillTint="BF"/>
            <w:noWrap/>
            <w:vAlign w:val="center"/>
          </w:tcPr>
          <w:p w14:paraId="10F19735" w14:textId="77777777" w:rsidR="0063434F" w:rsidRPr="00910F38" w:rsidRDefault="0063434F" w:rsidP="009F2729">
            <w:pPr>
              <w:spacing w:after="0" w:line="240" w:lineRule="auto"/>
              <w:jc w:val="center"/>
              <w:rPr>
                <w:rFonts w:eastAsia="Times New Roman" w:cs="Times New Roman"/>
                <w:color w:val="FFFFFF" w:themeColor="background1"/>
                <w:sz w:val="20"/>
                <w:szCs w:val="20"/>
                <w:lang w:eastAsia="pt-BR"/>
              </w:rPr>
            </w:pPr>
          </w:p>
        </w:tc>
        <w:tc>
          <w:tcPr>
            <w:tcW w:w="366" w:type="pct"/>
            <w:shd w:val="clear" w:color="auto" w:fill="404040" w:themeFill="text1" w:themeFillTint="BF"/>
            <w:noWrap/>
            <w:vAlign w:val="center"/>
          </w:tcPr>
          <w:p w14:paraId="1F429769" w14:textId="777D3C4A" w:rsidR="0063434F" w:rsidRPr="00F74720" w:rsidRDefault="0063434F"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2013</w:t>
            </w:r>
          </w:p>
        </w:tc>
        <w:tc>
          <w:tcPr>
            <w:tcW w:w="385" w:type="pct"/>
            <w:shd w:val="clear" w:color="auto" w:fill="404040" w:themeFill="text1" w:themeFillTint="BF"/>
            <w:noWrap/>
            <w:vAlign w:val="center"/>
          </w:tcPr>
          <w:p w14:paraId="58B751BD" w14:textId="3B6E7A7D" w:rsidR="0063434F" w:rsidRPr="00F74720" w:rsidRDefault="0063434F"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2014</w:t>
            </w:r>
          </w:p>
        </w:tc>
        <w:tc>
          <w:tcPr>
            <w:tcW w:w="385" w:type="pct"/>
            <w:shd w:val="clear" w:color="auto" w:fill="404040" w:themeFill="text1" w:themeFillTint="BF"/>
            <w:noWrap/>
            <w:vAlign w:val="center"/>
          </w:tcPr>
          <w:p w14:paraId="0397D255" w14:textId="77777777" w:rsidR="0063434F" w:rsidRPr="00F74720" w:rsidRDefault="0063434F"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2015</w:t>
            </w:r>
          </w:p>
        </w:tc>
        <w:tc>
          <w:tcPr>
            <w:tcW w:w="385" w:type="pct"/>
            <w:shd w:val="clear" w:color="auto" w:fill="404040" w:themeFill="text1" w:themeFillTint="BF"/>
            <w:noWrap/>
            <w:vAlign w:val="center"/>
          </w:tcPr>
          <w:p w14:paraId="726CABF7" w14:textId="34C0AF08" w:rsidR="0063434F" w:rsidRPr="00F74720" w:rsidRDefault="0063434F"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2016</w:t>
            </w:r>
          </w:p>
        </w:tc>
        <w:tc>
          <w:tcPr>
            <w:tcW w:w="370" w:type="pct"/>
            <w:shd w:val="clear" w:color="auto" w:fill="404040" w:themeFill="text1" w:themeFillTint="BF"/>
            <w:noWrap/>
            <w:vAlign w:val="center"/>
          </w:tcPr>
          <w:p w14:paraId="4E0E1F8F" w14:textId="1008B55D" w:rsidR="0063434F" w:rsidRPr="00F74720" w:rsidRDefault="0063434F"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2017</w:t>
            </w:r>
          </w:p>
        </w:tc>
        <w:tc>
          <w:tcPr>
            <w:tcW w:w="370" w:type="pct"/>
            <w:shd w:val="clear" w:color="auto" w:fill="404040" w:themeFill="text1" w:themeFillTint="BF"/>
            <w:vAlign w:val="center"/>
          </w:tcPr>
          <w:p w14:paraId="26BEF07F" w14:textId="32D69F7B" w:rsidR="0063434F" w:rsidRPr="00F74720" w:rsidRDefault="0063434F"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2018</w:t>
            </w:r>
          </w:p>
        </w:tc>
        <w:tc>
          <w:tcPr>
            <w:tcW w:w="372" w:type="pct"/>
            <w:shd w:val="clear" w:color="auto" w:fill="404040" w:themeFill="text1" w:themeFillTint="BF"/>
            <w:noWrap/>
            <w:vAlign w:val="center"/>
          </w:tcPr>
          <w:p w14:paraId="0EDDA278" w14:textId="61681874" w:rsidR="0063434F" w:rsidRPr="00F74720" w:rsidRDefault="0063434F"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2019</w:t>
            </w:r>
          </w:p>
        </w:tc>
        <w:tc>
          <w:tcPr>
            <w:tcW w:w="369" w:type="pct"/>
            <w:shd w:val="clear" w:color="auto" w:fill="404040" w:themeFill="text1" w:themeFillTint="BF"/>
          </w:tcPr>
          <w:p w14:paraId="0DE11E81" w14:textId="149E519F" w:rsidR="002D7067" w:rsidRPr="00F74720" w:rsidRDefault="002D7067" w:rsidP="009F2729">
            <w:pPr>
              <w:spacing w:after="0" w:line="240" w:lineRule="auto"/>
              <w:jc w:val="center"/>
              <w:rPr>
                <w:rFonts w:eastAsia="Times New Roman" w:cs="Times New Roman"/>
                <w:b/>
                <w:bCs/>
                <w:color w:val="FFFFFF" w:themeColor="background1"/>
                <w:sz w:val="20"/>
                <w:szCs w:val="20"/>
                <w:lang w:eastAsia="pt-BR"/>
              </w:rPr>
            </w:pPr>
            <w:r w:rsidRPr="00F74720">
              <w:rPr>
                <w:rFonts w:eastAsia="Times New Roman" w:cs="Times New Roman"/>
                <w:b/>
                <w:bCs/>
                <w:color w:val="FFFFFF" w:themeColor="background1"/>
                <w:sz w:val="20"/>
                <w:szCs w:val="20"/>
                <w:lang w:eastAsia="pt-BR"/>
              </w:rPr>
              <w:t>2020</w:t>
            </w:r>
          </w:p>
        </w:tc>
      </w:tr>
      <w:tr w:rsidR="0063434F" w:rsidRPr="00A90CF1" w14:paraId="7190D3C7" w14:textId="4C349A51" w:rsidTr="002D7067">
        <w:trPr>
          <w:trHeight w:val="20"/>
          <w:jc w:val="center"/>
        </w:trPr>
        <w:tc>
          <w:tcPr>
            <w:tcW w:w="1998" w:type="pct"/>
            <w:shd w:val="clear" w:color="auto" w:fill="F2F2F2" w:themeFill="background1" w:themeFillShade="F2"/>
            <w:noWrap/>
            <w:vAlign w:val="bottom"/>
            <w:hideMark/>
          </w:tcPr>
          <w:p w14:paraId="2EDE5CED" w14:textId="77777777" w:rsidR="0063434F" w:rsidRPr="001E23D4" w:rsidRDefault="0063434F" w:rsidP="009F2729">
            <w:pPr>
              <w:spacing w:after="0" w:line="240" w:lineRule="auto"/>
              <w:rPr>
                <w:rFonts w:eastAsia="Times New Roman" w:cstheme="minorHAnsi"/>
                <w:color w:val="000000"/>
                <w:sz w:val="18"/>
                <w:szCs w:val="18"/>
                <w:lang w:eastAsia="pt-BR"/>
              </w:rPr>
            </w:pPr>
            <w:r w:rsidRPr="001E23D4">
              <w:rPr>
                <w:rFonts w:eastAsia="Times New Roman" w:cstheme="minorHAnsi"/>
                <w:color w:val="000000"/>
                <w:sz w:val="18"/>
                <w:szCs w:val="18"/>
                <w:lang w:eastAsia="pt-BR"/>
              </w:rPr>
              <w:t>Contra a Administração Direta - PGU</w:t>
            </w:r>
          </w:p>
        </w:tc>
        <w:tc>
          <w:tcPr>
            <w:tcW w:w="366" w:type="pct"/>
            <w:shd w:val="clear" w:color="auto" w:fill="F2F2F2" w:themeFill="background1" w:themeFillShade="F2"/>
            <w:noWrap/>
          </w:tcPr>
          <w:p w14:paraId="239FC19F" w14:textId="3CE2E150"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321,8</w:t>
            </w:r>
          </w:p>
        </w:tc>
        <w:tc>
          <w:tcPr>
            <w:tcW w:w="385" w:type="pct"/>
            <w:shd w:val="clear" w:color="auto" w:fill="F2F2F2" w:themeFill="background1" w:themeFillShade="F2"/>
            <w:noWrap/>
          </w:tcPr>
          <w:p w14:paraId="42D3BC37" w14:textId="67178600"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2,1</w:t>
            </w:r>
          </w:p>
        </w:tc>
        <w:tc>
          <w:tcPr>
            <w:tcW w:w="385" w:type="pct"/>
            <w:shd w:val="clear" w:color="auto" w:fill="F2F2F2" w:themeFill="background1" w:themeFillShade="F2"/>
            <w:noWrap/>
            <w:hideMark/>
          </w:tcPr>
          <w:p w14:paraId="20C8E6C8" w14:textId="154AA2C0"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1,0</w:t>
            </w:r>
          </w:p>
        </w:tc>
        <w:tc>
          <w:tcPr>
            <w:tcW w:w="385" w:type="pct"/>
            <w:shd w:val="clear" w:color="auto" w:fill="F2F2F2" w:themeFill="background1" w:themeFillShade="F2"/>
            <w:noWrap/>
          </w:tcPr>
          <w:p w14:paraId="564A59AD" w14:textId="0A247C59"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4,0</w:t>
            </w:r>
          </w:p>
        </w:tc>
        <w:tc>
          <w:tcPr>
            <w:tcW w:w="370" w:type="pct"/>
            <w:shd w:val="clear" w:color="auto" w:fill="F2F2F2" w:themeFill="background1" w:themeFillShade="F2"/>
            <w:noWrap/>
          </w:tcPr>
          <w:p w14:paraId="7D5F2593" w14:textId="2496B1ED"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3,</w:t>
            </w:r>
            <w:r w:rsidR="00C81ED9" w:rsidRPr="00A90CF1">
              <w:rPr>
                <w:rFonts w:eastAsia="Times New Roman" w:cstheme="minorHAnsi"/>
                <w:color w:val="000000"/>
                <w:sz w:val="18"/>
                <w:szCs w:val="18"/>
                <w:lang w:eastAsia="pt-BR"/>
              </w:rPr>
              <w:t>1</w:t>
            </w:r>
          </w:p>
        </w:tc>
        <w:tc>
          <w:tcPr>
            <w:tcW w:w="370" w:type="pct"/>
            <w:shd w:val="clear" w:color="auto" w:fill="F2F2F2" w:themeFill="background1" w:themeFillShade="F2"/>
          </w:tcPr>
          <w:p w14:paraId="37EFA642" w14:textId="6AD35506"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3,7</w:t>
            </w:r>
          </w:p>
        </w:tc>
        <w:tc>
          <w:tcPr>
            <w:tcW w:w="372" w:type="pct"/>
            <w:shd w:val="clear" w:color="auto" w:fill="F2F2F2" w:themeFill="background1" w:themeFillShade="F2"/>
            <w:noWrap/>
          </w:tcPr>
          <w:p w14:paraId="46316F8A" w14:textId="196D4AD9"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171,6</w:t>
            </w:r>
          </w:p>
        </w:tc>
        <w:tc>
          <w:tcPr>
            <w:tcW w:w="369" w:type="pct"/>
            <w:shd w:val="clear" w:color="auto" w:fill="F2F2F2" w:themeFill="background1" w:themeFillShade="F2"/>
          </w:tcPr>
          <w:p w14:paraId="249E4CC7" w14:textId="4C507435" w:rsidR="00776DDA" w:rsidRDefault="00776DDA" w:rsidP="009F2729">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230,6</w:t>
            </w:r>
          </w:p>
        </w:tc>
      </w:tr>
      <w:tr w:rsidR="0063434F" w:rsidRPr="00A90CF1" w14:paraId="5C02C477" w14:textId="3DEA941D" w:rsidTr="002D7067">
        <w:trPr>
          <w:trHeight w:val="20"/>
          <w:jc w:val="center"/>
        </w:trPr>
        <w:tc>
          <w:tcPr>
            <w:tcW w:w="1998" w:type="pct"/>
            <w:shd w:val="clear" w:color="auto" w:fill="auto"/>
            <w:noWrap/>
            <w:vAlign w:val="bottom"/>
            <w:hideMark/>
          </w:tcPr>
          <w:p w14:paraId="5C19608B" w14:textId="77777777" w:rsidR="0063434F" w:rsidRPr="001E23D4" w:rsidRDefault="0063434F" w:rsidP="009F2729">
            <w:pPr>
              <w:spacing w:after="0" w:line="240" w:lineRule="auto"/>
              <w:rPr>
                <w:rFonts w:eastAsia="Times New Roman" w:cstheme="minorHAnsi"/>
                <w:color w:val="000000"/>
                <w:sz w:val="18"/>
                <w:szCs w:val="18"/>
                <w:lang w:eastAsia="pt-BR"/>
              </w:rPr>
            </w:pPr>
            <w:r w:rsidRPr="001E23D4">
              <w:rPr>
                <w:rFonts w:eastAsia="Times New Roman" w:cstheme="minorHAnsi"/>
                <w:color w:val="000000"/>
                <w:sz w:val="18"/>
                <w:szCs w:val="18"/>
                <w:lang w:eastAsia="pt-BR"/>
              </w:rPr>
              <w:t>Natureza tributária (inclusive previdenciária) - PGFN</w:t>
            </w:r>
          </w:p>
        </w:tc>
        <w:tc>
          <w:tcPr>
            <w:tcW w:w="366" w:type="pct"/>
            <w:shd w:val="clear" w:color="auto" w:fill="auto"/>
            <w:noWrap/>
          </w:tcPr>
          <w:p w14:paraId="54999A06" w14:textId="66EA8B35"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458,2</w:t>
            </w:r>
          </w:p>
        </w:tc>
        <w:tc>
          <w:tcPr>
            <w:tcW w:w="385" w:type="pct"/>
            <w:shd w:val="clear" w:color="auto" w:fill="auto"/>
            <w:noWrap/>
          </w:tcPr>
          <w:p w14:paraId="23B6B6BE" w14:textId="5B4E7B4F"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345,</w:t>
            </w:r>
            <w:r w:rsidR="00650F48" w:rsidRPr="00A90CF1">
              <w:rPr>
                <w:rFonts w:eastAsia="Times New Roman" w:cstheme="minorHAnsi"/>
                <w:color w:val="000000"/>
                <w:sz w:val="18"/>
                <w:szCs w:val="18"/>
                <w:lang w:eastAsia="pt-BR"/>
              </w:rPr>
              <w:t>1</w:t>
            </w:r>
          </w:p>
        </w:tc>
        <w:tc>
          <w:tcPr>
            <w:tcW w:w="385" w:type="pct"/>
            <w:shd w:val="clear" w:color="auto" w:fill="auto"/>
            <w:noWrap/>
            <w:hideMark/>
          </w:tcPr>
          <w:p w14:paraId="4FC312E9" w14:textId="4886BC5C"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32</w:t>
            </w:r>
            <w:r w:rsidR="00F1207A" w:rsidRPr="00A90CF1">
              <w:rPr>
                <w:rFonts w:eastAsia="Times New Roman" w:cstheme="minorHAnsi"/>
                <w:color w:val="000000"/>
                <w:sz w:val="18"/>
                <w:szCs w:val="18"/>
                <w:lang w:eastAsia="pt-BR"/>
              </w:rPr>
              <w:t>7</w:t>
            </w:r>
            <w:r w:rsidRPr="00A90CF1">
              <w:rPr>
                <w:rFonts w:eastAsia="Times New Roman" w:cstheme="minorHAnsi"/>
                <w:color w:val="000000"/>
                <w:sz w:val="18"/>
                <w:szCs w:val="18"/>
                <w:lang w:eastAsia="pt-BR"/>
              </w:rPr>
              <w:t>,</w:t>
            </w:r>
            <w:r w:rsidR="00F1207A" w:rsidRPr="00A90CF1">
              <w:rPr>
                <w:rFonts w:eastAsia="Times New Roman" w:cstheme="minorHAnsi"/>
                <w:color w:val="000000"/>
                <w:sz w:val="18"/>
                <w:szCs w:val="18"/>
                <w:lang w:eastAsia="pt-BR"/>
              </w:rPr>
              <w:t>0</w:t>
            </w:r>
          </w:p>
        </w:tc>
        <w:tc>
          <w:tcPr>
            <w:tcW w:w="385" w:type="pct"/>
            <w:shd w:val="clear" w:color="auto" w:fill="auto"/>
            <w:noWrap/>
          </w:tcPr>
          <w:p w14:paraId="09B95A7A" w14:textId="3E5FE697"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828,</w:t>
            </w:r>
            <w:r w:rsidR="00E60442" w:rsidRPr="00A90CF1">
              <w:rPr>
                <w:rFonts w:eastAsia="Times New Roman" w:cstheme="minorHAnsi"/>
                <w:color w:val="000000"/>
                <w:sz w:val="18"/>
                <w:szCs w:val="18"/>
                <w:lang w:eastAsia="pt-BR"/>
              </w:rPr>
              <w:t>3</w:t>
            </w:r>
          </w:p>
        </w:tc>
        <w:tc>
          <w:tcPr>
            <w:tcW w:w="370" w:type="pct"/>
            <w:shd w:val="clear" w:color="auto" w:fill="auto"/>
            <w:noWrap/>
          </w:tcPr>
          <w:p w14:paraId="26D0A807" w14:textId="4434A34B"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1.139,5</w:t>
            </w:r>
          </w:p>
        </w:tc>
        <w:tc>
          <w:tcPr>
            <w:tcW w:w="370" w:type="pct"/>
            <w:shd w:val="clear" w:color="auto" w:fill="auto"/>
          </w:tcPr>
          <w:p w14:paraId="3270C6C2" w14:textId="38ADD06E"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1.512,</w:t>
            </w:r>
            <w:r w:rsidR="00AE7F9C" w:rsidRPr="00A90CF1">
              <w:rPr>
                <w:rFonts w:eastAsia="Times New Roman" w:cstheme="minorHAnsi"/>
                <w:color w:val="000000"/>
                <w:sz w:val="18"/>
                <w:szCs w:val="18"/>
                <w:lang w:eastAsia="pt-BR"/>
              </w:rPr>
              <w:t>8</w:t>
            </w:r>
          </w:p>
        </w:tc>
        <w:tc>
          <w:tcPr>
            <w:tcW w:w="372" w:type="pct"/>
            <w:shd w:val="clear" w:color="auto" w:fill="auto"/>
            <w:noWrap/>
          </w:tcPr>
          <w:p w14:paraId="2DCAE6BE" w14:textId="10DD19B6"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1.342,1</w:t>
            </w:r>
          </w:p>
        </w:tc>
        <w:tc>
          <w:tcPr>
            <w:tcW w:w="369" w:type="pct"/>
          </w:tcPr>
          <w:p w14:paraId="357864C8" w14:textId="1C8C11CE" w:rsidR="00776DDA" w:rsidRDefault="00776DDA" w:rsidP="009F2729">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862,9</w:t>
            </w:r>
          </w:p>
        </w:tc>
      </w:tr>
      <w:tr w:rsidR="0063434F" w:rsidRPr="00A90CF1" w14:paraId="350A20B7" w14:textId="69AF8E2A" w:rsidTr="002D7067">
        <w:trPr>
          <w:trHeight w:val="20"/>
          <w:jc w:val="center"/>
        </w:trPr>
        <w:tc>
          <w:tcPr>
            <w:tcW w:w="1998" w:type="pct"/>
            <w:shd w:val="clear" w:color="auto" w:fill="F2F2F2" w:themeFill="background1" w:themeFillShade="F2"/>
            <w:noWrap/>
            <w:vAlign w:val="bottom"/>
            <w:hideMark/>
          </w:tcPr>
          <w:p w14:paraId="7137E0F8" w14:textId="77777777" w:rsidR="0063434F" w:rsidRPr="001E23D4" w:rsidRDefault="0063434F" w:rsidP="009F2729">
            <w:pPr>
              <w:spacing w:after="0" w:line="240" w:lineRule="auto"/>
              <w:rPr>
                <w:rFonts w:eastAsia="Times New Roman" w:cstheme="minorHAnsi"/>
                <w:color w:val="000000"/>
                <w:sz w:val="18"/>
                <w:szCs w:val="18"/>
                <w:lang w:eastAsia="pt-BR"/>
              </w:rPr>
            </w:pPr>
            <w:r w:rsidRPr="001E23D4">
              <w:rPr>
                <w:rFonts w:eastAsia="Times New Roman" w:cstheme="minorHAnsi"/>
                <w:color w:val="000000"/>
                <w:sz w:val="18"/>
                <w:szCs w:val="18"/>
                <w:lang w:eastAsia="pt-BR"/>
              </w:rPr>
              <w:t>Contra Autarquias e Fundações - PGF</w:t>
            </w:r>
          </w:p>
        </w:tc>
        <w:tc>
          <w:tcPr>
            <w:tcW w:w="366" w:type="pct"/>
            <w:shd w:val="clear" w:color="auto" w:fill="F2F2F2" w:themeFill="background1" w:themeFillShade="F2"/>
            <w:noWrap/>
          </w:tcPr>
          <w:p w14:paraId="07BE7ED6" w14:textId="4EEB6597"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58,5</w:t>
            </w:r>
          </w:p>
        </w:tc>
        <w:tc>
          <w:tcPr>
            <w:tcW w:w="385" w:type="pct"/>
            <w:shd w:val="clear" w:color="auto" w:fill="F2F2F2" w:themeFill="background1" w:themeFillShade="F2"/>
            <w:noWrap/>
          </w:tcPr>
          <w:p w14:paraId="32148B38" w14:textId="6CDD62E8"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60,8</w:t>
            </w:r>
          </w:p>
        </w:tc>
        <w:tc>
          <w:tcPr>
            <w:tcW w:w="385" w:type="pct"/>
            <w:shd w:val="clear" w:color="auto" w:fill="F2F2F2" w:themeFill="background1" w:themeFillShade="F2"/>
            <w:noWrap/>
            <w:hideMark/>
          </w:tcPr>
          <w:p w14:paraId="498633D8" w14:textId="73F4F195"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194,7</w:t>
            </w:r>
          </w:p>
        </w:tc>
        <w:tc>
          <w:tcPr>
            <w:tcW w:w="385" w:type="pct"/>
            <w:shd w:val="clear" w:color="auto" w:fill="F2F2F2" w:themeFill="background1" w:themeFillShade="F2"/>
            <w:noWrap/>
          </w:tcPr>
          <w:p w14:paraId="3C7FB3B2" w14:textId="001DF90A"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8,3</w:t>
            </w:r>
          </w:p>
        </w:tc>
        <w:tc>
          <w:tcPr>
            <w:tcW w:w="370" w:type="pct"/>
            <w:shd w:val="clear" w:color="auto" w:fill="F2F2F2" w:themeFill="background1" w:themeFillShade="F2"/>
            <w:noWrap/>
          </w:tcPr>
          <w:p w14:paraId="0A1D7F6C" w14:textId="3269580D"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8,3</w:t>
            </w:r>
          </w:p>
        </w:tc>
        <w:tc>
          <w:tcPr>
            <w:tcW w:w="370" w:type="pct"/>
            <w:shd w:val="clear" w:color="auto" w:fill="F2F2F2" w:themeFill="background1" w:themeFillShade="F2"/>
          </w:tcPr>
          <w:p w14:paraId="776EEF9F" w14:textId="7F21E340"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3,5</w:t>
            </w:r>
          </w:p>
        </w:tc>
        <w:tc>
          <w:tcPr>
            <w:tcW w:w="372" w:type="pct"/>
            <w:shd w:val="clear" w:color="auto" w:fill="F2F2F2" w:themeFill="background1" w:themeFillShade="F2"/>
            <w:noWrap/>
          </w:tcPr>
          <w:p w14:paraId="28ADF7DA" w14:textId="122A47EB" w:rsidR="0063434F" w:rsidRPr="00985140" w:rsidRDefault="0063434F" w:rsidP="009F2729">
            <w:pPr>
              <w:spacing w:after="0" w:line="240" w:lineRule="auto"/>
              <w:jc w:val="right"/>
              <w:rPr>
                <w:rFonts w:eastAsia="Times New Roman" w:cstheme="minorHAnsi"/>
                <w:sz w:val="18"/>
                <w:szCs w:val="18"/>
                <w:lang w:eastAsia="pt-BR"/>
              </w:rPr>
            </w:pPr>
            <w:r w:rsidRPr="00985140">
              <w:rPr>
                <w:rFonts w:eastAsia="Times New Roman" w:cstheme="minorHAnsi"/>
                <w:sz w:val="18"/>
                <w:szCs w:val="18"/>
                <w:lang w:eastAsia="pt-BR"/>
              </w:rPr>
              <w:t>1</w:t>
            </w:r>
            <w:r w:rsidR="008E214C" w:rsidRPr="00985140">
              <w:rPr>
                <w:rFonts w:eastAsia="Times New Roman" w:cstheme="minorHAnsi"/>
                <w:sz w:val="18"/>
                <w:szCs w:val="18"/>
                <w:lang w:eastAsia="pt-BR"/>
              </w:rPr>
              <w:t>6,0</w:t>
            </w:r>
          </w:p>
        </w:tc>
        <w:tc>
          <w:tcPr>
            <w:tcW w:w="369" w:type="pct"/>
            <w:shd w:val="clear" w:color="auto" w:fill="F2F2F2" w:themeFill="background1" w:themeFillShade="F2"/>
          </w:tcPr>
          <w:p w14:paraId="563BCC56" w14:textId="2436BE59" w:rsidR="00776DDA" w:rsidRDefault="00776DDA" w:rsidP="009F2729">
            <w:pPr>
              <w:spacing w:after="0" w:line="240" w:lineRule="auto"/>
              <w:jc w:val="right"/>
              <w:rPr>
                <w:rFonts w:eastAsia="Times New Roman" w:cstheme="minorHAnsi"/>
                <w:sz w:val="18"/>
                <w:szCs w:val="18"/>
                <w:lang w:eastAsia="pt-BR"/>
              </w:rPr>
            </w:pPr>
            <w:r>
              <w:rPr>
                <w:rFonts w:eastAsia="Times New Roman" w:cstheme="minorHAnsi"/>
                <w:sz w:val="18"/>
                <w:szCs w:val="18"/>
                <w:lang w:eastAsia="pt-BR"/>
              </w:rPr>
              <w:t>211,6</w:t>
            </w:r>
          </w:p>
        </w:tc>
      </w:tr>
      <w:tr w:rsidR="0063434F" w:rsidRPr="00A90CF1" w14:paraId="7630AF29" w14:textId="7BB75E2F" w:rsidTr="002D7067">
        <w:trPr>
          <w:trHeight w:val="20"/>
          <w:jc w:val="center"/>
        </w:trPr>
        <w:tc>
          <w:tcPr>
            <w:tcW w:w="1998" w:type="pct"/>
            <w:shd w:val="clear" w:color="auto" w:fill="auto"/>
            <w:noWrap/>
            <w:vAlign w:val="bottom"/>
            <w:hideMark/>
          </w:tcPr>
          <w:p w14:paraId="6095E0FF" w14:textId="77777777" w:rsidR="0063434F" w:rsidRPr="001E23D4" w:rsidRDefault="0063434F" w:rsidP="009F2729">
            <w:pPr>
              <w:spacing w:after="0" w:line="240" w:lineRule="auto"/>
              <w:rPr>
                <w:rFonts w:eastAsia="Times New Roman" w:cstheme="minorHAnsi"/>
                <w:color w:val="000000"/>
                <w:sz w:val="18"/>
                <w:szCs w:val="18"/>
                <w:lang w:eastAsia="pt-BR"/>
              </w:rPr>
            </w:pPr>
            <w:r w:rsidRPr="001E23D4">
              <w:rPr>
                <w:rFonts w:eastAsia="Times New Roman" w:cstheme="minorHAnsi"/>
                <w:color w:val="000000"/>
                <w:sz w:val="18"/>
                <w:szCs w:val="18"/>
                <w:lang w:eastAsia="pt-BR"/>
              </w:rPr>
              <w:t>Contra empresas estatais dependentes - SEST/ME</w:t>
            </w:r>
          </w:p>
        </w:tc>
        <w:tc>
          <w:tcPr>
            <w:tcW w:w="366" w:type="pct"/>
            <w:shd w:val="clear" w:color="auto" w:fill="auto"/>
            <w:noWrap/>
          </w:tcPr>
          <w:p w14:paraId="70E592A4" w14:textId="1ED7687D"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4,</w:t>
            </w:r>
            <w:r w:rsidR="00277C7B" w:rsidRPr="00A90CF1">
              <w:rPr>
                <w:rFonts w:eastAsia="Times New Roman" w:cstheme="minorHAnsi"/>
                <w:color w:val="000000"/>
                <w:sz w:val="18"/>
                <w:szCs w:val="18"/>
                <w:lang w:eastAsia="pt-BR"/>
              </w:rPr>
              <w:t>1</w:t>
            </w:r>
          </w:p>
        </w:tc>
        <w:tc>
          <w:tcPr>
            <w:tcW w:w="385" w:type="pct"/>
            <w:shd w:val="clear" w:color="auto" w:fill="auto"/>
            <w:noWrap/>
          </w:tcPr>
          <w:p w14:paraId="32378F05" w14:textId="344EE24B"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2,</w:t>
            </w:r>
            <w:r w:rsidR="00650F48" w:rsidRPr="00A90CF1">
              <w:rPr>
                <w:rFonts w:eastAsia="Times New Roman" w:cstheme="minorHAnsi"/>
                <w:color w:val="000000"/>
                <w:sz w:val="18"/>
                <w:szCs w:val="18"/>
                <w:lang w:eastAsia="pt-BR"/>
              </w:rPr>
              <w:t>1</w:t>
            </w:r>
          </w:p>
        </w:tc>
        <w:tc>
          <w:tcPr>
            <w:tcW w:w="385" w:type="pct"/>
            <w:shd w:val="clear" w:color="auto" w:fill="auto"/>
            <w:noWrap/>
            <w:hideMark/>
          </w:tcPr>
          <w:p w14:paraId="170A5A30" w14:textId="16E4CB01"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2,0</w:t>
            </w:r>
          </w:p>
        </w:tc>
        <w:tc>
          <w:tcPr>
            <w:tcW w:w="385" w:type="pct"/>
            <w:shd w:val="clear" w:color="auto" w:fill="auto"/>
            <w:noWrap/>
          </w:tcPr>
          <w:p w14:paraId="0332AC59" w14:textId="1EF70B12"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2,</w:t>
            </w:r>
            <w:r w:rsidR="00E60442" w:rsidRPr="00A90CF1">
              <w:rPr>
                <w:rFonts w:eastAsia="Times New Roman" w:cstheme="minorHAnsi"/>
                <w:color w:val="000000"/>
                <w:sz w:val="18"/>
                <w:szCs w:val="18"/>
                <w:lang w:eastAsia="pt-BR"/>
              </w:rPr>
              <w:t>0</w:t>
            </w:r>
          </w:p>
        </w:tc>
        <w:tc>
          <w:tcPr>
            <w:tcW w:w="370" w:type="pct"/>
            <w:shd w:val="clear" w:color="auto" w:fill="auto"/>
            <w:noWrap/>
          </w:tcPr>
          <w:p w14:paraId="4A0A7BB1" w14:textId="0E63C278"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2,1</w:t>
            </w:r>
          </w:p>
        </w:tc>
        <w:tc>
          <w:tcPr>
            <w:tcW w:w="370" w:type="pct"/>
            <w:shd w:val="clear" w:color="auto" w:fill="auto"/>
          </w:tcPr>
          <w:p w14:paraId="734C49F4" w14:textId="5217FF8A"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2,0</w:t>
            </w:r>
          </w:p>
        </w:tc>
        <w:tc>
          <w:tcPr>
            <w:tcW w:w="372" w:type="pct"/>
            <w:shd w:val="clear" w:color="auto" w:fill="auto"/>
            <w:noWrap/>
          </w:tcPr>
          <w:p w14:paraId="0F381956" w14:textId="099838C8" w:rsidR="0063434F" w:rsidRPr="00985140" w:rsidRDefault="0063434F" w:rsidP="009F2729">
            <w:pPr>
              <w:spacing w:after="0" w:line="240" w:lineRule="auto"/>
              <w:jc w:val="right"/>
              <w:rPr>
                <w:rFonts w:eastAsia="Times New Roman" w:cstheme="minorHAnsi"/>
                <w:sz w:val="18"/>
                <w:szCs w:val="18"/>
                <w:lang w:eastAsia="pt-BR"/>
              </w:rPr>
            </w:pPr>
            <w:r w:rsidRPr="00985140">
              <w:rPr>
                <w:rFonts w:eastAsia="Times New Roman" w:cstheme="minorHAnsi"/>
                <w:sz w:val="18"/>
                <w:szCs w:val="18"/>
                <w:lang w:eastAsia="pt-BR"/>
              </w:rPr>
              <w:t>4,0</w:t>
            </w:r>
          </w:p>
        </w:tc>
        <w:tc>
          <w:tcPr>
            <w:tcW w:w="369" w:type="pct"/>
          </w:tcPr>
          <w:p w14:paraId="62FF21E5" w14:textId="0FE19644" w:rsidR="00776DDA" w:rsidRDefault="00776DDA" w:rsidP="009F2729">
            <w:pPr>
              <w:spacing w:after="0" w:line="240" w:lineRule="auto"/>
              <w:jc w:val="right"/>
              <w:rPr>
                <w:rFonts w:eastAsia="Times New Roman" w:cstheme="minorHAnsi"/>
                <w:sz w:val="18"/>
                <w:szCs w:val="18"/>
                <w:lang w:eastAsia="pt-BR"/>
              </w:rPr>
            </w:pPr>
            <w:r>
              <w:rPr>
                <w:rFonts w:eastAsia="Times New Roman" w:cstheme="minorHAnsi"/>
                <w:sz w:val="18"/>
                <w:szCs w:val="18"/>
                <w:lang w:eastAsia="pt-BR"/>
              </w:rPr>
              <w:t>4,9</w:t>
            </w:r>
          </w:p>
        </w:tc>
      </w:tr>
      <w:tr w:rsidR="0063434F" w:rsidRPr="00A90CF1" w14:paraId="5671BCDA" w14:textId="4F61DFF8" w:rsidTr="002D7067">
        <w:trPr>
          <w:trHeight w:val="20"/>
          <w:jc w:val="center"/>
        </w:trPr>
        <w:tc>
          <w:tcPr>
            <w:tcW w:w="1998" w:type="pct"/>
            <w:shd w:val="clear" w:color="auto" w:fill="F2F2F2" w:themeFill="background1" w:themeFillShade="F2"/>
            <w:noWrap/>
            <w:vAlign w:val="bottom"/>
            <w:hideMark/>
          </w:tcPr>
          <w:p w14:paraId="44BCBD91" w14:textId="77777777" w:rsidR="0063434F" w:rsidRPr="001E23D4" w:rsidRDefault="0063434F" w:rsidP="009F2729">
            <w:pPr>
              <w:spacing w:after="0" w:line="240" w:lineRule="auto"/>
              <w:rPr>
                <w:rFonts w:eastAsia="Times New Roman" w:cstheme="minorHAnsi"/>
                <w:color w:val="000000"/>
                <w:sz w:val="18"/>
                <w:szCs w:val="18"/>
                <w:lang w:eastAsia="pt-BR"/>
              </w:rPr>
            </w:pPr>
            <w:r w:rsidRPr="001E23D4">
              <w:rPr>
                <w:rFonts w:eastAsia="Times New Roman" w:cstheme="minorHAnsi"/>
                <w:color w:val="000000"/>
                <w:sz w:val="18"/>
                <w:szCs w:val="18"/>
                <w:lang w:eastAsia="pt-BR"/>
              </w:rPr>
              <w:t>Contra o Banco Central - PGBC</w:t>
            </w:r>
          </w:p>
        </w:tc>
        <w:tc>
          <w:tcPr>
            <w:tcW w:w="366" w:type="pct"/>
            <w:shd w:val="clear" w:color="auto" w:fill="F2F2F2" w:themeFill="background1" w:themeFillShade="F2"/>
            <w:noWrap/>
          </w:tcPr>
          <w:p w14:paraId="17C13F51" w14:textId="1E383D47"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66,</w:t>
            </w:r>
            <w:r w:rsidR="00277C7B" w:rsidRPr="00A90CF1">
              <w:rPr>
                <w:rFonts w:eastAsia="Times New Roman" w:cstheme="minorHAnsi"/>
                <w:color w:val="000000"/>
                <w:sz w:val="18"/>
                <w:szCs w:val="18"/>
                <w:lang w:eastAsia="pt-BR"/>
              </w:rPr>
              <w:t>0</w:t>
            </w:r>
          </w:p>
        </w:tc>
        <w:tc>
          <w:tcPr>
            <w:tcW w:w="385" w:type="pct"/>
            <w:shd w:val="clear" w:color="auto" w:fill="F2F2F2" w:themeFill="background1" w:themeFillShade="F2"/>
            <w:noWrap/>
          </w:tcPr>
          <w:p w14:paraId="6BA6BF85" w14:textId="6F0A1B0A"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68,</w:t>
            </w:r>
            <w:r w:rsidR="00650F48" w:rsidRPr="00A90CF1">
              <w:rPr>
                <w:rFonts w:eastAsia="Times New Roman" w:cstheme="minorHAnsi"/>
                <w:color w:val="000000"/>
                <w:sz w:val="18"/>
                <w:szCs w:val="18"/>
                <w:lang w:eastAsia="pt-BR"/>
              </w:rPr>
              <w:t>7</w:t>
            </w:r>
          </w:p>
        </w:tc>
        <w:tc>
          <w:tcPr>
            <w:tcW w:w="385" w:type="pct"/>
            <w:shd w:val="clear" w:color="auto" w:fill="F2F2F2" w:themeFill="background1" w:themeFillShade="F2"/>
            <w:noWrap/>
            <w:hideMark/>
          </w:tcPr>
          <w:p w14:paraId="77F6141E" w14:textId="653017BA"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40,</w:t>
            </w:r>
            <w:r w:rsidR="00F1207A" w:rsidRPr="00A90CF1">
              <w:rPr>
                <w:rFonts w:eastAsia="Times New Roman" w:cstheme="minorHAnsi"/>
                <w:color w:val="000000"/>
                <w:sz w:val="18"/>
                <w:szCs w:val="18"/>
                <w:lang w:eastAsia="pt-BR"/>
              </w:rPr>
              <w:t>4</w:t>
            </w:r>
          </w:p>
        </w:tc>
        <w:tc>
          <w:tcPr>
            <w:tcW w:w="385" w:type="pct"/>
            <w:shd w:val="clear" w:color="auto" w:fill="F2F2F2" w:themeFill="background1" w:themeFillShade="F2"/>
            <w:noWrap/>
          </w:tcPr>
          <w:p w14:paraId="366EB444" w14:textId="0670611B"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41,3</w:t>
            </w:r>
          </w:p>
        </w:tc>
        <w:tc>
          <w:tcPr>
            <w:tcW w:w="370" w:type="pct"/>
            <w:shd w:val="clear" w:color="auto" w:fill="F2F2F2" w:themeFill="background1" w:themeFillShade="F2"/>
            <w:noWrap/>
          </w:tcPr>
          <w:p w14:paraId="500667CC" w14:textId="7607CCBB" w:rsidR="0063434F" w:rsidRPr="00A90CF1" w:rsidRDefault="0063434F"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42,</w:t>
            </w:r>
            <w:r w:rsidR="00C81ED9" w:rsidRPr="00A90CF1">
              <w:rPr>
                <w:rFonts w:eastAsia="Times New Roman" w:cstheme="minorHAnsi"/>
                <w:color w:val="000000"/>
                <w:sz w:val="18"/>
                <w:szCs w:val="18"/>
                <w:lang w:eastAsia="pt-BR"/>
              </w:rPr>
              <w:t>1</w:t>
            </w:r>
          </w:p>
        </w:tc>
        <w:tc>
          <w:tcPr>
            <w:tcW w:w="370" w:type="pct"/>
            <w:shd w:val="clear" w:color="auto" w:fill="F2F2F2" w:themeFill="background1" w:themeFillShade="F2"/>
          </w:tcPr>
          <w:p w14:paraId="52AAA58E" w14:textId="642557CB" w:rsidR="0063434F" w:rsidRPr="00A90CF1" w:rsidRDefault="00AE7F9C" w:rsidP="009F2729">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6</w:t>
            </w:r>
            <w:r w:rsidR="0063434F" w:rsidRPr="00A90CF1">
              <w:rPr>
                <w:rFonts w:eastAsia="Times New Roman" w:cstheme="minorHAnsi"/>
                <w:color w:val="000000"/>
                <w:sz w:val="18"/>
                <w:szCs w:val="18"/>
                <w:lang w:eastAsia="pt-BR"/>
              </w:rPr>
              <w:t>,</w:t>
            </w:r>
            <w:r w:rsidRPr="00A90CF1">
              <w:rPr>
                <w:rFonts w:eastAsia="Times New Roman" w:cstheme="minorHAnsi"/>
                <w:color w:val="000000"/>
                <w:sz w:val="18"/>
                <w:szCs w:val="18"/>
                <w:lang w:eastAsia="pt-BR"/>
              </w:rPr>
              <w:t>0</w:t>
            </w:r>
          </w:p>
        </w:tc>
        <w:tc>
          <w:tcPr>
            <w:tcW w:w="372" w:type="pct"/>
            <w:shd w:val="clear" w:color="auto" w:fill="F2F2F2" w:themeFill="background1" w:themeFillShade="F2"/>
            <w:noWrap/>
          </w:tcPr>
          <w:p w14:paraId="20C8E7CF" w14:textId="1D551B25" w:rsidR="0063434F" w:rsidRPr="00A90CF1" w:rsidRDefault="005F7DFE" w:rsidP="009F2729">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6</w:t>
            </w:r>
            <w:r w:rsidR="0063434F" w:rsidRPr="00A90CF1">
              <w:rPr>
                <w:rFonts w:eastAsia="Times New Roman" w:cstheme="minorHAnsi"/>
                <w:color w:val="000000"/>
                <w:sz w:val="18"/>
                <w:szCs w:val="18"/>
                <w:lang w:eastAsia="pt-BR"/>
              </w:rPr>
              <w:t>,</w:t>
            </w:r>
            <w:r>
              <w:rPr>
                <w:rFonts w:eastAsia="Times New Roman" w:cstheme="minorHAnsi"/>
                <w:color w:val="000000"/>
                <w:sz w:val="18"/>
                <w:szCs w:val="18"/>
                <w:lang w:eastAsia="pt-BR"/>
              </w:rPr>
              <w:t>4</w:t>
            </w:r>
          </w:p>
        </w:tc>
        <w:tc>
          <w:tcPr>
            <w:tcW w:w="369" w:type="pct"/>
            <w:shd w:val="clear" w:color="auto" w:fill="F2F2F2" w:themeFill="background1" w:themeFillShade="F2"/>
          </w:tcPr>
          <w:p w14:paraId="5B3F5E43" w14:textId="4EFB0860" w:rsidR="00776DDA" w:rsidRDefault="00776DDA" w:rsidP="009F2729">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6,1</w:t>
            </w:r>
          </w:p>
        </w:tc>
      </w:tr>
      <w:tr w:rsidR="0063434F" w:rsidRPr="00A90CF1" w14:paraId="3C7557E3" w14:textId="639CD4F0" w:rsidTr="002D7067">
        <w:trPr>
          <w:trHeight w:val="20"/>
          <w:jc w:val="center"/>
        </w:trPr>
        <w:tc>
          <w:tcPr>
            <w:tcW w:w="1998" w:type="pct"/>
            <w:shd w:val="clear" w:color="auto" w:fill="7F7F7F" w:themeFill="text1" w:themeFillTint="80"/>
            <w:noWrap/>
            <w:vAlign w:val="bottom"/>
            <w:hideMark/>
          </w:tcPr>
          <w:p w14:paraId="6466CA10" w14:textId="52851F3F" w:rsidR="0063434F" w:rsidRPr="00E81693" w:rsidRDefault="0063434F" w:rsidP="009F2729">
            <w:pPr>
              <w:spacing w:after="0" w:line="240" w:lineRule="auto"/>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T</w:t>
            </w:r>
            <w:r w:rsidR="00AC2F88" w:rsidRPr="00E81693">
              <w:rPr>
                <w:rFonts w:eastAsia="Times New Roman" w:cstheme="minorHAnsi"/>
                <w:b/>
                <w:bCs/>
                <w:color w:val="FFFFFF" w:themeColor="background1"/>
                <w:sz w:val="18"/>
                <w:szCs w:val="18"/>
                <w:lang w:eastAsia="pt-BR"/>
              </w:rPr>
              <w:t>ota</w:t>
            </w:r>
            <w:r w:rsidR="00694774" w:rsidRPr="00E81693">
              <w:rPr>
                <w:rFonts w:eastAsia="Times New Roman" w:cstheme="minorHAnsi"/>
                <w:b/>
                <w:bCs/>
                <w:color w:val="FFFFFF" w:themeColor="background1"/>
                <w:sz w:val="18"/>
                <w:szCs w:val="18"/>
                <w:lang w:eastAsia="pt-BR"/>
              </w:rPr>
              <w:t>l (a)</w:t>
            </w:r>
          </w:p>
        </w:tc>
        <w:tc>
          <w:tcPr>
            <w:tcW w:w="366" w:type="pct"/>
            <w:shd w:val="clear" w:color="auto" w:fill="7F7F7F" w:themeFill="text1" w:themeFillTint="80"/>
            <w:noWrap/>
          </w:tcPr>
          <w:p w14:paraId="5662C3F8" w14:textId="6C21E505"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908,</w:t>
            </w:r>
            <w:r w:rsidR="00277C7B" w:rsidRPr="00E81693">
              <w:rPr>
                <w:rFonts w:eastAsia="Times New Roman" w:cstheme="minorHAnsi"/>
                <w:b/>
                <w:bCs/>
                <w:color w:val="FFFFFF" w:themeColor="background1"/>
                <w:sz w:val="18"/>
                <w:szCs w:val="18"/>
                <w:lang w:eastAsia="pt-BR"/>
              </w:rPr>
              <w:t>7</w:t>
            </w:r>
          </w:p>
        </w:tc>
        <w:tc>
          <w:tcPr>
            <w:tcW w:w="385" w:type="pct"/>
            <w:shd w:val="clear" w:color="auto" w:fill="7F7F7F" w:themeFill="text1" w:themeFillTint="80"/>
            <w:noWrap/>
          </w:tcPr>
          <w:p w14:paraId="2604DA1C" w14:textId="0E3D881B"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478,</w:t>
            </w:r>
            <w:r w:rsidR="00D16CE2" w:rsidRPr="00E81693">
              <w:rPr>
                <w:rFonts w:eastAsia="Times New Roman" w:cstheme="minorHAnsi"/>
                <w:b/>
                <w:bCs/>
                <w:color w:val="FFFFFF" w:themeColor="background1"/>
                <w:sz w:val="18"/>
                <w:szCs w:val="18"/>
                <w:lang w:eastAsia="pt-BR"/>
              </w:rPr>
              <w:t>8</w:t>
            </w:r>
          </w:p>
        </w:tc>
        <w:tc>
          <w:tcPr>
            <w:tcW w:w="385" w:type="pct"/>
            <w:shd w:val="clear" w:color="auto" w:fill="7F7F7F" w:themeFill="text1" w:themeFillTint="80"/>
            <w:noWrap/>
            <w:hideMark/>
          </w:tcPr>
          <w:p w14:paraId="0B9158BB" w14:textId="2EA9AE6D"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565,</w:t>
            </w:r>
            <w:r w:rsidR="00F1207A" w:rsidRPr="00E81693">
              <w:rPr>
                <w:rFonts w:eastAsia="Times New Roman" w:cstheme="minorHAnsi"/>
                <w:b/>
                <w:bCs/>
                <w:color w:val="FFFFFF" w:themeColor="background1"/>
                <w:sz w:val="18"/>
                <w:szCs w:val="18"/>
                <w:lang w:eastAsia="pt-BR"/>
              </w:rPr>
              <w:t>1</w:t>
            </w:r>
          </w:p>
        </w:tc>
        <w:tc>
          <w:tcPr>
            <w:tcW w:w="385" w:type="pct"/>
            <w:shd w:val="clear" w:color="auto" w:fill="7F7F7F" w:themeFill="text1" w:themeFillTint="80"/>
            <w:noWrap/>
          </w:tcPr>
          <w:p w14:paraId="6205C809" w14:textId="2049EAE7"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883,9</w:t>
            </w:r>
          </w:p>
        </w:tc>
        <w:tc>
          <w:tcPr>
            <w:tcW w:w="370" w:type="pct"/>
            <w:shd w:val="clear" w:color="auto" w:fill="7F7F7F" w:themeFill="text1" w:themeFillTint="80"/>
            <w:noWrap/>
          </w:tcPr>
          <w:p w14:paraId="12D7F3C3" w14:textId="0BD415DC"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1.195,</w:t>
            </w:r>
            <w:r w:rsidR="00C81ED9" w:rsidRPr="00E81693">
              <w:rPr>
                <w:rFonts w:eastAsia="Times New Roman" w:cstheme="minorHAnsi"/>
                <w:b/>
                <w:bCs/>
                <w:color w:val="FFFFFF" w:themeColor="background1"/>
                <w:sz w:val="18"/>
                <w:szCs w:val="18"/>
                <w:lang w:eastAsia="pt-BR"/>
              </w:rPr>
              <w:t>1</w:t>
            </w:r>
          </w:p>
        </w:tc>
        <w:tc>
          <w:tcPr>
            <w:tcW w:w="370" w:type="pct"/>
            <w:shd w:val="clear" w:color="auto" w:fill="7F7F7F" w:themeFill="text1" w:themeFillTint="80"/>
          </w:tcPr>
          <w:p w14:paraId="4B77544D" w14:textId="07A5F33F"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1.528,0</w:t>
            </w:r>
          </w:p>
        </w:tc>
        <w:tc>
          <w:tcPr>
            <w:tcW w:w="372" w:type="pct"/>
            <w:shd w:val="clear" w:color="auto" w:fill="7F7F7F" w:themeFill="text1" w:themeFillTint="80"/>
            <w:noWrap/>
          </w:tcPr>
          <w:p w14:paraId="01AF484D" w14:textId="021ECA3B" w:rsidR="0063434F" w:rsidRPr="00E81693" w:rsidRDefault="0063434F" w:rsidP="009F2729">
            <w:pPr>
              <w:spacing w:after="0" w:line="240" w:lineRule="auto"/>
              <w:jc w:val="right"/>
              <w:rPr>
                <w:rFonts w:eastAsia="Times New Roman" w:cstheme="minorHAnsi"/>
                <w:b/>
                <w:bCs/>
                <w:color w:val="FF0000"/>
                <w:sz w:val="18"/>
                <w:szCs w:val="18"/>
                <w:lang w:eastAsia="pt-BR"/>
              </w:rPr>
            </w:pPr>
            <w:r w:rsidRPr="00E81693">
              <w:rPr>
                <w:rFonts w:eastAsia="Times New Roman" w:cstheme="minorHAnsi"/>
                <w:b/>
                <w:bCs/>
                <w:color w:val="FFFFFF" w:themeColor="background1"/>
                <w:sz w:val="18"/>
                <w:szCs w:val="18"/>
                <w:lang w:eastAsia="pt-BR"/>
              </w:rPr>
              <w:t>1.5</w:t>
            </w:r>
            <w:r w:rsidR="00371A37" w:rsidRPr="00E81693">
              <w:rPr>
                <w:rFonts w:eastAsia="Times New Roman" w:cstheme="minorHAnsi"/>
                <w:b/>
                <w:bCs/>
                <w:color w:val="FFFFFF" w:themeColor="background1"/>
                <w:sz w:val="18"/>
                <w:szCs w:val="18"/>
                <w:lang w:eastAsia="pt-BR"/>
              </w:rPr>
              <w:t>40</w:t>
            </w:r>
            <w:r w:rsidRPr="00E81693">
              <w:rPr>
                <w:rFonts w:eastAsia="Times New Roman" w:cstheme="minorHAnsi"/>
                <w:b/>
                <w:bCs/>
                <w:color w:val="FFFFFF" w:themeColor="background1"/>
                <w:sz w:val="18"/>
                <w:szCs w:val="18"/>
                <w:lang w:eastAsia="pt-BR"/>
              </w:rPr>
              <w:t>,</w:t>
            </w:r>
            <w:r w:rsidR="00371A37" w:rsidRPr="00E81693">
              <w:rPr>
                <w:rFonts w:eastAsia="Times New Roman" w:cstheme="minorHAnsi"/>
                <w:b/>
                <w:bCs/>
                <w:color w:val="FFFFFF" w:themeColor="background1"/>
                <w:sz w:val="18"/>
                <w:szCs w:val="18"/>
                <w:lang w:eastAsia="pt-BR"/>
              </w:rPr>
              <w:t>1</w:t>
            </w:r>
          </w:p>
        </w:tc>
        <w:tc>
          <w:tcPr>
            <w:tcW w:w="369" w:type="pct"/>
            <w:shd w:val="clear" w:color="auto" w:fill="7F7F7F" w:themeFill="text1" w:themeFillTint="80"/>
          </w:tcPr>
          <w:p w14:paraId="33439DBA" w14:textId="68C79F99" w:rsidR="004C24F5" w:rsidRPr="00E81693" w:rsidRDefault="004C24F5"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1.316,1</w:t>
            </w:r>
          </w:p>
        </w:tc>
      </w:tr>
      <w:tr w:rsidR="0063434F" w:rsidRPr="00A90CF1" w14:paraId="6BAB1DCD" w14:textId="00EDB2B7" w:rsidTr="002D7067">
        <w:trPr>
          <w:trHeight w:val="20"/>
          <w:jc w:val="center"/>
        </w:trPr>
        <w:tc>
          <w:tcPr>
            <w:tcW w:w="1998" w:type="pct"/>
            <w:tcBorders>
              <w:bottom w:val="single" w:sz="4" w:space="0" w:color="BFBFBF" w:themeColor="background1" w:themeShade="BF"/>
            </w:tcBorders>
            <w:shd w:val="clear" w:color="auto" w:fill="7F7F7F" w:themeFill="text1" w:themeFillTint="80"/>
            <w:noWrap/>
            <w:vAlign w:val="bottom"/>
            <w:hideMark/>
          </w:tcPr>
          <w:p w14:paraId="7CB975DB" w14:textId="3CD50906" w:rsidR="0063434F" w:rsidRPr="00E81693" w:rsidRDefault="0063434F" w:rsidP="009F2729">
            <w:pPr>
              <w:spacing w:after="0" w:line="240" w:lineRule="auto"/>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V</w:t>
            </w:r>
            <w:r w:rsidR="00234956" w:rsidRPr="00E81693">
              <w:rPr>
                <w:rFonts w:eastAsia="Times New Roman" w:cstheme="minorHAnsi"/>
                <w:b/>
                <w:bCs/>
                <w:color w:val="FFFFFF" w:themeColor="background1"/>
                <w:sz w:val="18"/>
                <w:szCs w:val="18"/>
                <w:lang w:eastAsia="pt-BR"/>
              </w:rPr>
              <w:t>alores Pagos</w:t>
            </w:r>
            <w:r w:rsidR="005168B8" w:rsidRPr="00E81693">
              <w:rPr>
                <w:rFonts w:eastAsia="Times New Roman" w:cstheme="minorHAnsi"/>
                <w:b/>
                <w:bCs/>
                <w:color w:val="FFFFFF" w:themeColor="background1"/>
                <w:sz w:val="18"/>
                <w:szCs w:val="18"/>
                <w:vertAlign w:val="superscript"/>
                <w:lang w:eastAsia="pt-BR"/>
              </w:rPr>
              <w:t xml:space="preserve"> 1</w:t>
            </w:r>
            <w:r w:rsidRPr="00E81693">
              <w:rPr>
                <w:rFonts w:eastAsia="Times New Roman" w:cstheme="minorHAnsi"/>
                <w:b/>
                <w:bCs/>
                <w:color w:val="FFFFFF" w:themeColor="background1"/>
                <w:sz w:val="18"/>
                <w:szCs w:val="18"/>
                <w:lang w:eastAsia="pt-BR"/>
              </w:rPr>
              <w:t xml:space="preserve"> </w:t>
            </w:r>
            <w:r w:rsidR="00D40542" w:rsidRPr="00E81693">
              <w:rPr>
                <w:rFonts w:eastAsia="Times New Roman" w:cstheme="minorHAnsi"/>
                <w:b/>
                <w:bCs/>
                <w:color w:val="FFFFFF" w:themeColor="background1"/>
                <w:sz w:val="18"/>
                <w:szCs w:val="18"/>
                <w:lang w:eastAsia="pt-BR"/>
              </w:rPr>
              <w:t>-</w:t>
            </w:r>
            <w:r w:rsidRPr="00E81693">
              <w:rPr>
                <w:rFonts w:eastAsia="Times New Roman" w:cstheme="minorHAnsi"/>
                <w:b/>
                <w:bCs/>
                <w:color w:val="FFFFFF" w:themeColor="background1"/>
                <w:sz w:val="18"/>
                <w:szCs w:val="18"/>
                <w:lang w:eastAsia="pt-BR"/>
              </w:rPr>
              <w:t xml:space="preserve"> A</w:t>
            </w:r>
            <w:r w:rsidR="00C60DF3" w:rsidRPr="00E81693">
              <w:rPr>
                <w:rFonts w:eastAsia="Times New Roman" w:cstheme="minorHAnsi"/>
                <w:b/>
                <w:bCs/>
                <w:color w:val="FFFFFF" w:themeColor="background1"/>
                <w:sz w:val="18"/>
                <w:szCs w:val="18"/>
                <w:lang w:eastAsia="pt-BR"/>
              </w:rPr>
              <w:t>ções Judiciais</w:t>
            </w:r>
            <w:r w:rsidRPr="00E81693">
              <w:rPr>
                <w:rFonts w:eastAsia="Times New Roman" w:cstheme="minorHAnsi"/>
                <w:b/>
                <w:bCs/>
                <w:color w:val="FFFFFF" w:themeColor="background1"/>
                <w:sz w:val="18"/>
                <w:szCs w:val="18"/>
                <w:lang w:eastAsia="pt-BR"/>
              </w:rPr>
              <w:t xml:space="preserve"> (</w:t>
            </w:r>
            <w:r w:rsidR="00C60DF3" w:rsidRPr="00E81693">
              <w:rPr>
                <w:rFonts w:eastAsia="Times New Roman" w:cstheme="minorHAnsi"/>
                <w:b/>
                <w:bCs/>
                <w:color w:val="FFFFFF" w:themeColor="background1"/>
                <w:sz w:val="18"/>
                <w:szCs w:val="18"/>
                <w:lang w:eastAsia="pt-BR"/>
              </w:rPr>
              <w:t>b</w:t>
            </w:r>
            <w:r w:rsidRPr="00E81693">
              <w:rPr>
                <w:rFonts w:eastAsia="Times New Roman" w:cstheme="minorHAnsi"/>
                <w:b/>
                <w:bCs/>
                <w:color w:val="FFFFFF" w:themeColor="background1"/>
                <w:sz w:val="18"/>
                <w:szCs w:val="18"/>
                <w:lang w:eastAsia="pt-BR"/>
              </w:rPr>
              <w:t>)</w:t>
            </w:r>
          </w:p>
        </w:tc>
        <w:tc>
          <w:tcPr>
            <w:tcW w:w="366" w:type="pct"/>
            <w:tcBorders>
              <w:bottom w:val="single" w:sz="4" w:space="0" w:color="BFBFBF" w:themeColor="background1" w:themeShade="BF"/>
            </w:tcBorders>
            <w:shd w:val="clear" w:color="auto" w:fill="7F7F7F" w:themeFill="text1" w:themeFillTint="80"/>
            <w:noWrap/>
          </w:tcPr>
          <w:p w14:paraId="71EB53F5" w14:textId="699B3C0A"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16,</w:t>
            </w:r>
            <w:r w:rsidR="001114D8" w:rsidRPr="00E81693">
              <w:rPr>
                <w:rFonts w:eastAsia="Times New Roman" w:cstheme="minorHAnsi"/>
                <w:b/>
                <w:bCs/>
                <w:color w:val="FFFFFF" w:themeColor="background1"/>
                <w:sz w:val="18"/>
                <w:szCs w:val="18"/>
                <w:lang w:eastAsia="pt-BR"/>
              </w:rPr>
              <w:t>5</w:t>
            </w:r>
          </w:p>
        </w:tc>
        <w:tc>
          <w:tcPr>
            <w:tcW w:w="385" w:type="pct"/>
            <w:tcBorders>
              <w:bottom w:val="single" w:sz="4" w:space="0" w:color="BFBFBF" w:themeColor="background1" w:themeShade="BF"/>
            </w:tcBorders>
            <w:shd w:val="clear" w:color="auto" w:fill="7F7F7F" w:themeFill="text1" w:themeFillTint="80"/>
            <w:noWrap/>
          </w:tcPr>
          <w:p w14:paraId="6C00D284" w14:textId="5E464F37"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19,8</w:t>
            </w:r>
          </w:p>
        </w:tc>
        <w:tc>
          <w:tcPr>
            <w:tcW w:w="385" w:type="pct"/>
            <w:tcBorders>
              <w:bottom w:val="single" w:sz="4" w:space="0" w:color="BFBFBF" w:themeColor="background1" w:themeShade="BF"/>
            </w:tcBorders>
            <w:shd w:val="clear" w:color="auto" w:fill="7F7F7F" w:themeFill="text1" w:themeFillTint="80"/>
            <w:noWrap/>
            <w:hideMark/>
          </w:tcPr>
          <w:p w14:paraId="66357E7D" w14:textId="3E9564F3"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25,9</w:t>
            </w:r>
          </w:p>
        </w:tc>
        <w:tc>
          <w:tcPr>
            <w:tcW w:w="385" w:type="pct"/>
            <w:tcBorders>
              <w:bottom w:val="single" w:sz="4" w:space="0" w:color="BFBFBF" w:themeColor="background1" w:themeShade="BF"/>
            </w:tcBorders>
            <w:shd w:val="clear" w:color="auto" w:fill="7F7F7F" w:themeFill="text1" w:themeFillTint="80"/>
            <w:noWrap/>
          </w:tcPr>
          <w:p w14:paraId="2D4264D7" w14:textId="4EC56C32"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32,0</w:t>
            </w:r>
          </w:p>
        </w:tc>
        <w:tc>
          <w:tcPr>
            <w:tcW w:w="370" w:type="pct"/>
            <w:tcBorders>
              <w:bottom w:val="single" w:sz="4" w:space="0" w:color="BFBFBF" w:themeColor="background1" w:themeShade="BF"/>
            </w:tcBorders>
            <w:shd w:val="clear" w:color="auto" w:fill="7F7F7F" w:themeFill="text1" w:themeFillTint="80"/>
            <w:noWrap/>
          </w:tcPr>
          <w:p w14:paraId="6723675E" w14:textId="62573D43"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33,7</w:t>
            </w:r>
          </w:p>
        </w:tc>
        <w:tc>
          <w:tcPr>
            <w:tcW w:w="370" w:type="pct"/>
            <w:tcBorders>
              <w:bottom w:val="single" w:sz="4" w:space="0" w:color="BFBFBF" w:themeColor="background1" w:themeShade="BF"/>
            </w:tcBorders>
            <w:shd w:val="clear" w:color="auto" w:fill="7F7F7F" w:themeFill="text1" w:themeFillTint="80"/>
          </w:tcPr>
          <w:p w14:paraId="7792D955" w14:textId="04716BF7"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38,2</w:t>
            </w:r>
          </w:p>
        </w:tc>
        <w:tc>
          <w:tcPr>
            <w:tcW w:w="372" w:type="pct"/>
            <w:tcBorders>
              <w:bottom w:val="single" w:sz="4" w:space="0" w:color="BFBFBF" w:themeColor="background1" w:themeShade="BF"/>
            </w:tcBorders>
            <w:shd w:val="clear" w:color="auto" w:fill="7F7F7F" w:themeFill="text1" w:themeFillTint="80"/>
            <w:noWrap/>
          </w:tcPr>
          <w:p w14:paraId="54416421" w14:textId="1B6E5FBB"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42,5</w:t>
            </w:r>
          </w:p>
        </w:tc>
        <w:tc>
          <w:tcPr>
            <w:tcW w:w="369" w:type="pct"/>
            <w:tcBorders>
              <w:bottom w:val="single" w:sz="4" w:space="0" w:color="BFBFBF" w:themeColor="background1" w:themeShade="BF"/>
            </w:tcBorders>
            <w:shd w:val="clear" w:color="auto" w:fill="7F7F7F" w:themeFill="text1" w:themeFillTint="80"/>
          </w:tcPr>
          <w:p w14:paraId="47D33B56" w14:textId="5D4FDEFA" w:rsidR="004C24F5" w:rsidRPr="00E81693" w:rsidRDefault="004C24F5"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51,5</w:t>
            </w:r>
          </w:p>
        </w:tc>
      </w:tr>
      <w:tr w:rsidR="0063434F" w:rsidRPr="00A90CF1" w14:paraId="66FD3875" w14:textId="482203BD" w:rsidTr="002D7067">
        <w:trPr>
          <w:trHeight w:val="20"/>
          <w:jc w:val="center"/>
        </w:trPr>
        <w:tc>
          <w:tcPr>
            <w:tcW w:w="1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bottom"/>
            <w:hideMark/>
          </w:tcPr>
          <w:p w14:paraId="1EA33D2E" w14:textId="6A5703EA" w:rsidR="0063434F" w:rsidRPr="00E81693" w:rsidRDefault="0063434F" w:rsidP="009F2729">
            <w:pPr>
              <w:spacing w:after="0" w:line="240" w:lineRule="auto"/>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D</w:t>
            </w:r>
            <w:r w:rsidR="00E50F29" w:rsidRPr="00E81693">
              <w:rPr>
                <w:rFonts w:eastAsia="Times New Roman" w:cstheme="minorHAnsi"/>
                <w:b/>
                <w:bCs/>
                <w:color w:val="FFFFFF" w:themeColor="background1"/>
                <w:sz w:val="18"/>
                <w:szCs w:val="18"/>
                <w:lang w:eastAsia="pt-BR"/>
              </w:rPr>
              <w:t>espesa Primária</w:t>
            </w:r>
            <w:r w:rsidR="009843A2" w:rsidRPr="00E81693">
              <w:rPr>
                <w:rFonts w:eastAsia="Times New Roman" w:cstheme="minorHAnsi"/>
                <w:b/>
                <w:bCs/>
                <w:color w:val="FFFFFF" w:themeColor="background1"/>
                <w:sz w:val="18"/>
                <w:szCs w:val="18"/>
                <w:lang w:eastAsia="pt-BR"/>
              </w:rPr>
              <w:t xml:space="preserve"> Total</w:t>
            </w:r>
            <w:r w:rsidRPr="00E81693">
              <w:rPr>
                <w:rFonts w:eastAsia="Times New Roman" w:cstheme="minorHAnsi"/>
                <w:b/>
                <w:bCs/>
                <w:color w:val="FFFFFF" w:themeColor="background1"/>
                <w:sz w:val="18"/>
                <w:szCs w:val="18"/>
                <w:lang w:eastAsia="pt-BR"/>
              </w:rPr>
              <w:t xml:space="preserve"> (</w:t>
            </w:r>
            <w:r w:rsidR="00120556" w:rsidRPr="00E81693">
              <w:rPr>
                <w:rFonts w:eastAsia="Times New Roman" w:cstheme="minorHAnsi"/>
                <w:b/>
                <w:bCs/>
                <w:color w:val="FFFFFF" w:themeColor="background1"/>
                <w:sz w:val="18"/>
                <w:szCs w:val="18"/>
                <w:lang w:eastAsia="pt-BR"/>
              </w:rPr>
              <w:t>c</w:t>
            </w:r>
            <w:r w:rsidRPr="00E81693">
              <w:rPr>
                <w:rFonts w:eastAsia="Times New Roman" w:cstheme="minorHAnsi"/>
                <w:b/>
                <w:bCs/>
                <w:color w:val="FFFFFF" w:themeColor="background1"/>
                <w:sz w:val="18"/>
                <w:szCs w:val="18"/>
                <w:lang w:eastAsia="pt-BR"/>
              </w:rPr>
              <w:t xml:space="preserve">) </w:t>
            </w:r>
          </w:p>
        </w:tc>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776EE35A" w14:textId="4BF1F67E"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924,9</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7414E522" w14:textId="4A59D336"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1.046,5</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0CC91DD2" w14:textId="4C363D89"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1.164,</w:t>
            </w:r>
            <w:r w:rsidR="00F1207A" w:rsidRPr="00E81693">
              <w:rPr>
                <w:rFonts w:eastAsia="Times New Roman" w:cstheme="minorHAnsi"/>
                <w:b/>
                <w:bCs/>
                <w:color w:val="FFFFFF" w:themeColor="background1"/>
                <w:sz w:val="18"/>
                <w:szCs w:val="18"/>
                <w:lang w:eastAsia="pt-BR"/>
              </w:rPr>
              <w:t>5</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1A89AACD" w14:textId="451977B0"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1.249,</w:t>
            </w:r>
            <w:r w:rsidR="00E60442" w:rsidRPr="00E81693">
              <w:rPr>
                <w:rFonts w:eastAsia="Times New Roman" w:cstheme="minorHAnsi"/>
                <w:b/>
                <w:bCs/>
                <w:color w:val="FFFFFF" w:themeColor="background1"/>
                <w:sz w:val="18"/>
                <w:szCs w:val="18"/>
                <w:lang w:eastAsia="pt-BR"/>
              </w:rPr>
              <w:t>4</w:t>
            </w:r>
          </w:p>
        </w:tc>
        <w:tc>
          <w:tcPr>
            <w:tcW w:w="3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2E6A4614" w14:textId="4757051D"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1.279,0</w:t>
            </w:r>
          </w:p>
        </w:tc>
        <w:tc>
          <w:tcPr>
            <w:tcW w:w="3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1C1EB8E6" w14:textId="7C4E7E09"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1.351,</w:t>
            </w:r>
            <w:r w:rsidR="00AE7F9C" w:rsidRPr="00E81693">
              <w:rPr>
                <w:rFonts w:eastAsia="Times New Roman" w:cstheme="minorHAnsi"/>
                <w:b/>
                <w:bCs/>
                <w:color w:val="FFFFFF" w:themeColor="background1"/>
                <w:sz w:val="18"/>
                <w:szCs w:val="18"/>
                <w:lang w:eastAsia="pt-BR"/>
              </w:rPr>
              <w:t>8</w:t>
            </w:r>
          </w:p>
        </w:tc>
        <w:tc>
          <w:tcPr>
            <w:tcW w:w="3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3E0F2B4F" w14:textId="6AD5FD91" w:rsidR="0063434F" w:rsidRPr="00E81693" w:rsidRDefault="0063434F"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1.441,</w:t>
            </w:r>
            <w:r w:rsidR="00395087" w:rsidRPr="00E81693">
              <w:rPr>
                <w:rFonts w:eastAsia="Times New Roman" w:cstheme="minorHAnsi"/>
                <w:b/>
                <w:bCs/>
                <w:color w:val="FFFFFF" w:themeColor="background1"/>
                <w:sz w:val="18"/>
                <w:szCs w:val="18"/>
                <w:lang w:eastAsia="pt-BR"/>
              </w:rPr>
              <w:t>9</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643040DB" w14:textId="0076911A" w:rsidR="004C24F5" w:rsidRPr="00E81693" w:rsidRDefault="004C24F5" w:rsidP="009F2729">
            <w:pPr>
              <w:spacing w:after="0" w:line="240" w:lineRule="auto"/>
              <w:jc w:val="right"/>
              <w:rPr>
                <w:rFonts w:eastAsia="Times New Roman" w:cstheme="minorHAnsi"/>
                <w:b/>
                <w:bCs/>
                <w:color w:val="FFFFFF" w:themeColor="background1"/>
                <w:sz w:val="18"/>
                <w:szCs w:val="18"/>
                <w:lang w:eastAsia="pt-BR"/>
              </w:rPr>
            </w:pPr>
            <w:r w:rsidRPr="00E81693">
              <w:rPr>
                <w:rFonts w:eastAsia="Times New Roman" w:cstheme="minorHAnsi"/>
                <w:b/>
                <w:bCs/>
                <w:color w:val="FFFFFF" w:themeColor="background1"/>
                <w:sz w:val="18"/>
                <w:szCs w:val="18"/>
                <w:lang w:eastAsia="pt-BR"/>
              </w:rPr>
              <w:t>1.947,0</w:t>
            </w:r>
          </w:p>
        </w:tc>
      </w:tr>
      <w:tr w:rsidR="0063434F" w:rsidRPr="00A90CF1" w14:paraId="070418A3" w14:textId="20940C4F" w:rsidTr="002D7067">
        <w:trPr>
          <w:trHeight w:val="20"/>
          <w:jc w:val="center"/>
        </w:trPr>
        <w:tc>
          <w:tcPr>
            <w:tcW w:w="1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vAlign w:val="bottom"/>
            <w:hideMark/>
          </w:tcPr>
          <w:p w14:paraId="1B6BDAA4" w14:textId="7B2AB9B9" w:rsidR="0063434F" w:rsidRPr="00E81693" w:rsidRDefault="00033A8E" w:rsidP="009F2729">
            <w:pPr>
              <w:spacing w:after="0" w:line="240" w:lineRule="auto"/>
              <w:rPr>
                <w:rFonts w:eastAsia="Times New Roman" w:cstheme="minorHAnsi"/>
                <w:b/>
                <w:bCs/>
                <w:sz w:val="18"/>
                <w:szCs w:val="18"/>
                <w:lang w:eastAsia="pt-BR"/>
              </w:rPr>
            </w:pPr>
            <w:r w:rsidRPr="00E81693">
              <w:rPr>
                <w:rFonts w:eastAsia="Times New Roman" w:cstheme="minorHAnsi"/>
                <w:b/>
                <w:bCs/>
                <w:sz w:val="18"/>
                <w:szCs w:val="18"/>
                <w:lang w:eastAsia="pt-BR"/>
              </w:rPr>
              <w:t>Proporção</w:t>
            </w:r>
            <w:r w:rsidR="003435ED" w:rsidRPr="00E81693">
              <w:rPr>
                <w:rFonts w:eastAsia="Times New Roman" w:cstheme="minorHAnsi"/>
                <w:b/>
                <w:bCs/>
                <w:sz w:val="18"/>
                <w:szCs w:val="18"/>
                <w:lang w:eastAsia="pt-BR"/>
              </w:rPr>
              <w:t xml:space="preserve"> da</w:t>
            </w:r>
            <w:r w:rsidR="0063434F" w:rsidRPr="00E81693">
              <w:rPr>
                <w:rFonts w:eastAsia="Times New Roman" w:cstheme="minorHAnsi"/>
                <w:b/>
                <w:bCs/>
                <w:sz w:val="18"/>
                <w:szCs w:val="18"/>
                <w:lang w:eastAsia="pt-BR"/>
              </w:rPr>
              <w:t xml:space="preserve"> Despesa Primária (</w:t>
            </w:r>
            <w:r w:rsidR="003435ED" w:rsidRPr="00E81693">
              <w:rPr>
                <w:rFonts w:eastAsia="Times New Roman" w:cstheme="minorHAnsi"/>
                <w:b/>
                <w:bCs/>
                <w:sz w:val="18"/>
                <w:szCs w:val="18"/>
                <w:lang w:eastAsia="pt-BR"/>
              </w:rPr>
              <w:t>a/c</w:t>
            </w:r>
            <w:r w:rsidR="0063434F" w:rsidRPr="00E81693">
              <w:rPr>
                <w:rFonts w:eastAsia="Times New Roman" w:cstheme="minorHAnsi"/>
                <w:b/>
                <w:bCs/>
                <w:sz w:val="18"/>
                <w:szCs w:val="18"/>
                <w:lang w:eastAsia="pt-BR"/>
              </w:rPr>
              <w:t>)</w:t>
            </w:r>
          </w:p>
        </w:tc>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13AF7BE7" w14:textId="05635B66" w:rsidR="0063434F" w:rsidRPr="00E81693" w:rsidRDefault="0063434F"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98,2%</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4E311AD8" w14:textId="438B13C6" w:rsidR="0063434F" w:rsidRPr="00E81693" w:rsidRDefault="0063434F"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45,7%</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hideMark/>
          </w:tcPr>
          <w:p w14:paraId="3B0B7094" w14:textId="77777777" w:rsidR="0063434F" w:rsidRPr="00E81693" w:rsidRDefault="0063434F"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48,5%</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40EABD26" w14:textId="0A04F465" w:rsidR="0063434F" w:rsidRPr="00E81693" w:rsidRDefault="0063434F"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70,8%</w:t>
            </w:r>
          </w:p>
        </w:tc>
        <w:tc>
          <w:tcPr>
            <w:tcW w:w="3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08673D6A" w14:textId="23BBD9F8" w:rsidR="0063434F" w:rsidRPr="00E81693" w:rsidRDefault="0063434F"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93,4%</w:t>
            </w:r>
          </w:p>
        </w:tc>
        <w:tc>
          <w:tcPr>
            <w:tcW w:w="3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3FE567F9" w14:textId="6E621E3A" w:rsidR="0063434F" w:rsidRPr="00E81693" w:rsidRDefault="0063434F"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113,0%</w:t>
            </w:r>
          </w:p>
        </w:tc>
        <w:tc>
          <w:tcPr>
            <w:tcW w:w="3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7BABC07B" w14:textId="1FA55C20" w:rsidR="0063434F" w:rsidRPr="00E81693" w:rsidRDefault="0063434F"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106,</w:t>
            </w:r>
            <w:r w:rsidR="00BA7FF9" w:rsidRPr="00E81693">
              <w:rPr>
                <w:rFonts w:eastAsia="Times New Roman" w:cstheme="minorHAnsi"/>
                <w:b/>
                <w:bCs/>
                <w:sz w:val="18"/>
                <w:szCs w:val="18"/>
                <w:lang w:eastAsia="pt-BR"/>
              </w:rPr>
              <w:t>8</w:t>
            </w:r>
            <w:r w:rsidRPr="00E81693">
              <w:rPr>
                <w:rFonts w:eastAsia="Times New Roman" w:cstheme="minorHAnsi"/>
                <w:b/>
                <w:bCs/>
                <w:sz w:val="18"/>
                <w:szCs w:val="18"/>
                <w:lang w:eastAsia="pt-BR"/>
              </w:rPr>
              <w:t>%</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5B0A5413" w14:textId="49B3D6B1" w:rsidR="004C24F5" w:rsidRPr="00E81693" w:rsidRDefault="004C24F5" w:rsidP="009F2729">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68%</w:t>
            </w:r>
          </w:p>
        </w:tc>
      </w:tr>
      <w:tr w:rsidR="003435ED" w:rsidRPr="00A90CF1" w14:paraId="584D4E02" w14:textId="218FE024" w:rsidTr="002D7067">
        <w:trPr>
          <w:trHeight w:val="20"/>
          <w:jc w:val="center"/>
        </w:trPr>
        <w:tc>
          <w:tcPr>
            <w:tcW w:w="19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vAlign w:val="bottom"/>
            <w:hideMark/>
          </w:tcPr>
          <w:p w14:paraId="4331D2B2" w14:textId="490248DB" w:rsidR="003435ED" w:rsidRPr="00E81693" w:rsidRDefault="003435ED" w:rsidP="003435ED">
            <w:pPr>
              <w:spacing w:after="0" w:line="240" w:lineRule="auto"/>
              <w:rPr>
                <w:rFonts w:eastAsia="Times New Roman" w:cstheme="minorHAnsi"/>
                <w:b/>
                <w:bCs/>
                <w:sz w:val="18"/>
                <w:szCs w:val="18"/>
                <w:lang w:eastAsia="pt-BR"/>
              </w:rPr>
            </w:pPr>
            <w:r w:rsidRPr="00E81693">
              <w:rPr>
                <w:rFonts w:eastAsia="Times New Roman" w:cstheme="minorHAnsi"/>
                <w:b/>
                <w:bCs/>
                <w:sz w:val="18"/>
                <w:szCs w:val="18"/>
                <w:lang w:eastAsia="pt-BR"/>
              </w:rPr>
              <w:t>Proporção da Despesa Primária (b/c)</w:t>
            </w:r>
          </w:p>
        </w:tc>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696CDA51" w14:textId="4FB61472" w:rsidR="003435ED" w:rsidRPr="00E81693" w:rsidRDefault="003435ED"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1,8%</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10004599" w14:textId="49827888" w:rsidR="003435ED" w:rsidRPr="00E81693" w:rsidRDefault="003435ED"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1,9%</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hideMark/>
          </w:tcPr>
          <w:p w14:paraId="7E9220AE" w14:textId="77777777" w:rsidR="003435ED" w:rsidRPr="00E81693" w:rsidRDefault="003435ED"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2,2%</w:t>
            </w:r>
          </w:p>
        </w:tc>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46FCA46D" w14:textId="7B207B36" w:rsidR="003435ED" w:rsidRPr="00E81693" w:rsidRDefault="003435ED"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2,6%</w:t>
            </w:r>
          </w:p>
        </w:tc>
        <w:tc>
          <w:tcPr>
            <w:tcW w:w="3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653CD51E" w14:textId="78A5CAC5" w:rsidR="003435ED" w:rsidRPr="00E81693" w:rsidRDefault="003435ED"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2,6%</w:t>
            </w:r>
          </w:p>
        </w:tc>
        <w:tc>
          <w:tcPr>
            <w:tcW w:w="3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644F86EA" w14:textId="452E7F85" w:rsidR="003435ED" w:rsidRPr="00E81693" w:rsidRDefault="003435ED"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2,8%</w:t>
            </w:r>
          </w:p>
        </w:tc>
        <w:tc>
          <w:tcPr>
            <w:tcW w:w="3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noWrap/>
          </w:tcPr>
          <w:p w14:paraId="69C8D2D6" w14:textId="4EB2372D" w:rsidR="003435ED" w:rsidRPr="00E81693" w:rsidRDefault="003435ED"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2,9%</w:t>
            </w:r>
          </w:p>
        </w:tc>
        <w:tc>
          <w:tcPr>
            <w:tcW w:w="3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1DECC0A2" w14:textId="35A795C0" w:rsidR="00DB0DF3" w:rsidRPr="00E81693" w:rsidRDefault="00DB0DF3" w:rsidP="003435ED">
            <w:pPr>
              <w:spacing w:after="0" w:line="240" w:lineRule="auto"/>
              <w:jc w:val="right"/>
              <w:rPr>
                <w:rFonts w:eastAsia="Times New Roman" w:cstheme="minorHAnsi"/>
                <w:b/>
                <w:bCs/>
                <w:sz w:val="18"/>
                <w:szCs w:val="18"/>
                <w:lang w:eastAsia="pt-BR"/>
              </w:rPr>
            </w:pPr>
            <w:r w:rsidRPr="00E81693">
              <w:rPr>
                <w:rFonts w:eastAsia="Times New Roman" w:cstheme="minorHAnsi"/>
                <w:b/>
                <w:bCs/>
                <w:sz w:val="18"/>
                <w:szCs w:val="18"/>
                <w:lang w:eastAsia="pt-BR"/>
              </w:rPr>
              <w:t>2,6%</w:t>
            </w:r>
          </w:p>
        </w:tc>
      </w:tr>
      <w:tr w:rsidR="00873EA5" w:rsidRPr="005B5CD5" w14:paraId="3A88D19D" w14:textId="50C6A7A5" w:rsidTr="002D7067">
        <w:trPr>
          <w:trHeight w:val="20"/>
          <w:jc w:val="center"/>
        </w:trPr>
        <w:tc>
          <w:tcPr>
            <w:tcW w:w="4631" w:type="pct"/>
            <w:gridSpan w:val="8"/>
            <w:tcBorders>
              <w:top w:val="single" w:sz="4" w:space="0" w:color="BFBFBF" w:themeColor="background1" w:themeShade="BF"/>
              <w:left w:val="nil"/>
              <w:bottom w:val="nil"/>
              <w:right w:val="nil"/>
            </w:tcBorders>
          </w:tcPr>
          <w:p w14:paraId="28B67CA4" w14:textId="40676233" w:rsidR="00873EA5" w:rsidRPr="001A56EF" w:rsidRDefault="00942B5E" w:rsidP="009F2729">
            <w:pPr>
              <w:spacing w:after="0" w:line="240" w:lineRule="auto"/>
              <w:rPr>
                <w:rFonts w:eastAsia="Times New Roman" w:cs="Times New Roman"/>
                <w:i/>
                <w:color w:val="000000"/>
                <w:sz w:val="16"/>
                <w:szCs w:val="16"/>
                <w:lang w:eastAsia="pt-BR"/>
              </w:rPr>
            </w:pPr>
            <w:proofErr w:type="gramStart"/>
            <w:r w:rsidRPr="001A56EF">
              <w:rPr>
                <w:rFonts w:eastAsia="Times New Roman" w:cs="Times New Roman"/>
                <w:i/>
                <w:color w:val="000000"/>
                <w:sz w:val="16"/>
                <w:szCs w:val="16"/>
                <w:vertAlign w:val="superscript"/>
                <w:lang w:eastAsia="pt-BR"/>
              </w:rPr>
              <w:t>1</w:t>
            </w:r>
            <w:proofErr w:type="gramEnd"/>
            <w:r w:rsidR="00873EA5" w:rsidRPr="001A56EF">
              <w:rPr>
                <w:rFonts w:eastAsia="Times New Roman" w:cs="Times New Roman"/>
                <w:i/>
                <w:color w:val="000000"/>
                <w:sz w:val="16"/>
                <w:szCs w:val="16"/>
                <w:vertAlign w:val="superscript"/>
                <w:lang w:eastAsia="pt-BR"/>
              </w:rPr>
              <w:t xml:space="preserve"> </w:t>
            </w:r>
            <w:r w:rsidR="00873EA5" w:rsidRPr="001A56EF">
              <w:rPr>
                <w:rFonts w:eastAsia="Times New Roman" w:cs="Times New Roman"/>
                <w:i/>
                <w:color w:val="000000"/>
                <w:sz w:val="16"/>
                <w:szCs w:val="16"/>
                <w:lang w:eastAsia="pt-BR"/>
              </w:rPr>
              <w:t xml:space="preserve">Valores Pagos refere-se a todas as despesas da </w:t>
            </w:r>
            <w:r w:rsidR="00693FC6" w:rsidRPr="001A56EF">
              <w:rPr>
                <w:rFonts w:eastAsia="Times New Roman" w:cs="Times New Roman"/>
                <w:i/>
                <w:color w:val="000000"/>
                <w:sz w:val="16"/>
                <w:szCs w:val="16"/>
                <w:lang w:eastAsia="pt-BR"/>
              </w:rPr>
              <w:t>U</w:t>
            </w:r>
            <w:r w:rsidR="00873EA5" w:rsidRPr="001A56EF">
              <w:rPr>
                <w:rFonts w:eastAsia="Times New Roman" w:cs="Times New Roman"/>
                <w:i/>
                <w:color w:val="000000"/>
                <w:sz w:val="16"/>
                <w:szCs w:val="16"/>
                <w:lang w:eastAsia="pt-BR"/>
              </w:rPr>
              <w:t>nião em cumprimento a sentenças judiciais</w:t>
            </w:r>
          </w:p>
          <w:p w14:paraId="7BD87837" w14:textId="6D1B05A6" w:rsidR="00873EA5" w:rsidRPr="005B5CD5" w:rsidRDefault="00873EA5" w:rsidP="009F2729">
            <w:pPr>
              <w:spacing w:after="0" w:line="240" w:lineRule="auto"/>
              <w:rPr>
                <w:rFonts w:eastAsia="Times New Roman" w:cs="Times New Roman"/>
                <w:b/>
                <w:bCs/>
                <w:i/>
                <w:iCs/>
                <w:color w:val="000000"/>
                <w:sz w:val="16"/>
                <w:szCs w:val="16"/>
                <w:lang w:eastAsia="pt-BR"/>
              </w:rPr>
            </w:pPr>
            <w:r w:rsidRPr="001A56EF">
              <w:rPr>
                <w:rFonts w:eastAsia="Times New Roman" w:cs="Times New Roman"/>
                <w:b/>
                <w:i/>
                <w:color w:val="000000"/>
                <w:sz w:val="16"/>
                <w:szCs w:val="16"/>
                <w:lang w:eastAsia="pt-BR"/>
              </w:rPr>
              <w:t>Fonte:</w:t>
            </w:r>
            <w:r w:rsidRPr="001A56EF">
              <w:rPr>
                <w:rFonts w:eastAsia="Times New Roman" w:cs="Times New Roman"/>
                <w:i/>
                <w:color w:val="000000"/>
                <w:sz w:val="16"/>
                <w:szCs w:val="16"/>
                <w:lang w:eastAsia="pt-BR"/>
              </w:rPr>
              <w:t xml:space="preserve"> AGU, PGFN/ME, SEST/ME, </w:t>
            </w:r>
            <w:r w:rsidR="00AE0225" w:rsidRPr="001A56EF">
              <w:rPr>
                <w:rFonts w:eastAsia="Times New Roman" w:cs="Times New Roman"/>
                <w:i/>
                <w:color w:val="000000"/>
                <w:sz w:val="16"/>
                <w:szCs w:val="16"/>
                <w:lang w:eastAsia="pt-BR"/>
              </w:rPr>
              <w:t>BCB</w:t>
            </w:r>
            <w:r w:rsidRPr="001A56EF">
              <w:rPr>
                <w:rFonts w:eastAsia="Times New Roman" w:cs="Times New Roman"/>
                <w:i/>
                <w:color w:val="000000"/>
                <w:sz w:val="16"/>
                <w:szCs w:val="16"/>
                <w:lang w:eastAsia="pt-BR"/>
              </w:rPr>
              <w:t xml:space="preserve">. </w:t>
            </w:r>
            <w:r w:rsidRPr="001A56EF">
              <w:rPr>
                <w:rFonts w:eastAsia="Times New Roman" w:cs="Times New Roman"/>
                <w:b/>
                <w:i/>
                <w:color w:val="000000"/>
                <w:sz w:val="16"/>
                <w:szCs w:val="16"/>
                <w:lang w:eastAsia="pt-BR"/>
              </w:rPr>
              <w:t>Elaboração:</w:t>
            </w:r>
            <w:r w:rsidRPr="001A56EF">
              <w:rPr>
                <w:rFonts w:eastAsia="Times New Roman" w:cs="Times New Roman"/>
                <w:i/>
                <w:color w:val="000000"/>
                <w:sz w:val="16"/>
                <w:szCs w:val="16"/>
                <w:lang w:eastAsia="pt-BR"/>
              </w:rPr>
              <w:t xml:space="preserve"> STN/ME</w:t>
            </w:r>
            <w:r w:rsidR="003435ED" w:rsidRPr="001A56EF">
              <w:rPr>
                <w:rFonts w:eastAsia="Times New Roman" w:cs="Times New Roman"/>
                <w:i/>
                <w:color w:val="000000"/>
                <w:sz w:val="16"/>
                <w:szCs w:val="16"/>
                <w:lang w:eastAsia="pt-BR"/>
              </w:rPr>
              <w:t>.</w:t>
            </w:r>
          </w:p>
        </w:tc>
        <w:tc>
          <w:tcPr>
            <w:tcW w:w="369" w:type="pct"/>
            <w:tcBorders>
              <w:top w:val="single" w:sz="4" w:space="0" w:color="BFBFBF" w:themeColor="background1" w:themeShade="BF"/>
              <w:left w:val="nil"/>
              <w:bottom w:val="nil"/>
              <w:right w:val="nil"/>
            </w:tcBorders>
          </w:tcPr>
          <w:p w14:paraId="3C158F8A" w14:textId="77777777" w:rsidR="002D7067" w:rsidRPr="001A56EF" w:rsidRDefault="002D7067" w:rsidP="009F2729">
            <w:pPr>
              <w:spacing w:after="0" w:line="240" w:lineRule="auto"/>
              <w:rPr>
                <w:rFonts w:eastAsia="Times New Roman" w:cs="Times New Roman"/>
                <w:i/>
                <w:color w:val="000000"/>
                <w:sz w:val="16"/>
                <w:szCs w:val="16"/>
                <w:vertAlign w:val="superscript"/>
                <w:lang w:eastAsia="pt-BR"/>
              </w:rPr>
            </w:pPr>
          </w:p>
        </w:tc>
      </w:tr>
    </w:tbl>
    <w:p w14:paraId="021F82DA" w14:textId="77777777" w:rsidR="00582466" w:rsidRDefault="00582466" w:rsidP="00D85198">
      <w:pPr>
        <w:spacing w:after="120" w:line="240" w:lineRule="auto"/>
        <w:ind w:firstLine="1418"/>
        <w:jc w:val="both"/>
        <w:rPr>
          <w:w w:val="105"/>
          <w:sz w:val="24"/>
          <w:szCs w:val="24"/>
        </w:rPr>
      </w:pPr>
    </w:p>
    <w:p w14:paraId="3AF74CAD" w14:textId="77777777" w:rsidR="00D85198" w:rsidRPr="006E79F9" w:rsidRDefault="00D85198" w:rsidP="00D85198">
      <w:pPr>
        <w:spacing w:after="120" w:line="240" w:lineRule="auto"/>
        <w:ind w:firstLine="1418"/>
        <w:jc w:val="both"/>
        <w:rPr>
          <w:w w:val="105"/>
          <w:sz w:val="24"/>
          <w:szCs w:val="24"/>
        </w:rPr>
      </w:pPr>
      <w:r w:rsidRPr="00D85198">
        <w:rPr>
          <w:w w:val="105"/>
          <w:sz w:val="24"/>
          <w:szCs w:val="24"/>
        </w:rPr>
        <w:t>Além do caráter probabilístico da natureza destas ações judiciais, há de se considerar as características próprias dos trâmites jurídicos, como, por exemplo, pendências de julgamento final, possibilidade de recursos em instâncias superiores, dificuldade de previsão de tempo e valor das causas etc. Estas características impõem uma avaliação e interpretação cautelosa dos valores apontados como passivos contingentes de ações judiciais.</w:t>
      </w:r>
    </w:p>
    <w:p w14:paraId="3C455CB1" w14:textId="01C0B406" w:rsidR="00D85198" w:rsidRPr="00FE28FE" w:rsidRDefault="00D85198" w:rsidP="00D85198">
      <w:pPr>
        <w:spacing w:after="120" w:line="240" w:lineRule="auto"/>
        <w:ind w:firstLine="1418"/>
        <w:jc w:val="both"/>
        <w:rPr>
          <w:w w:val="105"/>
          <w:sz w:val="24"/>
          <w:szCs w:val="24"/>
        </w:rPr>
      </w:pPr>
      <w:r w:rsidRPr="00FE28FE">
        <w:rPr>
          <w:w w:val="105"/>
          <w:sz w:val="24"/>
          <w:szCs w:val="24"/>
        </w:rPr>
        <w:t xml:space="preserve">De qualquer forma, o comportamento crescente dos valores apresentados nas últimas edições do Anexo de Riscos Fiscais </w:t>
      </w:r>
      <w:r w:rsidR="00B16444" w:rsidRPr="00FE28FE">
        <w:rPr>
          <w:w w:val="105"/>
          <w:sz w:val="24"/>
          <w:szCs w:val="24"/>
        </w:rPr>
        <w:t>revela</w:t>
      </w:r>
      <w:r w:rsidRPr="00FE28FE">
        <w:rPr>
          <w:w w:val="105"/>
          <w:sz w:val="24"/>
          <w:szCs w:val="24"/>
        </w:rPr>
        <w:t xml:space="preserve"> a necessidade de uma especial atenção ao tema. Conforme apresentado na </w:t>
      </w:r>
      <w:r w:rsidR="009422B7" w:rsidRPr="004A4AFA">
        <w:rPr>
          <w:w w:val="105"/>
          <w:sz w:val="24"/>
          <w:szCs w:val="24"/>
        </w:rPr>
        <w:fldChar w:fldCharType="begin"/>
      </w:r>
      <w:r w:rsidR="009422B7" w:rsidRPr="004A4AFA">
        <w:rPr>
          <w:w w:val="105"/>
          <w:sz w:val="24"/>
          <w:szCs w:val="24"/>
        </w:rPr>
        <w:instrText xml:space="preserve"> REF _Ref5265298 \h </w:instrText>
      </w:r>
      <w:r w:rsidR="00FE28FE" w:rsidRPr="004A4AFA">
        <w:rPr>
          <w:w w:val="105"/>
          <w:sz w:val="24"/>
          <w:szCs w:val="24"/>
        </w:rPr>
        <w:instrText xml:space="preserve"> \* MERGEFORMAT </w:instrText>
      </w:r>
      <w:r w:rsidR="009422B7" w:rsidRPr="004A4AFA">
        <w:rPr>
          <w:w w:val="105"/>
          <w:sz w:val="24"/>
          <w:szCs w:val="24"/>
        </w:rPr>
      </w:r>
      <w:r w:rsidR="009422B7" w:rsidRPr="004A4AFA">
        <w:rPr>
          <w:w w:val="105"/>
          <w:sz w:val="24"/>
          <w:szCs w:val="24"/>
        </w:rPr>
        <w:fldChar w:fldCharType="separate"/>
      </w:r>
      <w:r w:rsidR="00304F5F" w:rsidRPr="00304F5F">
        <w:rPr>
          <w:sz w:val="24"/>
          <w:szCs w:val="24"/>
        </w:rPr>
        <w:t>Tabela 21</w:t>
      </w:r>
      <w:r w:rsidR="009422B7" w:rsidRPr="004A4AFA">
        <w:rPr>
          <w:w w:val="105"/>
          <w:sz w:val="24"/>
          <w:szCs w:val="24"/>
        </w:rPr>
        <w:fldChar w:fldCharType="end"/>
      </w:r>
      <w:r w:rsidRPr="00FE28FE">
        <w:rPr>
          <w:w w:val="105"/>
          <w:sz w:val="24"/>
          <w:szCs w:val="24"/>
        </w:rPr>
        <w:t>, de 2013 a 20</w:t>
      </w:r>
      <w:r w:rsidR="00B16444" w:rsidRPr="00FE28FE">
        <w:rPr>
          <w:w w:val="105"/>
          <w:sz w:val="24"/>
          <w:szCs w:val="24"/>
        </w:rPr>
        <w:t>20</w:t>
      </w:r>
      <w:r w:rsidRPr="00FE28FE">
        <w:rPr>
          <w:w w:val="105"/>
          <w:sz w:val="24"/>
          <w:szCs w:val="24"/>
        </w:rPr>
        <w:t xml:space="preserve">, as estimativas das ações judiciais </w:t>
      </w:r>
      <w:r w:rsidR="00E932DE" w:rsidRPr="00FE28FE">
        <w:rPr>
          <w:w w:val="105"/>
          <w:sz w:val="24"/>
          <w:szCs w:val="24"/>
        </w:rPr>
        <w:t xml:space="preserve">contra </w:t>
      </w:r>
      <w:r w:rsidR="005A2E64" w:rsidRPr="00FE28FE">
        <w:rPr>
          <w:w w:val="105"/>
          <w:sz w:val="24"/>
          <w:szCs w:val="24"/>
        </w:rPr>
        <w:t>as autarquias e fundações</w:t>
      </w:r>
      <w:r w:rsidRPr="00FE28FE">
        <w:rPr>
          <w:w w:val="105"/>
          <w:sz w:val="24"/>
          <w:szCs w:val="24"/>
        </w:rPr>
        <w:t xml:space="preserve"> cresceram </w:t>
      </w:r>
      <w:r w:rsidR="00A058C1" w:rsidRPr="00FE28FE">
        <w:rPr>
          <w:w w:val="105"/>
          <w:sz w:val="24"/>
          <w:szCs w:val="24"/>
        </w:rPr>
        <w:t>261,7</w:t>
      </w:r>
      <w:r w:rsidRPr="00FE28FE">
        <w:rPr>
          <w:w w:val="105"/>
          <w:sz w:val="24"/>
          <w:szCs w:val="24"/>
        </w:rPr>
        <w:t xml:space="preserve">%, bem como, no mesmo período, sua participação nas demandas judiciais saltou de </w:t>
      </w:r>
      <w:r w:rsidR="001D135B" w:rsidRPr="00FE28FE">
        <w:rPr>
          <w:w w:val="105"/>
          <w:sz w:val="24"/>
          <w:szCs w:val="24"/>
        </w:rPr>
        <w:t>6</w:t>
      </w:r>
      <w:r w:rsidRPr="00FE28FE">
        <w:rPr>
          <w:w w:val="105"/>
          <w:sz w:val="24"/>
          <w:szCs w:val="24"/>
        </w:rPr>
        <w:t xml:space="preserve">,4% para </w:t>
      </w:r>
      <w:r w:rsidR="001D135B" w:rsidRPr="00FE28FE">
        <w:rPr>
          <w:w w:val="105"/>
          <w:sz w:val="24"/>
          <w:szCs w:val="24"/>
        </w:rPr>
        <w:t>16,1</w:t>
      </w:r>
      <w:r w:rsidRPr="00FE28FE">
        <w:rPr>
          <w:w w:val="105"/>
          <w:sz w:val="24"/>
          <w:szCs w:val="24"/>
        </w:rPr>
        <w:t>%.</w:t>
      </w:r>
    </w:p>
    <w:p w14:paraId="0978EBDA" w14:textId="1311B395" w:rsidR="00B16444" w:rsidRPr="00FE28FE" w:rsidRDefault="00D85198" w:rsidP="00D85198">
      <w:pPr>
        <w:spacing w:after="120" w:line="240" w:lineRule="auto"/>
        <w:ind w:firstLine="1418"/>
        <w:jc w:val="both"/>
        <w:rPr>
          <w:w w:val="105"/>
          <w:sz w:val="24"/>
          <w:szCs w:val="24"/>
        </w:rPr>
      </w:pPr>
      <w:r w:rsidRPr="00FE28FE">
        <w:rPr>
          <w:w w:val="105"/>
          <w:sz w:val="24"/>
          <w:szCs w:val="24"/>
        </w:rPr>
        <w:t xml:space="preserve">Ressalta-se que </w:t>
      </w:r>
      <w:r w:rsidR="00713C6C">
        <w:rPr>
          <w:w w:val="105"/>
          <w:sz w:val="24"/>
          <w:szCs w:val="24"/>
        </w:rPr>
        <w:t>as</w:t>
      </w:r>
      <w:r w:rsidRPr="00FE28FE">
        <w:rPr>
          <w:w w:val="105"/>
          <w:sz w:val="24"/>
          <w:szCs w:val="24"/>
        </w:rPr>
        <w:t xml:space="preserve"> demandas judiciais </w:t>
      </w:r>
      <w:r w:rsidR="00B16444" w:rsidRPr="00FE28FE">
        <w:rPr>
          <w:w w:val="105"/>
          <w:sz w:val="24"/>
          <w:szCs w:val="24"/>
        </w:rPr>
        <w:t>de natureza tributária continua</w:t>
      </w:r>
      <w:r w:rsidR="00121850" w:rsidRPr="00FE28FE">
        <w:rPr>
          <w:w w:val="105"/>
          <w:sz w:val="24"/>
          <w:szCs w:val="24"/>
        </w:rPr>
        <w:t>m</w:t>
      </w:r>
      <w:r w:rsidR="00B16444" w:rsidRPr="00FE28FE">
        <w:rPr>
          <w:w w:val="105"/>
          <w:sz w:val="24"/>
          <w:szCs w:val="24"/>
        </w:rPr>
        <w:t xml:space="preserve"> </w:t>
      </w:r>
      <w:r w:rsidR="005F56FC" w:rsidRPr="00FE28FE">
        <w:rPr>
          <w:w w:val="105"/>
          <w:sz w:val="24"/>
          <w:szCs w:val="24"/>
        </w:rPr>
        <w:t xml:space="preserve">com uma participação </w:t>
      </w:r>
      <w:r w:rsidR="005B6DA0" w:rsidRPr="00FE28FE">
        <w:rPr>
          <w:w w:val="105"/>
          <w:sz w:val="24"/>
          <w:szCs w:val="24"/>
        </w:rPr>
        <w:t xml:space="preserve">relevante </w:t>
      </w:r>
      <w:r w:rsidR="00BE7835" w:rsidRPr="00FE28FE">
        <w:rPr>
          <w:w w:val="105"/>
          <w:sz w:val="24"/>
          <w:szCs w:val="24"/>
        </w:rPr>
        <w:t>no montante relacionado</w:t>
      </w:r>
      <w:r w:rsidR="005B6DA0" w:rsidRPr="00FE28FE">
        <w:rPr>
          <w:w w:val="105"/>
          <w:sz w:val="24"/>
          <w:szCs w:val="24"/>
        </w:rPr>
        <w:t xml:space="preserve"> </w:t>
      </w:r>
      <w:proofErr w:type="gramStart"/>
      <w:r w:rsidR="00BE7835" w:rsidRPr="00FE28FE">
        <w:rPr>
          <w:w w:val="105"/>
          <w:sz w:val="24"/>
          <w:szCs w:val="24"/>
        </w:rPr>
        <w:t>as</w:t>
      </w:r>
      <w:proofErr w:type="gramEnd"/>
      <w:r w:rsidR="00BE7835" w:rsidRPr="00FE28FE">
        <w:rPr>
          <w:w w:val="105"/>
          <w:sz w:val="24"/>
          <w:szCs w:val="24"/>
        </w:rPr>
        <w:t xml:space="preserve"> </w:t>
      </w:r>
      <w:r w:rsidR="005B6DA0" w:rsidRPr="00FE28FE">
        <w:rPr>
          <w:w w:val="105"/>
          <w:sz w:val="24"/>
          <w:szCs w:val="24"/>
        </w:rPr>
        <w:t>demandas judiciais com risco possível,</w:t>
      </w:r>
      <w:r w:rsidR="00253C55" w:rsidRPr="00FE28FE">
        <w:rPr>
          <w:w w:val="105"/>
          <w:sz w:val="24"/>
          <w:szCs w:val="24"/>
        </w:rPr>
        <w:t xml:space="preserve"> alcançando 65,6% </w:t>
      </w:r>
      <w:r w:rsidR="0063780C" w:rsidRPr="00FE28FE">
        <w:rPr>
          <w:w w:val="105"/>
          <w:sz w:val="24"/>
          <w:szCs w:val="24"/>
        </w:rPr>
        <w:t>do total</w:t>
      </w:r>
      <w:r w:rsidR="00BE7835" w:rsidRPr="00FE28FE">
        <w:rPr>
          <w:w w:val="105"/>
          <w:sz w:val="24"/>
          <w:szCs w:val="24"/>
        </w:rPr>
        <w:t xml:space="preserve"> em 2020</w:t>
      </w:r>
      <w:r w:rsidR="0063780C" w:rsidRPr="00FE28FE">
        <w:rPr>
          <w:w w:val="105"/>
          <w:sz w:val="24"/>
          <w:szCs w:val="24"/>
        </w:rPr>
        <w:t>.</w:t>
      </w:r>
    </w:p>
    <w:p w14:paraId="51132AA0" w14:textId="45EBE82D" w:rsidR="001A56EF" w:rsidRPr="00A81215" w:rsidRDefault="00D85198" w:rsidP="00D85198">
      <w:pPr>
        <w:spacing w:after="120" w:line="240" w:lineRule="auto"/>
        <w:ind w:firstLine="1418"/>
        <w:jc w:val="both"/>
        <w:rPr>
          <w:w w:val="105"/>
          <w:sz w:val="24"/>
          <w:szCs w:val="24"/>
        </w:rPr>
      </w:pPr>
      <w:r w:rsidRPr="00FE28FE">
        <w:rPr>
          <w:w w:val="105"/>
          <w:sz w:val="24"/>
          <w:szCs w:val="24"/>
        </w:rPr>
        <w:t>No ano de 20</w:t>
      </w:r>
      <w:r w:rsidR="00576996" w:rsidRPr="00FE28FE">
        <w:rPr>
          <w:w w:val="105"/>
          <w:sz w:val="24"/>
          <w:szCs w:val="24"/>
        </w:rPr>
        <w:t>20</w:t>
      </w:r>
      <w:r w:rsidRPr="00FE28FE">
        <w:rPr>
          <w:w w:val="105"/>
          <w:sz w:val="24"/>
          <w:szCs w:val="24"/>
        </w:rPr>
        <w:t xml:space="preserve">, as despesas decorrentes de demandas judiciais contra a União alcançaram o montante de R$ </w:t>
      </w:r>
      <w:r w:rsidR="00576996" w:rsidRPr="00FE28FE">
        <w:rPr>
          <w:w w:val="105"/>
          <w:sz w:val="24"/>
          <w:szCs w:val="24"/>
        </w:rPr>
        <w:t>51</w:t>
      </w:r>
      <w:r w:rsidRPr="00FE28FE">
        <w:rPr>
          <w:w w:val="105"/>
          <w:sz w:val="24"/>
          <w:szCs w:val="24"/>
        </w:rPr>
        <w:t>,5 bilhões, correspondendo a 2,</w:t>
      </w:r>
      <w:r w:rsidR="00EF5618" w:rsidRPr="00FE28FE">
        <w:rPr>
          <w:w w:val="105"/>
          <w:sz w:val="24"/>
          <w:szCs w:val="24"/>
        </w:rPr>
        <w:t>6</w:t>
      </w:r>
      <w:r w:rsidRPr="00FE28FE">
        <w:rPr>
          <w:w w:val="105"/>
          <w:sz w:val="24"/>
          <w:szCs w:val="24"/>
        </w:rPr>
        <w:t>% da despesa primária total do ano</w:t>
      </w:r>
      <w:r w:rsidR="00EC2A97" w:rsidRPr="00FE28FE">
        <w:rPr>
          <w:w w:val="105"/>
          <w:sz w:val="24"/>
          <w:szCs w:val="24"/>
        </w:rPr>
        <w:t>.</w:t>
      </w:r>
      <w:r w:rsidR="00D259BA" w:rsidRPr="00FE28FE">
        <w:rPr>
          <w:w w:val="105"/>
          <w:sz w:val="24"/>
          <w:szCs w:val="24"/>
        </w:rPr>
        <w:t xml:space="preserve"> </w:t>
      </w:r>
    </w:p>
    <w:p w14:paraId="001E3DD3" w14:textId="69145BBF" w:rsidR="005D2272" w:rsidRPr="00653F39" w:rsidRDefault="00341908" w:rsidP="00D85198">
      <w:pPr>
        <w:spacing w:after="120" w:line="240" w:lineRule="auto"/>
        <w:ind w:firstLine="1418"/>
        <w:jc w:val="both"/>
        <w:rPr>
          <w:w w:val="105"/>
          <w:sz w:val="24"/>
          <w:szCs w:val="24"/>
        </w:rPr>
      </w:pPr>
      <w:r>
        <w:rPr>
          <w:w w:val="105"/>
          <w:sz w:val="24"/>
          <w:szCs w:val="24"/>
        </w:rPr>
        <w:t>D</w:t>
      </w:r>
      <w:r w:rsidR="00263A3C" w:rsidRPr="00263A3C">
        <w:rPr>
          <w:w w:val="105"/>
          <w:sz w:val="24"/>
          <w:szCs w:val="24"/>
        </w:rPr>
        <w:t xml:space="preserve">eve-se ressaltar que </w:t>
      </w:r>
      <w:r w:rsidR="009446BE">
        <w:rPr>
          <w:w w:val="105"/>
          <w:sz w:val="24"/>
          <w:szCs w:val="24"/>
        </w:rPr>
        <w:t>o montante do risco associado à</w:t>
      </w:r>
      <w:r w:rsidR="00263A3C" w:rsidRPr="00263A3C">
        <w:rPr>
          <w:w w:val="105"/>
          <w:sz w:val="24"/>
          <w:szCs w:val="24"/>
        </w:rPr>
        <w:t>s ações consideradas como de risco provável</w:t>
      </w:r>
      <w:r w:rsidR="003E31C4">
        <w:rPr>
          <w:rStyle w:val="Refdenotaderodap"/>
          <w:w w:val="105"/>
          <w:sz w:val="24"/>
          <w:szCs w:val="24"/>
        </w:rPr>
        <w:footnoteReference w:id="14"/>
      </w:r>
      <w:r>
        <w:rPr>
          <w:w w:val="105"/>
          <w:sz w:val="24"/>
          <w:szCs w:val="24"/>
        </w:rPr>
        <w:t>, a</w:t>
      </w:r>
      <w:r w:rsidRPr="00341908">
        <w:rPr>
          <w:w w:val="105"/>
          <w:sz w:val="24"/>
          <w:szCs w:val="24"/>
        </w:rPr>
        <w:t xml:space="preserve">pesar de não detalhadas no presente documento por serem provisionadas no valor integral de suas estimativas no Balanço Geral da União (BGU), </w:t>
      </w:r>
      <w:r w:rsidR="00263A3C" w:rsidRPr="00263A3C">
        <w:rPr>
          <w:w w:val="105"/>
          <w:sz w:val="24"/>
          <w:szCs w:val="24"/>
        </w:rPr>
        <w:t xml:space="preserve">apresentam </w:t>
      </w:r>
      <w:r w:rsidR="00F63DD1">
        <w:rPr>
          <w:w w:val="105"/>
          <w:sz w:val="24"/>
          <w:szCs w:val="24"/>
        </w:rPr>
        <w:t>trajetória crescente</w:t>
      </w:r>
      <w:r w:rsidR="00263A3C" w:rsidRPr="00263A3C">
        <w:rPr>
          <w:w w:val="105"/>
          <w:sz w:val="24"/>
          <w:szCs w:val="24"/>
        </w:rPr>
        <w:t xml:space="preserve">, passando de um total de R$ </w:t>
      </w:r>
      <w:r w:rsidR="00753778">
        <w:rPr>
          <w:w w:val="105"/>
          <w:sz w:val="24"/>
          <w:szCs w:val="24"/>
        </w:rPr>
        <w:t>664,1</w:t>
      </w:r>
      <w:r w:rsidR="00263A3C" w:rsidRPr="00263A3C">
        <w:rPr>
          <w:w w:val="105"/>
          <w:sz w:val="24"/>
          <w:szCs w:val="24"/>
        </w:rPr>
        <w:t xml:space="preserve"> bilhões em 201</w:t>
      </w:r>
      <w:r w:rsidR="00753778">
        <w:rPr>
          <w:w w:val="105"/>
          <w:sz w:val="24"/>
          <w:szCs w:val="24"/>
        </w:rPr>
        <w:t>9</w:t>
      </w:r>
      <w:r w:rsidR="00263A3C" w:rsidRPr="00263A3C">
        <w:rPr>
          <w:w w:val="105"/>
          <w:sz w:val="24"/>
          <w:szCs w:val="24"/>
        </w:rPr>
        <w:t xml:space="preserve"> para R$ </w:t>
      </w:r>
      <w:r w:rsidR="006E7B61">
        <w:rPr>
          <w:w w:val="105"/>
          <w:sz w:val="24"/>
          <w:szCs w:val="24"/>
        </w:rPr>
        <w:t>701</w:t>
      </w:r>
      <w:r w:rsidR="00263A3C" w:rsidRPr="00263A3C">
        <w:rPr>
          <w:w w:val="105"/>
          <w:sz w:val="24"/>
          <w:szCs w:val="24"/>
        </w:rPr>
        <w:t>,</w:t>
      </w:r>
      <w:r w:rsidR="006E7B61">
        <w:rPr>
          <w:w w:val="105"/>
          <w:sz w:val="24"/>
          <w:szCs w:val="24"/>
        </w:rPr>
        <w:t xml:space="preserve">7 </w:t>
      </w:r>
      <w:r w:rsidR="00263A3C" w:rsidRPr="00263A3C">
        <w:rPr>
          <w:w w:val="105"/>
          <w:sz w:val="24"/>
          <w:szCs w:val="24"/>
        </w:rPr>
        <w:t>bilhões em 20</w:t>
      </w:r>
      <w:r w:rsidR="00E97A36">
        <w:rPr>
          <w:w w:val="105"/>
          <w:sz w:val="24"/>
          <w:szCs w:val="24"/>
        </w:rPr>
        <w:t>20</w:t>
      </w:r>
      <w:r w:rsidR="00263A3C" w:rsidRPr="00263A3C">
        <w:rPr>
          <w:w w:val="105"/>
          <w:sz w:val="24"/>
          <w:szCs w:val="24"/>
        </w:rPr>
        <w:t xml:space="preserve">, representando uma variação de </w:t>
      </w:r>
      <w:r w:rsidR="00753778">
        <w:rPr>
          <w:w w:val="105"/>
          <w:sz w:val="24"/>
          <w:szCs w:val="24"/>
        </w:rPr>
        <w:t>5,</w:t>
      </w:r>
      <w:r w:rsidR="009A473E">
        <w:rPr>
          <w:w w:val="105"/>
          <w:sz w:val="24"/>
          <w:szCs w:val="24"/>
        </w:rPr>
        <w:t>7</w:t>
      </w:r>
      <w:r w:rsidR="00263A3C" w:rsidRPr="00263A3C">
        <w:rPr>
          <w:w w:val="105"/>
          <w:sz w:val="24"/>
          <w:szCs w:val="24"/>
        </w:rPr>
        <w:t>% no período</w:t>
      </w:r>
      <w:r w:rsidR="00103DD4">
        <w:rPr>
          <w:w w:val="105"/>
          <w:sz w:val="24"/>
          <w:szCs w:val="24"/>
        </w:rPr>
        <w:t xml:space="preserve">. </w:t>
      </w:r>
      <w:r w:rsidR="006D7D11">
        <w:rPr>
          <w:w w:val="105"/>
          <w:sz w:val="24"/>
          <w:szCs w:val="24"/>
        </w:rPr>
        <w:t>Apesar</w:t>
      </w:r>
      <w:r w:rsidR="00263A3C" w:rsidRPr="00263A3C">
        <w:rPr>
          <w:w w:val="105"/>
          <w:sz w:val="24"/>
          <w:szCs w:val="24"/>
        </w:rPr>
        <w:t xml:space="preserve"> </w:t>
      </w:r>
      <w:r w:rsidR="006D7D11">
        <w:rPr>
          <w:w w:val="105"/>
          <w:sz w:val="24"/>
          <w:szCs w:val="24"/>
        </w:rPr>
        <w:t>do incremento no volume das ações de risco provável</w:t>
      </w:r>
      <w:r w:rsidR="00263A3C" w:rsidRPr="00263A3C">
        <w:rPr>
          <w:w w:val="105"/>
          <w:sz w:val="24"/>
          <w:szCs w:val="24"/>
        </w:rPr>
        <w:t>, o total de lides contra a União</w:t>
      </w:r>
      <w:r w:rsidR="00753778">
        <w:rPr>
          <w:w w:val="105"/>
          <w:sz w:val="24"/>
          <w:szCs w:val="24"/>
        </w:rPr>
        <w:t xml:space="preserve"> consideradas </w:t>
      </w:r>
      <w:r w:rsidR="00263A3C" w:rsidRPr="00263A3C">
        <w:rPr>
          <w:w w:val="105"/>
          <w:sz w:val="24"/>
          <w:szCs w:val="24"/>
        </w:rPr>
        <w:t xml:space="preserve">de risco possível e provável em conjunto se </w:t>
      </w:r>
      <w:r w:rsidR="006D7D11">
        <w:rPr>
          <w:w w:val="105"/>
          <w:sz w:val="24"/>
          <w:szCs w:val="24"/>
        </w:rPr>
        <w:t>reduziu</w:t>
      </w:r>
      <w:r w:rsidR="00263A3C" w:rsidRPr="00263A3C">
        <w:rPr>
          <w:w w:val="105"/>
          <w:sz w:val="24"/>
          <w:szCs w:val="24"/>
        </w:rPr>
        <w:t xml:space="preserve"> de R$ </w:t>
      </w:r>
      <w:r w:rsidR="006D7D11">
        <w:rPr>
          <w:w w:val="105"/>
          <w:sz w:val="24"/>
          <w:szCs w:val="24"/>
        </w:rPr>
        <w:t>2.</w:t>
      </w:r>
      <w:r w:rsidR="00223C9C">
        <w:rPr>
          <w:w w:val="105"/>
          <w:sz w:val="24"/>
          <w:szCs w:val="24"/>
        </w:rPr>
        <w:t>204,2</w:t>
      </w:r>
      <w:r w:rsidR="00263A3C" w:rsidRPr="00263A3C">
        <w:rPr>
          <w:w w:val="105"/>
          <w:sz w:val="24"/>
          <w:szCs w:val="24"/>
        </w:rPr>
        <w:t xml:space="preserve"> bilhões em 201</w:t>
      </w:r>
      <w:r w:rsidR="00223C9C">
        <w:rPr>
          <w:w w:val="105"/>
          <w:sz w:val="24"/>
          <w:szCs w:val="24"/>
        </w:rPr>
        <w:t>9</w:t>
      </w:r>
      <w:r w:rsidR="00263A3C" w:rsidRPr="00263A3C">
        <w:rPr>
          <w:w w:val="105"/>
          <w:sz w:val="24"/>
          <w:szCs w:val="24"/>
        </w:rPr>
        <w:t xml:space="preserve"> para R$ 2.</w:t>
      </w:r>
      <w:r w:rsidR="00223C9C">
        <w:rPr>
          <w:w w:val="105"/>
          <w:sz w:val="24"/>
          <w:szCs w:val="24"/>
        </w:rPr>
        <w:t>0</w:t>
      </w:r>
      <w:r w:rsidR="009A473E">
        <w:rPr>
          <w:w w:val="105"/>
          <w:sz w:val="24"/>
          <w:szCs w:val="24"/>
        </w:rPr>
        <w:t>17</w:t>
      </w:r>
      <w:r w:rsidR="00263A3C" w:rsidRPr="00263A3C">
        <w:rPr>
          <w:w w:val="105"/>
          <w:sz w:val="24"/>
          <w:szCs w:val="24"/>
        </w:rPr>
        <w:t>,</w:t>
      </w:r>
      <w:r w:rsidR="009A548D">
        <w:rPr>
          <w:w w:val="105"/>
          <w:sz w:val="24"/>
          <w:szCs w:val="24"/>
        </w:rPr>
        <w:t>8</w:t>
      </w:r>
      <w:r w:rsidR="00263A3C" w:rsidRPr="00263A3C">
        <w:rPr>
          <w:w w:val="105"/>
          <w:sz w:val="24"/>
          <w:szCs w:val="24"/>
        </w:rPr>
        <w:t xml:space="preserve"> bilhões em 20</w:t>
      </w:r>
      <w:r w:rsidR="00223C9C">
        <w:rPr>
          <w:w w:val="105"/>
          <w:sz w:val="24"/>
          <w:szCs w:val="24"/>
        </w:rPr>
        <w:t>20</w:t>
      </w:r>
      <w:r w:rsidR="00263A3C" w:rsidRPr="00263A3C">
        <w:rPr>
          <w:w w:val="105"/>
          <w:sz w:val="24"/>
          <w:szCs w:val="24"/>
        </w:rPr>
        <w:t xml:space="preserve">, uma </w:t>
      </w:r>
      <w:r w:rsidR="005D2272">
        <w:rPr>
          <w:w w:val="105"/>
          <w:sz w:val="24"/>
          <w:szCs w:val="24"/>
        </w:rPr>
        <w:t xml:space="preserve">diminuição de </w:t>
      </w:r>
      <w:r w:rsidR="00D61B75">
        <w:rPr>
          <w:w w:val="105"/>
          <w:sz w:val="24"/>
          <w:szCs w:val="24"/>
        </w:rPr>
        <w:t>8,5</w:t>
      </w:r>
      <w:r w:rsidR="00263A3C" w:rsidRPr="00263A3C">
        <w:rPr>
          <w:w w:val="105"/>
          <w:sz w:val="24"/>
          <w:szCs w:val="24"/>
        </w:rPr>
        <w:t>%, conforme apresenta</w:t>
      </w:r>
      <w:r w:rsidR="00C22A32">
        <w:rPr>
          <w:w w:val="105"/>
          <w:sz w:val="24"/>
          <w:szCs w:val="24"/>
        </w:rPr>
        <w:t>do</w:t>
      </w:r>
      <w:r w:rsidR="00263A3C" w:rsidRPr="00263A3C">
        <w:rPr>
          <w:w w:val="105"/>
          <w:sz w:val="24"/>
          <w:szCs w:val="24"/>
        </w:rPr>
        <w:t xml:space="preserve"> </w:t>
      </w:r>
      <w:r w:rsidR="00C22A32">
        <w:rPr>
          <w:w w:val="105"/>
          <w:sz w:val="24"/>
          <w:szCs w:val="24"/>
        </w:rPr>
        <w:t>n</w:t>
      </w:r>
      <w:r w:rsidR="00263A3C" w:rsidRPr="00653F39">
        <w:rPr>
          <w:w w:val="105"/>
          <w:sz w:val="24"/>
          <w:szCs w:val="24"/>
        </w:rPr>
        <w:t>a</w:t>
      </w:r>
      <w:r w:rsidR="00074E35" w:rsidRPr="00653F39">
        <w:rPr>
          <w:w w:val="105"/>
          <w:sz w:val="24"/>
          <w:szCs w:val="24"/>
        </w:rPr>
        <w:t xml:space="preserve"> </w:t>
      </w:r>
      <w:r w:rsidR="00074E35" w:rsidRPr="00653F39">
        <w:rPr>
          <w:w w:val="105"/>
          <w:sz w:val="24"/>
          <w:szCs w:val="24"/>
        </w:rPr>
        <w:fldChar w:fldCharType="begin"/>
      </w:r>
      <w:r w:rsidR="00074E35" w:rsidRPr="00653F39">
        <w:rPr>
          <w:w w:val="105"/>
          <w:sz w:val="24"/>
          <w:szCs w:val="24"/>
        </w:rPr>
        <w:instrText xml:space="preserve"> REF _Ref68859679 \h </w:instrText>
      </w:r>
      <w:r w:rsidR="00653F39">
        <w:rPr>
          <w:w w:val="105"/>
          <w:sz w:val="24"/>
          <w:szCs w:val="24"/>
        </w:rPr>
        <w:instrText xml:space="preserve"> \* MERGEFORMAT </w:instrText>
      </w:r>
      <w:r w:rsidR="00074E35" w:rsidRPr="00653F39">
        <w:rPr>
          <w:w w:val="105"/>
          <w:sz w:val="24"/>
          <w:szCs w:val="24"/>
        </w:rPr>
      </w:r>
      <w:r w:rsidR="00074E35" w:rsidRPr="00653F39">
        <w:rPr>
          <w:w w:val="105"/>
          <w:sz w:val="24"/>
          <w:szCs w:val="24"/>
        </w:rPr>
        <w:fldChar w:fldCharType="separate"/>
      </w:r>
      <w:r w:rsidR="00304F5F" w:rsidRPr="00304F5F">
        <w:rPr>
          <w:sz w:val="24"/>
          <w:szCs w:val="24"/>
        </w:rPr>
        <w:t xml:space="preserve">Tabela </w:t>
      </w:r>
      <w:r w:rsidR="00304F5F" w:rsidRPr="00304F5F">
        <w:rPr>
          <w:noProof/>
          <w:sz w:val="24"/>
          <w:szCs w:val="24"/>
        </w:rPr>
        <w:t>22</w:t>
      </w:r>
      <w:r w:rsidR="00074E35" w:rsidRPr="00653F39">
        <w:rPr>
          <w:w w:val="105"/>
          <w:sz w:val="24"/>
          <w:szCs w:val="24"/>
        </w:rPr>
        <w:fldChar w:fldCharType="end"/>
      </w:r>
      <w:r w:rsidR="00263A3C" w:rsidRPr="00653F39">
        <w:rPr>
          <w:w w:val="105"/>
          <w:sz w:val="24"/>
          <w:szCs w:val="24"/>
        </w:rPr>
        <w:t>.</w:t>
      </w:r>
    </w:p>
    <w:p w14:paraId="1F7528A8" w14:textId="059F3050" w:rsidR="005D2272" w:rsidRDefault="005D2272" w:rsidP="00074E35">
      <w:pPr>
        <w:spacing w:before="240" w:after="120" w:line="240" w:lineRule="auto"/>
        <w:jc w:val="center"/>
      </w:pPr>
      <w:bookmarkStart w:id="225" w:name="_Ref68859679"/>
      <w:bookmarkStart w:id="226" w:name="_Toc69121368"/>
      <w:r>
        <w:lastRenderedPageBreak/>
        <w:t xml:space="preserve">Tabela </w:t>
      </w:r>
      <w:fldSimple w:instr=" SEQ Tabela \* ARABIC ">
        <w:r w:rsidR="00304F5F">
          <w:rPr>
            <w:noProof/>
          </w:rPr>
          <w:t>22</w:t>
        </w:r>
      </w:fldSimple>
      <w:bookmarkEnd w:id="225"/>
      <w:r w:rsidR="00074E35">
        <w:t xml:space="preserve"> - </w:t>
      </w:r>
      <w:r w:rsidR="00074E35" w:rsidRPr="00D85198">
        <w:t xml:space="preserve">Demandas Judiciais de Risco </w:t>
      </w:r>
      <w:r w:rsidR="00074E35">
        <w:t xml:space="preserve">Provável e </w:t>
      </w:r>
      <w:r w:rsidR="00074E35" w:rsidRPr="00D85198">
        <w:t>Possível</w:t>
      </w:r>
      <w:bookmarkEnd w:id="226"/>
    </w:p>
    <w:tbl>
      <w:tblPr>
        <w:tblW w:w="42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452"/>
        <w:gridCol w:w="860"/>
        <w:gridCol w:w="860"/>
        <w:gridCol w:w="860"/>
        <w:gridCol w:w="860"/>
        <w:gridCol w:w="860"/>
        <w:gridCol w:w="867"/>
        <w:gridCol w:w="864"/>
      </w:tblGrid>
      <w:tr w:rsidR="00341908" w:rsidRPr="001D1B9F" w14:paraId="73ED6F5D" w14:textId="39A29FE3" w:rsidTr="00341908">
        <w:trPr>
          <w:trHeight w:val="20"/>
          <w:tblHeader/>
          <w:jc w:val="center"/>
        </w:trPr>
        <w:tc>
          <w:tcPr>
            <w:tcW w:w="5000" w:type="pct"/>
            <w:gridSpan w:val="8"/>
            <w:tcBorders>
              <w:top w:val="nil"/>
              <w:left w:val="nil"/>
              <w:bottom w:val="single" w:sz="4" w:space="0" w:color="BFBFBF" w:themeColor="background1" w:themeShade="BF"/>
              <w:right w:val="nil"/>
            </w:tcBorders>
          </w:tcPr>
          <w:p w14:paraId="2EDCAC18" w14:textId="4C7D6DE3" w:rsidR="00341908" w:rsidRPr="00D85198" w:rsidRDefault="00341908" w:rsidP="00C22A32">
            <w:pPr>
              <w:spacing w:after="0" w:line="240" w:lineRule="auto"/>
              <w:jc w:val="right"/>
              <w:rPr>
                <w:rFonts w:eastAsia="Times New Roman" w:cs="Times New Roman"/>
                <w:i/>
                <w:iCs/>
                <w:color w:val="000000"/>
                <w:sz w:val="16"/>
                <w:szCs w:val="16"/>
                <w:lang w:eastAsia="pt-BR"/>
              </w:rPr>
            </w:pPr>
            <w:r w:rsidRPr="00D85198">
              <w:rPr>
                <w:rFonts w:eastAsia="Times New Roman" w:cs="Times New Roman"/>
                <w:i/>
                <w:iCs/>
                <w:color w:val="000000"/>
                <w:sz w:val="16"/>
                <w:szCs w:val="16"/>
                <w:lang w:eastAsia="pt-BR"/>
              </w:rPr>
              <w:t>Em R$ bilhões</w:t>
            </w:r>
          </w:p>
        </w:tc>
      </w:tr>
      <w:tr w:rsidR="00A55347" w:rsidRPr="00A90CF1" w14:paraId="2BA6746C" w14:textId="1AE8882B" w:rsidTr="00341908">
        <w:trPr>
          <w:trHeight w:val="20"/>
          <w:tblHeader/>
          <w:jc w:val="center"/>
        </w:trPr>
        <w:tc>
          <w:tcPr>
            <w:tcW w:w="1445" w:type="pct"/>
            <w:vMerge w:val="restart"/>
            <w:tcBorders>
              <w:top w:val="single" w:sz="4" w:space="0" w:color="BFBFBF" w:themeColor="background1" w:themeShade="BF"/>
            </w:tcBorders>
            <w:shd w:val="clear" w:color="auto" w:fill="404040" w:themeFill="text1" w:themeFillTint="BF"/>
            <w:noWrap/>
            <w:vAlign w:val="center"/>
          </w:tcPr>
          <w:p w14:paraId="76D6405D"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Demandas Judiciais</w:t>
            </w:r>
          </w:p>
        </w:tc>
        <w:tc>
          <w:tcPr>
            <w:tcW w:w="3045" w:type="pct"/>
            <w:gridSpan w:val="6"/>
            <w:tcBorders>
              <w:top w:val="single" w:sz="4" w:space="0" w:color="BFBFBF" w:themeColor="background1" w:themeShade="BF"/>
              <w:right w:val="nil"/>
            </w:tcBorders>
            <w:shd w:val="clear" w:color="auto" w:fill="404040" w:themeFill="text1" w:themeFillTint="BF"/>
          </w:tcPr>
          <w:p w14:paraId="14701A1D"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Ano Base</w:t>
            </w:r>
          </w:p>
        </w:tc>
        <w:tc>
          <w:tcPr>
            <w:tcW w:w="509" w:type="pct"/>
            <w:tcBorders>
              <w:top w:val="single" w:sz="4" w:space="0" w:color="BFBFBF" w:themeColor="background1" w:themeShade="BF"/>
              <w:left w:val="nil"/>
            </w:tcBorders>
            <w:shd w:val="clear" w:color="auto" w:fill="404040" w:themeFill="text1" w:themeFillTint="BF"/>
          </w:tcPr>
          <w:p w14:paraId="65BC9A35"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p>
        </w:tc>
      </w:tr>
      <w:tr w:rsidR="00A55347" w:rsidRPr="00A90CF1" w14:paraId="363779F9" w14:textId="59DD5892" w:rsidTr="005D2272">
        <w:trPr>
          <w:trHeight w:val="20"/>
          <w:tblHeader/>
          <w:jc w:val="center"/>
        </w:trPr>
        <w:tc>
          <w:tcPr>
            <w:tcW w:w="1445" w:type="pct"/>
            <w:vMerge/>
            <w:shd w:val="clear" w:color="auto" w:fill="404040" w:themeFill="text1" w:themeFillTint="BF"/>
            <w:noWrap/>
            <w:vAlign w:val="center"/>
          </w:tcPr>
          <w:p w14:paraId="2BCD1B51"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p>
        </w:tc>
        <w:tc>
          <w:tcPr>
            <w:tcW w:w="507" w:type="pct"/>
            <w:shd w:val="clear" w:color="auto" w:fill="404040" w:themeFill="text1" w:themeFillTint="BF"/>
            <w:noWrap/>
            <w:vAlign w:val="center"/>
          </w:tcPr>
          <w:p w14:paraId="769DC239"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2014</w:t>
            </w:r>
          </w:p>
        </w:tc>
        <w:tc>
          <w:tcPr>
            <w:tcW w:w="507" w:type="pct"/>
            <w:shd w:val="clear" w:color="auto" w:fill="404040" w:themeFill="text1" w:themeFillTint="BF"/>
            <w:noWrap/>
            <w:vAlign w:val="center"/>
          </w:tcPr>
          <w:p w14:paraId="1D30EFB5"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2015</w:t>
            </w:r>
          </w:p>
        </w:tc>
        <w:tc>
          <w:tcPr>
            <w:tcW w:w="507" w:type="pct"/>
            <w:shd w:val="clear" w:color="auto" w:fill="404040" w:themeFill="text1" w:themeFillTint="BF"/>
            <w:noWrap/>
            <w:vAlign w:val="center"/>
          </w:tcPr>
          <w:p w14:paraId="7968B4EA"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2016</w:t>
            </w:r>
          </w:p>
        </w:tc>
        <w:tc>
          <w:tcPr>
            <w:tcW w:w="507" w:type="pct"/>
            <w:shd w:val="clear" w:color="auto" w:fill="404040" w:themeFill="text1" w:themeFillTint="BF"/>
            <w:noWrap/>
            <w:vAlign w:val="center"/>
          </w:tcPr>
          <w:p w14:paraId="40F15DC2"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2017</w:t>
            </w:r>
          </w:p>
        </w:tc>
        <w:tc>
          <w:tcPr>
            <w:tcW w:w="507" w:type="pct"/>
            <w:shd w:val="clear" w:color="auto" w:fill="404040" w:themeFill="text1" w:themeFillTint="BF"/>
            <w:vAlign w:val="center"/>
          </w:tcPr>
          <w:p w14:paraId="06A6B2EC"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2018</w:t>
            </w:r>
          </w:p>
        </w:tc>
        <w:tc>
          <w:tcPr>
            <w:tcW w:w="511" w:type="pct"/>
            <w:shd w:val="clear" w:color="auto" w:fill="404040" w:themeFill="text1" w:themeFillTint="BF"/>
            <w:noWrap/>
            <w:vAlign w:val="center"/>
          </w:tcPr>
          <w:p w14:paraId="442ABA3C" w14:textId="77777777"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sidRPr="00910F38">
              <w:rPr>
                <w:rFonts w:eastAsia="Times New Roman" w:cs="Times New Roman"/>
                <w:color w:val="FFFFFF" w:themeColor="background1"/>
                <w:sz w:val="20"/>
                <w:szCs w:val="20"/>
                <w:lang w:eastAsia="pt-BR"/>
              </w:rPr>
              <w:t>2019</w:t>
            </w:r>
          </w:p>
        </w:tc>
        <w:tc>
          <w:tcPr>
            <w:tcW w:w="509" w:type="pct"/>
            <w:shd w:val="clear" w:color="auto" w:fill="404040" w:themeFill="text1" w:themeFillTint="BF"/>
          </w:tcPr>
          <w:p w14:paraId="1B9BC8AF" w14:textId="6D495C6C" w:rsidR="00A55347" w:rsidRPr="00910F38" w:rsidRDefault="00A55347" w:rsidP="00C22A32">
            <w:pPr>
              <w:spacing w:after="0" w:line="240" w:lineRule="auto"/>
              <w:jc w:val="center"/>
              <w:rPr>
                <w:rFonts w:eastAsia="Times New Roman" w:cs="Times New Roman"/>
                <w:color w:val="FFFFFF" w:themeColor="background1"/>
                <w:sz w:val="20"/>
                <w:szCs w:val="20"/>
                <w:lang w:eastAsia="pt-BR"/>
              </w:rPr>
            </w:pPr>
            <w:r>
              <w:rPr>
                <w:rFonts w:eastAsia="Times New Roman" w:cs="Times New Roman"/>
                <w:color w:val="FFFFFF" w:themeColor="background1"/>
                <w:sz w:val="20"/>
                <w:szCs w:val="20"/>
                <w:lang w:eastAsia="pt-BR"/>
              </w:rPr>
              <w:t>2020</w:t>
            </w:r>
          </w:p>
        </w:tc>
      </w:tr>
      <w:tr w:rsidR="00A55347" w:rsidRPr="00A90CF1" w14:paraId="7DCC6BDC" w14:textId="3F29AD00" w:rsidTr="005D2272">
        <w:trPr>
          <w:trHeight w:val="20"/>
          <w:jc w:val="center"/>
        </w:trPr>
        <w:tc>
          <w:tcPr>
            <w:tcW w:w="1445" w:type="pct"/>
            <w:shd w:val="clear" w:color="auto" w:fill="F2F2F2" w:themeFill="background1" w:themeFillShade="F2"/>
            <w:noWrap/>
            <w:vAlign w:val="bottom"/>
            <w:hideMark/>
          </w:tcPr>
          <w:p w14:paraId="094F07B3" w14:textId="77777777" w:rsidR="00A55347" w:rsidRPr="001E23D4" w:rsidRDefault="00A55347" w:rsidP="00C22A32">
            <w:pPr>
              <w:spacing w:after="0" w:line="240" w:lineRule="auto"/>
              <w:rPr>
                <w:rFonts w:eastAsia="Times New Roman" w:cstheme="minorHAnsi"/>
                <w:color w:val="000000"/>
                <w:sz w:val="18"/>
                <w:szCs w:val="18"/>
                <w:lang w:eastAsia="pt-BR"/>
              </w:rPr>
            </w:pPr>
            <w:r>
              <w:rPr>
                <w:rFonts w:eastAsia="Times New Roman" w:cstheme="minorHAnsi"/>
                <w:color w:val="000000"/>
                <w:sz w:val="18"/>
                <w:szCs w:val="18"/>
                <w:lang w:eastAsia="pt-BR"/>
              </w:rPr>
              <w:t>Risco Provável</w:t>
            </w:r>
          </w:p>
        </w:tc>
        <w:tc>
          <w:tcPr>
            <w:tcW w:w="507" w:type="pct"/>
            <w:shd w:val="clear" w:color="auto" w:fill="F2F2F2" w:themeFill="background1" w:themeFillShade="F2"/>
            <w:noWrap/>
          </w:tcPr>
          <w:p w14:paraId="37E70105"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81,2</w:t>
            </w:r>
          </w:p>
        </w:tc>
        <w:tc>
          <w:tcPr>
            <w:tcW w:w="507" w:type="pct"/>
            <w:shd w:val="clear" w:color="auto" w:fill="F2F2F2" w:themeFill="background1" w:themeFillShade="F2"/>
            <w:noWrap/>
            <w:hideMark/>
          </w:tcPr>
          <w:p w14:paraId="341EEFFD"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18</w:t>
            </w:r>
            <w:r w:rsidRPr="00A90CF1">
              <w:rPr>
                <w:rFonts w:eastAsia="Times New Roman" w:cstheme="minorHAnsi"/>
                <w:color w:val="000000"/>
                <w:sz w:val="18"/>
                <w:szCs w:val="18"/>
                <w:lang w:eastAsia="pt-BR"/>
              </w:rPr>
              <w:t>1,</w:t>
            </w:r>
            <w:r>
              <w:rPr>
                <w:rFonts w:eastAsia="Times New Roman" w:cstheme="minorHAnsi"/>
                <w:color w:val="000000"/>
                <w:sz w:val="18"/>
                <w:szCs w:val="18"/>
                <w:lang w:eastAsia="pt-BR"/>
              </w:rPr>
              <w:t>7</w:t>
            </w:r>
          </w:p>
        </w:tc>
        <w:tc>
          <w:tcPr>
            <w:tcW w:w="507" w:type="pct"/>
            <w:shd w:val="clear" w:color="auto" w:fill="F2F2F2" w:themeFill="background1" w:themeFillShade="F2"/>
            <w:noWrap/>
          </w:tcPr>
          <w:p w14:paraId="21E98837"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269</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7</w:t>
            </w:r>
          </w:p>
        </w:tc>
        <w:tc>
          <w:tcPr>
            <w:tcW w:w="507" w:type="pct"/>
            <w:shd w:val="clear" w:color="auto" w:fill="F2F2F2" w:themeFill="background1" w:themeFillShade="F2"/>
            <w:noWrap/>
          </w:tcPr>
          <w:p w14:paraId="171B6E84"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162</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6</w:t>
            </w:r>
          </w:p>
        </w:tc>
        <w:tc>
          <w:tcPr>
            <w:tcW w:w="507" w:type="pct"/>
            <w:shd w:val="clear" w:color="auto" w:fill="F2F2F2" w:themeFill="background1" w:themeFillShade="F2"/>
          </w:tcPr>
          <w:p w14:paraId="126B6AD7"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117</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6</w:t>
            </w:r>
          </w:p>
        </w:tc>
        <w:tc>
          <w:tcPr>
            <w:tcW w:w="511" w:type="pct"/>
            <w:shd w:val="clear" w:color="auto" w:fill="F2F2F2" w:themeFill="background1" w:themeFillShade="F2"/>
            <w:noWrap/>
          </w:tcPr>
          <w:p w14:paraId="3DEE6604"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664</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1</w:t>
            </w:r>
          </w:p>
        </w:tc>
        <w:tc>
          <w:tcPr>
            <w:tcW w:w="509" w:type="pct"/>
            <w:shd w:val="clear" w:color="auto" w:fill="F2F2F2" w:themeFill="background1" w:themeFillShade="F2"/>
          </w:tcPr>
          <w:p w14:paraId="3CDEAFC4" w14:textId="78C7E2A6" w:rsidR="00A55347" w:rsidRDefault="00484F3B"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701,7</w:t>
            </w:r>
          </w:p>
        </w:tc>
      </w:tr>
      <w:tr w:rsidR="00A55347" w:rsidRPr="00A90CF1" w14:paraId="6C55F29D" w14:textId="763AD97C" w:rsidTr="005D2272">
        <w:trPr>
          <w:trHeight w:val="20"/>
          <w:jc w:val="center"/>
        </w:trPr>
        <w:tc>
          <w:tcPr>
            <w:tcW w:w="1445" w:type="pct"/>
            <w:shd w:val="clear" w:color="auto" w:fill="auto"/>
            <w:noWrap/>
            <w:vAlign w:val="bottom"/>
            <w:hideMark/>
          </w:tcPr>
          <w:p w14:paraId="2652D0E8" w14:textId="77777777" w:rsidR="00A55347" w:rsidRPr="001E23D4" w:rsidRDefault="00A55347" w:rsidP="00C22A32">
            <w:pPr>
              <w:spacing w:after="0" w:line="240" w:lineRule="auto"/>
              <w:rPr>
                <w:rFonts w:eastAsia="Times New Roman" w:cstheme="minorHAnsi"/>
                <w:color w:val="000000"/>
                <w:sz w:val="18"/>
                <w:szCs w:val="18"/>
                <w:lang w:eastAsia="pt-BR"/>
              </w:rPr>
            </w:pPr>
            <w:r>
              <w:rPr>
                <w:rFonts w:eastAsia="Times New Roman" w:cstheme="minorHAnsi"/>
                <w:color w:val="000000"/>
                <w:sz w:val="18"/>
                <w:szCs w:val="18"/>
                <w:lang w:eastAsia="pt-BR"/>
              </w:rPr>
              <w:t>Risco Possível</w:t>
            </w:r>
          </w:p>
        </w:tc>
        <w:tc>
          <w:tcPr>
            <w:tcW w:w="507" w:type="pct"/>
            <w:shd w:val="clear" w:color="auto" w:fill="auto"/>
            <w:noWrap/>
          </w:tcPr>
          <w:p w14:paraId="52252308"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478</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7</w:t>
            </w:r>
          </w:p>
        </w:tc>
        <w:tc>
          <w:tcPr>
            <w:tcW w:w="507" w:type="pct"/>
            <w:shd w:val="clear" w:color="auto" w:fill="auto"/>
            <w:noWrap/>
            <w:hideMark/>
          </w:tcPr>
          <w:p w14:paraId="75BDC012"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565</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1</w:t>
            </w:r>
          </w:p>
        </w:tc>
        <w:tc>
          <w:tcPr>
            <w:tcW w:w="507" w:type="pct"/>
            <w:shd w:val="clear" w:color="auto" w:fill="auto"/>
            <w:noWrap/>
          </w:tcPr>
          <w:p w14:paraId="0B7E6E66"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884</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0</w:t>
            </w:r>
          </w:p>
        </w:tc>
        <w:tc>
          <w:tcPr>
            <w:tcW w:w="507" w:type="pct"/>
            <w:shd w:val="clear" w:color="auto" w:fill="auto"/>
            <w:noWrap/>
          </w:tcPr>
          <w:p w14:paraId="0C5DFC46"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1.1</w:t>
            </w:r>
            <w:r>
              <w:rPr>
                <w:rFonts w:eastAsia="Times New Roman" w:cstheme="minorHAnsi"/>
                <w:color w:val="000000"/>
                <w:sz w:val="18"/>
                <w:szCs w:val="18"/>
                <w:lang w:eastAsia="pt-BR"/>
              </w:rPr>
              <w:t>95</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1</w:t>
            </w:r>
          </w:p>
        </w:tc>
        <w:tc>
          <w:tcPr>
            <w:tcW w:w="507" w:type="pct"/>
            <w:shd w:val="clear" w:color="auto" w:fill="auto"/>
          </w:tcPr>
          <w:p w14:paraId="0CA3CC45"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1.5</w:t>
            </w:r>
            <w:r>
              <w:rPr>
                <w:rFonts w:eastAsia="Times New Roman" w:cstheme="minorHAnsi"/>
                <w:color w:val="000000"/>
                <w:sz w:val="18"/>
                <w:szCs w:val="18"/>
                <w:lang w:eastAsia="pt-BR"/>
              </w:rPr>
              <w:t>28</w:t>
            </w:r>
            <w:r w:rsidRPr="00A90CF1">
              <w:rPr>
                <w:rFonts w:eastAsia="Times New Roman" w:cstheme="minorHAnsi"/>
                <w:color w:val="000000"/>
                <w:sz w:val="18"/>
                <w:szCs w:val="18"/>
                <w:lang w:eastAsia="pt-BR"/>
              </w:rPr>
              <w:t>,</w:t>
            </w:r>
            <w:r>
              <w:rPr>
                <w:rFonts w:eastAsia="Times New Roman" w:cstheme="minorHAnsi"/>
                <w:color w:val="000000"/>
                <w:sz w:val="18"/>
                <w:szCs w:val="18"/>
                <w:lang w:eastAsia="pt-BR"/>
              </w:rPr>
              <w:t>0</w:t>
            </w:r>
          </w:p>
        </w:tc>
        <w:tc>
          <w:tcPr>
            <w:tcW w:w="511" w:type="pct"/>
            <w:shd w:val="clear" w:color="auto" w:fill="auto"/>
            <w:noWrap/>
          </w:tcPr>
          <w:p w14:paraId="02E02772" w14:textId="77777777" w:rsidR="00A55347" w:rsidRPr="00A90CF1" w:rsidRDefault="00A55347" w:rsidP="00C22A32">
            <w:pPr>
              <w:spacing w:after="0" w:line="240" w:lineRule="auto"/>
              <w:jc w:val="right"/>
              <w:rPr>
                <w:rFonts w:eastAsia="Times New Roman" w:cstheme="minorHAnsi"/>
                <w:color w:val="000000"/>
                <w:sz w:val="18"/>
                <w:szCs w:val="18"/>
                <w:lang w:eastAsia="pt-BR"/>
              </w:rPr>
            </w:pPr>
            <w:r w:rsidRPr="00A90CF1">
              <w:rPr>
                <w:rFonts w:eastAsia="Times New Roman" w:cstheme="minorHAnsi"/>
                <w:color w:val="000000"/>
                <w:sz w:val="18"/>
                <w:szCs w:val="18"/>
                <w:lang w:eastAsia="pt-BR"/>
              </w:rPr>
              <w:t>1.</w:t>
            </w:r>
            <w:r>
              <w:rPr>
                <w:rFonts w:eastAsia="Times New Roman" w:cstheme="minorHAnsi"/>
                <w:color w:val="000000"/>
                <w:sz w:val="18"/>
                <w:szCs w:val="18"/>
                <w:lang w:eastAsia="pt-BR"/>
              </w:rPr>
              <w:t>540</w:t>
            </w:r>
            <w:r w:rsidRPr="00A90CF1">
              <w:rPr>
                <w:rFonts w:eastAsia="Times New Roman" w:cstheme="minorHAnsi"/>
                <w:color w:val="000000"/>
                <w:sz w:val="18"/>
                <w:szCs w:val="18"/>
                <w:lang w:eastAsia="pt-BR"/>
              </w:rPr>
              <w:t>,1</w:t>
            </w:r>
          </w:p>
        </w:tc>
        <w:tc>
          <w:tcPr>
            <w:tcW w:w="509" w:type="pct"/>
          </w:tcPr>
          <w:p w14:paraId="4AB65319" w14:textId="629D1D0E" w:rsidR="00A55347" w:rsidRPr="00A90CF1" w:rsidRDefault="00BE7735" w:rsidP="00C22A32">
            <w:pPr>
              <w:spacing w:after="0" w:line="240" w:lineRule="auto"/>
              <w:jc w:val="right"/>
              <w:rPr>
                <w:rFonts w:eastAsia="Times New Roman" w:cstheme="minorHAnsi"/>
                <w:color w:val="000000"/>
                <w:sz w:val="18"/>
                <w:szCs w:val="18"/>
                <w:lang w:eastAsia="pt-BR"/>
              </w:rPr>
            </w:pPr>
            <w:r w:rsidRPr="00BE7735">
              <w:rPr>
                <w:rFonts w:eastAsia="Times New Roman" w:cstheme="minorHAnsi"/>
                <w:color w:val="000000"/>
                <w:sz w:val="18"/>
                <w:szCs w:val="18"/>
                <w:lang w:eastAsia="pt-BR"/>
              </w:rPr>
              <w:t>1.316,1</w:t>
            </w:r>
          </w:p>
        </w:tc>
      </w:tr>
      <w:tr w:rsidR="00A55347" w:rsidRPr="00A90CF1" w14:paraId="051E6269" w14:textId="1319E686" w:rsidTr="005D2272">
        <w:trPr>
          <w:trHeight w:val="20"/>
          <w:jc w:val="center"/>
        </w:trPr>
        <w:tc>
          <w:tcPr>
            <w:tcW w:w="14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bottom"/>
            <w:hideMark/>
          </w:tcPr>
          <w:p w14:paraId="384965B4" w14:textId="77777777" w:rsidR="00A55347" w:rsidRPr="001E23D4" w:rsidRDefault="00A55347" w:rsidP="00C22A32">
            <w:pPr>
              <w:spacing w:after="0" w:line="240" w:lineRule="auto"/>
              <w:rPr>
                <w:rFonts w:eastAsia="Times New Roman" w:cstheme="minorHAnsi"/>
                <w:color w:val="FFFFFF" w:themeColor="background1"/>
                <w:sz w:val="18"/>
                <w:szCs w:val="18"/>
                <w:lang w:eastAsia="pt-BR"/>
              </w:rPr>
            </w:pPr>
            <w:r>
              <w:rPr>
                <w:rFonts w:eastAsia="Times New Roman" w:cstheme="minorHAnsi"/>
                <w:color w:val="FFFFFF" w:themeColor="background1"/>
                <w:sz w:val="18"/>
                <w:szCs w:val="18"/>
                <w:lang w:eastAsia="pt-BR"/>
              </w:rPr>
              <w:t>Total</w:t>
            </w:r>
            <w:r w:rsidRPr="001E23D4">
              <w:rPr>
                <w:rFonts w:eastAsia="Times New Roman" w:cstheme="minorHAnsi"/>
                <w:color w:val="FFFFFF" w:themeColor="background1"/>
                <w:sz w:val="18"/>
                <w:szCs w:val="18"/>
                <w:lang w:eastAsia="pt-BR"/>
              </w:rPr>
              <w:t xml:space="preserve"> </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72CF6DC0" w14:textId="77777777" w:rsidR="00A55347" w:rsidRPr="001E23D4" w:rsidRDefault="00A55347" w:rsidP="00C22A32">
            <w:pPr>
              <w:spacing w:after="0" w:line="240" w:lineRule="auto"/>
              <w:jc w:val="right"/>
              <w:rPr>
                <w:rFonts w:eastAsia="Times New Roman" w:cstheme="minorHAnsi"/>
                <w:color w:val="FFFFFF" w:themeColor="background1"/>
                <w:sz w:val="18"/>
                <w:szCs w:val="18"/>
                <w:lang w:eastAsia="pt-BR"/>
              </w:rPr>
            </w:pPr>
            <w:r>
              <w:rPr>
                <w:rFonts w:eastAsia="Times New Roman" w:cstheme="minorHAnsi"/>
                <w:color w:val="FFFFFF" w:themeColor="background1"/>
                <w:sz w:val="18"/>
                <w:szCs w:val="18"/>
                <w:lang w:eastAsia="pt-BR"/>
              </w:rPr>
              <w:t>559</w:t>
            </w:r>
            <w:r w:rsidRPr="001E23D4">
              <w:rPr>
                <w:rFonts w:eastAsia="Times New Roman" w:cstheme="minorHAnsi"/>
                <w:color w:val="FFFFFF" w:themeColor="background1"/>
                <w:sz w:val="18"/>
                <w:szCs w:val="18"/>
                <w:lang w:eastAsia="pt-BR"/>
              </w:rPr>
              <w:t>,</w:t>
            </w:r>
            <w:r>
              <w:rPr>
                <w:rFonts w:eastAsia="Times New Roman" w:cstheme="minorHAnsi"/>
                <w:color w:val="FFFFFF" w:themeColor="background1"/>
                <w:sz w:val="18"/>
                <w:szCs w:val="18"/>
                <w:lang w:eastAsia="pt-BR"/>
              </w:rPr>
              <w:t>9</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hideMark/>
          </w:tcPr>
          <w:p w14:paraId="1AB243E8" w14:textId="77777777" w:rsidR="00A55347" w:rsidRPr="001E23D4" w:rsidRDefault="00A55347" w:rsidP="00C22A32">
            <w:pPr>
              <w:spacing w:after="0" w:line="240" w:lineRule="auto"/>
              <w:jc w:val="right"/>
              <w:rPr>
                <w:rFonts w:eastAsia="Times New Roman" w:cstheme="minorHAnsi"/>
                <w:color w:val="FFFFFF" w:themeColor="background1"/>
                <w:sz w:val="18"/>
                <w:szCs w:val="18"/>
                <w:lang w:eastAsia="pt-BR"/>
              </w:rPr>
            </w:pPr>
            <w:r>
              <w:rPr>
                <w:rFonts w:eastAsia="Times New Roman" w:cstheme="minorHAnsi"/>
                <w:color w:val="FFFFFF" w:themeColor="background1"/>
                <w:sz w:val="18"/>
                <w:szCs w:val="18"/>
                <w:lang w:eastAsia="pt-BR"/>
              </w:rPr>
              <w:t>746</w:t>
            </w:r>
            <w:r w:rsidRPr="001E23D4">
              <w:rPr>
                <w:rFonts w:eastAsia="Times New Roman" w:cstheme="minorHAnsi"/>
                <w:color w:val="FFFFFF" w:themeColor="background1"/>
                <w:sz w:val="18"/>
                <w:szCs w:val="18"/>
                <w:lang w:eastAsia="pt-BR"/>
              </w:rPr>
              <w:t>,</w:t>
            </w:r>
            <w:r>
              <w:rPr>
                <w:rFonts w:eastAsia="Times New Roman" w:cstheme="minorHAnsi"/>
                <w:color w:val="FFFFFF" w:themeColor="background1"/>
                <w:sz w:val="18"/>
                <w:szCs w:val="18"/>
                <w:lang w:eastAsia="pt-BR"/>
              </w:rPr>
              <w:t>8</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43E3D726" w14:textId="77777777" w:rsidR="00A55347" w:rsidRPr="001E23D4" w:rsidRDefault="00A55347" w:rsidP="00C22A32">
            <w:pPr>
              <w:spacing w:after="0" w:line="240" w:lineRule="auto"/>
              <w:jc w:val="right"/>
              <w:rPr>
                <w:rFonts w:eastAsia="Times New Roman" w:cstheme="minorHAnsi"/>
                <w:color w:val="FFFFFF" w:themeColor="background1"/>
                <w:sz w:val="18"/>
                <w:szCs w:val="18"/>
                <w:lang w:eastAsia="pt-BR"/>
              </w:rPr>
            </w:pPr>
            <w:r w:rsidRPr="001E23D4">
              <w:rPr>
                <w:rFonts w:eastAsia="Times New Roman" w:cstheme="minorHAnsi"/>
                <w:color w:val="FFFFFF" w:themeColor="background1"/>
                <w:sz w:val="18"/>
                <w:szCs w:val="18"/>
                <w:lang w:eastAsia="pt-BR"/>
              </w:rPr>
              <w:t>1.</w:t>
            </w:r>
            <w:r>
              <w:rPr>
                <w:rFonts w:eastAsia="Times New Roman" w:cstheme="minorHAnsi"/>
                <w:color w:val="FFFFFF" w:themeColor="background1"/>
                <w:sz w:val="18"/>
                <w:szCs w:val="18"/>
                <w:lang w:eastAsia="pt-BR"/>
              </w:rPr>
              <w:t>153</w:t>
            </w:r>
            <w:r w:rsidRPr="001E23D4">
              <w:rPr>
                <w:rFonts w:eastAsia="Times New Roman" w:cstheme="minorHAnsi"/>
                <w:color w:val="FFFFFF" w:themeColor="background1"/>
                <w:sz w:val="18"/>
                <w:szCs w:val="18"/>
                <w:lang w:eastAsia="pt-BR"/>
              </w:rPr>
              <w:t>,</w:t>
            </w:r>
            <w:r>
              <w:rPr>
                <w:rFonts w:eastAsia="Times New Roman" w:cstheme="minorHAnsi"/>
                <w:color w:val="FFFFFF" w:themeColor="background1"/>
                <w:sz w:val="18"/>
                <w:szCs w:val="18"/>
                <w:lang w:eastAsia="pt-BR"/>
              </w:rPr>
              <w:t>7</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16C1ABAB" w14:textId="77777777" w:rsidR="00A55347" w:rsidRPr="001E23D4" w:rsidRDefault="00A55347" w:rsidP="00C22A32">
            <w:pPr>
              <w:spacing w:after="0" w:line="240" w:lineRule="auto"/>
              <w:jc w:val="right"/>
              <w:rPr>
                <w:rFonts w:eastAsia="Times New Roman" w:cstheme="minorHAnsi"/>
                <w:color w:val="FFFFFF" w:themeColor="background1"/>
                <w:sz w:val="18"/>
                <w:szCs w:val="18"/>
                <w:lang w:eastAsia="pt-BR"/>
              </w:rPr>
            </w:pPr>
            <w:r w:rsidRPr="001E23D4">
              <w:rPr>
                <w:rFonts w:eastAsia="Times New Roman" w:cstheme="minorHAnsi"/>
                <w:color w:val="FFFFFF" w:themeColor="background1"/>
                <w:sz w:val="18"/>
                <w:szCs w:val="18"/>
                <w:lang w:eastAsia="pt-BR"/>
              </w:rPr>
              <w:t>1.</w:t>
            </w:r>
            <w:r>
              <w:rPr>
                <w:rFonts w:eastAsia="Times New Roman" w:cstheme="minorHAnsi"/>
                <w:color w:val="FFFFFF" w:themeColor="background1"/>
                <w:sz w:val="18"/>
                <w:szCs w:val="18"/>
                <w:lang w:eastAsia="pt-BR"/>
              </w:rPr>
              <w:t>357</w:t>
            </w:r>
            <w:r w:rsidRPr="001E23D4">
              <w:rPr>
                <w:rFonts w:eastAsia="Times New Roman" w:cstheme="minorHAnsi"/>
                <w:color w:val="FFFFFF" w:themeColor="background1"/>
                <w:sz w:val="18"/>
                <w:szCs w:val="18"/>
                <w:lang w:eastAsia="pt-BR"/>
              </w:rPr>
              <w:t>,</w:t>
            </w:r>
            <w:r>
              <w:rPr>
                <w:rFonts w:eastAsia="Times New Roman" w:cstheme="minorHAnsi"/>
                <w:color w:val="FFFFFF" w:themeColor="background1"/>
                <w:sz w:val="18"/>
                <w:szCs w:val="18"/>
                <w:lang w:eastAsia="pt-BR"/>
              </w:rPr>
              <w:t>7</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1EE370F3" w14:textId="77777777" w:rsidR="00A55347" w:rsidRPr="001E23D4" w:rsidRDefault="00A55347" w:rsidP="00C22A32">
            <w:pPr>
              <w:spacing w:after="0" w:line="240" w:lineRule="auto"/>
              <w:jc w:val="right"/>
              <w:rPr>
                <w:rFonts w:eastAsia="Times New Roman" w:cstheme="minorHAnsi"/>
                <w:color w:val="FFFFFF" w:themeColor="background1"/>
                <w:sz w:val="18"/>
                <w:szCs w:val="18"/>
                <w:lang w:eastAsia="pt-BR"/>
              </w:rPr>
            </w:pPr>
            <w:r w:rsidRPr="001E23D4">
              <w:rPr>
                <w:rFonts w:eastAsia="Times New Roman" w:cstheme="minorHAnsi"/>
                <w:color w:val="FFFFFF" w:themeColor="background1"/>
                <w:sz w:val="18"/>
                <w:szCs w:val="18"/>
                <w:lang w:eastAsia="pt-BR"/>
              </w:rPr>
              <w:t>1.</w:t>
            </w:r>
            <w:r>
              <w:rPr>
                <w:rFonts w:eastAsia="Times New Roman" w:cstheme="minorHAnsi"/>
                <w:color w:val="FFFFFF" w:themeColor="background1"/>
                <w:sz w:val="18"/>
                <w:szCs w:val="18"/>
                <w:lang w:eastAsia="pt-BR"/>
              </w:rPr>
              <w:t>645</w:t>
            </w:r>
            <w:r w:rsidRPr="001E23D4">
              <w:rPr>
                <w:rFonts w:eastAsia="Times New Roman" w:cstheme="minorHAnsi"/>
                <w:color w:val="FFFFFF" w:themeColor="background1"/>
                <w:sz w:val="18"/>
                <w:szCs w:val="18"/>
                <w:lang w:eastAsia="pt-BR"/>
              </w:rPr>
              <w:t>,</w:t>
            </w:r>
            <w:r>
              <w:rPr>
                <w:rFonts w:eastAsia="Times New Roman" w:cstheme="minorHAnsi"/>
                <w:color w:val="FFFFFF" w:themeColor="background1"/>
                <w:sz w:val="18"/>
                <w:szCs w:val="18"/>
                <w:lang w:eastAsia="pt-BR"/>
              </w:rPr>
              <w:t>6</w:t>
            </w:r>
          </w:p>
        </w:tc>
        <w:tc>
          <w:tcPr>
            <w:tcW w:w="5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tcPr>
          <w:p w14:paraId="1670EC1A" w14:textId="77777777" w:rsidR="00A55347" w:rsidRPr="001E23D4" w:rsidRDefault="00A55347" w:rsidP="00C22A32">
            <w:pPr>
              <w:spacing w:after="0" w:line="240" w:lineRule="auto"/>
              <w:jc w:val="right"/>
              <w:rPr>
                <w:rFonts w:eastAsia="Times New Roman" w:cstheme="minorHAnsi"/>
                <w:color w:val="FFFFFF" w:themeColor="background1"/>
                <w:sz w:val="18"/>
                <w:szCs w:val="18"/>
                <w:lang w:eastAsia="pt-BR"/>
              </w:rPr>
            </w:pPr>
            <w:r>
              <w:rPr>
                <w:rFonts w:eastAsia="Times New Roman" w:cstheme="minorHAnsi"/>
                <w:color w:val="FFFFFF" w:themeColor="background1"/>
                <w:sz w:val="18"/>
                <w:szCs w:val="18"/>
                <w:lang w:eastAsia="pt-BR"/>
              </w:rPr>
              <w:t>2</w:t>
            </w:r>
            <w:r w:rsidRPr="001E23D4">
              <w:rPr>
                <w:rFonts w:eastAsia="Times New Roman" w:cstheme="minorHAnsi"/>
                <w:color w:val="FFFFFF" w:themeColor="background1"/>
                <w:sz w:val="18"/>
                <w:szCs w:val="18"/>
                <w:lang w:eastAsia="pt-BR"/>
              </w:rPr>
              <w:t>.</w:t>
            </w:r>
            <w:r>
              <w:rPr>
                <w:rFonts w:eastAsia="Times New Roman" w:cstheme="minorHAnsi"/>
                <w:color w:val="FFFFFF" w:themeColor="background1"/>
                <w:sz w:val="18"/>
                <w:szCs w:val="18"/>
                <w:lang w:eastAsia="pt-BR"/>
              </w:rPr>
              <w:t>204</w:t>
            </w:r>
            <w:r w:rsidRPr="001E23D4">
              <w:rPr>
                <w:rFonts w:eastAsia="Times New Roman" w:cstheme="minorHAnsi"/>
                <w:color w:val="FFFFFF" w:themeColor="background1"/>
                <w:sz w:val="18"/>
                <w:szCs w:val="18"/>
                <w:lang w:eastAsia="pt-BR"/>
              </w:rPr>
              <w:t>,</w:t>
            </w:r>
            <w:r>
              <w:rPr>
                <w:rFonts w:eastAsia="Times New Roman" w:cstheme="minorHAnsi"/>
                <w:color w:val="FFFFFF" w:themeColor="background1"/>
                <w:sz w:val="18"/>
                <w:szCs w:val="18"/>
                <w:lang w:eastAsia="pt-BR"/>
              </w:rPr>
              <w:t>2</w:t>
            </w: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63AD5661" w14:textId="28B85175" w:rsidR="00A55347" w:rsidRDefault="00EA7373" w:rsidP="00C22A32">
            <w:pPr>
              <w:spacing w:after="0" w:line="240" w:lineRule="auto"/>
              <w:jc w:val="right"/>
              <w:rPr>
                <w:rFonts w:eastAsia="Times New Roman" w:cstheme="minorHAnsi"/>
                <w:color w:val="FFFFFF" w:themeColor="background1"/>
                <w:sz w:val="18"/>
                <w:szCs w:val="18"/>
                <w:lang w:eastAsia="pt-BR"/>
              </w:rPr>
            </w:pPr>
            <w:r>
              <w:rPr>
                <w:rFonts w:eastAsia="Times New Roman" w:cstheme="minorHAnsi"/>
                <w:color w:val="FFFFFF" w:themeColor="background1"/>
                <w:sz w:val="18"/>
                <w:szCs w:val="18"/>
                <w:lang w:eastAsia="pt-BR"/>
              </w:rPr>
              <w:t>2.0</w:t>
            </w:r>
            <w:r w:rsidR="00F62745">
              <w:rPr>
                <w:rFonts w:eastAsia="Times New Roman" w:cstheme="minorHAnsi"/>
                <w:color w:val="FFFFFF" w:themeColor="background1"/>
                <w:sz w:val="18"/>
                <w:szCs w:val="18"/>
                <w:lang w:eastAsia="pt-BR"/>
              </w:rPr>
              <w:t>17</w:t>
            </w:r>
            <w:r>
              <w:rPr>
                <w:rFonts w:eastAsia="Times New Roman" w:cstheme="minorHAnsi"/>
                <w:color w:val="FFFFFF" w:themeColor="background1"/>
                <w:sz w:val="18"/>
                <w:szCs w:val="18"/>
                <w:lang w:eastAsia="pt-BR"/>
              </w:rPr>
              <w:t>,</w:t>
            </w:r>
            <w:r w:rsidR="00F62745">
              <w:rPr>
                <w:rFonts w:eastAsia="Times New Roman" w:cstheme="minorHAnsi"/>
                <w:color w:val="FFFFFF" w:themeColor="background1"/>
                <w:sz w:val="18"/>
                <w:szCs w:val="18"/>
                <w:lang w:eastAsia="pt-BR"/>
              </w:rPr>
              <w:t>8</w:t>
            </w:r>
          </w:p>
        </w:tc>
      </w:tr>
      <w:tr w:rsidR="00A55347" w:rsidRPr="005B5CD5" w14:paraId="40EDEA7E" w14:textId="20BC1AFE" w:rsidTr="00A55347">
        <w:trPr>
          <w:trHeight w:val="20"/>
          <w:jc w:val="center"/>
        </w:trPr>
        <w:tc>
          <w:tcPr>
            <w:tcW w:w="4491" w:type="pct"/>
            <w:gridSpan w:val="7"/>
            <w:tcBorders>
              <w:top w:val="single" w:sz="4" w:space="0" w:color="BFBFBF" w:themeColor="background1" w:themeShade="BF"/>
              <w:left w:val="nil"/>
              <w:bottom w:val="nil"/>
              <w:right w:val="nil"/>
            </w:tcBorders>
          </w:tcPr>
          <w:p w14:paraId="79B21C20" w14:textId="77777777" w:rsidR="00A55347" w:rsidRPr="00D85198" w:rsidRDefault="00A55347" w:rsidP="00C22A32">
            <w:pPr>
              <w:spacing w:after="0" w:line="240" w:lineRule="auto"/>
              <w:rPr>
                <w:rFonts w:eastAsia="Times New Roman" w:cs="Times New Roman"/>
                <w:b/>
                <w:bCs/>
                <w:i/>
                <w:iCs/>
                <w:color w:val="000000"/>
                <w:sz w:val="16"/>
                <w:szCs w:val="16"/>
                <w:lang w:eastAsia="pt-BR"/>
              </w:rPr>
            </w:pPr>
            <w:r w:rsidRPr="00D85198">
              <w:rPr>
                <w:rFonts w:eastAsia="Times New Roman" w:cs="Times New Roman"/>
                <w:b/>
                <w:i/>
                <w:color w:val="000000"/>
                <w:sz w:val="16"/>
                <w:szCs w:val="16"/>
                <w:lang w:eastAsia="pt-BR"/>
              </w:rPr>
              <w:t>Fonte:</w:t>
            </w:r>
            <w:r w:rsidRPr="00D85198">
              <w:rPr>
                <w:rFonts w:eastAsia="Times New Roman" w:cs="Times New Roman"/>
                <w:i/>
                <w:color w:val="000000"/>
                <w:sz w:val="16"/>
                <w:szCs w:val="16"/>
                <w:lang w:eastAsia="pt-BR"/>
              </w:rPr>
              <w:t xml:space="preserve"> AGU, PGFN/ME, SEST/ME, BCB. </w:t>
            </w:r>
            <w:r w:rsidRPr="00D85198">
              <w:rPr>
                <w:rFonts w:eastAsia="Times New Roman" w:cs="Times New Roman"/>
                <w:b/>
                <w:i/>
                <w:color w:val="000000"/>
                <w:sz w:val="16"/>
                <w:szCs w:val="16"/>
                <w:lang w:eastAsia="pt-BR"/>
              </w:rPr>
              <w:t>Elaboração:</w:t>
            </w:r>
            <w:r w:rsidRPr="00D85198">
              <w:rPr>
                <w:rFonts w:eastAsia="Times New Roman" w:cs="Times New Roman"/>
                <w:i/>
                <w:color w:val="000000"/>
                <w:sz w:val="16"/>
                <w:szCs w:val="16"/>
                <w:lang w:eastAsia="pt-BR"/>
              </w:rPr>
              <w:t xml:space="preserve"> STN/ME.</w:t>
            </w:r>
          </w:p>
        </w:tc>
        <w:tc>
          <w:tcPr>
            <w:tcW w:w="509" w:type="pct"/>
            <w:tcBorders>
              <w:top w:val="single" w:sz="4" w:space="0" w:color="BFBFBF" w:themeColor="background1" w:themeShade="BF"/>
              <w:left w:val="nil"/>
              <w:bottom w:val="nil"/>
              <w:right w:val="nil"/>
            </w:tcBorders>
          </w:tcPr>
          <w:p w14:paraId="6B644389" w14:textId="77777777" w:rsidR="00A55347" w:rsidRPr="00D85198" w:rsidRDefault="00A55347" w:rsidP="00C22A32">
            <w:pPr>
              <w:spacing w:after="0" w:line="240" w:lineRule="auto"/>
              <w:rPr>
                <w:rFonts w:eastAsia="Times New Roman" w:cs="Times New Roman"/>
                <w:b/>
                <w:i/>
                <w:color w:val="000000"/>
                <w:sz w:val="16"/>
                <w:szCs w:val="16"/>
                <w:lang w:eastAsia="pt-BR"/>
              </w:rPr>
            </w:pPr>
          </w:p>
        </w:tc>
      </w:tr>
    </w:tbl>
    <w:p w14:paraId="2AF864C1" w14:textId="406013B0" w:rsidR="00C52594" w:rsidRDefault="00C52594" w:rsidP="00D85198">
      <w:pPr>
        <w:spacing w:after="120" w:line="240" w:lineRule="auto"/>
        <w:ind w:firstLine="1418"/>
        <w:jc w:val="both"/>
        <w:rPr>
          <w:w w:val="105"/>
          <w:sz w:val="24"/>
          <w:szCs w:val="24"/>
        </w:rPr>
      </w:pPr>
    </w:p>
    <w:p w14:paraId="40E025F2" w14:textId="1252B152" w:rsidR="00753778" w:rsidRPr="00A81215" w:rsidRDefault="00753778" w:rsidP="00D85198">
      <w:pPr>
        <w:spacing w:after="120" w:line="240" w:lineRule="auto"/>
        <w:ind w:firstLine="1418"/>
        <w:jc w:val="both"/>
        <w:rPr>
          <w:w w:val="105"/>
          <w:sz w:val="24"/>
          <w:szCs w:val="24"/>
        </w:rPr>
      </w:pPr>
      <w:r w:rsidRPr="00753778">
        <w:rPr>
          <w:w w:val="105"/>
          <w:sz w:val="24"/>
          <w:szCs w:val="24"/>
        </w:rPr>
        <w:t>Além do caráter probabilístico da natureza destas ações judiciais, há de se considerar as características próprias dos trâmites jurídicos, como, por exemplo, pendências de julgamento final, possibilidade de recursos em instâncias superiores, dificuldade de previsão de tempo e valor das causas etc. Estas características impõem uma avaliação e interpretação cautelosa dos valores apontados como passivos contingentes de ações judiciais</w:t>
      </w:r>
      <w:r>
        <w:rPr>
          <w:w w:val="105"/>
          <w:sz w:val="24"/>
          <w:szCs w:val="24"/>
        </w:rPr>
        <w:t>.</w:t>
      </w:r>
      <w:r w:rsidR="00341908">
        <w:rPr>
          <w:w w:val="105"/>
          <w:sz w:val="24"/>
          <w:szCs w:val="24"/>
        </w:rPr>
        <w:t xml:space="preserve"> Não obstante, a magnitude dos valores envolvidos revela a necessidade de uma especial atenção ao tema.</w:t>
      </w:r>
    </w:p>
    <w:p w14:paraId="2224B82A" w14:textId="77777777" w:rsidR="000D17A6" w:rsidRPr="005C5D8A" w:rsidRDefault="000D17A6" w:rsidP="001D4FDB">
      <w:pPr>
        <w:pStyle w:val="Ttulo3"/>
        <w:keepNext w:val="0"/>
        <w:numPr>
          <w:ilvl w:val="2"/>
          <w:numId w:val="36"/>
        </w:numPr>
        <w:spacing w:before="240" w:after="120"/>
        <w:ind w:left="720" w:hanging="720"/>
        <w:rPr>
          <w:rFonts w:asciiTheme="minorHAnsi" w:hAnsiTheme="minorHAnsi"/>
          <w:b/>
          <w:smallCaps w:val="0"/>
        </w:rPr>
      </w:pPr>
      <w:bookmarkStart w:id="227" w:name="_Toc5012240"/>
      <w:bookmarkStart w:id="228" w:name="_Toc5030486"/>
      <w:bookmarkStart w:id="229" w:name="_Toc67317991"/>
      <w:bookmarkStart w:id="230" w:name="_Toc67929645"/>
      <w:bookmarkStart w:id="231" w:name="_Toc69121228"/>
      <w:r w:rsidRPr="005C5D8A">
        <w:rPr>
          <w:rFonts w:asciiTheme="minorHAnsi" w:hAnsiTheme="minorHAnsi"/>
          <w:b/>
          <w:smallCaps w:val="0"/>
        </w:rPr>
        <w:t>Passivos Contingentes em Fase de Reconhecimento</w:t>
      </w:r>
      <w:bookmarkEnd w:id="227"/>
      <w:bookmarkEnd w:id="228"/>
      <w:bookmarkEnd w:id="229"/>
      <w:bookmarkEnd w:id="230"/>
      <w:bookmarkEnd w:id="231"/>
    </w:p>
    <w:p w14:paraId="30D6D4F7" w14:textId="7F6765D9" w:rsidR="64087081" w:rsidRPr="005C5D8A" w:rsidRDefault="64087081" w:rsidP="002E2CB8">
      <w:pPr>
        <w:spacing w:after="120" w:line="240" w:lineRule="auto"/>
        <w:ind w:firstLine="1418"/>
        <w:jc w:val="both"/>
      </w:pPr>
      <w:r w:rsidRPr="005C5D8A">
        <w:rPr>
          <w:rFonts w:ascii="Calibri" w:eastAsia="Calibri" w:hAnsi="Calibri" w:cs="Calibri"/>
          <w:sz w:val="24"/>
          <w:szCs w:val="24"/>
        </w:rPr>
        <w:t>Para melhor compreensão do que são e da situação em que se encontram os passivos contingentes em fase de reconhecimento, optou-se por dividi-los em três grupos, sendo eles:</w:t>
      </w:r>
    </w:p>
    <w:p w14:paraId="649DFC12" w14:textId="5AAF84D0" w:rsidR="64087081" w:rsidRPr="005C5D8A" w:rsidRDefault="64087081" w:rsidP="002E2CB8">
      <w:pPr>
        <w:pStyle w:val="PargrafodaLista"/>
        <w:numPr>
          <w:ilvl w:val="0"/>
          <w:numId w:val="35"/>
        </w:numPr>
        <w:spacing w:after="120" w:line="240" w:lineRule="auto"/>
        <w:ind w:firstLine="1418"/>
        <w:rPr>
          <w:rFonts w:eastAsiaTheme="minorEastAsia"/>
          <w:sz w:val="24"/>
          <w:szCs w:val="24"/>
        </w:rPr>
      </w:pPr>
      <w:r w:rsidRPr="005C5D8A">
        <w:rPr>
          <w:rFonts w:ascii="Calibri" w:eastAsia="Calibri" w:hAnsi="Calibri" w:cs="Calibri"/>
          <w:sz w:val="24"/>
          <w:szCs w:val="24"/>
        </w:rPr>
        <w:t>Dívidas decorrentes da extinção/dissolução de entidades da Administração Federal;</w:t>
      </w:r>
    </w:p>
    <w:p w14:paraId="46C076DA" w14:textId="0BBD3A6E" w:rsidR="64087081" w:rsidRPr="005C5D8A" w:rsidRDefault="64087081" w:rsidP="002E2CB8">
      <w:pPr>
        <w:pStyle w:val="PargrafodaLista"/>
        <w:numPr>
          <w:ilvl w:val="0"/>
          <w:numId w:val="35"/>
        </w:numPr>
        <w:spacing w:after="120" w:line="240" w:lineRule="auto"/>
        <w:ind w:firstLine="1418"/>
        <w:rPr>
          <w:rFonts w:eastAsiaTheme="minorEastAsia"/>
          <w:sz w:val="24"/>
          <w:szCs w:val="24"/>
        </w:rPr>
      </w:pPr>
      <w:r w:rsidRPr="005C5D8A">
        <w:rPr>
          <w:rFonts w:ascii="Calibri" w:eastAsia="Calibri" w:hAnsi="Calibri" w:cs="Calibri"/>
          <w:sz w:val="24"/>
          <w:szCs w:val="24"/>
        </w:rPr>
        <w:t>Dívidas diretas da União;</w:t>
      </w:r>
      <w:r w:rsidR="00A9333F">
        <w:rPr>
          <w:rFonts w:ascii="Calibri" w:eastAsia="Calibri" w:hAnsi="Calibri" w:cs="Calibri"/>
          <w:sz w:val="24"/>
          <w:szCs w:val="24"/>
        </w:rPr>
        <w:t xml:space="preserve"> </w:t>
      </w:r>
      <w:proofErr w:type="gramStart"/>
      <w:r w:rsidR="00A9333F">
        <w:rPr>
          <w:rFonts w:ascii="Calibri" w:eastAsia="Calibri" w:hAnsi="Calibri" w:cs="Calibri"/>
          <w:sz w:val="24"/>
          <w:szCs w:val="24"/>
        </w:rPr>
        <w:t>e</w:t>
      </w:r>
      <w:proofErr w:type="gramEnd"/>
    </w:p>
    <w:p w14:paraId="7F867D61" w14:textId="2521128A" w:rsidR="64087081" w:rsidRPr="005C5D8A" w:rsidRDefault="64087081" w:rsidP="002E2CB8">
      <w:pPr>
        <w:pStyle w:val="PargrafodaLista"/>
        <w:numPr>
          <w:ilvl w:val="0"/>
          <w:numId w:val="35"/>
        </w:numPr>
        <w:spacing w:after="120" w:line="240" w:lineRule="auto"/>
        <w:ind w:firstLine="1418"/>
        <w:rPr>
          <w:rFonts w:eastAsiaTheme="minorEastAsia"/>
          <w:sz w:val="24"/>
          <w:szCs w:val="24"/>
        </w:rPr>
      </w:pPr>
      <w:r w:rsidRPr="005C5D8A">
        <w:rPr>
          <w:rFonts w:ascii="Calibri" w:eastAsia="Calibri" w:hAnsi="Calibri" w:cs="Calibri"/>
          <w:sz w:val="24"/>
          <w:szCs w:val="24"/>
        </w:rPr>
        <w:t xml:space="preserve">Dívidas decorrentes do Fundo de Compensação de Variações Salariais </w:t>
      </w:r>
      <w:r w:rsidR="00A9333F">
        <w:rPr>
          <w:rFonts w:ascii="Calibri" w:eastAsia="Calibri" w:hAnsi="Calibri" w:cs="Calibri"/>
          <w:sz w:val="24"/>
          <w:szCs w:val="24"/>
        </w:rPr>
        <w:t xml:space="preserve">– </w:t>
      </w:r>
      <w:r w:rsidRPr="005C5D8A">
        <w:rPr>
          <w:rFonts w:ascii="Calibri" w:eastAsia="Calibri" w:hAnsi="Calibri" w:cs="Calibri"/>
          <w:sz w:val="24"/>
          <w:szCs w:val="24"/>
        </w:rPr>
        <w:t>FCVS</w:t>
      </w:r>
      <w:r w:rsidR="00A9333F">
        <w:rPr>
          <w:rFonts w:ascii="Calibri" w:eastAsia="Calibri" w:hAnsi="Calibri" w:cs="Calibri"/>
          <w:sz w:val="24"/>
          <w:szCs w:val="24"/>
        </w:rPr>
        <w:t>.</w:t>
      </w:r>
    </w:p>
    <w:p w14:paraId="70D4197E" w14:textId="49D0E2AA" w:rsidR="64087081" w:rsidRPr="005C5D8A" w:rsidRDefault="64087081" w:rsidP="00E50D03">
      <w:pPr>
        <w:spacing w:line="257" w:lineRule="auto"/>
      </w:pPr>
    </w:p>
    <w:p w14:paraId="031A96B1" w14:textId="69A1F05A" w:rsidR="00020A5D" w:rsidRPr="005C5D8A" w:rsidRDefault="007919DB" w:rsidP="00BA2FA6">
      <w:pPr>
        <w:rPr>
          <w:rFonts w:eastAsiaTheme="minorEastAsia"/>
          <w:i/>
          <w:sz w:val="24"/>
          <w:szCs w:val="24"/>
        </w:rPr>
      </w:pPr>
      <w:r w:rsidRPr="005C5D8A">
        <w:rPr>
          <w:rFonts w:ascii="Calibri" w:eastAsia="Calibri" w:hAnsi="Calibri" w:cs="Calibri"/>
          <w:i/>
          <w:sz w:val="24"/>
          <w:szCs w:val="24"/>
          <w:u w:val="single"/>
        </w:rPr>
        <w:t>Dívidas Decorrentes da Extinção/Dissolução de Entidades</w:t>
      </w:r>
      <w:r w:rsidR="00A9333F">
        <w:rPr>
          <w:rFonts w:ascii="Calibri" w:eastAsia="Calibri" w:hAnsi="Calibri" w:cs="Calibri"/>
          <w:i/>
          <w:sz w:val="24"/>
          <w:szCs w:val="24"/>
          <w:u w:val="single"/>
        </w:rPr>
        <w:t xml:space="preserve"> da Administração Pública Federal</w:t>
      </w:r>
    </w:p>
    <w:p w14:paraId="57BD6E78" w14:textId="70F42AF4" w:rsidR="64087081" w:rsidRPr="005C5D8A" w:rsidRDefault="64087081" w:rsidP="002E2CB8">
      <w:pPr>
        <w:spacing w:after="120" w:line="240" w:lineRule="auto"/>
        <w:ind w:firstLine="1418"/>
        <w:jc w:val="both"/>
      </w:pPr>
      <w:r w:rsidRPr="005C5D8A">
        <w:rPr>
          <w:rFonts w:ascii="Calibri" w:eastAsia="Calibri" w:hAnsi="Calibri" w:cs="Calibri"/>
          <w:sz w:val="24"/>
          <w:szCs w:val="24"/>
        </w:rPr>
        <w:t xml:space="preserve"> Por força da Lei nº 8.029, de 12 de abril de 1990, e de outras leis específicas que extinguiram entidades da Administração Pública Federal, a União sucedeu tais entidades em seus direitos e obrigações decorrentes de norma legal, ato administrativo ou contrato. Dessa forma, neste grupo, encontram-se os compromissos assumidos pela União em virtude da extinção/dissolução de autarquias/empresas, como, por exemplo: Empresas Nucleares Brasileiras S/A – </w:t>
      </w:r>
      <w:proofErr w:type="spellStart"/>
      <w:r w:rsidRPr="005C5D8A">
        <w:rPr>
          <w:rFonts w:ascii="Calibri" w:eastAsia="Calibri" w:hAnsi="Calibri" w:cs="Calibri"/>
          <w:sz w:val="24"/>
          <w:szCs w:val="24"/>
        </w:rPr>
        <w:t>Nuclebrás</w:t>
      </w:r>
      <w:proofErr w:type="spellEnd"/>
      <w:r w:rsidRPr="005C5D8A">
        <w:rPr>
          <w:rFonts w:ascii="Calibri" w:eastAsia="Calibri" w:hAnsi="Calibri" w:cs="Calibri"/>
          <w:sz w:val="24"/>
          <w:szCs w:val="24"/>
        </w:rPr>
        <w:t xml:space="preserve">, Rede Ferroviária Federal S/A – RFFSA, Centrais de Abastecimento do Amazonas – CEASA/AM e Petrobrás Mineração S/A – </w:t>
      </w:r>
      <w:proofErr w:type="spellStart"/>
      <w:r w:rsidRPr="005C5D8A">
        <w:rPr>
          <w:rFonts w:ascii="Calibri" w:eastAsia="Calibri" w:hAnsi="Calibri" w:cs="Calibri"/>
          <w:sz w:val="24"/>
          <w:szCs w:val="24"/>
        </w:rPr>
        <w:t>Petromisa</w:t>
      </w:r>
      <w:proofErr w:type="spellEnd"/>
      <w:r w:rsidRPr="005C5D8A">
        <w:rPr>
          <w:rFonts w:ascii="Calibri" w:eastAsia="Calibri" w:hAnsi="Calibri" w:cs="Calibri"/>
          <w:sz w:val="24"/>
          <w:szCs w:val="24"/>
        </w:rPr>
        <w:t>.</w:t>
      </w:r>
    </w:p>
    <w:p w14:paraId="3CFB2880" w14:textId="6D9471CA" w:rsidR="64087081" w:rsidRPr="005C5D8A" w:rsidRDefault="64087081" w:rsidP="00EB51B5">
      <w:pPr>
        <w:spacing w:line="257" w:lineRule="auto"/>
      </w:pPr>
    </w:p>
    <w:p w14:paraId="7CA6885A" w14:textId="6A7366EC" w:rsidR="004E540E" w:rsidRPr="005C5D8A" w:rsidRDefault="000D17A6" w:rsidP="00BA2FA6">
      <w:pPr>
        <w:rPr>
          <w:rFonts w:eastAsiaTheme="minorEastAsia"/>
          <w:i/>
          <w:sz w:val="24"/>
          <w:szCs w:val="24"/>
        </w:rPr>
      </w:pPr>
      <w:r w:rsidRPr="005C5D8A">
        <w:rPr>
          <w:rFonts w:ascii="Calibri" w:eastAsia="Calibri" w:hAnsi="Calibri" w:cs="Calibri"/>
          <w:i/>
          <w:sz w:val="24"/>
          <w:szCs w:val="24"/>
          <w:u w:val="single"/>
        </w:rPr>
        <w:t>Dívidas Diretas</w:t>
      </w:r>
      <w:r w:rsidR="00A9333F">
        <w:rPr>
          <w:rFonts w:ascii="Calibri" w:eastAsia="Calibri" w:hAnsi="Calibri" w:cs="Calibri"/>
          <w:i/>
          <w:sz w:val="24"/>
          <w:szCs w:val="24"/>
          <w:u w:val="single"/>
        </w:rPr>
        <w:t xml:space="preserve"> da União</w:t>
      </w:r>
    </w:p>
    <w:p w14:paraId="5F5D7B1F" w14:textId="5CF435DA" w:rsidR="00A47EF1" w:rsidRPr="005C5D8A" w:rsidRDefault="000D17A6" w:rsidP="002E2CB8">
      <w:pPr>
        <w:spacing w:after="120" w:line="240" w:lineRule="auto"/>
        <w:ind w:firstLine="1418"/>
        <w:jc w:val="both"/>
      </w:pPr>
      <w:r w:rsidRPr="005C5D8A">
        <w:rPr>
          <w:rFonts w:ascii="Calibri" w:eastAsia="Calibri" w:hAnsi="Calibri" w:cs="Calibri"/>
          <w:sz w:val="24"/>
          <w:szCs w:val="24"/>
        </w:rPr>
        <w:t xml:space="preserve">As dívidas de responsabilidade direta da União originam-se de </w:t>
      </w:r>
      <w:r w:rsidR="00A01A75" w:rsidRPr="005C5D8A">
        <w:rPr>
          <w:rFonts w:ascii="Calibri" w:eastAsia="Calibri" w:hAnsi="Calibri" w:cs="Calibri"/>
          <w:sz w:val="24"/>
          <w:szCs w:val="24"/>
        </w:rPr>
        <w:t xml:space="preserve">variados </w:t>
      </w:r>
      <w:r w:rsidRPr="005C5D8A">
        <w:rPr>
          <w:rFonts w:ascii="Calibri" w:eastAsia="Calibri" w:hAnsi="Calibri" w:cs="Calibri"/>
          <w:sz w:val="24"/>
          <w:szCs w:val="24"/>
        </w:rPr>
        <w:t>eventos</w:t>
      </w:r>
      <w:r w:rsidR="00A01A75" w:rsidRPr="005C5D8A">
        <w:rPr>
          <w:rFonts w:ascii="Calibri" w:eastAsia="Calibri" w:hAnsi="Calibri" w:cs="Calibri"/>
          <w:sz w:val="24"/>
          <w:szCs w:val="24"/>
        </w:rPr>
        <w:t>. Dentre esses, pode-se destacar dois</w:t>
      </w:r>
      <w:r w:rsidRPr="005C5D8A">
        <w:rPr>
          <w:rFonts w:ascii="Calibri" w:eastAsia="Calibri" w:hAnsi="Calibri" w:cs="Calibri"/>
          <w:sz w:val="24"/>
          <w:szCs w:val="24"/>
        </w:rPr>
        <w:t xml:space="preserve">: (i) </w:t>
      </w:r>
      <w:r w:rsidR="00A01A75" w:rsidRPr="005C5D8A">
        <w:rPr>
          <w:rFonts w:ascii="Calibri" w:eastAsia="Calibri" w:hAnsi="Calibri" w:cs="Calibri"/>
          <w:sz w:val="24"/>
          <w:szCs w:val="24"/>
        </w:rPr>
        <w:t>a Constituição de 1988 que determinou a criação dos Estados de Roraima, Amapá e Tocantins, livres</w:t>
      </w:r>
      <w:r w:rsidR="00E26456" w:rsidRPr="005C5D8A">
        <w:rPr>
          <w:rFonts w:ascii="Calibri" w:eastAsia="Calibri" w:hAnsi="Calibri" w:cs="Calibri"/>
          <w:sz w:val="24"/>
          <w:szCs w:val="24"/>
        </w:rPr>
        <w:t xml:space="preserve"> dos compromissos decorrentes dos investimentos feitos</w:t>
      </w:r>
      <w:r w:rsidR="00CD2118" w:rsidRPr="005C5D8A">
        <w:rPr>
          <w:rFonts w:ascii="Calibri" w:eastAsia="Calibri" w:hAnsi="Calibri" w:cs="Calibri"/>
          <w:sz w:val="24"/>
          <w:szCs w:val="24"/>
        </w:rPr>
        <w:t xml:space="preserve"> </w:t>
      </w:r>
      <w:r w:rsidR="00A01A75" w:rsidRPr="005C5D8A">
        <w:rPr>
          <w:rFonts w:ascii="Calibri" w:eastAsia="Calibri" w:hAnsi="Calibri" w:cs="Calibri"/>
          <w:sz w:val="24"/>
          <w:szCs w:val="24"/>
        </w:rPr>
        <w:t>nos respectivos territórios, que foram atribuídos à União</w:t>
      </w:r>
      <w:r w:rsidRPr="005C5D8A">
        <w:rPr>
          <w:rFonts w:ascii="Calibri" w:eastAsia="Calibri" w:hAnsi="Calibri" w:cs="Calibri"/>
          <w:sz w:val="24"/>
          <w:szCs w:val="24"/>
        </w:rPr>
        <w:t>; e (</w:t>
      </w:r>
      <w:proofErr w:type="spellStart"/>
      <w:proofErr w:type="gramStart"/>
      <w:r w:rsidRPr="005C5D8A">
        <w:rPr>
          <w:rFonts w:ascii="Calibri" w:eastAsia="Calibri" w:hAnsi="Calibri" w:cs="Calibri"/>
          <w:sz w:val="24"/>
          <w:szCs w:val="24"/>
        </w:rPr>
        <w:t>ii</w:t>
      </w:r>
      <w:proofErr w:type="spellEnd"/>
      <w:proofErr w:type="gramEnd"/>
      <w:r w:rsidRPr="005C5D8A">
        <w:rPr>
          <w:rFonts w:ascii="Calibri" w:eastAsia="Calibri" w:hAnsi="Calibri" w:cs="Calibri"/>
          <w:sz w:val="24"/>
          <w:szCs w:val="24"/>
        </w:rPr>
        <w:t xml:space="preserve">) </w:t>
      </w:r>
      <w:r w:rsidR="00A01A75" w:rsidRPr="005C5D8A">
        <w:rPr>
          <w:rFonts w:ascii="Calibri" w:eastAsia="Calibri" w:hAnsi="Calibri" w:cs="Calibri"/>
          <w:sz w:val="24"/>
          <w:szCs w:val="24"/>
        </w:rPr>
        <w:t>dispositivos</w:t>
      </w:r>
      <w:r w:rsidR="00CD2118" w:rsidRPr="005C5D8A">
        <w:rPr>
          <w:rFonts w:ascii="Calibri" w:eastAsia="Calibri" w:hAnsi="Calibri" w:cs="Calibri"/>
          <w:sz w:val="24"/>
          <w:szCs w:val="24"/>
        </w:rPr>
        <w:t xml:space="preserve"> legais </w:t>
      </w:r>
      <w:r w:rsidR="00A01A75" w:rsidRPr="005C5D8A">
        <w:rPr>
          <w:rFonts w:ascii="Calibri" w:eastAsia="Calibri" w:hAnsi="Calibri" w:cs="Calibri"/>
          <w:sz w:val="24"/>
          <w:szCs w:val="24"/>
        </w:rPr>
        <w:t xml:space="preserve">que autorizaram as </w:t>
      </w:r>
      <w:r w:rsidR="00CD2118" w:rsidRPr="005C5D8A">
        <w:rPr>
          <w:rFonts w:ascii="Calibri" w:eastAsia="Calibri" w:hAnsi="Calibri" w:cs="Calibri"/>
          <w:sz w:val="24"/>
          <w:szCs w:val="24"/>
        </w:rPr>
        <w:t xml:space="preserve">instituições </w:t>
      </w:r>
      <w:r w:rsidRPr="005C5D8A">
        <w:rPr>
          <w:rFonts w:ascii="Calibri" w:eastAsia="Calibri" w:hAnsi="Calibri" w:cs="Calibri"/>
          <w:sz w:val="24"/>
          <w:szCs w:val="24"/>
        </w:rPr>
        <w:t xml:space="preserve">financeiras federais </w:t>
      </w:r>
      <w:r w:rsidR="00A01A75" w:rsidRPr="005C5D8A">
        <w:rPr>
          <w:rFonts w:ascii="Calibri" w:eastAsia="Calibri" w:hAnsi="Calibri" w:cs="Calibri"/>
          <w:sz w:val="24"/>
          <w:szCs w:val="24"/>
        </w:rPr>
        <w:t>a prestar</w:t>
      </w:r>
      <w:r w:rsidRPr="005C5D8A">
        <w:rPr>
          <w:rFonts w:ascii="Calibri" w:eastAsia="Calibri" w:hAnsi="Calibri" w:cs="Calibri"/>
          <w:sz w:val="24"/>
          <w:szCs w:val="24"/>
        </w:rPr>
        <w:t xml:space="preserve"> auxílio financeiro</w:t>
      </w:r>
      <w:r w:rsidR="00A01A75" w:rsidRPr="005C5D8A">
        <w:rPr>
          <w:rFonts w:ascii="Calibri" w:eastAsia="Calibri" w:hAnsi="Calibri" w:cs="Calibri"/>
          <w:sz w:val="24"/>
          <w:szCs w:val="24"/>
        </w:rPr>
        <w:t>,</w:t>
      </w:r>
      <w:r w:rsidRPr="005C5D8A">
        <w:rPr>
          <w:rFonts w:ascii="Calibri" w:eastAsia="Calibri" w:hAnsi="Calibri" w:cs="Calibri"/>
          <w:sz w:val="24"/>
          <w:szCs w:val="24"/>
        </w:rPr>
        <w:t xml:space="preserve"> ou </w:t>
      </w:r>
      <w:r w:rsidR="00A01A75" w:rsidRPr="005C5D8A">
        <w:rPr>
          <w:rFonts w:ascii="Calibri" w:eastAsia="Calibri" w:hAnsi="Calibri" w:cs="Calibri"/>
          <w:sz w:val="24"/>
          <w:szCs w:val="24"/>
        </w:rPr>
        <w:t>participar de alguma política pública</w:t>
      </w:r>
      <w:r w:rsidRPr="005C5D8A">
        <w:rPr>
          <w:rFonts w:ascii="Calibri" w:eastAsia="Calibri" w:hAnsi="Calibri" w:cs="Calibri"/>
          <w:sz w:val="24"/>
          <w:szCs w:val="24"/>
        </w:rPr>
        <w:t>, com o compromisso de posterior ressarcimento</w:t>
      </w:r>
      <w:r w:rsidR="00A01A75" w:rsidRPr="005C5D8A">
        <w:rPr>
          <w:rFonts w:ascii="Calibri" w:eastAsia="Calibri" w:hAnsi="Calibri" w:cs="Calibri"/>
          <w:sz w:val="24"/>
          <w:szCs w:val="24"/>
        </w:rPr>
        <w:t>,</w:t>
      </w:r>
      <w:r w:rsidRPr="005C5D8A">
        <w:rPr>
          <w:rFonts w:ascii="Calibri" w:eastAsia="Calibri" w:hAnsi="Calibri" w:cs="Calibri"/>
          <w:sz w:val="24"/>
          <w:szCs w:val="24"/>
        </w:rPr>
        <w:t xml:space="preserve"> pela União.</w:t>
      </w:r>
    </w:p>
    <w:p w14:paraId="1068EDA7" w14:textId="72DE5102" w:rsidR="64087081" w:rsidRPr="005C5D8A" w:rsidRDefault="64087081" w:rsidP="00EB51B5">
      <w:pPr>
        <w:spacing w:line="257" w:lineRule="auto"/>
      </w:pPr>
    </w:p>
    <w:p w14:paraId="546FC32A" w14:textId="55020743" w:rsidR="64087081" w:rsidRPr="005C5D8A" w:rsidRDefault="64087081" w:rsidP="00BA2FA6">
      <w:pPr>
        <w:rPr>
          <w:rFonts w:eastAsiaTheme="minorEastAsia"/>
          <w:i/>
          <w:iCs/>
          <w:sz w:val="24"/>
          <w:szCs w:val="24"/>
        </w:rPr>
      </w:pPr>
      <w:r w:rsidRPr="005C5D8A">
        <w:rPr>
          <w:rFonts w:ascii="Calibri" w:eastAsia="Calibri" w:hAnsi="Calibri" w:cs="Calibri"/>
          <w:i/>
          <w:iCs/>
          <w:sz w:val="24"/>
          <w:szCs w:val="24"/>
          <w:u w:val="single"/>
        </w:rPr>
        <w:t>Dívidas Decorrentes do Fundo de Compensação de Variações Salariais (FCVS)</w:t>
      </w:r>
      <w:r w:rsidRPr="005C5D8A">
        <w:rPr>
          <w:rFonts w:ascii="Calibri" w:eastAsia="Calibri" w:hAnsi="Calibri" w:cs="Calibri"/>
          <w:sz w:val="24"/>
          <w:szCs w:val="24"/>
        </w:rPr>
        <w:t xml:space="preserve"> </w:t>
      </w:r>
    </w:p>
    <w:p w14:paraId="35225C05" w14:textId="78DD7509" w:rsidR="00A1208D" w:rsidRPr="005C5D8A" w:rsidRDefault="00A1208D" w:rsidP="002E2CB8">
      <w:pPr>
        <w:spacing w:after="120" w:line="240" w:lineRule="auto"/>
        <w:ind w:firstLine="1418"/>
        <w:jc w:val="both"/>
      </w:pPr>
      <w:r w:rsidRPr="005C5D8A">
        <w:rPr>
          <w:rFonts w:ascii="Calibri" w:eastAsia="Calibri" w:hAnsi="Calibri" w:cs="Calibri"/>
          <w:sz w:val="24"/>
          <w:szCs w:val="24"/>
        </w:rPr>
        <w:lastRenderedPageBreak/>
        <w:t xml:space="preserve">O Fundo de Compensação de Variações Salariais </w:t>
      </w:r>
      <w:r w:rsidR="64087081" w:rsidRPr="005C5D8A">
        <w:rPr>
          <w:rFonts w:ascii="Calibri" w:eastAsia="Calibri" w:hAnsi="Calibri" w:cs="Calibri"/>
          <w:sz w:val="24"/>
          <w:szCs w:val="24"/>
        </w:rPr>
        <w:t xml:space="preserve">– </w:t>
      </w:r>
      <w:r w:rsidRPr="005C5D8A">
        <w:rPr>
          <w:rFonts w:ascii="Calibri" w:eastAsia="Calibri" w:hAnsi="Calibri" w:cs="Calibri"/>
          <w:sz w:val="24"/>
          <w:szCs w:val="24"/>
        </w:rPr>
        <w:t xml:space="preserve">FCVS é um fundo público criado em 1967, como elemento importante do então </w:t>
      </w:r>
      <w:proofErr w:type="gramStart"/>
      <w:r w:rsidRPr="005C5D8A">
        <w:rPr>
          <w:rFonts w:ascii="Calibri" w:eastAsia="Calibri" w:hAnsi="Calibri" w:cs="Calibri"/>
          <w:sz w:val="24"/>
          <w:szCs w:val="24"/>
        </w:rPr>
        <w:t>recém estruturado</w:t>
      </w:r>
      <w:proofErr w:type="gramEnd"/>
      <w:r w:rsidRPr="005C5D8A">
        <w:rPr>
          <w:rFonts w:ascii="Calibri" w:eastAsia="Calibri" w:hAnsi="Calibri" w:cs="Calibri"/>
          <w:sz w:val="24"/>
          <w:szCs w:val="24"/>
        </w:rPr>
        <w:t xml:space="preserve"> Sistema Financeiro de Habitação </w:t>
      </w:r>
      <w:r w:rsidR="64087081" w:rsidRPr="005C5D8A">
        <w:rPr>
          <w:rFonts w:ascii="Calibri" w:eastAsia="Calibri" w:hAnsi="Calibri" w:cs="Calibri"/>
          <w:sz w:val="24"/>
          <w:szCs w:val="24"/>
        </w:rPr>
        <w:t xml:space="preserve">– </w:t>
      </w:r>
      <w:r w:rsidRPr="005C5D8A">
        <w:rPr>
          <w:rFonts w:ascii="Calibri" w:eastAsia="Calibri" w:hAnsi="Calibri" w:cs="Calibri"/>
          <w:sz w:val="24"/>
          <w:szCs w:val="24"/>
        </w:rPr>
        <w:t>SFH</w:t>
      </w:r>
      <w:r w:rsidR="64087081" w:rsidRPr="005C5D8A">
        <w:rPr>
          <w:rFonts w:ascii="Calibri" w:eastAsia="Calibri" w:hAnsi="Calibri" w:cs="Calibri"/>
          <w:sz w:val="24"/>
          <w:szCs w:val="24"/>
        </w:rPr>
        <w:t>,</w:t>
      </w:r>
      <w:r w:rsidRPr="005C5D8A">
        <w:rPr>
          <w:rFonts w:ascii="Calibri" w:eastAsia="Calibri" w:hAnsi="Calibri" w:cs="Calibri"/>
          <w:sz w:val="24"/>
          <w:szCs w:val="24"/>
        </w:rPr>
        <w:t xml:space="preserve"> gerido pelo Banco Nacional da Habitação </w:t>
      </w:r>
      <w:r w:rsidR="64087081" w:rsidRPr="005C5D8A">
        <w:rPr>
          <w:rFonts w:ascii="Calibri" w:eastAsia="Calibri" w:hAnsi="Calibri" w:cs="Calibri"/>
          <w:sz w:val="24"/>
          <w:szCs w:val="24"/>
        </w:rPr>
        <w:t xml:space="preserve">– </w:t>
      </w:r>
      <w:r w:rsidRPr="005C5D8A">
        <w:rPr>
          <w:rFonts w:ascii="Calibri" w:eastAsia="Calibri" w:hAnsi="Calibri" w:cs="Calibri"/>
          <w:sz w:val="24"/>
          <w:szCs w:val="24"/>
        </w:rPr>
        <w:t>BNH</w:t>
      </w:r>
      <w:r w:rsidR="64087081" w:rsidRPr="005C5D8A">
        <w:rPr>
          <w:rFonts w:ascii="Calibri" w:eastAsia="Calibri" w:hAnsi="Calibri" w:cs="Calibri"/>
          <w:sz w:val="24"/>
          <w:szCs w:val="24"/>
        </w:rPr>
        <w:t>.</w:t>
      </w:r>
      <w:r w:rsidRPr="005C5D8A">
        <w:rPr>
          <w:rFonts w:ascii="Calibri" w:eastAsia="Calibri" w:hAnsi="Calibri" w:cs="Calibri"/>
          <w:sz w:val="24"/>
          <w:szCs w:val="24"/>
        </w:rPr>
        <w:t xml:space="preserve"> O FCVS foi criado com a finalidade de cobrir os saldos residuais eventualmente existentes no encerramento dos contratos de financiamento habitacional celebrados no âmbito do SFH. Sua finalidade declarada foi a de </w:t>
      </w:r>
      <w:r w:rsidR="64087081" w:rsidRPr="005C5D8A">
        <w:rPr>
          <w:rFonts w:ascii="Calibri" w:eastAsia="Calibri" w:hAnsi="Calibri" w:cs="Calibri"/>
          <w:sz w:val="24"/>
          <w:szCs w:val="24"/>
        </w:rPr>
        <w:t>“</w:t>
      </w:r>
      <w:r w:rsidRPr="005C5D8A">
        <w:rPr>
          <w:rFonts w:ascii="Calibri" w:eastAsia="Calibri" w:hAnsi="Calibri" w:cs="Calibri"/>
          <w:sz w:val="24"/>
          <w:szCs w:val="24"/>
        </w:rPr>
        <w:t>dar tranquilidade aos tomadores dos financiamentos habitacionais</w:t>
      </w:r>
      <w:r w:rsidR="64087081" w:rsidRPr="005C5D8A">
        <w:rPr>
          <w:rFonts w:ascii="Calibri" w:eastAsia="Calibri" w:hAnsi="Calibri" w:cs="Calibri"/>
          <w:sz w:val="24"/>
          <w:szCs w:val="24"/>
        </w:rPr>
        <w:t xml:space="preserve">”. As receitas destinadas ao </w:t>
      </w:r>
      <w:r w:rsidR="00DF5BBA" w:rsidRPr="005C5D8A">
        <w:rPr>
          <w:rFonts w:ascii="Calibri" w:eastAsia="Calibri" w:hAnsi="Calibri" w:cs="Calibri"/>
          <w:sz w:val="24"/>
          <w:szCs w:val="24"/>
        </w:rPr>
        <w:t xml:space="preserve">Fundo </w:t>
      </w:r>
      <w:r w:rsidR="64087081" w:rsidRPr="005C5D8A">
        <w:rPr>
          <w:rFonts w:ascii="Calibri" w:eastAsia="Calibri" w:hAnsi="Calibri" w:cs="Calibri"/>
          <w:sz w:val="24"/>
          <w:szCs w:val="24"/>
        </w:rPr>
        <w:t>consistiram/consistem</w:t>
      </w:r>
      <w:r w:rsidR="00DF5BBA" w:rsidRPr="005C5D8A">
        <w:rPr>
          <w:rFonts w:ascii="Calibri" w:eastAsia="Calibri" w:hAnsi="Calibri" w:cs="Calibri"/>
          <w:sz w:val="24"/>
          <w:szCs w:val="24"/>
        </w:rPr>
        <w:t xml:space="preserve"> </w:t>
      </w:r>
      <w:r w:rsidR="00A9333F">
        <w:rPr>
          <w:rFonts w:ascii="Calibri" w:eastAsia="Calibri" w:hAnsi="Calibri" w:cs="Calibri"/>
          <w:sz w:val="24"/>
          <w:szCs w:val="24"/>
        </w:rPr>
        <w:t>em</w:t>
      </w:r>
      <w:r w:rsidR="00DF5BBA" w:rsidRPr="005C5D8A">
        <w:rPr>
          <w:rFonts w:ascii="Calibri" w:eastAsia="Calibri" w:hAnsi="Calibri" w:cs="Calibri"/>
          <w:sz w:val="24"/>
          <w:szCs w:val="24"/>
        </w:rPr>
        <w:t xml:space="preserve"> um aporte inicial da União</w:t>
      </w:r>
      <w:r w:rsidR="64087081" w:rsidRPr="005C5D8A">
        <w:rPr>
          <w:rFonts w:ascii="Calibri" w:eastAsia="Calibri" w:hAnsi="Calibri" w:cs="Calibri"/>
          <w:sz w:val="24"/>
          <w:szCs w:val="24"/>
        </w:rPr>
        <w:t>, mais as</w:t>
      </w:r>
      <w:r w:rsidR="00DF5BBA" w:rsidRPr="005C5D8A">
        <w:rPr>
          <w:rFonts w:ascii="Calibri" w:eastAsia="Calibri" w:hAnsi="Calibri" w:cs="Calibri"/>
          <w:sz w:val="24"/>
          <w:szCs w:val="24"/>
        </w:rPr>
        <w:t xml:space="preserve"> contribuições periódicas dos agentes financeiros e dos mutuários. A Caixa Econômica Federal </w:t>
      </w:r>
      <w:r w:rsidR="64087081" w:rsidRPr="005C5D8A">
        <w:rPr>
          <w:rFonts w:ascii="Calibri" w:eastAsia="Calibri" w:hAnsi="Calibri" w:cs="Calibri"/>
          <w:sz w:val="24"/>
          <w:szCs w:val="24"/>
        </w:rPr>
        <w:t xml:space="preserve">- </w:t>
      </w:r>
      <w:r w:rsidR="00DF5BBA" w:rsidRPr="005C5D8A">
        <w:rPr>
          <w:rFonts w:ascii="Calibri" w:eastAsia="Calibri" w:hAnsi="Calibri" w:cs="Calibri"/>
          <w:sz w:val="24"/>
          <w:szCs w:val="24"/>
        </w:rPr>
        <w:t>CAIXA é a administradora do FCVS, desde a extinção do BNH, em 1986.</w:t>
      </w:r>
    </w:p>
    <w:p w14:paraId="361A28B0" w14:textId="428A9EA1" w:rsidR="00A1208D" w:rsidRPr="005C5D8A" w:rsidRDefault="00A1208D" w:rsidP="002E2CB8">
      <w:pPr>
        <w:spacing w:after="120" w:line="240" w:lineRule="auto"/>
        <w:ind w:firstLine="1418"/>
        <w:jc w:val="both"/>
      </w:pPr>
      <w:r w:rsidRPr="005C5D8A">
        <w:rPr>
          <w:rFonts w:ascii="Calibri" w:eastAsia="Calibri" w:hAnsi="Calibri" w:cs="Calibri"/>
          <w:sz w:val="24"/>
          <w:szCs w:val="24"/>
        </w:rPr>
        <w:t xml:space="preserve">Cerca de 3,4 milhões de contratos de financiamento foram celebrados entre os mutuários e os diversos agentes financeiros do setor de habitação, contendo a cláusula de cobertura pelo FCVS, bem como da chamada ‘equivalência salarial’, especialmente nas décadas de 1970/80. Contudo, nos anos 1980, </w:t>
      </w:r>
      <w:proofErr w:type="gramStart"/>
      <w:r w:rsidRPr="005C5D8A">
        <w:rPr>
          <w:rFonts w:ascii="Calibri" w:eastAsia="Calibri" w:hAnsi="Calibri" w:cs="Calibri"/>
          <w:sz w:val="24"/>
          <w:szCs w:val="24"/>
        </w:rPr>
        <w:t xml:space="preserve">a combinação de espiral inflacionária, achatamento salarial e decisões governamentais que ampliaram os subsídios aos mutuários </w:t>
      </w:r>
      <w:r w:rsidR="64087081" w:rsidRPr="005C5D8A">
        <w:rPr>
          <w:rFonts w:ascii="Calibri" w:eastAsia="Calibri" w:hAnsi="Calibri" w:cs="Calibri"/>
          <w:sz w:val="24"/>
          <w:szCs w:val="24"/>
        </w:rPr>
        <w:t>levou</w:t>
      </w:r>
      <w:proofErr w:type="gramEnd"/>
      <w:r w:rsidRPr="005C5D8A">
        <w:rPr>
          <w:rFonts w:ascii="Calibri" w:eastAsia="Calibri" w:hAnsi="Calibri" w:cs="Calibri"/>
          <w:sz w:val="24"/>
          <w:szCs w:val="24"/>
        </w:rPr>
        <w:t xml:space="preserve"> ao colapso do sistema, pois o FCVS não teve/teria fluxo de receitas suficiente para fazer frente aos vultosos saldos devedores reais que resultaram daqueles fatores.</w:t>
      </w:r>
    </w:p>
    <w:p w14:paraId="6E040CD1" w14:textId="1BBBCD4A" w:rsidR="00A1208D" w:rsidRPr="005C5D8A" w:rsidRDefault="00B079B1" w:rsidP="002E2CB8">
      <w:pPr>
        <w:spacing w:after="120" w:line="240" w:lineRule="auto"/>
        <w:ind w:firstLine="1418"/>
        <w:jc w:val="both"/>
      </w:pPr>
      <w:r w:rsidRPr="005C5D8A">
        <w:rPr>
          <w:rFonts w:ascii="Calibri" w:eastAsia="Calibri" w:hAnsi="Calibri" w:cs="Calibri"/>
          <w:sz w:val="24"/>
          <w:szCs w:val="24"/>
        </w:rPr>
        <w:t>Com a finalidade de equacionar esse passivo, foi editada a Medida Provisória nº 1.520, de 24 de setembro de 1996 (convertida na Lei nº 10.150, de 21 de dezembro de 2000), mediante a qual a União foi autorizada a celebrar, com os agentes financeiros credores do FCVS, contratos de novação de dívida, os quais estabelecem o pagamento mediante a emissão direta de títulos de longo prazo, denominados CVS, emitidos pela Secretaria do Tesouro Nacional (STN).</w:t>
      </w:r>
    </w:p>
    <w:p w14:paraId="409412AF" w14:textId="09FCAA18" w:rsidR="64087081" w:rsidRPr="005C5D8A" w:rsidRDefault="64087081" w:rsidP="002E2CB8">
      <w:pPr>
        <w:spacing w:after="120" w:line="240" w:lineRule="auto"/>
        <w:ind w:firstLine="1418"/>
        <w:jc w:val="both"/>
      </w:pPr>
      <w:r w:rsidRPr="005C5D8A">
        <w:rPr>
          <w:rFonts w:ascii="Calibri" w:eastAsia="Calibri" w:hAnsi="Calibri" w:cs="Calibri"/>
          <w:sz w:val="24"/>
          <w:szCs w:val="24"/>
        </w:rPr>
        <w:t xml:space="preserve">Devido à circunstância de que outras dívidas (derivadas dos saldos residuais) vieram a ser legalmente atribuídas à União, houve a segregação operacional dessas importâncias em quatro Valores de Avaliação de Financiamento –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a saber:</w:t>
      </w:r>
    </w:p>
    <w:p w14:paraId="437ED40A" w14:textId="6447B4AA" w:rsidR="64087081" w:rsidRPr="005C5D8A" w:rsidRDefault="64087081" w:rsidP="002E2CB8">
      <w:pPr>
        <w:spacing w:after="120" w:line="240" w:lineRule="auto"/>
        <w:ind w:firstLine="1418"/>
        <w:jc w:val="both"/>
      </w:pPr>
      <w:r w:rsidRPr="005C5D8A">
        <w:rPr>
          <w:rFonts w:ascii="Calibri" w:eastAsia="Calibri" w:hAnsi="Calibri" w:cs="Calibri"/>
          <w:sz w:val="24"/>
          <w:szCs w:val="24"/>
        </w:rPr>
        <w:t xml:space="preserve">a) Os saldos residuais dos contratos de financiamento habitacional (encerrados) constituem o VAF </w:t>
      </w:r>
      <w:proofErr w:type="gramStart"/>
      <w:r w:rsidRPr="005C5D8A">
        <w:rPr>
          <w:rFonts w:ascii="Calibri" w:eastAsia="Calibri" w:hAnsi="Calibri" w:cs="Calibri"/>
          <w:sz w:val="24"/>
          <w:szCs w:val="24"/>
        </w:rPr>
        <w:t>1</w:t>
      </w:r>
      <w:proofErr w:type="gramEnd"/>
      <w:r w:rsidRPr="005C5D8A">
        <w:rPr>
          <w:rFonts w:ascii="Calibri" w:eastAsia="Calibri" w:hAnsi="Calibri" w:cs="Calibri"/>
          <w:sz w:val="24"/>
          <w:szCs w:val="24"/>
        </w:rPr>
        <w:t>, se o recurso não provém do FGTS, e o VAF 2, se a origem do recurso é o FGTS. Eles são objeto do art. 1º da MP nº 1.520/1996 - Lei nº 10.150/2000.</w:t>
      </w:r>
    </w:p>
    <w:p w14:paraId="13714FF0" w14:textId="67D7F4D2" w:rsidR="64087081" w:rsidRPr="005C5D8A" w:rsidRDefault="64087081" w:rsidP="002E2CB8">
      <w:pPr>
        <w:spacing w:after="120" w:line="240" w:lineRule="auto"/>
        <w:ind w:firstLine="1418"/>
        <w:jc w:val="both"/>
      </w:pPr>
      <w:r w:rsidRPr="005C5D8A">
        <w:rPr>
          <w:rFonts w:ascii="Calibri" w:eastAsia="Calibri" w:hAnsi="Calibri" w:cs="Calibri"/>
          <w:sz w:val="24"/>
          <w:szCs w:val="24"/>
        </w:rPr>
        <w:t>b) Os créditos denominados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xml:space="preserve"> </w:t>
      </w:r>
      <w:proofErr w:type="gramStart"/>
      <w:r w:rsidRPr="005C5D8A">
        <w:rPr>
          <w:rFonts w:ascii="Calibri" w:eastAsia="Calibri" w:hAnsi="Calibri" w:cs="Calibri"/>
          <w:sz w:val="24"/>
          <w:szCs w:val="24"/>
        </w:rPr>
        <w:t>3</w:t>
      </w:r>
      <w:proofErr w:type="gramEnd"/>
      <w:r w:rsidRPr="005C5D8A">
        <w:rPr>
          <w:rFonts w:ascii="Calibri" w:eastAsia="Calibri" w:hAnsi="Calibri" w:cs="Calibri"/>
          <w:sz w:val="24"/>
          <w:szCs w:val="24"/>
        </w:rPr>
        <w:t xml:space="preserve"> e 4” não faziam parte da MP original, e foram posteriormente introduzidos na legislação, contemplando aspectos específicos das operações de financiamento com recursos do FGTS:</w:t>
      </w:r>
    </w:p>
    <w:p w14:paraId="7023138F" w14:textId="7629CDD9" w:rsidR="64087081" w:rsidRPr="005C5D8A" w:rsidRDefault="64087081" w:rsidP="002E2CB8">
      <w:pPr>
        <w:spacing w:after="120" w:line="240" w:lineRule="auto"/>
        <w:ind w:firstLine="1418"/>
        <w:jc w:val="both"/>
      </w:pPr>
      <w:r w:rsidRPr="005C5D8A">
        <w:rPr>
          <w:rFonts w:ascii="Calibri" w:eastAsia="Calibri" w:hAnsi="Calibri" w:cs="Calibri"/>
          <w:i/>
          <w:iCs/>
          <w:sz w:val="24"/>
          <w:szCs w:val="24"/>
        </w:rPr>
        <w:t>i)</w:t>
      </w:r>
      <w:r w:rsidRPr="005C5D8A">
        <w:rPr>
          <w:rFonts w:ascii="Calibri" w:eastAsia="Calibri" w:hAnsi="Calibri" w:cs="Calibri"/>
          <w:sz w:val="24"/>
          <w:szCs w:val="24"/>
        </w:rPr>
        <w:t xml:space="preserve"> VAF </w:t>
      </w:r>
      <w:proofErr w:type="gramStart"/>
      <w:r w:rsidRPr="005C5D8A">
        <w:rPr>
          <w:rFonts w:ascii="Calibri" w:eastAsia="Calibri" w:hAnsi="Calibri" w:cs="Calibri"/>
          <w:sz w:val="24"/>
          <w:szCs w:val="24"/>
        </w:rPr>
        <w:t>3</w:t>
      </w:r>
      <w:proofErr w:type="gramEnd"/>
      <w:r w:rsidRPr="005C5D8A">
        <w:rPr>
          <w:rFonts w:ascii="Calibri" w:eastAsia="Calibri" w:hAnsi="Calibri" w:cs="Calibri"/>
          <w:sz w:val="24"/>
          <w:szCs w:val="24"/>
        </w:rPr>
        <w:t xml:space="preserve">, previsto no art. 15 da Lei nº 10.150/2000, que autorizou o Tesouro Nacional a assumir e ressarcir o valor das parcelas do </w:t>
      </w:r>
      <w:r w:rsidRPr="005C5D8A">
        <w:rPr>
          <w:rFonts w:ascii="Calibri" w:eastAsia="Calibri" w:hAnsi="Calibri" w:cs="Calibri"/>
          <w:i/>
          <w:sz w:val="24"/>
          <w:szCs w:val="24"/>
        </w:rPr>
        <w:t>pro rata</w:t>
      </w:r>
      <w:r w:rsidRPr="005C5D8A">
        <w:rPr>
          <w:rFonts w:ascii="Calibri" w:eastAsia="Calibri" w:hAnsi="Calibri" w:cs="Calibri"/>
          <w:sz w:val="24"/>
          <w:szCs w:val="24"/>
        </w:rPr>
        <w:t xml:space="preserve"> correspondente à diferença entre os valores do saldo devedor contábil da operação de financiamento habitacional e o saldo devedor residual de responsabilidade do FCVS;</w:t>
      </w:r>
    </w:p>
    <w:p w14:paraId="73D37E6B" w14:textId="16AC5E70" w:rsidR="64087081" w:rsidRPr="005C5D8A" w:rsidRDefault="64087081" w:rsidP="002E2CB8">
      <w:pPr>
        <w:spacing w:after="120" w:line="240" w:lineRule="auto"/>
        <w:ind w:firstLine="1418"/>
        <w:jc w:val="both"/>
      </w:pPr>
      <w:proofErr w:type="spellStart"/>
      <w:proofErr w:type="gramStart"/>
      <w:r w:rsidRPr="005C5D8A">
        <w:rPr>
          <w:rFonts w:ascii="Calibri" w:eastAsia="Calibri" w:hAnsi="Calibri" w:cs="Calibri"/>
          <w:i/>
          <w:iCs/>
          <w:sz w:val="24"/>
          <w:szCs w:val="24"/>
        </w:rPr>
        <w:t>ii</w:t>
      </w:r>
      <w:proofErr w:type="spellEnd"/>
      <w:proofErr w:type="gramEnd"/>
      <w:r w:rsidRPr="005C5D8A">
        <w:rPr>
          <w:rFonts w:ascii="Calibri" w:eastAsia="Calibri" w:hAnsi="Calibri" w:cs="Calibri"/>
          <w:i/>
          <w:iCs/>
          <w:sz w:val="24"/>
          <w:szCs w:val="24"/>
        </w:rPr>
        <w:t>)</w:t>
      </w:r>
      <w:r w:rsidRPr="005C5D8A">
        <w:rPr>
          <w:rFonts w:ascii="Calibri" w:eastAsia="Calibri" w:hAnsi="Calibri" w:cs="Calibri"/>
          <w:sz w:val="24"/>
          <w:szCs w:val="24"/>
        </w:rPr>
        <w:t xml:space="preserve"> VAF 4, incorporado no art. 44 da Medida Provisória nº 2.181-45, de 24 de agosto de 2001, que autorizou a União a assumir a diferença entre a taxa de juros dos contratos de financiamento do Sistema Financeiro da Habitação – SFH, celebrados até dezembro de 1987 com mutuários finais, lastreados com recursos do FGTS, e a taxa efetiva de 3,12% a.a., referente ao período de 1º/1/1997 a 31/12/2001.</w:t>
      </w:r>
    </w:p>
    <w:p w14:paraId="5A0621B0" w14:textId="6A336270" w:rsidR="00A1208D" w:rsidRPr="005C5D8A" w:rsidRDefault="00A1208D" w:rsidP="002E2CB8">
      <w:pPr>
        <w:spacing w:after="120" w:line="240" w:lineRule="auto"/>
        <w:ind w:firstLine="1418"/>
        <w:jc w:val="both"/>
      </w:pPr>
      <w:r w:rsidRPr="005C5D8A">
        <w:rPr>
          <w:rFonts w:ascii="Calibri" w:eastAsia="Calibri" w:hAnsi="Calibri" w:cs="Calibri"/>
          <w:sz w:val="24"/>
          <w:szCs w:val="24"/>
        </w:rPr>
        <w:t xml:space="preserve">Assim, os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xml:space="preserve"> </w:t>
      </w:r>
      <w:proofErr w:type="gramStart"/>
      <w:r w:rsidRPr="005C5D8A">
        <w:rPr>
          <w:rFonts w:ascii="Calibri" w:eastAsia="Calibri" w:hAnsi="Calibri" w:cs="Calibri"/>
          <w:sz w:val="24"/>
          <w:szCs w:val="24"/>
        </w:rPr>
        <w:t>3</w:t>
      </w:r>
      <w:proofErr w:type="gramEnd"/>
      <w:r w:rsidRPr="005C5D8A">
        <w:rPr>
          <w:rFonts w:ascii="Calibri" w:eastAsia="Calibri" w:hAnsi="Calibri" w:cs="Calibri"/>
          <w:sz w:val="24"/>
          <w:szCs w:val="24"/>
        </w:rPr>
        <w:t xml:space="preserve"> e 4 são créditos adicionais (ou derivados, ou complementares) aos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xml:space="preserve"> 1 e 2, que são os saldos residuais de responsabilidade do FCVS referidos no art. 1º da Lei nº 10.150/2000. Por essa razão, a formalização da assunção dos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xml:space="preserve"> </w:t>
      </w:r>
      <w:proofErr w:type="gramStart"/>
      <w:r w:rsidRPr="005C5D8A">
        <w:rPr>
          <w:rFonts w:ascii="Calibri" w:eastAsia="Calibri" w:hAnsi="Calibri" w:cs="Calibri"/>
          <w:sz w:val="24"/>
          <w:szCs w:val="24"/>
        </w:rPr>
        <w:t>3</w:t>
      </w:r>
      <w:proofErr w:type="gramEnd"/>
      <w:r w:rsidRPr="005C5D8A">
        <w:rPr>
          <w:rFonts w:ascii="Calibri" w:eastAsia="Calibri" w:hAnsi="Calibri" w:cs="Calibri"/>
          <w:sz w:val="24"/>
          <w:szCs w:val="24"/>
        </w:rPr>
        <w:t xml:space="preserve"> e 4 (quando existentes) relativos a determinado lote de contratos ocorre em processo administrativo próprio e, necessariamente, após a conclusão da novação dos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xml:space="preserve"> 1 e 2 daquele lote. O contrato de assunção é celebrado entre a </w:t>
      </w:r>
      <w:r w:rsidRPr="005C5D8A">
        <w:rPr>
          <w:rFonts w:ascii="Calibri" w:eastAsia="Calibri" w:hAnsi="Calibri" w:cs="Calibri"/>
          <w:sz w:val="24"/>
          <w:szCs w:val="24"/>
        </w:rPr>
        <w:lastRenderedPageBreak/>
        <w:t>União e o FGTS (representado pelo seu agente operador, a CAIXA), com a interveniência do agente financeiro.</w:t>
      </w:r>
    </w:p>
    <w:p w14:paraId="02856F48" w14:textId="5BC3954E" w:rsidR="00A1208D" w:rsidRPr="005C5D8A" w:rsidRDefault="00A1208D" w:rsidP="002E2CB8">
      <w:pPr>
        <w:spacing w:after="120" w:line="240" w:lineRule="auto"/>
        <w:ind w:firstLine="1418"/>
        <w:jc w:val="both"/>
      </w:pPr>
      <w:r w:rsidRPr="005C5D8A">
        <w:rPr>
          <w:rFonts w:ascii="Calibri" w:eastAsia="Calibri" w:hAnsi="Calibri" w:cs="Calibri"/>
          <w:sz w:val="24"/>
          <w:szCs w:val="24"/>
        </w:rPr>
        <w:t xml:space="preserve">O controle e a evidenciação dos dois tipos de dívidas originados do FCVS passaram a ser feitos de forma segregada: (i) no BGU, a partir de 2018; </w:t>
      </w:r>
      <w:r w:rsidR="64087081" w:rsidRPr="005C5D8A">
        <w:rPr>
          <w:rFonts w:ascii="Calibri" w:eastAsia="Calibri" w:hAnsi="Calibri" w:cs="Calibri"/>
          <w:sz w:val="24"/>
          <w:szCs w:val="24"/>
        </w:rPr>
        <w:t>(</w:t>
      </w:r>
      <w:proofErr w:type="spellStart"/>
      <w:proofErr w:type="gramStart"/>
      <w:r w:rsidR="64087081" w:rsidRPr="005C5D8A">
        <w:rPr>
          <w:rFonts w:ascii="Calibri" w:eastAsia="Calibri" w:hAnsi="Calibri" w:cs="Calibri"/>
          <w:sz w:val="24"/>
          <w:szCs w:val="24"/>
        </w:rPr>
        <w:t>ii</w:t>
      </w:r>
      <w:proofErr w:type="spellEnd"/>
      <w:proofErr w:type="gramEnd"/>
      <w:r w:rsidR="64087081" w:rsidRPr="005C5D8A">
        <w:rPr>
          <w:rFonts w:ascii="Calibri" w:eastAsia="Calibri" w:hAnsi="Calibri" w:cs="Calibri"/>
          <w:sz w:val="24"/>
          <w:szCs w:val="24"/>
        </w:rPr>
        <w:t>) no Anexo de Riscos Fiscais da LDO de 2019.</w:t>
      </w:r>
    </w:p>
    <w:p w14:paraId="39EAEAC9" w14:textId="45B66E74" w:rsidR="00A1208D" w:rsidRPr="005C5D8A" w:rsidRDefault="00A1208D" w:rsidP="002E2CB8">
      <w:pPr>
        <w:spacing w:after="120" w:line="240" w:lineRule="auto"/>
        <w:ind w:firstLine="1418"/>
        <w:jc w:val="both"/>
      </w:pPr>
      <w:r w:rsidRPr="005C5D8A">
        <w:rPr>
          <w:rFonts w:ascii="Calibri" w:eastAsia="Calibri" w:hAnsi="Calibri" w:cs="Calibri"/>
          <w:sz w:val="24"/>
          <w:szCs w:val="24"/>
        </w:rPr>
        <w:t xml:space="preserve">O passivo da União decorrente do FCVS vem sendo progressivamente liquidado mediante a celebração de sucessivos contratos entre a União e os agentes financeiros (ou seus cessionários, ou o FGTS). De fato, desde 1998 foram celebrados </w:t>
      </w:r>
      <w:r w:rsidR="64087081" w:rsidRPr="005C5D8A">
        <w:rPr>
          <w:rFonts w:ascii="Calibri" w:eastAsia="Calibri" w:hAnsi="Calibri" w:cs="Calibri"/>
          <w:sz w:val="24"/>
          <w:szCs w:val="24"/>
        </w:rPr>
        <w:t>492</w:t>
      </w:r>
      <w:r w:rsidRPr="005C5D8A">
        <w:rPr>
          <w:rFonts w:ascii="Calibri" w:eastAsia="Calibri" w:hAnsi="Calibri" w:cs="Calibri"/>
          <w:sz w:val="24"/>
          <w:szCs w:val="24"/>
        </w:rPr>
        <w:t xml:space="preserve"> contratos de novação (dos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xml:space="preserve"> </w:t>
      </w:r>
      <w:proofErr w:type="gramStart"/>
      <w:r w:rsidRPr="005C5D8A">
        <w:rPr>
          <w:rFonts w:ascii="Calibri" w:eastAsia="Calibri" w:hAnsi="Calibri" w:cs="Calibri"/>
          <w:sz w:val="24"/>
          <w:szCs w:val="24"/>
        </w:rPr>
        <w:t>1</w:t>
      </w:r>
      <w:proofErr w:type="gramEnd"/>
      <w:r w:rsidRPr="005C5D8A">
        <w:rPr>
          <w:rFonts w:ascii="Calibri" w:eastAsia="Calibri" w:hAnsi="Calibri" w:cs="Calibri"/>
          <w:sz w:val="24"/>
          <w:szCs w:val="24"/>
        </w:rPr>
        <w:t xml:space="preserve"> e 2) ou de assunção (dos </w:t>
      </w:r>
      <w:proofErr w:type="spellStart"/>
      <w:r w:rsidRPr="005C5D8A">
        <w:rPr>
          <w:rFonts w:ascii="Calibri" w:eastAsia="Calibri" w:hAnsi="Calibri" w:cs="Calibri"/>
          <w:sz w:val="24"/>
          <w:szCs w:val="24"/>
        </w:rPr>
        <w:t>VAFs</w:t>
      </w:r>
      <w:proofErr w:type="spellEnd"/>
      <w:r w:rsidRPr="005C5D8A">
        <w:rPr>
          <w:rFonts w:ascii="Calibri" w:eastAsia="Calibri" w:hAnsi="Calibri" w:cs="Calibri"/>
          <w:sz w:val="24"/>
          <w:szCs w:val="24"/>
        </w:rPr>
        <w:t xml:space="preserve"> 3 e 4), totalizando R$ </w:t>
      </w:r>
      <w:r w:rsidR="64087081" w:rsidRPr="005C5D8A">
        <w:rPr>
          <w:rFonts w:ascii="Calibri" w:eastAsia="Calibri" w:hAnsi="Calibri" w:cs="Calibri"/>
          <w:sz w:val="24"/>
          <w:szCs w:val="24"/>
        </w:rPr>
        <w:t>186</w:t>
      </w:r>
      <w:r w:rsidRPr="005C5D8A">
        <w:rPr>
          <w:rFonts w:ascii="Calibri" w:eastAsia="Calibri" w:hAnsi="Calibri" w:cs="Calibri"/>
          <w:sz w:val="24"/>
          <w:szCs w:val="24"/>
        </w:rPr>
        <w:t xml:space="preserve"> bilhões</w:t>
      </w:r>
      <w:r w:rsidR="64087081" w:rsidRPr="005C5D8A">
        <w:rPr>
          <w:rFonts w:ascii="Calibri" w:eastAsia="Calibri" w:hAnsi="Calibri" w:cs="Calibri"/>
          <w:sz w:val="24"/>
          <w:szCs w:val="24"/>
        </w:rPr>
        <w:t>,</w:t>
      </w:r>
      <w:r w:rsidRPr="005C5D8A">
        <w:rPr>
          <w:rFonts w:ascii="Calibri" w:eastAsia="Calibri" w:hAnsi="Calibri" w:cs="Calibri"/>
          <w:sz w:val="24"/>
          <w:szCs w:val="24"/>
        </w:rPr>
        <w:t xml:space="preserve"> em valores posicionados em dezembro/2019. Os contratos estabelecem o pagamento mediante títulos de longo prazo denominados CVS, com vencimento em 1º de janeiro de 2027, mas que vêm pagando parcelas mensais de juros desde 1º de janeiro de 2005, e parcelas mensais do principal desde 1º de janeiro de 2009.</w:t>
      </w:r>
    </w:p>
    <w:p w14:paraId="3EF01FEB" w14:textId="1B7115C7" w:rsidR="00A1208D" w:rsidRPr="005C5D8A" w:rsidRDefault="00ED0455" w:rsidP="002E2CB8">
      <w:pPr>
        <w:spacing w:after="120" w:line="240" w:lineRule="auto"/>
        <w:ind w:firstLine="1418"/>
        <w:jc w:val="both"/>
      </w:pPr>
      <w:r w:rsidRPr="005C5D8A">
        <w:rPr>
          <w:rFonts w:ascii="Calibri" w:eastAsia="Calibri" w:hAnsi="Calibri" w:cs="Calibri"/>
          <w:sz w:val="24"/>
          <w:szCs w:val="24"/>
        </w:rPr>
        <w:t xml:space="preserve">Trata-se, assim, do maior passivo contingente da União em </w:t>
      </w:r>
      <w:r w:rsidR="64087081" w:rsidRPr="005C5D8A">
        <w:rPr>
          <w:rFonts w:ascii="Calibri" w:eastAsia="Calibri" w:hAnsi="Calibri" w:cs="Calibri"/>
          <w:sz w:val="24"/>
          <w:szCs w:val="24"/>
        </w:rPr>
        <w:t>regularização. A estimativa do estoque a ser ainda pago resulta: (i) da apuração dos saldos nos contratos já apresentados à habilitação (pelos agentes à Caixa); e (</w:t>
      </w:r>
      <w:proofErr w:type="spellStart"/>
      <w:r w:rsidR="64087081" w:rsidRPr="005C5D8A">
        <w:rPr>
          <w:rFonts w:ascii="Calibri" w:eastAsia="Calibri" w:hAnsi="Calibri" w:cs="Calibri"/>
          <w:sz w:val="24"/>
          <w:szCs w:val="24"/>
        </w:rPr>
        <w:t>ii</w:t>
      </w:r>
      <w:proofErr w:type="spellEnd"/>
      <w:r w:rsidR="64087081" w:rsidRPr="005C5D8A">
        <w:rPr>
          <w:rFonts w:ascii="Calibri" w:eastAsia="Calibri" w:hAnsi="Calibri" w:cs="Calibri"/>
          <w:sz w:val="24"/>
          <w:szCs w:val="24"/>
        </w:rPr>
        <w:t>) das avaliações atuariais periódicas efetuadas por empresa contratada pela Caixa,</w:t>
      </w:r>
      <w:r w:rsidRPr="005C5D8A">
        <w:rPr>
          <w:rFonts w:ascii="Calibri" w:eastAsia="Calibri" w:hAnsi="Calibri" w:cs="Calibri"/>
          <w:sz w:val="24"/>
          <w:szCs w:val="24"/>
        </w:rPr>
        <w:t xml:space="preserve"> e que inclui a parcela de contratos não apresentados à habilitação.</w:t>
      </w:r>
    </w:p>
    <w:p w14:paraId="7FD2F2C7" w14:textId="617BE376" w:rsidR="64087081" w:rsidRPr="005C5D8A" w:rsidRDefault="64087081" w:rsidP="002E2CB8">
      <w:pPr>
        <w:spacing w:after="120" w:line="240" w:lineRule="auto"/>
        <w:ind w:firstLine="1418"/>
        <w:jc w:val="both"/>
      </w:pPr>
      <w:r w:rsidRPr="005C5D8A">
        <w:rPr>
          <w:rFonts w:ascii="Calibri" w:eastAsia="Calibri" w:hAnsi="Calibri" w:cs="Calibri"/>
          <w:sz w:val="24"/>
          <w:szCs w:val="24"/>
        </w:rPr>
        <w:t>Adicionalmente, a MP nº 513/2010, convertida na Lei nº 12.409/2011, autorizou o FCVS a assumir, na forma disciplinada em ato do seu Conselho Curador - CCFCVS, direitos e obrigações do Seguro Habitacional do Sistema Financeiro da Habitação - SH/SFH e oferecer cobertura direta a contratos de financiamento habitacional averbados na Apólice do SH/SFH.</w:t>
      </w:r>
    </w:p>
    <w:p w14:paraId="4A68DE6F" w14:textId="633C6141" w:rsidR="00B0458B" w:rsidRPr="005C5D8A" w:rsidRDefault="000D17A6" w:rsidP="002E2CB8">
      <w:pPr>
        <w:spacing w:after="120" w:line="240" w:lineRule="auto"/>
        <w:ind w:firstLine="1418"/>
        <w:jc w:val="both"/>
        <w:rPr>
          <w:w w:val="105"/>
          <w:sz w:val="24"/>
          <w:szCs w:val="24"/>
        </w:rPr>
      </w:pPr>
      <w:r w:rsidRPr="005C5D8A">
        <w:rPr>
          <w:w w:val="105"/>
          <w:sz w:val="24"/>
          <w:szCs w:val="24"/>
        </w:rPr>
        <w:t>A</w:t>
      </w:r>
      <w:r w:rsidR="00651879" w:rsidRPr="005C5D8A">
        <w:rPr>
          <w:w w:val="105"/>
          <w:sz w:val="24"/>
          <w:szCs w:val="24"/>
        </w:rPr>
        <w:t xml:space="preserve"> </w:t>
      </w:r>
      <w:r w:rsidR="00DB7D3A" w:rsidRPr="005C5D8A">
        <w:rPr>
          <w:iCs/>
          <w:w w:val="105"/>
          <w:sz w:val="24"/>
          <w:szCs w:val="24"/>
        </w:rPr>
        <w:fldChar w:fldCharType="begin"/>
      </w:r>
      <w:r w:rsidR="00DB7D3A" w:rsidRPr="005C5D8A">
        <w:rPr>
          <w:iCs/>
          <w:w w:val="105"/>
          <w:sz w:val="24"/>
          <w:szCs w:val="24"/>
        </w:rPr>
        <w:instrText xml:space="preserve"> REF _Ref67389499 \h  \* MERGEFORMAT </w:instrText>
      </w:r>
      <w:r w:rsidR="00DB7D3A" w:rsidRPr="005C5D8A">
        <w:rPr>
          <w:iCs/>
          <w:w w:val="105"/>
          <w:sz w:val="24"/>
          <w:szCs w:val="24"/>
        </w:rPr>
      </w:r>
      <w:r w:rsidR="00DB7D3A" w:rsidRPr="005C5D8A">
        <w:rPr>
          <w:iCs/>
          <w:w w:val="105"/>
          <w:sz w:val="24"/>
          <w:szCs w:val="24"/>
        </w:rPr>
        <w:fldChar w:fldCharType="separate"/>
      </w:r>
      <w:r w:rsidR="00304F5F" w:rsidRPr="00304F5F">
        <w:rPr>
          <w:rFonts w:cstheme="minorHAnsi"/>
          <w:sz w:val="24"/>
          <w:szCs w:val="24"/>
        </w:rPr>
        <w:t>Tabela 23</w:t>
      </w:r>
      <w:r w:rsidR="00DB7D3A" w:rsidRPr="005C5D8A">
        <w:rPr>
          <w:w w:val="105"/>
          <w:sz w:val="24"/>
          <w:szCs w:val="24"/>
        </w:rPr>
        <w:fldChar w:fldCharType="end"/>
      </w:r>
      <w:r w:rsidR="008C41C4" w:rsidRPr="005C5D8A">
        <w:rPr>
          <w:w w:val="105"/>
          <w:sz w:val="24"/>
          <w:szCs w:val="24"/>
        </w:rPr>
        <w:t xml:space="preserve"> </w:t>
      </w:r>
      <w:r w:rsidR="00980227" w:rsidRPr="005C5D8A">
        <w:rPr>
          <w:rFonts w:ascii="Calibri" w:eastAsia="Calibri" w:hAnsi="Calibri" w:cs="Calibri"/>
          <w:sz w:val="24"/>
          <w:szCs w:val="24"/>
        </w:rPr>
        <w:t>demonstra a evolução da regularização dos passivos</w:t>
      </w:r>
      <w:r w:rsidR="008E0305" w:rsidRPr="005C5D8A">
        <w:rPr>
          <w:rFonts w:ascii="Calibri" w:eastAsia="Calibri" w:hAnsi="Calibri" w:cs="Calibri"/>
          <w:sz w:val="24"/>
          <w:szCs w:val="24"/>
        </w:rPr>
        <w:t xml:space="preserve"> contingentes</w:t>
      </w:r>
      <w:r w:rsidR="00980227" w:rsidRPr="005C5D8A">
        <w:rPr>
          <w:rFonts w:ascii="Calibri" w:eastAsia="Calibri" w:hAnsi="Calibri" w:cs="Calibri"/>
          <w:sz w:val="24"/>
          <w:szCs w:val="24"/>
        </w:rPr>
        <w:t xml:space="preserve"> nos últimos três exercícios</w:t>
      </w:r>
      <w:r w:rsidR="006C248F" w:rsidRPr="005C5D8A">
        <w:rPr>
          <w:rFonts w:ascii="Calibri" w:eastAsia="Calibri" w:hAnsi="Calibri" w:cs="Calibri"/>
          <w:sz w:val="24"/>
          <w:szCs w:val="24"/>
        </w:rPr>
        <w:t>,</w:t>
      </w:r>
      <w:r w:rsidR="00980227" w:rsidRPr="005C5D8A">
        <w:rPr>
          <w:rFonts w:ascii="Calibri" w:eastAsia="Calibri" w:hAnsi="Calibri" w:cs="Calibri"/>
          <w:sz w:val="24"/>
          <w:szCs w:val="24"/>
        </w:rPr>
        <w:t xml:space="preserve"> segregados conforme os agrupamentos indicados no item anterior.</w:t>
      </w:r>
    </w:p>
    <w:p w14:paraId="5EF5A8F3" w14:textId="646BC5D2" w:rsidR="000D17A6" w:rsidRDefault="000D17A6" w:rsidP="004D4CB8">
      <w:pPr>
        <w:pStyle w:val="Legenda"/>
        <w:jc w:val="center"/>
      </w:pPr>
      <w:bookmarkStart w:id="232" w:name="_Ref67389499"/>
      <w:bookmarkStart w:id="233" w:name="_Toc5027593"/>
      <w:bookmarkStart w:id="234" w:name="_Toc69121369"/>
      <w:r w:rsidRPr="004D4CB8">
        <w:rPr>
          <w:rFonts w:asciiTheme="minorHAnsi" w:hAnsiTheme="minorHAnsi" w:cstheme="minorHAnsi"/>
          <w:i w:val="0"/>
          <w:color w:val="auto"/>
          <w:sz w:val="22"/>
          <w:szCs w:val="22"/>
        </w:rPr>
        <w:t xml:space="preserve">Tabela </w:t>
      </w:r>
      <w:r w:rsidRPr="004D4CB8">
        <w:rPr>
          <w:rFonts w:asciiTheme="minorHAnsi" w:hAnsiTheme="minorHAnsi" w:cstheme="minorHAnsi"/>
          <w:i w:val="0"/>
          <w:color w:val="auto"/>
          <w:sz w:val="22"/>
          <w:szCs w:val="22"/>
        </w:rPr>
        <w:fldChar w:fldCharType="begin"/>
      </w:r>
      <w:r w:rsidRPr="004D4CB8">
        <w:rPr>
          <w:rFonts w:asciiTheme="minorHAnsi" w:hAnsiTheme="minorHAnsi" w:cstheme="minorHAnsi"/>
          <w:i w:val="0"/>
          <w:color w:val="auto"/>
          <w:sz w:val="22"/>
          <w:szCs w:val="22"/>
        </w:rPr>
        <w:instrText xml:space="preserve"> SEQ Tabela \* ARABIC </w:instrText>
      </w:r>
      <w:r w:rsidRPr="004D4CB8">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23</w:t>
      </w:r>
      <w:r w:rsidRPr="004D4CB8">
        <w:rPr>
          <w:rFonts w:asciiTheme="minorHAnsi" w:hAnsiTheme="minorHAnsi" w:cstheme="minorHAnsi"/>
          <w:i w:val="0"/>
          <w:color w:val="auto"/>
          <w:sz w:val="22"/>
          <w:szCs w:val="22"/>
        </w:rPr>
        <w:fldChar w:fldCharType="end"/>
      </w:r>
      <w:bookmarkEnd w:id="232"/>
      <w:r w:rsidR="00CA2A08" w:rsidRPr="004D4CB8">
        <w:rPr>
          <w:rFonts w:asciiTheme="minorHAnsi" w:hAnsiTheme="minorHAnsi" w:cstheme="minorHAnsi"/>
          <w:i w:val="0"/>
          <w:color w:val="auto"/>
          <w:sz w:val="22"/>
          <w:szCs w:val="22"/>
        </w:rPr>
        <w:t xml:space="preserve"> </w:t>
      </w:r>
      <w:r w:rsidR="009E4781" w:rsidRPr="004D4CB8">
        <w:rPr>
          <w:rFonts w:asciiTheme="minorHAnsi" w:hAnsiTheme="minorHAnsi" w:cstheme="minorHAnsi"/>
          <w:i w:val="0"/>
          <w:color w:val="auto"/>
          <w:sz w:val="22"/>
          <w:szCs w:val="22"/>
        </w:rPr>
        <w:t>-</w:t>
      </w:r>
      <w:r w:rsidR="00CA2A08" w:rsidRPr="004D4CB8">
        <w:rPr>
          <w:rFonts w:asciiTheme="minorHAnsi" w:hAnsiTheme="minorHAnsi" w:cstheme="minorHAnsi"/>
          <w:i w:val="0"/>
          <w:color w:val="auto"/>
          <w:sz w:val="22"/>
          <w:szCs w:val="22"/>
        </w:rPr>
        <w:t xml:space="preserve"> </w:t>
      </w:r>
      <w:r w:rsidRPr="005C5D8A">
        <w:rPr>
          <w:rFonts w:asciiTheme="minorHAnsi" w:hAnsiTheme="minorHAnsi"/>
          <w:i w:val="0"/>
          <w:color w:val="auto"/>
          <w:sz w:val="22"/>
          <w:szCs w:val="22"/>
        </w:rPr>
        <w:t>Obrigações oriundas de passivos contingentes regularizadas e</w:t>
      </w:r>
      <w:r w:rsidR="0070353D" w:rsidRPr="005C5D8A">
        <w:rPr>
          <w:rFonts w:asciiTheme="minorHAnsi" w:hAnsiTheme="minorHAnsi"/>
          <w:i w:val="0"/>
          <w:color w:val="auto"/>
          <w:sz w:val="22"/>
          <w:szCs w:val="22"/>
        </w:rPr>
        <w:t>ntre</w:t>
      </w:r>
      <w:r w:rsidRPr="005C5D8A">
        <w:rPr>
          <w:rFonts w:asciiTheme="minorHAnsi" w:hAnsiTheme="minorHAnsi"/>
          <w:i w:val="0"/>
          <w:color w:val="auto"/>
          <w:sz w:val="22"/>
          <w:szCs w:val="22"/>
        </w:rPr>
        <w:t xml:space="preserve"> </w:t>
      </w:r>
      <w:bookmarkEnd w:id="233"/>
      <w:r w:rsidRPr="005C5D8A">
        <w:rPr>
          <w:rFonts w:asciiTheme="minorHAnsi" w:hAnsiTheme="minorHAnsi"/>
          <w:i w:val="0"/>
          <w:iCs w:val="0"/>
          <w:color w:val="auto"/>
          <w:sz w:val="22"/>
          <w:szCs w:val="22"/>
        </w:rPr>
        <w:t>201</w:t>
      </w:r>
      <w:r w:rsidR="7C1D6409" w:rsidRPr="005C5D8A">
        <w:rPr>
          <w:rFonts w:asciiTheme="minorHAnsi" w:hAnsiTheme="minorHAnsi"/>
          <w:i w:val="0"/>
          <w:iCs w:val="0"/>
          <w:color w:val="auto"/>
          <w:sz w:val="22"/>
          <w:szCs w:val="22"/>
        </w:rPr>
        <w:t>8</w:t>
      </w:r>
      <w:r w:rsidR="2398F1AC" w:rsidRPr="005C5D8A">
        <w:rPr>
          <w:rFonts w:asciiTheme="minorHAnsi" w:hAnsiTheme="minorHAnsi"/>
          <w:i w:val="0"/>
          <w:iCs w:val="0"/>
          <w:color w:val="auto"/>
          <w:sz w:val="22"/>
          <w:szCs w:val="22"/>
        </w:rPr>
        <w:t xml:space="preserve"> </w:t>
      </w:r>
      <w:r w:rsidRPr="005C5D8A">
        <w:rPr>
          <w:rFonts w:asciiTheme="minorHAnsi" w:hAnsiTheme="minorHAnsi"/>
          <w:i w:val="0"/>
          <w:iCs w:val="0"/>
          <w:color w:val="auto"/>
          <w:sz w:val="22"/>
          <w:szCs w:val="22"/>
        </w:rPr>
        <w:t>e 20</w:t>
      </w:r>
      <w:r w:rsidR="040E7989" w:rsidRPr="005C5D8A">
        <w:rPr>
          <w:rFonts w:asciiTheme="minorHAnsi" w:hAnsiTheme="minorHAnsi"/>
          <w:i w:val="0"/>
          <w:iCs w:val="0"/>
          <w:color w:val="auto"/>
          <w:sz w:val="22"/>
          <w:szCs w:val="22"/>
        </w:rPr>
        <w:t>20</w:t>
      </w:r>
      <w:bookmarkEnd w:id="234"/>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05"/>
        <w:gridCol w:w="1066"/>
        <w:gridCol w:w="1061"/>
        <w:gridCol w:w="1067"/>
        <w:gridCol w:w="1043"/>
        <w:gridCol w:w="1067"/>
        <w:gridCol w:w="1051"/>
        <w:gridCol w:w="1803"/>
      </w:tblGrid>
      <w:tr w:rsidR="005C5D8A" w:rsidRPr="005C5D8A" w14:paraId="7DDF9705" w14:textId="77777777" w:rsidTr="5F53DBAA">
        <w:trPr>
          <w:trHeight w:val="20"/>
          <w:tblHeader/>
          <w:jc w:val="center"/>
        </w:trPr>
        <w:tc>
          <w:tcPr>
            <w:tcW w:w="5000" w:type="pct"/>
            <w:gridSpan w:val="8"/>
            <w:tcBorders>
              <w:top w:val="nil"/>
              <w:left w:val="nil"/>
              <w:bottom w:val="single" w:sz="4" w:space="0" w:color="BFBFBF" w:themeColor="background1" w:themeShade="BF"/>
              <w:right w:val="nil"/>
            </w:tcBorders>
          </w:tcPr>
          <w:p w14:paraId="3E2A7537" w14:textId="1A3295DA" w:rsidR="005B7EE4" w:rsidRPr="005C5D8A" w:rsidRDefault="005B7EE4" w:rsidP="005B7EE4">
            <w:pPr>
              <w:spacing w:after="0" w:line="240" w:lineRule="auto"/>
              <w:jc w:val="right"/>
              <w:rPr>
                <w:rFonts w:eastAsia="Times New Roman" w:cs="Times New Roman"/>
                <w:i/>
                <w:sz w:val="16"/>
                <w:szCs w:val="16"/>
                <w:lang w:eastAsia="pt-BR"/>
              </w:rPr>
            </w:pPr>
            <w:r w:rsidRPr="005C5D8A">
              <w:rPr>
                <w:rFonts w:eastAsia="Times New Roman" w:cs="Times New Roman"/>
                <w:i/>
                <w:sz w:val="16"/>
                <w:szCs w:val="16"/>
                <w:lang w:eastAsia="pt-BR"/>
              </w:rPr>
              <w:t>Em R$ milhões</w:t>
            </w:r>
          </w:p>
        </w:tc>
      </w:tr>
      <w:tr w:rsidR="005C5D8A" w:rsidRPr="005C5D8A" w14:paraId="005D55DD" w14:textId="77777777" w:rsidTr="5F53DBAA">
        <w:trPr>
          <w:trHeight w:val="20"/>
          <w:tblHeader/>
          <w:jc w:val="center"/>
        </w:trPr>
        <w:tc>
          <w:tcPr>
            <w:tcW w:w="947" w:type="pct"/>
            <w:vMerge w:val="restart"/>
            <w:tcBorders>
              <w:top w:val="single" w:sz="4" w:space="0" w:color="BFBFBF" w:themeColor="background1" w:themeShade="BF"/>
            </w:tcBorders>
            <w:shd w:val="clear" w:color="auto" w:fill="404040" w:themeFill="text1" w:themeFillTint="BF"/>
            <w:vAlign w:val="center"/>
            <w:hideMark/>
          </w:tcPr>
          <w:p w14:paraId="05B18512" w14:textId="77777777" w:rsidR="007F39C8" w:rsidRPr="00CF59D6" w:rsidRDefault="007F39C8"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Classificação</w:t>
            </w:r>
          </w:p>
        </w:tc>
        <w:tc>
          <w:tcPr>
            <w:tcW w:w="1057" w:type="pct"/>
            <w:gridSpan w:val="2"/>
            <w:tcBorders>
              <w:top w:val="single" w:sz="4" w:space="0" w:color="BFBFBF" w:themeColor="background1" w:themeShade="BF"/>
            </w:tcBorders>
            <w:shd w:val="clear" w:color="auto" w:fill="404040" w:themeFill="text1" w:themeFillTint="BF"/>
            <w:vAlign w:val="center"/>
            <w:hideMark/>
          </w:tcPr>
          <w:p w14:paraId="78E38293" w14:textId="03CCA310" w:rsidR="007F39C8" w:rsidRPr="00CF59D6" w:rsidRDefault="5913582B"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201</w:t>
            </w:r>
            <w:r w:rsidR="0F09EC31" w:rsidRPr="00CF59D6">
              <w:rPr>
                <w:rFonts w:eastAsia="Times New Roman" w:cs="Times New Roman"/>
                <w:b/>
                <w:bCs/>
                <w:color w:val="FFFFFF" w:themeColor="background1"/>
                <w:sz w:val="20"/>
                <w:szCs w:val="20"/>
                <w:lang w:eastAsia="pt-BR"/>
              </w:rPr>
              <w:t>8</w:t>
            </w:r>
          </w:p>
        </w:tc>
        <w:tc>
          <w:tcPr>
            <w:tcW w:w="1048" w:type="pct"/>
            <w:gridSpan w:val="2"/>
            <w:tcBorders>
              <w:top w:val="single" w:sz="4" w:space="0" w:color="BFBFBF" w:themeColor="background1" w:themeShade="BF"/>
            </w:tcBorders>
            <w:shd w:val="clear" w:color="auto" w:fill="404040" w:themeFill="text1" w:themeFillTint="BF"/>
            <w:vAlign w:val="center"/>
            <w:hideMark/>
          </w:tcPr>
          <w:p w14:paraId="07550226" w14:textId="7B6947EC" w:rsidR="007F39C8" w:rsidRPr="00CF59D6" w:rsidRDefault="5913582B"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201</w:t>
            </w:r>
            <w:r w:rsidR="290B0B36" w:rsidRPr="00CF59D6">
              <w:rPr>
                <w:rFonts w:eastAsia="Times New Roman" w:cs="Times New Roman"/>
                <w:b/>
                <w:bCs/>
                <w:color w:val="FFFFFF" w:themeColor="background1"/>
                <w:sz w:val="20"/>
                <w:szCs w:val="20"/>
                <w:lang w:eastAsia="pt-BR"/>
              </w:rPr>
              <w:t>9</w:t>
            </w:r>
          </w:p>
        </w:tc>
        <w:tc>
          <w:tcPr>
            <w:tcW w:w="1052" w:type="pct"/>
            <w:gridSpan w:val="2"/>
            <w:tcBorders>
              <w:top w:val="single" w:sz="4" w:space="0" w:color="BFBFBF" w:themeColor="background1" w:themeShade="BF"/>
            </w:tcBorders>
            <w:shd w:val="clear" w:color="auto" w:fill="404040" w:themeFill="text1" w:themeFillTint="BF"/>
            <w:vAlign w:val="center"/>
          </w:tcPr>
          <w:p w14:paraId="2849EEFA" w14:textId="0FF9DDAA" w:rsidR="003326A5" w:rsidRPr="00CF59D6" w:rsidRDefault="27665DAA"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20</w:t>
            </w:r>
            <w:r w:rsidR="1F88576C" w:rsidRPr="00CF59D6">
              <w:rPr>
                <w:rFonts w:eastAsia="Times New Roman" w:cs="Times New Roman"/>
                <w:b/>
                <w:bCs/>
                <w:color w:val="FFFFFF" w:themeColor="background1"/>
                <w:sz w:val="20"/>
                <w:szCs w:val="20"/>
                <w:lang w:eastAsia="pt-BR"/>
              </w:rPr>
              <w:t>20</w:t>
            </w:r>
          </w:p>
        </w:tc>
        <w:tc>
          <w:tcPr>
            <w:tcW w:w="896" w:type="pct"/>
            <w:vMerge w:val="restart"/>
            <w:tcBorders>
              <w:top w:val="single" w:sz="4" w:space="0" w:color="BFBFBF" w:themeColor="background1" w:themeShade="BF"/>
            </w:tcBorders>
            <w:shd w:val="clear" w:color="auto" w:fill="404040" w:themeFill="text1" w:themeFillTint="BF"/>
            <w:vAlign w:val="center"/>
            <w:hideMark/>
          </w:tcPr>
          <w:p w14:paraId="63401FA7" w14:textId="14309ED4" w:rsidR="005B7EE4" w:rsidRPr="00CF59D6" w:rsidRDefault="007F39C8"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Títulos utilizados</w:t>
            </w:r>
          </w:p>
          <w:p w14:paraId="2E0B3E2F" w14:textId="77777777" w:rsidR="007F39C8" w:rsidRPr="00CF59D6" w:rsidRDefault="007F39C8" w:rsidP="005B7EE4">
            <w:pPr>
              <w:spacing w:after="0" w:line="240" w:lineRule="auto"/>
              <w:jc w:val="center"/>
              <w:rPr>
                <w:rFonts w:eastAsia="Times New Roman" w:cs="Times New Roman"/>
                <w:b/>
                <w:bCs/>
                <w:color w:val="FFFFFF" w:themeColor="background1"/>
                <w:sz w:val="18"/>
                <w:szCs w:val="18"/>
                <w:lang w:eastAsia="pt-BR"/>
              </w:rPr>
            </w:pPr>
            <w:proofErr w:type="gramStart"/>
            <w:r w:rsidRPr="00CF59D6">
              <w:rPr>
                <w:rFonts w:eastAsia="Times New Roman" w:cs="Times New Roman"/>
                <w:b/>
                <w:bCs/>
                <w:color w:val="FFFFFF" w:themeColor="background1"/>
                <w:sz w:val="20"/>
                <w:szCs w:val="20"/>
                <w:lang w:eastAsia="pt-BR"/>
              </w:rPr>
              <w:t>no</w:t>
            </w:r>
            <w:proofErr w:type="gramEnd"/>
            <w:r w:rsidRPr="00CF59D6">
              <w:rPr>
                <w:rFonts w:eastAsia="Times New Roman" w:cs="Times New Roman"/>
                <w:b/>
                <w:bCs/>
                <w:color w:val="FFFFFF" w:themeColor="background1"/>
                <w:sz w:val="20"/>
                <w:szCs w:val="20"/>
                <w:lang w:eastAsia="pt-BR"/>
              </w:rPr>
              <w:t xml:space="preserve"> pagamento</w:t>
            </w:r>
          </w:p>
        </w:tc>
      </w:tr>
      <w:tr w:rsidR="005C5D8A" w:rsidRPr="005C5D8A" w14:paraId="182FC9C4" w14:textId="77777777" w:rsidTr="5F53DBAA">
        <w:trPr>
          <w:trHeight w:val="20"/>
          <w:jc w:val="center"/>
        </w:trPr>
        <w:tc>
          <w:tcPr>
            <w:tcW w:w="947" w:type="pct"/>
            <w:vMerge/>
            <w:vAlign w:val="center"/>
            <w:hideMark/>
          </w:tcPr>
          <w:p w14:paraId="17B3A906" w14:textId="77777777" w:rsidR="007F39C8" w:rsidRPr="005C5D8A" w:rsidRDefault="007F39C8" w:rsidP="005B7EE4">
            <w:pPr>
              <w:spacing w:after="0" w:line="240" w:lineRule="auto"/>
              <w:rPr>
                <w:rFonts w:eastAsia="Times New Roman" w:cs="Times New Roman"/>
                <w:sz w:val="20"/>
                <w:szCs w:val="20"/>
                <w:lang w:eastAsia="pt-BR"/>
              </w:rPr>
            </w:pPr>
          </w:p>
        </w:tc>
        <w:tc>
          <w:tcPr>
            <w:tcW w:w="530" w:type="pct"/>
            <w:shd w:val="clear" w:color="auto" w:fill="404040" w:themeFill="text1" w:themeFillTint="BF"/>
            <w:vAlign w:val="center"/>
            <w:hideMark/>
          </w:tcPr>
          <w:p w14:paraId="62680553" w14:textId="77777777" w:rsidR="007F39C8" w:rsidRPr="00CF59D6" w:rsidRDefault="007F39C8"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Executado</w:t>
            </w:r>
          </w:p>
        </w:tc>
        <w:tc>
          <w:tcPr>
            <w:tcW w:w="527" w:type="pct"/>
            <w:shd w:val="clear" w:color="auto" w:fill="404040" w:themeFill="text1" w:themeFillTint="BF"/>
            <w:vAlign w:val="center"/>
            <w:hideMark/>
          </w:tcPr>
          <w:p w14:paraId="4BA1278F" w14:textId="3EED13F2" w:rsidR="007F39C8" w:rsidRPr="00CF59D6" w:rsidRDefault="007F39C8"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Previsto</w:t>
            </w:r>
            <w:r w:rsidRPr="00CF59D6">
              <w:rPr>
                <w:rFonts w:eastAsia="Times New Roman" w:cs="Times New Roman"/>
                <w:b/>
                <w:bCs/>
                <w:color w:val="FFFFFF" w:themeColor="background1"/>
                <w:sz w:val="20"/>
                <w:szCs w:val="20"/>
                <w:vertAlign w:val="superscript"/>
                <w:lang w:eastAsia="pt-BR"/>
              </w:rPr>
              <w:t xml:space="preserve"> </w:t>
            </w:r>
            <w:proofErr w:type="gramStart"/>
            <w:r w:rsidR="00594113" w:rsidRPr="00CF59D6">
              <w:rPr>
                <w:rFonts w:eastAsia="Times New Roman" w:cs="Times New Roman"/>
                <w:b/>
                <w:bCs/>
                <w:color w:val="FFFFFF" w:themeColor="background1"/>
                <w:sz w:val="20"/>
                <w:szCs w:val="20"/>
                <w:vertAlign w:val="superscript"/>
                <w:lang w:eastAsia="pt-BR"/>
              </w:rPr>
              <w:t>1</w:t>
            </w:r>
            <w:proofErr w:type="gramEnd"/>
          </w:p>
        </w:tc>
        <w:tc>
          <w:tcPr>
            <w:tcW w:w="530" w:type="pct"/>
            <w:shd w:val="clear" w:color="auto" w:fill="404040" w:themeFill="text1" w:themeFillTint="BF"/>
            <w:vAlign w:val="center"/>
            <w:hideMark/>
          </w:tcPr>
          <w:p w14:paraId="00778646" w14:textId="77777777" w:rsidR="007F39C8" w:rsidRPr="00CF59D6" w:rsidRDefault="007F39C8"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Executado</w:t>
            </w:r>
          </w:p>
        </w:tc>
        <w:tc>
          <w:tcPr>
            <w:tcW w:w="518" w:type="pct"/>
            <w:shd w:val="clear" w:color="auto" w:fill="404040" w:themeFill="text1" w:themeFillTint="BF"/>
            <w:vAlign w:val="center"/>
            <w:hideMark/>
          </w:tcPr>
          <w:p w14:paraId="0466DF6F" w14:textId="1008BC92" w:rsidR="007F39C8" w:rsidRPr="00CF59D6" w:rsidRDefault="007F39C8" w:rsidP="005B7EE4">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Previsto</w:t>
            </w:r>
            <w:r w:rsidRPr="00CF59D6">
              <w:rPr>
                <w:rFonts w:eastAsia="Times New Roman" w:cs="Times New Roman"/>
                <w:b/>
                <w:bCs/>
                <w:color w:val="FFFFFF" w:themeColor="background1"/>
                <w:sz w:val="20"/>
                <w:szCs w:val="20"/>
                <w:vertAlign w:val="superscript"/>
                <w:lang w:eastAsia="pt-BR"/>
              </w:rPr>
              <w:t xml:space="preserve"> </w:t>
            </w:r>
            <w:proofErr w:type="gramStart"/>
            <w:r w:rsidR="00594113" w:rsidRPr="00CF59D6">
              <w:rPr>
                <w:rFonts w:eastAsia="Times New Roman" w:cs="Times New Roman"/>
                <w:b/>
                <w:bCs/>
                <w:color w:val="FFFFFF" w:themeColor="background1"/>
                <w:sz w:val="20"/>
                <w:szCs w:val="20"/>
                <w:vertAlign w:val="superscript"/>
                <w:lang w:eastAsia="pt-BR"/>
              </w:rPr>
              <w:t>1</w:t>
            </w:r>
            <w:proofErr w:type="gramEnd"/>
          </w:p>
        </w:tc>
        <w:tc>
          <w:tcPr>
            <w:tcW w:w="530" w:type="pct"/>
            <w:shd w:val="clear" w:color="auto" w:fill="404040" w:themeFill="text1" w:themeFillTint="BF"/>
            <w:vAlign w:val="center"/>
          </w:tcPr>
          <w:p w14:paraId="5C070AD1" w14:textId="18161D1E" w:rsidR="00533004" w:rsidRPr="00CF59D6" w:rsidRDefault="00533004" w:rsidP="00341309">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Executado</w:t>
            </w:r>
          </w:p>
        </w:tc>
        <w:tc>
          <w:tcPr>
            <w:tcW w:w="522" w:type="pct"/>
            <w:shd w:val="clear" w:color="auto" w:fill="404040" w:themeFill="text1" w:themeFillTint="BF"/>
            <w:vAlign w:val="center"/>
          </w:tcPr>
          <w:p w14:paraId="4E20BABE" w14:textId="577EDAE9" w:rsidR="003326A5" w:rsidRPr="00CF59D6" w:rsidRDefault="00533004" w:rsidP="00341309">
            <w:pPr>
              <w:spacing w:after="0" w:line="240" w:lineRule="auto"/>
              <w:jc w:val="center"/>
              <w:rPr>
                <w:rFonts w:eastAsia="Times New Roman" w:cs="Times New Roman"/>
                <w:b/>
                <w:bCs/>
                <w:color w:val="FFFFFF" w:themeColor="background1"/>
                <w:sz w:val="20"/>
                <w:szCs w:val="20"/>
                <w:lang w:eastAsia="pt-BR"/>
              </w:rPr>
            </w:pPr>
            <w:r w:rsidRPr="00CF59D6">
              <w:rPr>
                <w:rFonts w:eastAsia="Times New Roman" w:cs="Times New Roman"/>
                <w:b/>
                <w:bCs/>
                <w:color w:val="FFFFFF" w:themeColor="background1"/>
                <w:sz w:val="20"/>
                <w:szCs w:val="20"/>
                <w:lang w:eastAsia="pt-BR"/>
              </w:rPr>
              <w:t>Previsto</w:t>
            </w:r>
            <w:r w:rsidRPr="00CF59D6">
              <w:rPr>
                <w:rFonts w:eastAsia="Times New Roman" w:cs="Times New Roman"/>
                <w:b/>
                <w:bCs/>
                <w:color w:val="FFFFFF" w:themeColor="background1"/>
                <w:sz w:val="20"/>
                <w:szCs w:val="20"/>
                <w:vertAlign w:val="superscript"/>
                <w:lang w:eastAsia="pt-BR"/>
              </w:rPr>
              <w:t xml:space="preserve"> </w:t>
            </w:r>
            <w:proofErr w:type="gramStart"/>
            <w:r w:rsidR="00594113" w:rsidRPr="00CF59D6">
              <w:rPr>
                <w:rFonts w:eastAsia="Times New Roman" w:cs="Times New Roman"/>
                <w:b/>
                <w:bCs/>
                <w:color w:val="FFFFFF" w:themeColor="background1"/>
                <w:sz w:val="20"/>
                <w:szCs w:val="20"/>
                <w:vertAlign w:val="superscript"/>
                <w:lang w:eastAsia="pt-BR"/>
              </w:rPr>
              <w:t>1</w:t>
            </w:r>
            <w:proofErr w:type="gramEnd"/>
          </w:p>
        </w:tc>
        <w:tc>
          <w:tcPr>
            <w:tcW w:w="896" w:type="pct"/>
            <w:vMerge/>
            <w:vAlign w:val="center"/>
            <w:hideMark/>
          </w:tcPr>
          <w:p w14:paraId="79965B0C" w14:textId="74DFF0AB" w:rsidR="007F39C8" w:rsidRPr="001E16BB" w:rsidRDefault="007F39C8" w:rsidP="005B7EE4">
            <w:pPr>
              <w:spacing w:after="0" w:line="240" w:lineRule="auto"/>
              <w:rPr>
                <w:rFonts w:eastAsia="Times New Roman" w:cs="Times New Roman"/>
                <w:b/>
                <w:color w:val="FFFFFF" w:themeColor="background1"/>
                <w:sz w:val="18"/>
                <w:szCs w:val="18"/>
                <w:lang w:eastAsia="pt-BR"/>
              </w:rPr>
            </w:pPr>
          </w:p>
        </w:tc>
      </w:tr>
      <w:tr w:rsidR="005C5D8A" w:rsidRPr="005C5D8A" w14:paraId="14D6180D" w14:textId="77777777" w:rsidTr="5F53DBAA">
        <w:trPr>
          <w:trHeight w:val="334"/>
          <w:jc w:val="center"/>
        </w:trPr>
        <w:tc>
          <w:tcPr>
            <w:tcW w:w="947" w:type="pct"/>
            <w:shd w:val="clear" w:color="auto" w:fill="FFFFFF" w:themeFill="background1"/>
            <w:vAlign w:val="center"/>
            <w:hideMark/>
          </w:tcPr>
          <w:p w14:paraId="7C5C15BA" w14:textId="77777777" w:rsidR="007F39C8" w:rsidRPr="005C5D8A" w:rsidRDefault="007F39C8" w:rsidP="005B7EE4">
            <w:pPr>
              <w:spacing w:after="0" w:line="240" w:lineRule="auto"/>
              <w:rPr>
                <w:rFonts w:eastAsia="Times New Roman" w:cs="Times New Roman"/>
                <w:sz w:val="18"/>
                <w:szCs w:val="18"/>
                <w:lang w:eastAsia="pt-BR"/>
              </w:rPr>
            </w:pPr>
            <w:r w:rsidRPr="005C5D8A">
              <w:rPr>
                <w:rFonts w:eastAsia="Times New Roman" w:cs="Times New Roman"/>
                <w:sz w:val="18"/>
                <w:szCs w:val="18"/>
                <w:lang w:eastAsia="pt-BR"/>
              </w:rPr>
              <w:t>Extinção de entidades</w:t>
            </w:r>
          </w:p>
        </w:tc>
        <w:tc>
          <w:tcPr>
            <w:tcW w:w="530" w:type="pct"/>
            <w:shd w:val="clear" w:color="auto" w:fill="FFFFFF" w:themeFill="background1"/>
            <w:vAlign w:val="center"/>
            <w:hideMark/>
          </w:tcPr>
          <w:p w14:paraId="73BA833E" w14:textId="5D5728CB" w:rsidR="007F39C8" w:rsidRPr="005C5D8A" w:rsidRDefault="589DC085"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146,9</w:t>
            </w:r>
          </w:p>
        </w:tc>
        <w:tc>
          <w:tcPr>
            <w:tcW w:w="527" w:type="pct"/>
            <w:vMerge w:val="restart"/>
            <w:shd w:val="clear" w:color="auto" w:fill="FFFFFF" w:themeFill="background1"/>
            <w:noWrap/>
            <w:vAlign w:val="center"/>
            <w:hideMark/>
          </w:tcPr>
          <w:p w14:paraId="5549D955" w14:textId="37213AE6" w:rsidR="007F39C8" w:rsidRPr="005C5D8A" w:rsidRDefault="56739996"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5.500</w:t>
            </w:r>
            <w:r w:rsidR="007F39C8" w:rsidRPr="005C5D8A">
              <w:rPr>
                <w:rFonts w:eastAsiaTheme="minorEastAsia"/>
                <w:sz w:val="18"/>
                <w:szCs w:val="18"/>
                <w:lang w:eastAsia="pt-BR"/>
              </w:rPr>
              <w:t>,0</w:t>
            </w:r>
          </w:p>
        </w:tc>
        <w:tc>
          <w:tcPr>
            <w:tcW w:w="530" w:type="pct"/>
            <w:shd w:val="clear" w:color="auto" w:fill="FFFFFF" w:themeFill="background1"/>
            <w:vAlign w:val="center"/>
            <w:hideMark/>
          </w:tcPr>
          <w:p w14:paraId="0D237CCE" w14:textId="36E64EBA" w:rsidR="007F39C8" w:rsidRPr="005C5D8A" w:rsidRDefault="3623A915"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13</w:t>
            </w:r>
            <w:r w:rsidR="007F39C8" w:rsidRPr="005C5D8A">
              <w:rPr>
                <w:rFonts w:eastAsiaTheme="minorEastAsia"/>
                <w:sz w:val="18"/>
                <w:szCs w:val="18"/>
                <w:lang w:eastAsia="pt-BR"/>
              </w:rPr>
              <w:t>,9</w:t>
            </w:r>
          </w:p>
        </w:tc>
        <w:tc>
          <w:tcPr>
            <w:tcW w:w="518" w:type="pct"/>
            <w:vMerge w:val="restart"/>
            <w:shd w:val="clear" w:color="auto" w:fill="FFFFFF" w:themeFill="background1"/>
            <w:noWrap/>
            <w:vAlign w:val="center"/>
            <w:hideMark/>
          </w:tcPr>
          <w:p w14:paraId="2577A608" w14:textId="1152D2DE" w:rsidR="007F39C8" w:rsidRPr="005C5D8A" w:rsidRDefault="007F39C8"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5.</w:t>
            </w:r>
            <w:r w:rsidR="6E078943" w:rsidRPr="005C5D8A">
              <w:rPr>
                <w:rFonts w:eastAsiaTheme="minorEastAsia"/>
                <w:sz w:val="18"/>
                <w:szCs w:val="18"/>
                <w:lang w:eastAsia="pt-BR"/>
              </w:rPr>
              <w:t>038</w:t>
            </w:r>
            <w:r w:rsidRPr="005C5D8A">
              <w:rPr>
                <w:rFonts w:eastAsiaTheme="minorEastAsia"/>
                <w:sz w:val="18"/>
                <w:szCs w:val="18"/>
                <w:lang w:eastAsia="pt-BR"/>
              </w:rPr>
              <w:t>,0</w:t>
            </w:r>
          </w:p>
        </w:tc>
        <w:tc>
          <w:tcPr>
            <w:tcW w:w="530" w:type="pct"/>
            <w:shd w:val="clear" w:color="auto" w:fill="FFFFFF" w:themeFill="background1"/>
            <w:vAlign w:val="center"/>
          </w:tcPr>
          <w:p w14:paraId="39F9AE9E" w14:textId="339D661D" w:rsidR="00955068" w:rsidRPr="005C5D8A" w:rsidRDefault="1C97EBDE" w:rsidP="4446ABD4">
            <w:pPr>
              <w:spacing w:after="0" w:line="240" w:lineRule="auto"/>
              <w:jc w:val="center"/>
              <w:rPr>
                <w:rFonts w:eastAsiaTheme="minorEastAsia"/>
                <w:sz w:val="18"/>
                <w:szCs w:val="18"/>
                <w:lang w:eastAsia="pt-BR"/>
              </w:rPr>
            </w:pPr>
            <w:r w:rsidRPr="005C5D8A">
              <w:rPr>
                <w:rFonts w:eastAsiaTheme="minorEastAsia"/>
                <w:sz w:val="18"/>
                <w:szCs w:val="18"/>
                <w:lang w:eastAsia="pt-BR"/>
              </w:rPr>
              <w:t>-</w:t>
            </w:r>
          </w:p>
        </w:tc>
        <w:tc>
          <w:tcPr>
            <w:tcW w:w="522" w:type="pct"/>
            <w:vMerge w:val="restart"/>
            <w:shd w:val="clear" w:color="auto" w:fill="FFFFFF" w:themeFill="background1"/>
            <w:vAlign w:val="center"/>
          </w:tcPr>
          <w:p w14:paraId="2729CD65" w14:textId="1D7F751A" w:rsidR="003326A5" w:rsidRPr="005C5D8A" w:rsidRDefault="00F86CE9" w:rsidP="007826B5">
            <w:pPr>
              <w:spacing w:after="0" w:line="240" w:lineRule="auto"/>
              <w:jc w:val="right"/>
              <w:rPr>
                <w:rFonts w:eastAsiaTheme="minorEastAsia"/>
                <w:sz w:val="18"/>
                <w:szCs w:val="18"/>
                <w:lang w:eastAsia="pt-BR"/>
              </w:rPr>
            </w:pPr>
            <w:r w:rsidRPr="005C5D8A">
              <w:rPr>
                <w:rFonts w:eastAsiaTheme="minorEastAsia"/>
                <w:sz w:val="18"/>
                <w:szCs w:val="18"/>
                <w:lang w:eastAsia="pt-BR"/>
              </w:rPr>
              <w:t>5.</w:t>
            </w:r>
            <w:r w:rsidR="4470EEC4" w:rsidRPr="005C5D8A">
              <w:rPr>
                <w:rFonts w:eastAsiaTheme="minorEastAsia"/>
                <w:sz w:val="18"/>
                <w:szCs w:val="18"/>
                <w:lang w:eastAsia="pt-BR"/>
              </w:rPr>
              <w:t>670,9</w:t>
            </w:r>
          </w:p>
        </w:tc>
        <w:tc>
          <w:tcPr>
            <w:tcW w:w="896" w:type="pct"/>
            <w:vMerge w:val="restart"/>
            <w:shd w:val="clear" w:color="auto" w:fill="FFFFFF" w:themeFill="background1"/>
            <w:vAlign w:val="center"/>
            <w:hideMark/>
          </w:tcPr>
          <w:p w14:paraId="1CA5846D" w14:textId="64440883" w:rsidR="007F39C8" w:rsidRPr="005C5D8A" w:rsidRDefault="007F39C8" w:rsidP="00253E9A">
            <w:pPr>
              <w:spacing w:after="0" w:line="240" w:lineRule="auto"/>
              <w:rPr>
                <w:rFonts w:eastAsiaTheme="minorEastAsia"/>
                <w:sz w:val="18"/>
                <w:szCs w:val="18"/>
                <w:lang w:eastAsia="pt-BR"/>
              </w:rPr>
            </w:pPr>
            <w:r w:rsidRPr="005C5D8A">
              <w:rPr>
                <w:rFonts w:eastAsiaTheme="minorEastAsia"/>
                <w:sz w:val="18"/>
                <w:szCs w:val="18"/>
                <w:lang w:eastAsia="pt-BR"/>
              </w:rPr>
              <w:t>NTN-B 2022, 2023,</w:t>
            </w:r>
            <w:r w:rsidR="008F2632" w:rsidRPr="005C5D8A">
              <w:rPr>
                <w:rFonts w:eastAsiaTheme="minorEastAsia"/>
                <w:sz w:val="18"/>
                <w:szCs w:val="18"/>
                <w:lang w:eastAsia="pt-BR"/>
              </w:rPr>
              <w:t xml:space="preserve"> </w:t>
            </w:r>
            <w:r w:rsidRPr="005C5D8A">
              <w:rPr>
                <w:rFonts w:eastAsiaTheme="minorEastAsia"/>
                <w:sz w:val="18"/>
                <w:szCs w:val="18"/>
                <w:lang w:eastAsia="pt-BR"/>
              </w:rPr>
              <w:t>2024,</w:t>
            </w:r>
            <w:r w:rsidR="00253E9A" w:rsidRPr="005C5D8A">
              <w:rPr>
                <w:rFonts w:eastAsiaTheme="minorEastAsia"/>
                <w:sz w:val="18"/>
                <w:szCs w:val="18"/>
                <w:lang w:eastAsia="pt-BR"/>
              </w:rPr>
              <w:t xml:space="preserve"> </w:t>
            </w:r>
            <w:r w:rsidRPr="005C5D8A">
              <w:rPr>
                <w:rFonts w:eastAsiaTheme="minorEastAsia"/>
                <w:sz w:val="18"/>
                <w:szCs w:val="18"/>
                <w:lang w:eastAsia="pt-BR"/>
              </w:rPr>
              <w:t>2030 e 2040</w:t>
            </w:r>
            <w:r w:rsidR="008F2632" w:rsidRPr="005C5D8A">
              <w:rPr>
                <w:rFonts w:eastAsiaTheme="minorEastAsia"/>
                <w:sz w:val="18"/>
                <w:szCs w:val="18"/>
                <w:lang w:eastAsia="pt-BR"/>
              </w:rPr>
              <w:t xml:space="preserve">; LTN </w:t>
            </w:r>
            <w:proofErr w:type="gramStart"/>
            <w:r w:rsidR="008F2632" w:rsidRPr="005C5D8A">
              <w:rPr>
                <w:rFonts w:eastAsiaTheme="minorEastAsia"/>
                <w:sz w:val="18"/>
                <w:szCs w:val="18"/>
                <w:lang w:eastAsia="pt-BR"/>
              </w:rPr>
              <w:t>2020</w:t>
            </w:r>
            <w:proofErr w:type="gramEnd"/>
          </w:p>
        </w:tc>
      </w:tr>
      <w:tr w:rsidR="005C5D8A" w:rsidRPr="005C5D8A" w14:paraId="450F37DB" w14:textId="77777777" w:rsidTr="5F53DBAA">
        <w:trPr>
          <w:trHeight w:val="20"/>
          <w:jc w:val="center"/>
        </w:trPr>
        <w:tc>
          <w:tcPr>
            <w:tcW w:w="947" w:type="pct"/>
            <w:shd w:val="clear" w:color="auto" w:fill="FFFFFF" w:themeFill="background1"/>
            <w:vAlign w:val="center"/>
            <w:hideMark/>
          </w:tcPr>
          <w:p w14:paraId="74656504" w14:textId="77777777" w:rsidR="007F39C8" w:rsidRPr="005C5D8A" w:rsidRDefault="007F39C8" w:rsidP="005B7EE4">
            <w:pPr>
              <w:spacing w:after="0" w:line="240" w:lineRule="auto"/>
              <w:rPr>
                <w:rFonts w:eastAsia="Times New Roman" w:cs="Times New Roman"/>
                <w:sz w:val="18"/>
                <w:szCs w:val="18"/>
                <w:lang w:eastAsia="pt-BR"/>
              </w:rPr>
            </w:pPr>
            <w:r w:rsidRPr="005C5D8A">
              <w:rPr>
                <w:rFonts w:eastAsia="Times New Roman" w:cs="Times New Roman"/>
                <w:sz w:val="18"/>
                <w:szCs w:val="18"/>
                <w:lang w:eastAsia="pt-BR"/>
              </w:rPr>
              <w:t>Dívida direta</w:t>
            </w:r>
          </w:p>
        </w:tc>
        <w:tc>
          <w:tcPr>
            <w:tcW w:w="530" w:type="pct"/>
            <w:shd w:val="clear" w:color="auto" w:fill="FFFFFF" w:themeFill="background1"/>
            <w:vAlign w:val="center"/>
            <w:hideMark/>
          </w:tcPr>
          <w:p w14:paraId="70E1306E" w14:textId="7F2E3776" w:rsidR="007F39C8" w:rsidRPr="005C5D8A" w:rsidRDefault="007F39C8" w:rsidP="00610EF5">
            <w:pPr>
              <w:spacing w:after="0" w:line="240" w:lineRule="auto"/>
              <w:jc w:val="center"/>
              <w:rPr>
                <w:rFonts w:eastAsiaTheme="minorEastAsia"/>
                <w:sz w:val="18"/>
                <w:szCs w:val="18"/>
                <w:lang w:eastAsia="pt-BR"/>
              </w:rPr>
            </w:pPr>
            <w:r w:rsidRPr="005C5D8A">
              <w:rPr>
                <w:rFonts w:eastAsiaTheme="minorEastAsia"/>
                <w:sz w:val="18"/>
                <w:szCs w:val="18"/>
                <w:lang w:eastAsia="pt-BR"/>
              </w:rPr>
              <w:t>-</w:t>
            </w:r>
          </w:p>
        </w:tc>
        <w:tc>
          <w:tcPr>
            <w:tcW w:w="527" w:type="pct"/>
            <w:vMerge/>
            <w:vAlign w:val="center"/>
            <w:hideMark/>
          </w:tcPr>
          <w:p w14:paraId="0A0BCE0C" w14:textId="77777777" w:rsidR="007F39C8" w:rsidRPr="005C5D8A" w:rsidRDefault="007F39C8" w:rsidP="005B7EE4">
            <w:pPr>
              <w:spacing w:after="0" w:line="240" w:lineRule="auto"/>
              <w:jc w:val="right"/>
              <w:rPr>
                <w:rFonts w:eastAsia="Times New Roman" w:cs="Times New Roman"/>
                <w:sz w:val="18"/>
                <w:szCs w:val="18"/>
                <w:lang w:eastAsia="pt-BR"/>
              </w:rPr>
            </w:pPr>
          </w:p>
        </w:tc>
        <w:tc>
          <w:tcPr>
            <w:tcW w:w="530" w:type="pct"/>
            <w:shd w:val="clear" w:color="auto" w:fill="FFFFFF" w:themeFill="background1"/>
            <w:vAlign w:val="center"/>
            <w:hideMark/>
          </w:tcPr>
          <w:p w14:paraId="01EC4CFF" w14:textId="1CF2F53D" w:rsidR="007F39C8" w:rsidRPr="005C5D8A" w:rsidRDefault="007F39C8" w:rsidP="00610EF5">
            <w:pPr>
              <w:spacing w:after="0" w:line="240" w:lineRule="auto"/>
              <w:jc w:val="center"/>
              <w:rPr>
                <w:rFonts w:eastAsiaTheme="minorEastAsia"/>
                <w:sz w:val="18"/>
                <w:szCs w:val="18"/>
                <w:lang w:eastAsia="pt-BR"/>
              </w:rPr>
            </w:pPr>
            <w:r w:rsidRPr="005C5D8A">
              <w:rPr>
                <w:rFonts w:eastAsiaTheme="minorEastAsia"/>
                <w:sz w:val="18"/>
                <w:szCs w:val="18"/>
                <w:lang w:eastAsia="pt-BR"/>
              </w:rPr>
              <w:t>-</w:t>
            </w:r>
          </w:p>
        </w:tc>
        <w:tc>
          <w:tcPr>
            <w:tcW w:w="518" w:type="pct"/>
            <w:vMerge/>
            <w:vAlign w:val="center"/>
            <w:hideMark/>
          </w:tcPr>
          <w:p w14:paraId="615293AC" w14:textId="77777777" w:rsidR="007F39C8" w:rsidRPr="005C5D8A" w:rsidRDefault="007F39C8" w:rsidP="005B7EE4">
            <w:pPr>
              <w:spacing w:after="0" w:line="240" w:lineRule="auto"/>
              <w:jc w:val="right"/>
              <w:rPr>
                <w:rFonts w:eastAsia="Times New Roman" w:cs="Times New Roman"/>
                <w:sz w:val="18"/>
                <w:szCs w:val="18"/>
                <w:lang w:eastAsia="pt-BR"/>
              </w:rPr>
            </w:pPr>
          </w:p>
        </w:tc>
        <w:tc>
          <w:tcPr>
            <w:tcW w:w="530" w:type="pct"/>
            <w:vAlign w:val="center"/>
          </w:tcPr>
          <w:p w14:paraId="33E17BF1" w14:textId="34BCAAF7" w:rsidR="00955068" w:rsidRPr="005C5D8A" w:rsidRDefault="00872137" w:rsidP="00610EF5">
            <w:pPr>
              <w:spacing w:after="0" w:line="240" w:lineRule="auto"/>
              <w:jc w:val="center"/>
              <w:rPr>
                <w:rFonts w:eastAsiaTheme="minorEastAsia"/>
                <w:sz w:val="18"/>
                <w:szCs w:val="18"/>
                <w:lang w:eastAsia="pt-BR"/>
              </w:rPr>
            </w:pPr>
            <w:r w:rsidRPr="005C5D8A">
              <w:rPr>
                <w:rFonts w:eastAsiaTheme="minorEastAsia"/>
                <w:sz w:val="18"/>
                <w:szCs w:val="18"/>
                <w:lang w:eastAsia="pt-BR"/>
              </w:rPr>
              <w:t>-</w:t>
            </w:r>
          </w:p>
        </w:tc>
        <w:tc>
          <w:tcPr>
            <w:tcW w:w="522" w:type="pct"/>
            <w:vMerge/>
            <w:vAlign w:val="center"/>
          </w:tcPr>
          <w:p w14:paraId="1CDBF7C6" w14:textId="4E2D1DEA" w:rsidR="003326A5" w:rsidRPr="005C5D8A" w:rsidRDefault="003326A5" w:rsidP="007826B5">
            <w:pPr>
              <w:spacing w:after="0" w:line="240" w:lineRule="auto"/>
              <w:jc w:val="right"/>
              <w:rPr>
                <w:rFonts w:eastAsia="Times New Roman" w:cs="Times New Roman"/>
                <w:sz w:val="18"/>
                <w:szCs w:val="18"/>
                <w:lang w:eastAsia="pt-BR"/>
              </w:rPr>
            </w:pPr>
          </w:p>
        </w:tc>
        <w:tc>
          <w:tcPr>
            <w:tcW w:w="896" w:type="pct"/>
            <w:vMerge/>
            <w:vAlign w:val="center"/>
            <w:hideMark/>
          </w:tcPr>
          <w:p w14:paraId="37F820CD" w14:textId="60DD1783" w:rsidR="007F39C8" w:rsidRPr="005C5D8A" w:rsidRDefault="007F39C8" w:rsidP="005B7EE4">
            <w:pPr>
              <w:spacing w:after="0" w:line="240" w:lineRule="auto"/>
              <w:rPr>
                <w:rFonts w:eastAsia="Times New Roman" w:cs="Times New Roman"/>
                <w:sz w:val="18"/>
                <w:szCs w:val="18"/>
                <w:lang w:eastAsia="pt-BR"/>
              </w:rPr>
            </w:pPr>
          </w:p>
        </w:tc>
      </w:tr>
      <w:tr w:rsidR="005C5D8A" w:rsidRPr="005C5D8A" w14:paraId="65E1B184" w14:textId="77777777" w:rsidTr="5F53DBAA">
        <w:trPr>
          <w:trHeight w:val="320"/>
          <w:jc w:val="center"/>
        </w:trPr>
        <w:tc>
          <w:tcPr>
            <w:tcW w:w="947" w:type="pct"/>
            <w:shd w:val="clear" w:color="auto" w:fill="FFFFFF" w:themeFill="background1"/>
            <w:vAlign w:val="center"/>
            <w:hideMark/>
          </w:tcPr>
          <w:p w14:paraId="73DEAF29" w14:textId="77777777" w:rsidR="007F39C8" w:rsidRPr="005C5D8A" w:rsidRDefault="007F39C8" w:rsidP="005B7EE4">
            <w:pPr>
              <w:spacing w:after="0" w:line="240" w:lineRule="auto"/>
              <w:rPr>
                <w:rFonts w:eastAsia="Times New Roman" w:cs="Times New Roman"/>
                <w:sz w:val="18"/>
                <w:szCs w:val="18"/>
                <w:lang w:eastAsia="pt-BR"/>
              </w:rPr>
            </w:pPr>
            <w:r w:rsidRPr="005C5D8A">
              <w:rPr>
                <w:rFonts w:eastAsia="Times New Roman" w:cs="Times New Roman"/>
                <w:sz w:val="18"/>
                <w:szCs w:val="18"/>
                <w:lang w:eastAsia="pt-BR"/>
              </w:rPr>
              <w:t xml:space="preserve">FCVS </w:t>
            </w:r>
            <w:proofErr w:type="spellStart"/>
            <w:r w:rsidRPr="005C5D8A">
              <w:rPr>
                <w:rFonts w:eastAsia="Times New Roman" w:cs="Times New Roman"/>
                <w:sz w:val="18"/>
                <w:szCs w:val="18"/>
                <w:lang w:eastAsia="pt-BR"/>
              </w:rPr>
              <w:t>VAFs</w:t>
            </w:r>
            <w:proofErr w:type="spellEnd"/>
            <w:r w:rsidRPr="005C5D8A">
              <w:rPr>
                <w:rFonts w:eastAsia="Times New Roman" w:cs="Times New Roman"/>
                <w:sz w:val="18"/>
                <w:szCs w:val="18"/>
                <w:lang w:eastAsia="pt-BR"/>
              </w:rPr>
              <w:t xml:space="preserve"> </w:t>
            </w:r>
            <w:proofErr w:type="gramStart"/>
            <w:r w:rsidRPr="005C5D8A">
              <w:rPr>
                <w:rFonts w:eastAsia="Times New Roman" w:cs="Times New Roman"/>
                <w:sz w:val="18"/>
                <w:szCs w:val="18"/>
                <w:lang w:eastAsia="pt-BR"/>
              </w:rPr>
              <w:t>1</w:t>
            </w:r>
            <w:proofErr w:type="gramEnd"/>
            <w:r w:rsidRPr="005C5D8A">
              <w:rPr>
                <w:rFonts w:eastAsia="Times New Roman" w:cs="Times New Roman"/>
                <w:sz w:val="18"/>
                <w:szCs w:val="18"/>
                <w:lang w:eastAsia="pt-BR"/>
              </w:rPr>
              <w:t xml:space="preserve"> e 2</w:t>
            </w:r>
          </w:p>
        </w:tc>
        <w:tc>
          <w:tcPr>
            <w:tcW w:w="530" w:type="pct"/>
            <w:shd w:val="clear" w:color="auto" w:fill="auto"/>
            <w:noWrap/>
            <w:vAlign w:val="center"/>
            <w:hideMark/>
          </w:tcPr>
          <w:p w14:paraId="40F2B998" w14:textId="7F2E3776" w:rsidR="007F39C8" w:rsidRPr="005C5D8A" w:rsidRDefault="34B6AB9F"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1.185,3</w:t>
            </w:r>
          </w:p>
        </w:tc>
        <w:tc>
          <w:tcPr>
            <w:tcW w:w="527" w:type="pct"/>
            <w:vMerge w:val="restart"/>
            <w:shd w:val="clear" w:color="auto" w:fill="auto"/>
            <w:noWrap/>
            <w:vAlign w:val="center"/>
            <w:hideMark/>
          </w:tcPr>
          <w:p w14:paraId="3AC6E63E" w14:textId="5E5FB828" w:rsidR="007F39C8" w:rsidRPr="005C5D8A" w:rsidRDefault="007F39C8"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12.500</w:t>
            </w:r>
          </w:p>
        </w:tc>
        <w:tc>
          <w:tcPr>
            <w:tcW w:w="530" w:type="pct"/>
            <w:shd w:val="clear" w:color="auto" w:fill="auto"/>
            <w:noWrap/>
            <w:vAlign w:val="center"/>
            <w:hideMark/>
          </w:tcPr>
          <w:p w14:paraId="7B7BB32F" w14:textId="42828EB0" w:rsidR="007F39C8" w:rsidRPr="005C5D8A" w:rsidRDefault="007F39C8"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1.</w:t>
            </w:r>
            <w:r w:rsidR="43A93A2D" w:rsidRPr="005C5D8A">
              <w:rPr>
                <w:rFonts w:eastAsiaTheme="minorEastAsia"/>
                <w:sz w:val="18"/>
                <w:szCs w:val="18"/>
                <w:lang w:eastAsia="pt-BR"/>
              </w:rPr>
              <w:t>605,7</w:t>
            </w:r>
          </w:p>
        </w:tc>
        <w:tc>
          <w:tcPr>
            <w:tcW w:w="518" w:type="pct"/>
            <w:vMerge w:val="restart"/>
            <w:shd w:val="clear" w:color="auto" w:fill="auto"/>
            <w:noWrap/>
            <w:vAlign w:val="center"/>
            <w:hideMark/>
          </w:tcPr>
          <w:p w14:paraId="53960A09" w14:textId="6504BE44" w:rsidR="007F39C8" w:rsidRPr="005C5D8A" w:rsidRDefault="12D621CB"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13.750,0</w:t>
            </w:r>
          </w:p>
        </w:tc>
        <w:tc>
          <w:tcPr>
            <w:tcW w:w="530" w:type="pct"/>
            <w:vAlign w:val="center"/>
          </w:tcPr>
          <w:p w14:paraId="659BED0B" w14:textId="147B69E4" w:rsidR="00955068" w:rsidRPr="005C5D8A" w:rsidRDefault="009A5DFA" w:rsidP="007826B5">
            <w:pPr>
              <w:spacing w:after="0" w:line="240" w:lineRule="auto"/>
              <w:jc w:val="right"/>
              <w:rPr>
                <w:rFonts w:eastAsiaTheme="minorEastAsia"/>
                <w:sz w:val="18"/>
                <w:szCs w:val="18"/>
                <w:lang w:eastAsia="pt-BR"/>
              </w:rPr>
            </w:pPr>
            <w:r w:rsidRPr="005C5D8A">
              <w:rPr>
                <w:rFonts w:eastAsiaTheme="minorEastAsia"/>
                <w:sz w:val="18"/>
                <w:szCs w:val="18"/>
                <w:lang w:eastAsia="pt-BR"/>
              </w:rPr>
              <w:t>1.</w:t>
            </w:r>
            <w:r w:rsidR="2140BE37" w:rsidRPr="005C5D8A">
              <w:rPr>
                <w:rFonts w:eastAsiaTheme="minorEastAsia"/>
                <w:sz w:val="18"/>
                <w:szCs w:val="18"/>
                <w:lang w:eastAsia="pt-BR"/>
              </w:rPr>
              <w:t>849,9</w:t>
            </w:r>
          </w:p>
        </w:tc>
        <w:tc>
          <w:tcPr>
            <w:tcW w:w="522" w:type="pct"/>
            <w:vMerge w:val="restart"/>
            <w:vAlign w:val="center"/>
          </w:tcPr>
          <w:p w14:paraId="7D6AFFB4" w14:textId="557635C7" w:rsidR="003326A5" w:rsidRPr="005C5D8A" w:rsidRDefault="011D4D16" w:rsidP="007826B5">
            <w:pPr>
              <w:spacing w:after="0" w:line="240" w:lineRule="auto"/>
              <w:jc w:val="right"/>
              <w:rPr>
                <w:rFonts w:eastAsiaTheme="minorEastAsia"/>
                <w:sz w:val="18"/>
                <w:szCs w:val="18"/>
                <w:lang w:eastAsia="pt-BR"/>
              </w:rPr>
            </w:pPr>
            <w:r w:rsidRPr="005C5D8A">
              <w:rPr>
                <w:rFonts w:eastAsiaTheme="minorEastAsia"/>
                <w:sz w:val="18"/>
                <w:szCs w:val="18"/>
                <w:lang w:eastAsia="pt-BR"/>
              </w:rPr>
              <w:t>15.857,1</w:t>
            </w:r>
          </w:p>
        </w:tc>
        <w:tc>
          <w:tcPr>
            <w:tcW w:w="896" w:type="pct"/>
            <w:shd w:val="clear" w:color="auto" w:fill="FFFFFF" w:themeFill="background1"/>
            <w:vAlign w:val="center"/>
            <w:hideMark/>
          </w:tcPr>
          <w:p w14:paraId="3E0BCDC4" w14:textId="254FA769" w:rsidR="007F39C8" w:rsidRPr="005C5D8A" w:rsidRDefault="007F39C8" w:rsidP="005B7EE4">
            <w:pPr>
              <w:spacing w:after="0" w:line="240" w:lineRule="auto"/>
              <w:rPr>
                <w:rFonts w:eastAsiaTheme="minorEastAsia"/>
                <w:sz w:val="18"/>
                <w:szCs w:val="18"/>
                <w:lang w:eastAsia="pt-BR"/>
              </w:rPr>
            </w:pPr>
            <w:r w:rsidRPr="005C5D8A">
              <w:rPr>
                <w:rFonts w:eastAsiaTheme="minorEastAsia"/>
                <w:sz w:val="18"/>
                <w:szCs w:val="18"/>
                <w:lang w:eastAsia="pt-BR"/>
              </w:rPr>
              <w:t>CVS (A, B</w:t>
            </w:r>
            <w:r w:rsidR="00D00BEC" w:rsidRPr="005C5D8A">
              <w:rPr>
                <w:rFonts w:eastAsiaTheme="minorEastAsia"/>
                <w:sz w:val="18"/>
                <w:szCs w:val="18"/>
                <w:lang w:eastAsia="pt-BR"/>
              </w:rPr>
              <w:t xml:space="preserve"> e</w:t>
            </w:r>
            <w:r w:rsidRPr="005C5D8A">
              <w:rPr>
                <w:rFonts w:eastAsiaTheme="minorEastAsia"/>
                <w:sz w:val="18"/>
                <w:szCs w:val="18"/>
                <w:lang w:eastAsia="pt-BR"/>
              </w:rPr>
              <w:t xml:space="preserve"> C) </w:t>
            </w:r>
            <w:proofErr w:type="gramStart"/>
            <w:r w:rsidRPr="005C5D8A">
              <w:rPr>
                <w:rFonts w:eastAsiaTheme="minorEastAsia"/>
                <w:sz w:val="18"/>
                <w:szCs w:val="18"/>
                <w:lang w:eastAsia="pt-BR"/>
              </w:rPr>
              <w:t>2027</w:t>
            </w:r>
            <w:proofErr w:type="gramEnd"/>
          </w:p>
        </w:tc>
      </w:tr>
      <w:tr w:rsidR="005C5D8A" w:rsidRPr="005C5D8A" w14:paraId="19C3C30D" w14:textId="77777777" w:rsidTr="5F53DBAA">
        <w:trPr>
          <w:trHeight w:val="320"/>
          <w:jc w:val="center"/>
        </w:trPr>
        <w:tc>
          <w:tcPr>
            <w:tcW w:w="947" w:type="pct"/>
            <w:tcBorders>
              <w:bottom w:val="single" w:sz="4" w:space="0" w:color="BFBFBF" w:themeColor="background1" w:themeShade="BF"/>
            </w:tcBorders>
            <w:shd w:val="clear" w:color="auto" w:fill="FFFFFF" w:themeFill="background1"/>
            <w:vAlign w:val="center"/>
            <w:hideMark/>
          </w:tcPr>
          <w:p w14:paraId="1E640293" w14:textId="77777777" w:rsidR="007F39C8" w:rsidRPr="005C5D8A" w:rsidRDefault="007F39C8" w:rsidP="005B7EE4">
            <w:pPr>
              <w:spacing w:after="0" w:line="240" w:lineRule="auto"/>
              <w:rPr>
                <w:rFonts w:eastAsia="Times New Roman" w:cs="Times New Roman"/>
                <w:sz w:val="18"/>
                <w:szCs w:val="18"/>
                <w:lang w:eastAsia="pt-BR"/>
              </w:rPr>
            </w:pPr>
            <w:r w:rsidRPr="005C5D8A">
              <w:rPr>
                <w:rFonts w:eastAsia="Times New Roman" w:cs="Times New Roman"/>
                <w:sz w:val="18"/>
                <w:szCs w:val="18"/>
                <w:lang w:eastAsia="pt-BR"/>
              </w:rPr>
              <w:t xml:space="preserve">FCVS </w:t>
            </w:r>
            <w:proofErr w:type="spellStart"/>
            <w:r w:rsidRPr="005C5D8A">
              <w:rPr>
                <w:rFonts w:eastAsia="Times New Roman" w:cs="Times New Roman"/>
                <w:sz w:val="18"/>
                <w:szCs w:val="18"/>
                <w:lang w:eastAsia="pt-BR"/>
              </w:rPr>
              <w:t>VAFs</w:t>
            </w:r>
            <w:proofErr w:type="spellEnd"/>
            <w:r w:rsidRPr="005C5D8A">
              <w:rPr>
                <w:rFonts w:eastAsia="Times New Roman" w:cs="Times New Roman"/>
                <w:sz w:val="18"/>
                <w:szCs w:val="18"/>
                <w:lang w:eastAsia="pt-BR"/>
              </w:rPr>
              <w:t xml:space="preserve"> </w:t>
            </w:r>
            <w:proofErr w:type="gramStart"/>
            <w:r w:rsidRPr="005C5D8A">
              <w:rPr>
                <w:rFonts w:eastAsia="Times New Roman" w:cs="Times New Roman"/>
                <w:sz w:val="18"/>
                <w:szCs w:val="18"/>
                <w:lang w:eastAsia="pt-BR"/>
              </w:rPr>
              <w:t>3</w:t>
            </w:r>
            <w:proofErr w:type="gramEnd"/>
            <w:r w:rsidRPr="005C5D8A">
              <w:rPr>
                <w:rFonts w:eastAsia="Times New Roman" w:cs="Times New Roman"/>
                <w:sz w:val="18"/>
                <w:szCs w:val="18"/>
                <w:lang w:eastAsia="pt-BR"/>
              </w:rPr>
              <w:t xml:space="preserve"> e 4</w:t>
            </w:r>
          </w:p>
        </w:tc>
        <w:tc>
          <w:tcPr>
            <w:tcW w:w="530" w:type="pct"/>
            <w:tcBorders>
              <w:bottom w:val="single" w:sz="4" w:space="0" w:color="BFBFBF" w:themeColor="background1" w:themeShade="BF"/>
            </w:tcBorders>
            <w:shd w:val="clear" w:color="auto" w:fill="FFFFFF" w:themeFill="background1"/>
            <w:vAlign w:val="center"/>
            <w:hideMark/>
          </w:tcPr>
          <w:p w14:paraId="7DC39146" w14:textId="7F2E3776" w:rsidR="007F39C8" w:rsidRPr="005C5D8A" w:rsidRDefault="56D73627" w:rsidP="005B7EE4">
            <w:pPr>
              <w:spacing w:after="0" w:line="240" w:lineRule="auto"/>
              <w:jc w:val="right"/>
              <w:rPr>
                <w:rFonts w:eastAsiaTheme="minorEastAsia"/>
                <w:sz w:val="18"/>
                <w:szCs w:val="18"/>
                <w:lang w:eastAsia="pt-BR"/>
              </w:rPr>
            </w:pPr>
            <w:r w:rsidRPr="005C5D8A">
              <w:rPr>
                <w:rFonts w:eastAsiaTheme="minorEastAsia"/>
                <w:sz w:val="18"/>
                <w:szCs w:val="18"/>
                <w:lang w:eastAsia="pt-BR"/>
              </w:rPr>
              <w:t>445</w:t>
            </w:r>
            <w:r w:rsidR="007F39C8" w:rsidRPr="005C5D8A">
              <w:rPr>
                <w:rFonts w:eastAsiaTheme="minorEastAsia"/>
                <w:sz w:val="18"/>
                <w:szCs w:val="18"/>
                <w:lang w:eastAsia="pt-BR"/>
              </w:rPr>
              <w:t>,3</w:t>
            </w:r>
          </w:p>
        </w:tc>
        <w:tc>
          <w:tcPr>
            <w:tcW w:w="527" w:type="pct"/>
            <w:vMerge/>
            <w:vAlign w:val="center"/>
            <w:hideMark/>
          </w:tcPr>
          <w:p w14:paraId="52A91C65" w14:textId="77777777" w:rsidR="007F39C8" w:rsidRPr="005C5D8A" w:rsidRDefault="007F39C8" w:rsidP="005B7EE4">
            <w:pPr>
              <w:spacing w:after="0" w:line="240" w:lineRule="auto"/>
              <w:jc w:val="right"/>
              <w:rPr>
                <w:rFonts w:eastAsia="Times New Roman" w:cs="Times New Roman"/>
                <w:sz w:val="18"/>
                <w:szCs w:val="18"/>
                <w:lang w:eastAsia="pt-BR"/>
              </w:rPr>
            </w:pPr>
          </w:p>
        </w:tc>
        <w:tc>
          <w:tcPr>
            <w:tcW w:w="530" w:type="pct"/>
            <w:tcBorders>
              <w:bottom w:val="single" w:sz="4" w:space="0" w:color="BFBFBF" w:themeColor="background1" w:themeShade="BF"/>
            </w:tcBorders>
            <w:shd w:val="clear" w:color="auto" w:fill="FFFFFF" w:themeFill="background1"/>
            <w:vAlign w:val="center"/>
            <w:hideMark/>
          </w:tcPr>
          <w:p w14:paraId="3CB3332C" w14:textId="43C493D6" w:rsidR="007F39C8" w:rsidRPr="005C5D8A" w:rsidRDefault="2F21F719" w:rsidP="4446ABD4">
            <w:pPr>
              <w:spacing w:after="0" w:line="240" w:lineRule="auto"/>
              <w:jc w:val="center"/>
              <w:rPr>
                <w:rFonts w:eastAsiaTheme="minorEastAsia"/>
                <w:sz w:val="18"/>
                <w:szCs w:val="18"/>
                <w:lang w:eastAsia="pt-BR"/>
              </w:rPr>
            </w:pPr>
            <w:r w:rsidRPr="005C5D8A">
              <w:rPr>
                <w:rFonts w:eastAsiaTheme="minorEastAsia"/>
                <w:sz w:val="18"/>
                <w:szCs w:val="18"/>
                <w:lang w:eastAsia="pt-BR"/>
              </w:rPr>
              <w:t>-</w:t>
            </w:r>
          </w:p>
        </w:tc>
        <w:tc>
          <w:tcPr>
            <w:tcW w:w="518" w:type="pct"/>
            <w:vMerge/>
            <w:vAlign w:val="center"/>
            <w:hideMark/>
          </w:tcPr>
          <w:p w14:paraId="41BEE8B7" w14:textId="77777777" w:rsidR="007F39C8" w:rsidRPr="005C5D8A" w:rsidRDefault="007F39C8" w:rsidP="005B7EE4">
            <w:pPr>
              <w:spacing w:after="0" w:line="240" w:lineRule="auto"/>
              <w:jc w:val="right"/>
              <w:rPr>
                <w:rFonts w:eastAsia="Times New Roman" w:cs="Times New Roman"/>
                <w:sz w:val="18"/>
                <w:szCs w:val="18"/>
                <w:lang w:eastAsia="pt-BR"/>
              </w:rPr>
            </w:pPr>
          </w:p>
        </w:tc>
        <w:tc>
          <w:tcPr>
            <w:tcW w:w="530" w:type="pct"/>
            <w:tcBorders>
              <w:bottom w:val="single" w:sz="4" w:space="0" w:color="BFBFBF" w:themeColor="background1" w:themeShade="BF"/>
            </w:tcBorders>
            <w:shd w:val="clear" w:color="auto" w:fill="FFFFFF" w:themeFill="background1"/>
            <w:vAlign w:val="center"/>
          </w:tcPr>
          <w:p w14:paraId="1194B1C9" w14:textId="11B0EA5D" w:rsidR="00955068" w:rsidRPr="005C5D8A" w:rsidRDefault="1936F01A" w:rsidP="4446ABD4">
            <w:pPr>
              <w:spacing w:after="0" w:line="240" w:lineRule="auto"/>
              <w:jc w:val="right"/>
              <w:rPr>
                <w:rFonts w:eastAsiaTheme="minorEastAsia"/>
                <w:sz w:val="18"/>
                <w:szCs w:val="18"/>
                <w:lang w:eastAsia="pt-BR"/>
              </w:rPr>
            </w:pPr>
            <w:r w:rsidRPr="005C5D8A">
              <w:rPr>
                <w:rFonts w:eastAsiaTheme="minorEastAsia"/>
                <w:sz w:val="18"/>
                <w:szCs w:val="18"/>
                <w:lang w:eastAsia="pt-BR"/>
              </w:rPr>
              <w:t>410,1</w:t>
            </w:r>
          </w:p>
        </w:tc>
        <w:tc>
          <w:tcPr>
            <w:tcW w:w="522" w:type="pct"/>
            <w:vMerge/>
            <w:vAlign w:val="center"/>
          </w:tcPr>
          <w:p w14:paraId="37394D87" w14:textId="54530FDF" w:rsidR="003326A5" w:rsidRPr="005C5D8A" w:rsidRDefault="003326A5" w:rsidP="007826B5">
            <w:pPr>
              <w:spacing w:after="0" w:line="240" w:lineRule="auto"/>
              <w:jc w:val="right"/>
              <w:rPr>
                <w:rFonts w:eastAsia="Times New Roman" w:cs="Times New Roman"/>
                <w:sz w:val="18"/>
                <w:szCs w:val="18"/>
                <w:lang w:eastAsia="pt-BR"/>
              </w:rPr>
            </w:pPr>
          </w:p>
        </w:tc>
        <w:tc>
          <w:tcPr>
            <w:tcW w:w="896" w:type="pct"/>
            <w:tcBorders>
              <w:bottom w:val="single" w:sz="4" w:space="0" w:color="BFBFBF" w:themeColor="background1" w:themeShade="BF"/>
            </w:tcBorders>
            <w:shd w:val="clear" w:color="auto" w:fill="FFFFFF" w:themeFill="background1"/>
            <w:vAlign w:val="center"/>
            <w:hideMark/>
          </w:tcPr>
          <w:p w14:paraId="53F28421" w14:textId="5E672D14" w:rsidR="007F39C8" w:rsidRPr="005C5D8A" w:rsidRDefault="007F39C8" w:rsidP="005B7EE4">
            <w:pPr>
              <w:spacing w:after="0" w:line="240" w:lineRule="auto"/>
              <w:rPr>
                <w:rFonts w:eastAsiaTheme="minorEastAsia"/>
                <w:sz w:val="18"/>
                <w:szCs w:val="18"/>
                <w:lang w:eastAsia="pt-BR"/>
              </w:rPr>
            </w:pPr>
            <w:r w:rsidRPr="005C5D8A">
              <w:rPr>
                <w:rFonts w:eastAsiaTheme="minorEastAsia"/>
                <w:sz w:val="18"/>
                <w:szCs w:val="18"/>
                <w:lang w:eastAsia="pt-BR"/>
              </w:rPr>
              <w:t>CVSB 2027</w:t>
            </w:r>
          </w:p>
        </w:tc>
      </w:tr>
      <w:tr w:rsidR="00BC011D" w:rsidRPr="00CF59D6" w14:paraId="58D3617D" w14:textId="77777777" w:rsidTr="5F53DBAA">
        <w:trPr>
          <w:trHeight w:val="362"/>
          <w:jc w:val="center"/>
        </w:trPr>
        <w:tc>
          <w:tcPr>
            <w:tcW w:w="947" w:type="pct"/>
            <w:tcBorders>
              <w:bottom w:val="single" w:sz="4" w:space="0" w:color="BFBFBF" w:themeColor="background1" w:themeShade="BF"/>
            </w:tcBorders>
            <w:shd w:val="clear" w:color="auto" w:fill="7F7F7F" w:themeFill="text1" w:themeFillTint="80"/>
            <w:vAlign w:val="center"/>
            <w:hideMark/>
          </w:tcPr>
          <w:p w14:paraId="061E9421" w14:textId="77777777" w:rsidR="00253E9A" w:rsidRPr="00CF59D6" w:rsidRDefault="00253E9A" w:rsidP="00E26456">
            <w:pPr>
              <w:spacing w:after="0" w:line="240" w:lineRule="auto"/>
              <w:rPr>
                <w:rFonts w:eastAsia="Times New Roman" w:cs="Times New Roman"/>
                <w:b/>
                <w:bCs/>
                <w:color w:val="FFFFFF" w:themeColor="background1"/>
                <w:sz w:val="18"/>
                <w:szCs w:val="18"/>
                <w:lang w:eastAsia="pt-BR"/>
              </w:rPr>
            </w:pPr>
            <w:r w:rsidRPr="00CF59D6">
              <w:rPr>
                <w:rFonts w:eastAsia="Times New Roman" w:cs="Times New Roman"/>
                <w:b/>
                <w:bCs/>
                <w:color w:val="FFFFFF" w:themeColor="background1"/>
                <w:sz w:val="18"/>
                <w:szCs w:val="18"/>
                <w:lang w:eastAsia="pt-BR"/>
              </w:rPr>
              <w:t>Total</w:t>
            </w:r>
          </w:p>
        </w:tc>
        <w:tc>
          <w:tcPr>
            <w:tcW w:w="530" w:type="pct"/>
            <w:tcBorders>
              <w:bottom w:val="single" w:sz="4" w:space="0" w:color="BFBFBF" w:themeColor="background1" w:themeShade="BF"/>
            </w:tcBorders>
            <w:shd w:val="clear" w:color="auto" w:fill="7F7F7F" w:themeFill="text1" w:themeFillTint="80"/>
            <w:noWrap/>
            <w:vAlign w:val="center"/>
            <w:hideMark/>
          </w:tcPr>
          <w:p w14:paraId="5E2577A0" w14:textId="3F056A9A" w:rsidR="00253E9A" w:rsidRPr="00CF59D6" w:rsidRDefault="0B1D3CBF" w:rsidP="00E26456">
            <w:pPr>
              <w:spacing w:after="0" w:line="240" w:lineRule="auto"/>
              <w:jc w:val="right"/>
              <w:rPr>
                <w:rFonts w:eastAsia="Times New Roman" w:cs="Times New Roman"/>
                <w:b/>
                <w:bCs/>
                <w:color w:val="FFFFFF" w:themeColor="background1"/>
                <w:sz w:val="18"/>
                <w:szCs w:val="18"/>
                <w:lang w:eastAsia="pt-BR"/>
              </w:rPr>
            </w:pPr>
            <w:r w:rsidRPr="00CF59D6">
              <w:rPr>
                <w:rFonts w:eastAsia="Times New Roman" w:cs="Times New Roman"/>
                <w:b/>
                <w:bCs/>
                <w:color w:val="FFFFFF" w:themeColor="background1"/>
                <w:sz w:val="18"/>
                <w:szCs w:val="18"/>
                <w:lang w:eastAsia="pt-BR"/>
              </w:rPr>
              <w:t>1.777,5</w:t>
            </w:r>
          </w:p>
        </w:tc>
        <w:tc>
          <w:tcPr>
            <w:tcW w:w="527" w:type="pct"/>
            <w:tcBorders>
              <w:bottom w:val="single" w:sz="4" w:space="0" w:color="BFBFBF" w:themeColor="background1" w:themeShade="BF"/>
            </w:tcBorders>
            <w:shd w:val="clear" w:color="auto" w:fill="7F7F7F" w:themeFill="text1" w:themeFillTint="80"/>
            <w:noWrap/>
            <w:vAlign w:val="center"/>
            <w:hideMark/>
          </w:tcPr>
          <w:p w14:paraId="5E6B1375" w14:textId="373E1368" w:rsidR="00253E9A" w:rsidRPr="00CF59D6" w:rsidRDefault="0C4C619D" w:rsidP="00E26456">
            <w:pPr>
              <w:spacing w:after="0" w:line="240" w:lineRule="auto"/>
              <w:jc w:val="right"/>
              <w:rPr>
                <w:rFonts w:eastAsia="Times New Roman" w:cs="Times New Roman"/>
                <w:b/>
                <w:bCs/>
                <w:color w:val="FFFFFF" w:themeColor="background1"/>
                <w:sz w:val="18"/>
                <w:szCs w:val="18"/>
                <w:lang w:eastAsia="pt-BR"/>
              </w:rPr>
            </w:pPr>
            <w:r w:rsidRPr="00CF59D6">
              <w:rPr>
                <w:rFonts w:eastAsia="Times New Roman" w:cs="Times New Roman"/>
                <w:b/>
                <w:bCs/>
                <w:color w:val="FFFFFF" w:themeColor="background1"/>
                <w:sz w:val="18"/>
                <w:szCs w:val="18"/>
                <w:lang w:eastAsia="pt-BR"/>
              </w:rPr>
              <w:t>18.000,0</w:t>
            </w:r>
          </w:p>
        </w:tc>
        <w:tc>
          <w:tcPr>
            <w:tcW w:w="530" w:type="pct"/>
            <w:tcBorders>
              <w:bottom w:val="single" w:sz="4" w:space="0" w:color="BFBFBF" w:themeColor="background1" w:themeShade="BF"/>
            </w:tcBorders>
            <w:shd w:val="clear" w:color="auto" w:fill="7F7F7F" w:themeFill="text1" w:themeFillTint="80"/>
            <w:noWrap/>
            <w:vAlign w:val="center"/>
            <w:hideMark/>
          </w:tcPr>
          <w:p w14:paraId="4CD663A4" w14:textId="33619F85" w:rsidR="00253E9A" w:rsidRPr="00CF59D6" w:rsidRDefault="00253E9A" w:rsidP="00E26456">
            <w:pPr>
              <w:spacing w:after="0" w:line="240" w:lineRule="auto"/>
              <w:jc w:val="right"/>
              <w:rPr>
                <w:rFonts w:eastAsia="Times New Roman" w:cs="Times New Roman"/>
                <w:b/>
                <w:bCs/>
                <w:color w:val="FFFFFF" w:themeColor="background1"/>
                <w:sz w:val="18"/>
                <w:szCs w:val="18"/>
                <w:lang w:eastAsia="pt-BR"/>
              </w:rPr>
            </w:pPr>
            <w:r w:rsidRPr="00CF59D6">
              <w:rPr>
                <w:rFonts w:eastAsia="Times New Roman" w:cs="Times New Roman"/>
                <w:b/>
                <w:bCs/>
                <w:color w:val="FFFFFF" w:themeColor="background1"/>
                <w:sz w:val="18"/>
                <w:szCs w:val="18"/>
                <w:lang w:eastAsia="pt-BR"/>
              </w:rPr>
              <w:t>1.</w:t>
            </w:r>
            <w:r w:rsidR="14BB9B38" w:rsidRPr="00CF59D6">
              <w:rPr>
                <w:rFonts w:eastAsia="Times New Roman" w:cs="Times New Roman"/>
                <w:b/>
                <w:bCs/>
                <w:color w:val="FFFFFF" w:themeColor="background1"/>
                <w:sz w:val="18"/>
                <w:szCs w:val="18"/>
                <w:lang w:eastAsia="pt-BR"/>
              </w:rPr>
              <w:t>619,6</w:t>
            </w:r>
          </w:p>
        </w:tc>
        <w:tc>
          <w:tcPr>
            <w:tcW w:w="518" w:type="pct"/>
            <w:tcBorders>
              <w:bottom w:val="single" w:sz="4" w:space="0" w:color="BFBFBF" w:themeColor="background1" w:themeShade="BF"/>
            </w:tcBorders>
            <w:shd w:val="clear" w:color="auto" w:fill="7F7F7F" w:themeFill="text1" w:themeFillTint="80"/>
            <w:noWrap/>
            <w:vAlign w:val="center"/>
            <w:hideMark/>
          </w:tcPr>
          <w:p w14:paraId="57B9793F" w14:textId="6845E14F" w:rsidR="00253E9A" w:rsidRPr="00CF59D6" w:rsidRDefault="00253E9A" w:rsidP="00E26456">
            <w:pPr>
              <w:spacing w:after="0" w:line="240" w:lineRule="auto"/>
              <w:jc w:val="right"/>
              <w:rPr>
                <w:rFonts w:eastAsia="Times New Roman" w:cs="Times New Roman"/>
                <w:b/>
                <w:bCs/>
                <w:color w:val="FFFFFF" w:themeColor="background1"/>
                <w:sz w:val="18"/>
                <w:szCs w:val="18"/>
                <w:lang w:eastAsia="pt-BR"/>
              </w:rPr>
            </w:pPr>
            <w:r w:rsidRPr="00CF59D6">
              <w:rPr>
                <w:rFonts w:eastAsia="Times New Roman" w:cs="Times New Roman"/>
                <w:b/>
                <w:bCs/>
                <w:color w:val="FFFFFF" w:themeColor="background1"/>
                <w:sz w:val="18"/>
                <w:szCs w:val="18"/>
                <w:lang w:eastAsia="pt-BR"/>
              </w:rPr>
              <w:t>18.</w:t>
            </w:r>
            <w:r w:rsidR="54F1C514" w:rsidRPr="00CF59D6">
              <w:rPr>
                <w:rFonts w:eastAsia="Times New Roman" w:cs="Times New Roman"/>
                <w:b/>
                <w:bCs/>
                <w:color w:val="FFFFFF" w:themeColor="background1"/>
                <w:sz w:val="18"/>
                <w:szCs w:val="18"/>
                <w:lang w:eastAsia="pt-BR"/>
              </w:rPr>
              <w:t>788</w:t>
            </w:r>
            <w:r w:rsidRPr="00CF59D6">
              <w:rPr>
                <w:rFonts w:eastAsia="Times New Roman" w:cs="Times New Roman"/>
                <w:b/>
                <w:bCs/>
                <w:color w:val="FFFFFF" w:themeColor="background1"/>
                <w:sz w:val="18"/>
                <w:szCs w:val="18"/>
                <w:lang w:eastAsia="pt-BR"/>
              </w:rPr>
              <w:t>,0</w:t>
            </w:r>
          </w:p>
        </w:tc>
        <w:tc>
          <w:tcPr>
            <w:tcW w:w="530" w:type="pct"/>
            <w:tcBorders>
              <w:bottom w:val="single" w:sz="4" w:space="0" w:color="BFBFBF" w:themeColor="background1" w:themeShade="BF"/>
            </w:tcBorders>
            <w:shd w:val="clear" w:color="auto" w:fill="7F7F7F" w:themeFill="text1" w:themeFillTint="80"/>
            <w:vAlign w:val="center"/>
          </w:tcPr>
          <w:p w14:paraId="181171C1" w14:textId="117FC962" w:rsidR="003608B3" w:rsidRPr="00CF59D6" w:rsidRDefault="54F1C514" w:rsidP="00533004">
            <w:pPr>
              <w:spacing w:after="0" w:line="240" w:lineRule="auto"/>
              <w:jc w:val="right"/>
              <w:rPr>
                <w:rFonts w:eastAsia="Times New Roman" w:cs="Times New Roman"/>
                <w:b/>
                <w:bCs/>
                <w:color w:val="FFFFFF" w:themeColor="background1"/>
                <w:sz w:val="18"/>
                <w:szCs w:val="18"/>
                <w:lang w:eastAsia="pt-BR"/>
              </w:rPr>
            </w:pPr>
            <w:r w:rsidRPr="00CF59D6">
              <w:rPr>
                <w:rFonts w:eastAsia="Times New Roman" w:cs="Times New Roman"/>
                <w:b/>
                <w:bCs/>
                <w:color w:val="FFFFFF" w:themeColor="background1"/>
                <w:sz w:val="18"/>
                <w:szCs w:val="18"/>
                <w:lang w:eastAsia="pt-BR"/>
              </w:rPr>
              <w:t>2.260,0</w:t>
            </w:r>
          </w:p>
        </w:tc>
        <w:tc>
          <w:tcPr>
            <w:tcW w:w="522" w:type="pct"/>
            <w:tcBorders>
              <w:bottom w:val="single" w:sz="4" w:space="0" w:color="BFBFBF" w:themeColor="background1" w:themeShade="BF"/>
            </w:tcBorders>
            <w:shd w:val="clear" w:color="auto" w:fill="7F7F7F" w:themeFill="text1" w:themeFillTint="80"/>
            <w:vAlign w:val="center"/>
          </w:tcPr>
          <w:p w14:paraId="0C02FCF2" w14:textId="0E330F18" w:rsidR="003326A5" w:rsidRPr="00CF59D6" w:rsidRDefault="54F1C514" w:rsidP="00E26456">
            <w:pPr>
              <w:spacing w:after="0" w:line="240" w:lineRule="auto"/>
              <w:jc w:val="right"/>
              <w:rPr>
                <w:rFonts w:eastAsia="Times New Roman" w:cs="Times New Roman"/>
                <w:b/>
                <w:bCs/>
                <w:color w:val="FFFFFF" w:themeColor="background1"/>
                <w:sz w:val="18"/>
                <w:szCs w:val="18"/>
                <w:lang w:eastAsia="pt-BR"/>
              </w:rPr>
            </w:pPr>
            <w:r w:rsidRPr="00CF59D6">
              <w:rPr>
                <w:rFonts w:eastAsia="Times New Roman" w:cs="Times New Roman"/>
                <w:b/>
                <w:bCs/>
                <w:color w:val="FFFFFF" w:themeColor="background1"/>
                <w:sz w:val="18"/>
                <w:szCs w:val="18"/>
                <w:lang w:eastAsia="pt-BR"/>
              </w:rPr>
              <w:t>21.528,0</w:t>
            </w:r>
          </w:p>
        </w:tc>
        <w:tc>
          <w:tcPr>
            <w:tcW w:w="896" w:type="pct"/>
            <w:tcBorders>
              <w:bottom w:val="single" w:sz="4" w:space="0" w:color="BFBFBF" w:themeColor="background1" w:themeShade="BF"/>
            </w:tcBorders>
            <w:shd w:val="clear" w:color="auto" w:fill="7F7F7F" w:themeFill="text1" w:themeFillTint="80"/>
            <w:vAlign w:val="center"/>
            <w:hideMark/>
          </w:tcPr>
          <w:p w14:paraId="016D4A98" w14:textId="60CBF857" w:rsidR="00253E9A" w:rsidRPr="00CF59D6" w:rsidRDefault="00253E9A" w:rsidP="00E26456">
            <w:pPr>
              <w:spacing w:after="0" w:line="240" w:lineRule="auto"/>
              <w:jc w:val="right"/>
              <w:rPr>
                <w:rFonts w:eastAsia="Times New Roman" w:cs="Times New Roman"/>
                <w:b/>
                <w:bCs/>
                <w:color w:val="FFFFFF" w:themeColor="background1"/>
                <w:sz w:val="18"/>
                <w:szCs w:val="18"/>
                <w:lang w:eastAsia="pt-BR"/>
              </w:rPr>
            </w:pPr>
          </w:p>
        </w:tc>
      </w:tr>
      <w:tr w:rsidR="00253E9A" w:rsidRPr="00127F44" w14:paraId="0FB08B11" w14:textId="77777777" w:rsidTr="5F53DBAA">
        <w:trPr>
          <w:trHeight w:val="20"/>
          <w:jc w:val="center"/>
        </w:trPr>
        <w:tc>
          <w:tcPr>
            <w:tcW w:w="5000" w:type="pct"/>
            <w:gridSpan w:val="8"/>
            <w:tcBorders>
              <w:top w:val="single" w:sz="4" w:space="0" w:color="BFBFBF" w:themeColor="background1" w:themeShade="BF"/>
              <w:left w:val="nil"/>
              <w:bottom w:val="nil"/>
              <w:right w:val="nil"/>
            </w:tcBorders>
            <w:shd w:val="clear" w:color="auto" w:fill="FFFFFF" w:themeFill="background1"/>
          </w:tcPr>
          <w:p w14:paraId="4924B685" w14:textId="14A92713" w:rsidR="001F79A5" w:rsidRPr="001A56EF" w:rsidRDefault="00526A35" w:rsidP="008B6DC6">
            <w:pPr>
              <w:spacing w:after="0" w:line="240" w:lineRule="auto"/>
              <w:rPr>
                <w:rFonts w:eastAsia="Times New Roman" w:cs="Times New Roman"/>
                <w:i/>
                <w:color w:val="000000"/>
                <w:sz w:val="16"/>
                <w:szCs w:val="16"/>
                <w:lang w:eastAsia="pt-BR"/>
              </w:rPr>
            </w:pPr>
            <w:proofErr w:type="gramStart"/>
            <w:r w:rsidRPr="001A56EF">
              <w:rPr>
                <w:rFonts w:eastAsia="Times New Roman" w:cs="Times New Roman"/>
                <w:i/>
                <w:color w:val="000000"/>
                <w:sz w:val="16"/>
                <w:szCs w:val="16"/>
                <w:vertAlign w:val="superscript"/>
                <w:lang w:eastAsia="pt-BR"/>
              </w:rPr>
              <w:t>1</w:t>
            </w:r>
            <w:proofErr w:type="gramEnd"/>
            <w:r w:rsidRPr="001A56EF">
              <w:rPr>
                <w:rFonts w:eastAsia="Times New Roman" w:cs="Times New Roman"/>
                <w:i/>
                <w:color w:val="000000"/>
                <w:sz w:val="16"/>
                <w:szCs w:val="16"/>
                <w:vertAlign w:val="superscript"/>
                <w:lang w:eastAsia="pt-BR"/>
              </w:rPr>
              <w:t xml:space="preserve"> </w:t>
            </w:r>
            <w:r w:rsidRPr="001A56EF">
              <w:rPr>
                <w:rFonts w:eastAsia="Times New Roman" w:cs="Times New Roman"/>
                <w:i/>
                <w:color w:val="000000"/>
                <w:sz w:val="16"/>
                <w:szCs w:val="16"/>
                <w:lang w:eastAsia="pt-BR"/>
              </w:rPr>
              <w:t>Previsto na Lei Orçamentária Anual</w:t>
            </w:r>
            <w:r w:rsidR="00610EF5" w:rsidRPr="001A56EF">
              <w:rPr>
                <w:rFonts w:eastAsia="Times New Roman" w:cs="Times New Roman"/>
                <w:i/>
                <w:color w:val="000000"/>
                <w:sz w:val="16"/>
                <w:szCs w:val="16"/>
                <w:lang w:eastAsia="pt-BR"/>
              </w:rPr>
              <w:t xml:space="preserve"> (LOA)</w:t>
            </w:r>
            <w:r w:rsidR="008B6DC6" w:rsidRPr="001A56EF">
              <w:rPr>
                <w:rFonts w:eastAsia="Times New Roman" w:cs="Times New Roman"/>
                <w:i/>
                <w:color w:val="000000"/>
                <w:sz w:val="16"/>
                <w:szCs w:val="16"/>
                <w:lang w:eastAsia="pt-BR"/>
              </w:rPr>
              <w:t>.</w:t>
            </w:r>
          </w:p>
          <w:p w14:paraId="40EAEDC6" w14:textId="0B835A1D" w:rsidR="00253E9A" w:rsidRPr="00127F44" w:rsidRDefault="00253E9A" w:rsidP="008B6DC6">
            <w:pPr>
              <w:spacing w:after="0" w:line="240" w:lineRule="auto"/>
              <w:rPr>
                <w:rFonts w:eastAsia="Times New Roman" w:cs="Times New Roman"/>
                <w:b/>
                <w:i/>
                <w:color w:val="000000"/>
                <w:sz w:val="16"/>
                <w:szCs w:val="16"/>
                <w:lang w:eastAsia="pt-BR"/>
              </w:rPr>
            </w:pPr>
            <w:r w:rsidRPr="001A56EF">
              <w:rPr>
                <w:rFonts w:eastAsia="Times New Roman" w:cs="Times New Roman"/>
                <w:b/>
                <w:i/>
                <w:color w:val="000000"/>
                <w:sz w:val="16"/>
                <w:szCs w:val="16"/>
                <w:lang w:eastAsia="pt-BR"/>
              </w:rPr>
              <w:t>Fonte e Elaboração</w:t>
            </w:r>
            <w:r w:rsidRPr="001A56EF">
              <w:rPr>
                <w:rFonts w:eastAsia="Times New Roman" w:cs="Times New Roman"/>
                <w:i/>
                <w:color w:val="000000"/>
                <w:sz w:val="16"/>
                <w:szCs w:val="16"/>
                <w:lang w:eastAsia="pt-BR"/>
              </w:rPr>
              <w:t>: STN/MF.</w:t>
            </w:r>
          </w:p>
        </w:tc>
      </w:tr>
    </w:tbl>
    <w:p w14:paraId="66AAD1FC" w14:textId="05228B04" w:rsidR="5F53DBAA" w:rsidRDefault="5F53DBAA"/>
    <w:p w14:paraId="02D3BF41" w14:textId="3461C29C" w:rsidR="000D17A6" w:rsidRPr="005C5D8A" w:rsidRDefault="000D17A6" w:rsidP="00517959">
      <w:pPr>
        <w:spacing w:after="120" w:line="240" w:lineRule="auto"/>
        <w:ind w:firstLine="1418"/>
        <w:jc w:val="both"/>
        <w:rPr>
          <w:w w:val="105"/>
          <w:sz w:val="24"/>
          <w:szCs w:val="24"/>
        </w:rPr>
      </w:pPr>
      <w:proofErr w:type="gramStart"/>
      <w:r w:rsidRPr="005C5D8A">
        <w:rPr>
          <w:w w:val="105"/>
          <w:sz w:val="24"/>
          <w:szCs w:val="24"/>
        </w:rPr>
        <w:t>Cabe</w:t>
      </w:r>
      <w:proofErr w:type="gramEnd"/>
      <w:r w:rsidRPr="005C5D8A">
        <w:rPr>
          <w:w w:val="105"/>
          <w:sz w:val="24"/>
          <w:szCs w:val="24"/>
        </w:rPr>
        <w:t xml:space="preserve"> esclarecer que o fluxo das novações do FCVS esteve interrompido entre maio de 2012 e agosto de 2015 em virtude das ressalvas e</w:t>
      </w:r>
      <w:r w:rsidR="00065D3E" w:rsidRPr="005C5D8A">
        <w:rPr>
          <w:w w:val="105"/>
          <w:sz w:val="24"/>
          <w:szCs w:val="24"/>
        </w:rPr>
        <w:t>/ou</w:t>
      </w:r>
      <w:r w:rsidRPr="005C5D8A">
        <w:rPr>
          <w:w w:val="105"/>
          <w:sz w:val="24"/>
          <w:szCs w:val="24"/>
        </w:rPr>
        <w:t xml:space="preserve"> apontamentos levantados pela Secretaria Federal de Controle Interno - SFC/CGU. A retomada ocorreu após adequações nos sistemas e procedimentos operacionais da Administradora</w:t>
      </w:r>
      <w:r w:rsidR="00065D3E" w:rsidRPr="005C5D8A">
        <w:rPr>
          <w:w w:val="105"/>
          <w:sz w:val="24"/>
          <w:szCs w:val="24"/>
        </w:rPr>
        <w:t>/</w:t>
      </w:r>
      <w:r w:rsidRPr="005C5D8A">
        <w:rPr>
          <w:w w:val="105"/>
          <w:sz w:val="24"/>
          <w:szCs w:val="24"/>
        </w:rPr>
        <w:t>C</w:t>
      </w:r>
      <w:r w:rsidR="00503E72" w:rsidRPr="005C5D8A">
        <w:rPr>
          <w:w w:val="105"/>
          <w:sz w:val="24"/>
          <w:szCs w:val="24"/>
        </w:rPr>
        <w:t>AIXA</w:t>
      </w:r>
      <w:r w:rsidR="00065D3E" w:rsidRPr="005C5D8A">
        <w:rPr>
          <w:w w:val="105"/>
          <w:sz w:val="24"/>
          <w:szCs w:val="24"/>
        </w:rPr>
        <w:t>,</w:t>
      </w:r>
      <w:r w:rsidRPr="005C5D8A">
        <w:rPr>
          <w:w w:val="105"/>
          <w:sz w:val="24"/>
          <w:szCs w:val="24"/>
        </w:rPr>
        <w:t xml:space="preserve"> e de alterações na Lei nº 10.150/2000, resultando em regularizações a partir de 2016,</w:t>
      </w:r>
      <w:r w:rsidR="001C257D" w:rsidRPr="005C5D8A">
        <w:rPr>
          <w:w w:val="105"/>
          <w:sz w:val="24"/>
          <w:szCs w:val="24"/>
        </w:rPr>
        <w:t xml:space="preserve"> </w:t>
      </w:r>
      <w:r w:rsidRPr="005C5D8A">
        <w:rPr>
          <w:w w:val="105"/>
          <w:sz w:val="24"/>
          <w:szCs w:val="24"/>
        </w:rPr>
        <w:t>ainda bem abaixo dos montantes previstos, como se verifica na</w:t>
      </w:r>
      <w:r w:rsidR="00651879" w:rsidRPr="005C5D8A">
        <w:rPr>
          <w:w w:val="105"/>
          <w:sz w:val="24"/>
          <w:szCs w:val="24"/>
        </w:rPr>
        <w:t xml:space="preserve"> </w:t>
      </w:r>
      <w:r w:rsidR="007E3AA2" w:rsidRPr="007E3AA2">
        <w:rPr>
          <w:w w:val="105"/>
          <w:sz w:val="24"/>
          <w:szCs w:val="24"/>
        </w:rPr>
        <w:fldChar w:fldCharType="begin"/>
      </w:r>
      <w:r w:rsidR="007E3AA2" w:rsidRPr="007E3AA2">
        <w:rPr>
          <w:w w:val="105"/>
          <w:sz w:val="24"/>
          <w:szCs w:val="24"/>
        </w:rPr>
        <w:instrText xml:space="preserve"> REF _Ref67389499 \h  \* MERGEFORMAT </w:instrText>
      </w:r>
      <w:r w:rsidR="007E3AA2" w:rsidRPr="007E3AA2">
        <w:rPr>
          <w:w w:val="105"/>
          <w:sz w:val="24"/>
          <w:szCs w:val="24"/>
        </w:rPr>
      </w:r>
      <w:r w:rsidR="007E3AA2" w:rsidRPr="007E3AA2">
        <w:rPr>
          <w:w w:val="105"/>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23</w:t>
      </w:r>
      <w:r w:rsidR="007E3AA2" w:rsidRPr="007E3AA2">
        <w:rPr>
          <w:w w:val="105"/>
          <w:sz w:val="24"/>
          <w:szCs w:val="24"/>
        </w:rPr>
        <w:fldChar w:fldCharType="end"/>
      </w:r>
      <w:r w:rsidRPr="005C5D8A">
        <w:rPr>
          <w:w w:val="105"/>
          <w:sz w:val="24"/>
          <w:szCs w:val="24"/>
        </w:rPr>
        <w:t>.</w:t>
      </w:r>
    </w:p>
    <w:p w14:paraId="16DF6FC1" w14:textId="4E436A18" w:rsidR="00465F7C" w:rsidRPr="005C5D8A" w:rsidRDefault="004D085F" w:rsidP="004D085F">
      <w:pPr>
        <w:spacing w:after="120" w:line="240" w:lineRule="auto"/>
        <w:ind w:firstLine="1418"/>
        <w:jc w:val="both"/>
        <w:rPr>
          <w:w w:val="105"/>
          <w:sz w:val="24"/>
          <w:szCs w:val="24"/>
        </w:rPr>
      </w:pPr>
      <w:r w:rsidRPr="005C5D8A">
        <w:rPr>
          <w:w w:val="105"/>
          <w:sz w:val="24"/>
          <w:szCs w:val="24"/>
        </w:rPr>
        <w:t xml:space="preserve">A </w:t>
      </w:r>
      <w:r w:rsidR="00963892" w:rsidRPr="00963892">
        <w:rPr>
          <w:w w:val="105"/>
          <w:sz w:val="24"/>
          <w:szCs w:val="24"/>
        </w:rPr>
        <w:fldChar w:fldCharType="begin"/>
      </w:r>
      <w:r w:rsidR="00963892" w:rsidRPr="00963892">
        <w:rPr>
          <w:w w:val="105"/>
          <w:sz w:val="24"/>
          <w:szCs w:val="24"/>
        </w:rPr>
        <w:instrText xml:space="preserve"> REF _Ref67643005 \h  \* MERGEFORMAT </w:instrText>
      </w:r>
      <w:r w:rsidR="00963892" w:rsidRPr="00963892">
        <w:rPr>
          <w:w w:val="105"/>
          <w:sz w:val="24"/>
          <w:szCs w:val="24"/>
        </w:rPr>
      </w:r>
      <w:r w:rsidR="00963892" w:rsidRPr="00963892">
        <w:rPr>
          <w:w w:val="105"/>
          <w:sz w:val="24"/>
          <w:szCs w:val="24"/>
        </w:rPr>
        <w:fldChar w:fldCharType="separate"/>
      </w:r>
      <w:r w:rsidR="00304F5F" w:rsidRPr="00304F5F">
        <w:rPr>
          <w:sz w:val="24"/>
          <w:szCs w:val="24"/>
        </w:rPr>
        <w:t>Tabela 24</w:t>
      </w:r>
      <w:r w:rsidR="00963892" w:rsidRPr="00963892">
        <w:rPr>
          <w:w w:val="105"/>
          <w:sz w:val="24"/>
          <w:szCs w:val="24"/>
        </w:rPr>
        <w:fldChar w:fldCharType="end"/>
      </w:r>
      <w:r w:rsidRPr="00963892">
        <w:rPr>
          <w:w w:val="105"/>
          <w:sz w:val="24"/>
          <w:szCs w:val="24"/>
        </w:rPr>
        <w:t xml:space="preserve"> </w:t>
      </w:r>
      <w:r w:rsidRPr="005C5D8A">
        <w:rPr>
          <w:rFonts w:ascii="Calibri" w:eastAsia="Calibri" w:hAnsi="Calibri" w:cs="Calibri"/>
          <w:sz w:val="24"/>
          <w:szCs w:val="24"/>
        </w:rPr>
        <w:t>traz a posição do estoque conforme registrado no BGU nos três exercícios anteriores, bem como o estimado na LOA do exercício corrente.</w:t>
      </w:r>
    </w:p>
    <w:p w14:paraId="329B1ACD" w14:textId="30030F4A" w:rsidR="004D4CB8" w:rsidRDefault="00831330" w:rsidP="00A40267">
      <w:pPr>
        <w:pStyle w:val="Legenda"/>
        <w:spacing w:before="240" w:after="120"/>
        <w:jc w:val="center"/>
      </w:pPr>
      <w:bookmarkStart w:id="235" w:name="_Ref67390037"/>
      <w:bookmarkStart w:id="236" w:name="_Ref67643005"/>
      <w:bookmarkStart w:id="237" w:name="_Toc69121370"/>
      <w:r w:rsidRPr="00963892">
        <w:rPr>
          <w:rFonts w:asciiTheme="minorHAnsi" w:hAnsiTheme="minorHAnsi"/>
          <w:i w:val="0"/>
          <w:color w:val="auto"/>
          <w:sz w:val="22"/>
          <w:szCs w:val="22"/>
        </w:rPr>
        <w:lastRenderedPageBreak/>
        <w:t xml:space="preserve">Tabela </w:t>
      </w:r>
      <w:r w:rsidRPr="00963892">
        <w:rPr>
          <w:rFonts w:asciiTheme="minorHAnsi" w:hAnsiTheme="minorHAnsi"/>
          <w:i w:val="0"/>
          <w:color w:val="auto"/>
          <w:sz w:val="22"/>
          <w:szCs w:val="22"/>
        </w:rPr>
        <w:fldChar w:fldCharType="begin"/>
      </w:r>
      <w:r w:rsidRPr="005C5D8A">
        <w:rPr>
          <w:rFonts w:asciiTheme="minorHAnsi" w:hAnsiTheme="minorHAnsi"/>
          <w:i w:val="0"/>
          <w:color w:val="auto"/>
          <w:sz w:val="22"/>
          <w:szCs w:val="22"/>
        </w:rPr>
        <w:instrText xml:space="preserve"> SEQ Tabela \* ARABIC </w:instrText>
      </w:r>
      <w:r w:rsidRPr="00963892">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24</w:t>
      </w:r>
      <w:r w:rsidRPr="00963892">
        <w:rPr>
          <w:rFonts w:asciiTheme="minorHAnsi" w:hAnsiTheme="minorHAnsi"/>
          <w:i w:val="0"/>
          <w:color w:val="auto"/>
          <w:sz w:val="22"/>
          <w:szCs w:val="22"/>
        </w:rPr>
        <w:fldChar w:fldCharType="end"/>
      </w:r>
      <w:bookmarkEnd w:id="235"/>
      <w:bookmarkEnd w:id="236"/>
      <w:r w:rsidR="00917C20" w:rsidRPr="00963892">
        <w:rPr>
          <w:rFonts w:asciiTheme="minorHAnsi" w:hAnsiTheme="minorHAnsi"/>
          <w:i w:val="0"/>
          <w:color w:val="auto"/>
          <w:sz w:val="22"/>
          <w:szCs w:val="22"/>
        </w:rPr>
        <w:t xml:space="preserve"> </w:t>
      </w:r>
      <w:r w:rsidR="00824261" w:rsidRPr="00963892">
        <w:rPr>
          <w:rFonts w:asciiTheme="minorHAnsi" w:hAnsiTheme="minorHAnsi"/>
          <w:i w:val="0"/>
          <w:color w:val="auto"/>
          <w:sz w:val="22"/>
          <w:szCs w:val="22"/>
        </w:rPr>
        <w:t>-</w:t>
      </w:r>
      <w:r w:rsidR="00917C20" w:rsidRPr="005C5D8A">
        <w:rPr>
          <w:rFonts w:asciiTheme="minorHAnsi" w:hAnsiTheme="minorHAnsi"/>
          <w:i w:val="0"/>
          <w:color w:val="auto"/>
          <w:sz w:val="22"/>
          <w:szCs w:val="22"/>
        </w:rPr>
        <w:t xml:space="preserve"> Valores </w:t>
      </w:r>
      <w:proofErr w:type="gramStart"/>
      <w:r w:rsidR="00917C20" w:rsidRPr="005C5D8A">
        <w:rPr>
          <w:rFonts w:asciiTheme="minorHAnsi" w:hAnsiTheme="minorHAnsi"/>
          <w:i w:val="0"/>
          <w:color w:val="auto"/>
          <w:sz w:val="22"/>
          <w:szCs w:val="22"/>
        </w:rPr>
        <w:t xml:space="preserve">provisionados no BGU e estimado na LOA, segundo </w:t>
      </w:r>
      <w:r w:rsidR="00917C20" w:rsidRPr="00D96037">
        <w:rPr>
          <w:rFonts w:asciiTheme="minorHAnsi" w:hAnsiTheme="minorHAnsi"/>
          <w:i w:val="0"/>
          <w:color w:val="auto"/>
          <w:sz w:val="22"/>
          <w:szCs w:val="22"/>
        </w:rPr>
        <w:t>Passivo</w:t>
      </w:r>
      <w:bookmarkEnd w:id="237"/>
      <w:proofErr w:type="gramEnd"/>
    </w:p>
    <w:tbl>
      <w:tblPr>
        <w:tblW w:w="783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168"/>
        <w:gridCol w:w="920"/>
        <w:gridCol w:w="1253"/>
        <w:gridCol w:w="1469"/>
        <w:gridCol w:w="2025"/>
      </w:tblGrid>
      <w:tr w:rsidR="00564E71" w:rsidRPr="00092D46" w14:paraId="6DE9BABB" w14:textId="77777777" w:rsidTr="5F53DBAA">
        <w:trPr>
          <w:trHeight w:val="20"/>
          <w:tblHeader/>
          <w:jc w:val="center"/>
        </w:trPr>
        <w:tc>
          <w:tcPr>
            <w:tcW w:w="7835" w:type="dxa"/>
            <w:gridSpan w:val="5"/>
            <w:tcBorders>
              <w:top w:val="nil"/>
              <w:left w:val="nil"/>
              <w:bottom w:val="single" w:sz="4" w:space="0" w:color="BFBFBF" w:themeColor="background1" w:themeShade="BF"/>
              <w:right w:val="nil"/>
            </w:tcBorders>
            <w:shd w:val="clear" w:color="auto" w:fill="auto"/>
            <w:vAlign w:val="center"/>
          </w:tcPr>
          <w:p w14:paraId="7627BF7B" w14:textId="77777777" w:rsidR="00564E71" w:rsidRPr="001A56EF" w:rsidRDefault="00564E71" w:rsidP="00643B46">
            <w:pPr>
              <w:spacing w:after="0" w:line="240" w:lineRule="auto"/>
              <w:jc w:val="right"/>
              <w:rPr>
                <w:rFonts w:eastAsia="Times New Roman" w:cs="Times New Roman"/>
                <w:i/>
                <w:sz w:val="16"/>
                <w:szCs w:val="16"/>
                <w:lang w:eastAsia="pt-BR"/>
              </w:rPr>
            </w:pPr>
            <w:r w:rsidRPr="001A56EF">
              <w:rPr>
                <w:rFonts w:eastAsia="Times New Roman" w:cs="Times New Roman"/>
                <w:i/>
                <w:sz w:val="16"/>
                <w:szCs w:val="16"/>
                <w:lang w:eastAsia="pt-BR"/>
              </w:rPr>
              <w:t>Em R$ milhões</w:t>
            </w:r>
          </w:p>
        </w:tc>
      </w:tr>
      <w:tr w:rsidR="00723A3B" w:rsidRPr="00CD448A" w14:paraId="4AAD335F" w14:textId="77777777" w:rsidTr="00DB7D3A">
        <w:trPr>
          <w:trHeight w:val="20"/>
          <w:tblHeader/>
          <w:jc w:val="center"/>
        </w:trPr>
        <w:tc>
          <w:tcPr>
            <w:tcW w:w="2168" w:type="dxa"/>
            <w:vMerge w:val="restart"/>
            <w:tcBorders>
              <w:top w:val="single" w:sz="4" w:space="0" w:color="BFBFBF" w:themeColor="background1" w:themeShade="BF"/>
            </w:tcBorders>
            <w:shd w:val="clear" w:color="auto" w:fill="404040" w:themeFill="text1" w:themeFillTint="BF"/>
            <w:vAlign w:val="center"/>
            <w:hideMark/>
          </w:tcPr>
          <w:p w14:paraId="3AAD8B40" w14:textId="5235287E" w:rsidR="00021442" w:rsidRPr="00854A3E" w:rsidRDefault="00021442" w:rsidP="00643B46">
            <w:pPr>
              <w:spacing w:after="0" w:line="240" w:lineRule="auto"/>
              <w:jc w:val="center"/>
              <w:rPr>
                <w:rFonts w:eastAsia="Times New Roman" w:cs="Times New Roman"/>
                <w:b/>
                <w:bCs/>
                <w:color w:val="FFFFFF" w:themeColor="background1"/>
                <w:sz w:val="20"/>
                <w:szCs w:val="20"/>
                <w:lang w:eastAsia="pt-BR"/>
              </w:rPr>
            </w:pPr>
            <w:r w:rsidRPr="00854A3E">
              <w:rPr>
                <w:rFonts w:eastAsia="Times New Roman" w:cs="Times New Roman"/>
                <w:b/>
                <w:bCs/>
                <w:color w:val="FFFFFF" w:themeColor="background1"/>
                <w:sz w:val="20"/>
                <w:szCs w:val="20"/>
                <w:lang w:eastAsia="pt-BR"/>
              </w:rPr>
              <w:t>Passivo</w:t>
            </w:r>
          </w:p>
        </w:tc>
        <w:tc>
          <w:tcPr>
            <w:tcW w:w="3642" w:type="dxa"/>
            <w:gridSpan w:val="3"/>
            <w:tcBorders>
              <w:top w:val="single" w:sz="4" w:space="0" w:color="BFBFBF" w:themeColor="background1" w:themeShade="BF"/>
            </w:tcBorders>
            <w:shd w:val="clear" w:color="auto" w:fill="404040" w:themeFill="text1" w:themeFillTint="BF"/>
            <w:vAlign w:val="center"/>
          </w:tcPr>
          <w:p w14:paraId="752D06A8" w14:textId="1B314B29" w:rsidR="00021442" w:rsidRPr="00854A3E" w:rsidRDefault="00EE0CC8" w:rsidP="00643B46">
            <w:pPr>
              <w:spacing w:after="0" w:line="240" w:lineRule="auto"/>
              <w:jc w:val="center"/>
              <w:rPr>
                <w:rFonts w:eastAsia="Times New Roman" w:cs="Times New Roman"/>
                <w:b/>
                <w:bCs/>
                <w:color w:val="FFFFFF" w:themeColor="background1"/>
                <w:sz w:val="20"/>
                <w:szCs w:val="20"/>
                <w:lang w:eastAsia="pt-BR"/>
              </w:rPr>
            </w:pPr>
            <w:r w:rsidRPr="00854A3E">
              <w:rPr>
                <w:rFonts w:eastAsia="Times New Roman" w:cs="Times New Roman"/>
                <w:b/>
                <w:bCs/>
                <w:color w:val="FFFFFF" w:themeColor="background1"/>
                <w:sz w:val="20"/>
                <w:szCs w:val="20"/>
                <w:lang w:eastAsia="pt-BR"/>
              </w:rPr>
              <w:t>Valor do estoque no BGU</w:t>
            </w:r>
          </w:p>
        </w:tc>
        <w:tc>
          <w:tcPr>
            <w:tcW w:w="2025" w:type="dxa"/>
            <w:tcBorders>
              <w:top w:val="single" w:sz="4" w:space="0" w:color="BFBFBF" w:themeColor="background1" w:themeShade="BF"/>
            </w:tcBorders>
            <w:shd w:val="clear" w:color="auto" w:fill="404040" w:themeFill="text1" w:themeFillTint="BF"/>
            <w:vAlign w:val="center"/>
          </w:tcPr>
          <w:p w14:paraId="56A9C9BD" w14:textId="334977FB" w:rsidR="00021442" w:rsidRPr="00854A3E" w:rsidRDefault="49BBA7D1" w:rsidP="00643B46">
            <w:pPr>
              <w:spacing w:after="0" w:line="240" w:lineRule="auto"/>
              <w:jc w:val="center"/>
              <w:rPr>
                <w:rFonts w:eastAsia="Times New Roman" w:cs="Times New Roman"/>
                <w:b/>
                <w:bCs/>
                <w:color w:val="FFFFFF" w:themeColor="background1"/>
                <w:sz w:val="20"/>
                <w:szCs w:val="20"/>
                <w:lang w:eastAsia="pt-BR"/>
              </w:rPr>
            </w:pPr>
            <w:r w:rsidRPr="00854A3E">
              <w:rPr>
                <w:rFonts w:eastAsia="Times New Roman" w:cs="Times New Roman"/>
                <w:b/>
                <w:bCs/>
                <w:color w:val="FFFFFF" w:themeColor="background1"/>
                <w:sz w:val="20"/>
                <w:szCs w:val="20"/>
                <w:lang w:eastAsia="pt-BR"/>
              </w:rPr>
              <w:t>Valor</w:t>
            </w:r>
            <w:r w:rsidR="4EFD708B" w:rsidRPr="00854A3E">
              <w:rPr>
                <w:rFonts w:eastAsia="Times New Roman" w:cs="Times New Roman"/>
                <w:b/>
                <w:bCs/>
                <w:color w:val="FFFFFF" w:themeColor="background1"/>
                <w:sz w:val="20"/>
                <w:szCs w:val="20"/>
                <w:lang w:eastAsia="pt-BR"/>
              </w:rPr>
              <w:t xml:space="preserve"> </w:t>
            </w:r>
            <w:r w:rsidR="232BA1C9" w:rsidRPr="00854A3E">
              <w:rPr>
                <w:rFonts w:eastAsia="Times New Roman" w:cs="Times New Roman"/>
                <w:b/>
                <w:bCs/>
                <w:color w:val="FFFFFF" w:themeColor="background1"/>
                <w:sz w:val="20"/>
                <w:szCs w:val="20"/>
                <w:lang w:eastAsia="pt-BR"/>
              </w:rPr>
              <w:t>P</w:t>
            </w:r>
            <w:r w:rsidR="4EFD708B" w:rsidRPr="00854A3E">
              <w:rPr>
                <w:rFonts w:eastAsia="Times New Roman" w:cs="Times New Roman"/>
                <w:b/>
                <w:bCs/>
                <w:color w:val="FFFFFF" w:themeColor="background1"/>
                <w:sz w:val="20"/>
                <w:szCs w:val="20"/>
                <w:lang w:eastAsia="pt-BR"/>
              </w:rPr>
              <w:t>LOA</w:t>
            </w:r>
          </w:p>
        </w:tc>
      </w:tr>
      <w:tr w:rsidR="00723A3B" w:rsidRPr="00CD448A" w14:paraId="5C3E6EC6" w14:textId="77777777" w:rsidTr="00DB7D3A">
        <w:trPr>
          <w:trHeight w:val="20"/>
          <w:tblHeader/>
          <w:jc w:val="center"/>
        </w:trPr>
        <w:tc>
          <w:tcPr>
            <w:tcW w:w="2168" w:type="dxa"/>
            <w:vMerge/>
            <w:vAlign w:val="center"/>
          </w:tcPr>
          <w:p w14:paraId="40F6B0F5" w14:textId="77777777" w:rsidR="00A14513" w:rsidRPr="00092D46" w:rsidRDefault="00A14513" w:rsidP="00643B46">
            <w:pPr>
              <w:spacing w:after="0" w:line="240" w:lineRule="auto"/>
              <w:jc w:val="center"/>
              <w:rPr>
                <w:rFonts w:eastAsia="Times New Roman" w:cs="Times New Roman"/>
                <w:color w:val="FFFFFF" w:themeColor="background1"/>
                <w:sz w:val="20"/>
                <w:szCs w:val="20"/>
                <w:lang w:eastAsia="pt-BR"/>
              </w:rPr>
            </w:pPr>
          </w:p>
        </w:tc>
        <w:tc>
          <w:tcPr>
            <w:tcW w:w="920" w:type="dxa"/>
            <w:shd w:val="clear" w:color="auto" w:fill="404040" w:themeFill="text1" w:themeFillTint="BF"/>
            <w:vAlign w:val="center"/>
          </w:tcPr>
          <w:p w14:paraId="52EF7946" w14:textId="5443C7ED" w:rsidR="00A14513" w:rsidRPr="00854A3E" w:rsidRDefault="400306E2" w:rsidP="00643B46">
            <w:pPr>
              <w:spacing w:after="0" w:line="240" w:lineRule="auto"/>
              <w:jc w:val="center"/>
              <w:rPr>
                <w:rFonts w:eastAsia="Times New Roman" w:cs="Times New Roman"/>
                <w:b/>
                <w:bCs/>
                <w:color w:val="FFFFFF" w:themeColor="background1"/>
                <w:sz w:val="20"/>
                <w:szCs w:val="20"/>
                <w:lang w:eastAsia="pt-BR"/>
              </w:rPr>
            </w:pPr>
            <w:r w:rsidRPr="00854A3E">
              <w:rPr>
                <w:rFonts w:eastAsia="Times New Roman" w:cs="Times New Roman"/>
                <w:b/>
                <w:bCs/>
                <w:color w:val="FFFFFF" w:themeColor="background1"/>
                <w:sz w:val="20"/>
                <w:szCs w:val="20"/>
                <w:lang w:eastAsia="pt-BR"/>
              </w:rPr>
              <w:t>201</w:t>
            </w:r>
            <w:r w:rsidR="700BFBEE" w:rsidRPr="00854A3E">
              <w:rPr>
                <w:rFonts w:eastAsia="Times New Roman" w:cs="Times New Roman"/>
                <w:b/>
                <w:bCs/>
                <w:color w:val="FFFFFF" w:themeColor="background1"/>
                <w:sz w:val="20"/>
                <w:szCs w:val="20"/>
                <w:lang w:eastAsia="pt-BR"/>
              </w:rPr>
              <w:t>8</w:t>
            </w:r>
          </w:p>
        </w:tc>
        <w:tc>
          <w:tcPr>
            <w:tcW w:w="1253" w:type="dxa"/>
            <w:shd w:val="clear" w:color="auto" w:fill="404040" w:themeFill="text1" w:themeFillTint="BF"/>
            <w:vAlign w:val="center"/>
          </w:tcPr>
          <w:p w14:paraId="480C5D34" w14:textId="7ED8E4DE" w:rsidR="00A14513" w:rsidRPr="00854A3E" w:rsidRDefault="400306E2" w:rsidP="00643B46">
            <w:pPr>
              <w:spacing w:after="0" w:line="240" w:lineRule="auto"/>
              <w:jc w:val="center"/>
              <w:rPr>
                <w:rFonts w:eastAsia="Times New Roman" w:cs="Times New Roman"/>
                <w:b/>
                <w:bCs/>
                <w:color w:val="FFFFFF" w:themeColor="background1"/>
                <w:sz w:val="20"/>
                <w:szCs w:val="20"/>
                <w:lang w:eastAsia="pt-BR"/>
              </w:rPr>
            </w:pPr>
            <w:r w:rsidRPr="00854A3E">
              <w:rPr>
                <w:rFonts w:eastAsia="Times New Roman" w:cs="Times New Roman"/>
                <w:b/>
                <w:bCs/>
                <w:color w:val="FFFFFF" w:themeColor="background1"/>
                <w:sz w:val="20"/>
                <w:szCs w:val="20"/>
                <w:lang w:eastAsia="pt-BR"/>
              </w:rPr>
              <w:t>201</w:t>
            </w:r>
            <w:r w:rsidR="00419720" w:rsidRPr="00854A3E">
              <w:rPr>
                <w:rFonts w:eastAsia="Times New Roman" w:cs="Times New Roman"/>
                <w:b/>
                <w:bCs/>
                <w:color w:val="FFFFFF" w:themeColor="background1"/>
                <w:sz w:val="20"/>
                <w:szCs w:val="20"/>
                <w:lang w:eastAsia="pt-BR"/>
              </w:rPr>
              <w:t>9</w:t>
            </w:r>
          </w:p>
        </w:tc>
        <w:tc>
          <w:tcPr>
            <w:tcW w:w="1469" w:type="dxa"/>
            <w:shd w:val="clear" w:color="auto" w:fill="404040" w:themeFill="text1" w:themeFillTint="BF"/>
            <w:vAlign w:val="center"/>
          </w:tcPr>
          <w:p w14:paraId="1D606783" w14:textId="6D9F8C8A" w:rsidR="00A14513" w:rsidRPr="00854A3E" w:rsidRDefault="400306E2" w:rsidP="00643B46">
            <w:pPr>
              <w:spacing w:after="0" w:line="240" w:lineRule="auto"/>
              <w:jc w:val="center"/>
              <w:rPr>
                <w:rFonts w:eastAsia="Times New Roman" w:cs="Times New Roman"/>
                <w:b/>
                <w:bCs/>
                <w:color w:val="FFFFFF" w:themeColor="background1"/>
                <w:sz w:val="20"/>
                <w:szCs w:val="20"/>
                <w:lang w:eastAsia="pt-BR"/>
              </w:rPr>
            </w:pPr>
            <w:r w:rsidRPr="00854A3E">
              <w:rPr>
                <w:rFonts w:eastAsia="Times New Roman" w:cs="Times New Roman"/>
                <w:b/>
                <w:bCs/>
                <w:color w:val="FFFFFF" w:themeColor="background1"/>
                <w:sz w:val="20"/>
                <w:szCs w:val="20"/>
                <w:lang w:eastAsia="pt-BR"/>
              </w:rPr>
              <w:t>20</w:t>
            </w:r>
            <w:r w:rsidR="220FAE8F" w:rsidRPr="00854A3E">
              <w:rPr>
                <w:rFonts w:eastAsia="Times New Roman" w:cs="Times New Roman"/>
                <w:b/>
                <w:bCs/>
                <w:color w:val="FFFFFF" w:themeColor="background1"/>
                <w:sz w:val="20"/>
                <w:szCs w:val="20"/>
                <w:lang w:eastAsia="pt-BR"/>
              </w:rPr>
              <w:t>20</w:t>
            </w:r>
          </w:p>
        </w:tc>
        <w:tc>
          <w:tcPr>
            <w:tcW w:w="2025" w:type="dxa"/>
            <w:shd w:val="clear" w:color="auto" w:fill="404040" w:themeFill="text1" w:themeFillTint="BF"/>
            <w:vAlign w:val="center"/>
          </w:tcPr>
          <w:p w14:paraId="166FDB58" w14:textId="5F3F88BF" w:rsidR="00A14513" w:rsidRPr="00854A3E" w:rsidRDefault="400306E2" w:rsidP="00643B46">
            <w:pPr>
              <w:spacing w:after="0" w:line="240" w:lineRule="auto"/>
              <w:jc w:val="center"/>
              <w:rPr>
                <w:rFonts w:eastAsia="Times New Roman" w:cs="Times New Roman"/>
                <w:b/>
                <w:bCs/>
                <w:color w:val="FFFFFF" w:themeColor="background1"/>
                <w:sz w:val="20"/>
                <w:szCs w:val="20"/>
                <w:lang w:eastAsia="pt-BR"/>
              </w:rPr>
            </w:pPr>
            <w:r w:rsidRPr="00854A3E">
              <w:rPr>
                <w:rFonts w:eastAsia="Times New Roman" w:cs="Times New Roman"/>
                <w:b/>
                <w:bCs/>
                <w:color w:val="FFFFFF" w:themeColor="background1"/>
                <w:sz w:val="20"/>
                <w:szCs w:val="20"/>
                <w:lang w:eastAsia="pt-BR"/>
              </w:rPr>
              <w:t>202</w:t>
            </w:r>
            <w:r w:rsidR="4D193D8E" w:rsidRPr="00854A3E">
              <w:rPr>
                <w:rFonts w:eastAsia="Times New Roman" w:cs="Times New Roman"/>
                <w:b/>
                <w:bCs/>
                <w:color w:val="FFFFFF" w:themeColor="background1"/>
                <w:sz w:val="20"/>
                <w:szCs w:val="20"/>
                <w:lang w:eastAsia="pt-BR"/>
              </w:rPr>
              <w:t>1</w:t>
            </w:r>
          </w:p>
        </w:tc>
      </w:tr>
      <w:tr w:rsidR="003931D5" w:rsidRPr="00CD448A" w14:paraId="0E354EBA" w14:textId="77777777" w:rsidTr="002E2CB8">
        <w:trPr>
          <w:trHeight w:val="20"/>
          <w:jc w:val="center"/>
        </w:trPr>
        <w:tc>
          <w:tcPr>
            <w:tcW w:w="2168" w:type="dxa"/>
            <w:shd w:val="clear" w:color="auto" w:fill="auto"/>
            <w:hideMark/>
          </w:tcPr>
          <w:p w14:paraId="7198A9F0" w14:textId="44404813" w:rsidR="003931D5" w:rsidRPr="00092D46" w:rsidRDefault="003931D5" w:rsidP="00643B46">
            <w:pPr>
              <w:spacing w:after="0" w:line="240" w:lineRule="auto"/>
              <w:rPr>
                <w:rFonts w:eastAsia="Times New Roman" w:cs="Times New Roman"/>
                <w:sz w:val="18"/>
                <w:szCs w:val="18"/>
                <w:lang w:eastAsia="pt-BR"/>
              </w:rPr>
            </w:pPr>
            <w:r w:rsidRPr="00092D46">
              <w:rPr>
                <w:rFonts w:eastAsia="Times New Roman" w:cs="Times New Roman"/>
                <w:sz w:val="18"/>
                <w:szCs w:val="18"/>
                <w:lang w:eastAsia="pt-BR"/>
              </w:rPr>
              <w:t>Extinção de entidades</w:t>
            </w:r>
            <w:r w:rsidRPr="4446ABD4">
              <w:rPr>
                <w:rFonts w:eastAsia="Times New Roman" w:cs="Times New Roman"/>
                <w:sz w:val="18"/>
                <w:szCs w:val="18"/>
                <w:lang w:eastAsia="pt-BR"/>
              </w:rPr>
              <w:t xml:space="preserve"> </w:t>
            </w:r>
            <w:r w:rsidRPr="4446ABD4">
              <w:rPr>
                <w:rFonts w:eastAsia="Times New Roman" w:cs="Times New Roman"/>
                <w:i/>
                <w:iCs/>
                <w:sz w:val="18"/>
                <w:szCs w:val="18"/>
                <w:lang w:eastAsia="pt-BR"/>
              </w:rPr>
              <w:t>(a)</w:t>
            </w:r>
          </w:p>
        </w:tc>
        <w:tc>
          <w:tcPr>
            <w:tcW w:w="920" w:type="dxa"/>
            <w:shd w:val="clear" w:color="auto" w:fill="auto"/>
            <w:noWrap/>
            <w:vAlign w:val="center"/>
            <w:hideMark/>
          </w:tcPr>
          <w:p w14:paraId="392F0852" w14:textId="3D28000A" w:rsidR="003931D5" w:rsidRPr="006D77BA" w:rsidRDefault="003931D5" w:rsidP="00643B46">
            <w:pPr>
              <w:spacing w:after="0" w:line="240" w:lineRule="auto"/>
              <w:jc w:val="right"/>
              <w:rPr>
                <w:rFonts w:eastAsia="Times New Roman" w:cs="Times New Roman"/>
                <w:color w:val="000000"/>
                <w:sz w:val="18"/>
                <w:szCs w:val="18"/>
                <w:lang w:eastAsia="pt-BR"/>
              </w:rPr>
            </w:pPr>
            <w:r w:rsidRPr="4446ABD4">
              <w:rPr>
                <w:rFonts w:eastAsia="Times New Roman" w:cs="Times New Roman"/>
                <w:color w:val="000000" w:themeColor="text1"/>
                <w:sz w:val="18"/>
                <w:szCs w:val="18"/>
                <w:lang w:eastAsia="pt-BR"/>
              </w:rPr>
              <w:t>1.004,4</w:t>
            </w:r>
          </w:p>
        </w:tc>
        <w:tc>
          <w:tcPr>
            <w:tcW w:w="1253" w:type="dxa"/>
            <w:shd w:val="clear" w:color="auto" w:fill="auto"/>
            <w:noWrap/>
            <w:vAlign w:val="center"/>
            <w:hideMark/>
          </w:tcPr>
          <w:p w14:paraId="5C5F002A" w14:textId="24953258" w:rsidR="003931D5" w:rsidRPr="006D77BA" w:rsidRDefault="003931D5" w:rsidP="00643B46">
            <w:pPr>
              <w:spacing w:after="0" w:line="240" w:lineRule="auto"/>
              <w:jc w:val="right"/>
              <w:rPr>
                <w:rFonts w:eastAsia="Times New Roman" w:cs="Times New Roman"/>
                <w:sz w:val="18"/>
                <w:szCs w:val="18"/>
                <w:lang w:eastAsia="pt-BR"/>
              </w:rPr>
            </w:pPr>
            <w:r w:rsidRPr="4446ABD4">
              <w:rPr>
                <w:rFonts w:eastAsia="Times New Roman" w:cs="Times New Roman"/>
                <w:sz w:val="18"/>
                <w:szCs w:val="18"/>
                <w:lang w:eastAsia="pt-BR"/>
              </w:rPr>
              <w:t>236,6</w:t>
            </w:r>
          </w:p>
        </w:tc>
        <w:tc>
          <w:tcPr>
            <w:tcW w:w="1469" w:type="dxa"/>
            <w:shd w:val="clear" w:color="auto" w:fill="auto"/>
            <w:vAlign w:val="center"/>
            <w:hideMark/>
          </w:tcPr>
          <w:p w14:paraId="439624F2" w14:textId="3002F0A6" w:rsidR="003931D5" w:rsidRPr="006D77BA" w:rsidRDefault="003931D5" w:rsidP="00643B46">
            <w:pPr>
              <w:spacing w:after="0" w:line="240" w:lineRule="auto"/>
              <w:jc w:val="right"/>
              <w:rPr>
                <w:rFonts w:eastAsia="Times New Roman" w:cs="Times New Roman"/>
                <w:sz w:val="18"/>
                <w:szCs w:val="18"/>
                <w:lang w:eastAsia="pt-BR"/>
              </w:rPr>
            </w:pPr>
            <w:r w:rsidRPr="4446ABD4">
              <w:rPr>
                <w:rFonts w:eastAsia="Times New Roman" w:cs="Times New Roman"/>
                <w:sz w:val="18"/>
                <w:szCs w:val="18"/>
                <w:lang w:eastAsia="pt-BR"/>
              </w:rPr>
              <w:t>259,4</w:t>
            </w:r>
          </w:p>
        </w:tc>
        <w:tc>
          <w:tcPr>
            <w:tcW w:w="2025" w:type="dxa"/>
            <w:vMerge w:val="restart"/>
            <w:shd w:val="clear" w:color="auto" w:fill="auto"/>
            <w:vAlign w:val="center"/>
            <w:hideMark/>
          </w:tcPr>
          <w:p w14:paraId="66A91323" w14:textId="77777777" w:rsidR="003931D5" w:rsidRPr="006D77BA" w:rsidRDefault="003931D5" w:rsidP="003931D5">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5.670,0</w:t>
            </w:r>
          </w:p>
          <w:p w14:paraId="72144203" w14:textId="30A7BBED" w:rsidR="003931D5" w:rsidRPr="006D77BA" w:rsidRDefault="003931D5" w:rsidP="003931D5">
            <w:pPr>
              <w:spacing w:after="0" w:line="240" w:lineRule="auto"/>
              <w:jc w:val="right"/>
              <w:rPr>
                <w:rFonts w:eastAsia="Times New Roman" w:cs="Times New Roman"/>
                <w:sz w:val="18"/>
                <w:szCs w:val="18"/>
                <w:lang w:eastAsia="pt-BR"/>
              </w:rPr>
            </w:pPr>
          </w:p>
        </w:tc>
      </w:tr>
      <w:tr w:rsidR="003931D5" w:rsidRPr="00CD448A" w14:paraId="03A58818" w14:textId="77777777" w:rsidTr="00DB7D3A">
        <w:trPr>
          <w:trHeight w:val="300"/>
          <w:jc w:val="center"/>
        </w:trPr>
        <w:tc>
          <w:tcPr>
            <w:tcW w:w="2168" w:type="dxa"/>
            <w:shd w:val="clear" w:color="auto" w:fill="auto"/>
            <w:hideMark/>
          </w:tcPr>
          <w:p w14:paraId="2E19DCC2" w14:textId="29B6EA22" w:rsidR="003931D5" w:rsidRPr="00092D46" w:rsidRDefault="003931D5" w:rsidP="00643B46">
            <w:pPr>
              <w:spacing w:after="0" w:line="240" w:lineRule="auto"/>
              <w:rPr>
                <w:rFonts w:eastAsia="Times New Roman" w:cs="Times New Roman"/>
                <w:sz w:val="18"/>
                <w:szCs w:val="18"/>
                <w:lang w:eastAsia="pt-BR"/>
              </w:rPr>
            </w:pPr>
            <w:r w:rsidRPr="00092D46">
              <w:rPr>
                <w:rFonts w:eastAsia="Times New Roman" w:cs="Times New Roman"/>
                <w:sz w:val="18"/>
                <w:szCs w:val="18"/>
                <w:lang w:eastAsia="pt-BR"/>
              </w:rPr>
              <w:t>Dívida direta</w:t>
            </w:r>
            <w:r w:rsidRPr="4446ABD4">
              <w:rPr>
                <w:rFonts w:eastAsia="Times New Roman" w:cs="Times New Roman"/>
                <w:sz w:val="18"/>
                <w:szCs w:val="18"/>
                <w:lang w:eastAsia="pt-BR"/>
              </w:rPr>
              <w:t xml:space="preserve"> </w:t>
            </w:r>
            <w:r w:rsidRPr="4446ABD4">
              <w:rPr>
                <w:rFonts w:eastAsia="Times New Roman" w:cs="Times New Roman"/>
                <w:i/>
                <w:iCs/>
                <w:sz w:val="18"/>
                <w:szCs w:val="18"/>
                <w:lang w:eastAsia="pt-BR"/>
              </w:rPr>
              <w:t>(b)</w:t>
            </w:r>
          </w:p>
        </w:tc>
        <w:tc>
          <w:tcPr>
            <w:tcW w:w="920" w:type="dxa"/>
            <w:shd w:val="clear" w:color="auto" w:fill="auto"/>
            <w:vAlign w:val="center"/>
            <w:hideMark/>
          </w:tcPr>
          <w:p w14:paraId="20128D3B" w14:textId="1A5107B5" w:rsidR="003931D5" w:rsidRPr="006D77BA" w:rsidRDefault="003931D5" w:rsidP="00643B46">
            <w:pPr>
              <w:spacing w:after="0" w:line="240" w:lineRule="auto"/>
              <w:jc w:val="right"/>
              <w:rPr>
                <w:rFonts w:eastAsia="Times New Roman" w:cs="Times New Roman"/>
                <w:sz w:val="18"/>
                <w:szCs w:val="18"/>
                <w:lang w:eastAsia="pt-BR"/>
              </w:rPr>
            </w:pPr>
            <w:r w:rsidRPr="4446ABD4">
              <w:rPr>
                <w:rFonts w:eastAsia="Times New Roman" w:cs="Times New Roman"/>
                <w:sz w:val="18"/>
                <w:szCs w:val="18"/>
                <w:lang w:eastAsia="pt-BR"/>
              </w:rPr>
              <w:t>5.075,8</w:t>
            </w:r>
          </w:p>
        </w:tc>
        <w:tc>
          <w:tcPr>
            <w:tcW w:w="1253" w:type="dxa"/>
            <w:shd w:val="clear" w:color="auto" w:fill="auto"/>
            <w:vAlign w:val="center"/>
            <w:hideMark/>
          </w:tcPr>
          <w:p w14:paraId="02C0C796" w14:textId="6DB01E5D" w:rsidR="003931D5" w:rsidRPr="006D77BA" w:rsidRDefault="003931D5" w:rsidP="00180476">
            <w:pPr>
              <w:spacing w:after="0" w:line="240" w:lineRule="auto"/>
              <w:jc w:val="right"/>
              <w:rPr>
                <w:rFonts w:eastAsia="Times New Roman" w:cs="Times New Roman"/>
                <w:color w:val="000000" w:themeColor="text1"/>
                <w:sz w:val="18"/>
                <w:szCs w:val="18"/>
                <w:lang w:eastAsia="pt-BR"/>
              </w:rPr>
            </w:pPr>
            <w:r w:rsidRPr="4446ABD4">
              <w:rPr>
                <w:rFonts w:eastAsia="Times New Roman" w:cs="Times New Roman"/>
                <w:color w:val="000000" w:themeColor="text1"/>
                <w:sz w:val="18"/>
                <w:szCs w:val="18"/>
                <w:lang w:eastAsia="pt-BR"/>
              </w:rPr>
              <w:t>5.227,4</w:t>
            </w:r>
          </w:p>
        </w:tc>
        <w:tc>
          <w:tcPr>
            <w:tcW w:w="1469" w:type="dxa"/>
            <w:shd w:val="clear" w:color="auto" w:fill="auto"/>
            <w:noWrap/>
            <w:vAlign w:val="center"/>
            <w:hideMark/>
          </w:tcPr>
          <w:p w14:paraId="38B56CFB" w14:textId="684B344B" w:rsidR="003931D5" w:rsidRPr="006D77BA" w:rsidRDefault="003931D5" w:rsidP="00643B46">
            <w:pPr>
              <w:spacing w:after="0" w:line="240" w:lineRule="auto"/>
              <w:jc w:val="right"/>
              <w:rPr>
                <w:rFonts w:eastAsia="Times New Roman" w:cs="Times New Roman"/>
                <w:color w:val="000000"/>
                <w:sz w:val="18"/>
                <w:szCs w:val="18"/>
                <w:lang w:eastAsia="pt-BR"/>
              </w:rPr>
            </w:pPr>
            <w:r w:rsidRPr="4446ABD4">
              <w:rPr>
                <w:rFonts w:eastAsia="Times New Roman" w:cs="Times New Roman"/>
                <w:color w:val="000000" w:themeColor="text1"/>
                <w:sz w:val="18"/>
                <w:szCs w:val="18"/>
                <w:lang w:eastAsia="pt-BR"/>
              </w:rPr>
              <w:t>5.372,8</w:t>
            </w:r>
          </w:p>
        </w:tc>
        <w:tc>
          <w:tcPr>
            <w:tcW w:w="2025" w:type="dxa"/>
            <w:vMerge/>
            <w:noWrap/>
            <w:vAlign w:val="center"/>
            <w:hideMark/>
          </w:tcPr>
          <w:p w14:paraId="2322A876" w14:textId="0C327390" w:rsidR="003931D5" w:rsidRPr="006D77BA" w:rsidRDefault="003931D5" w:rsidP="00643B46">
            <w:pPr>
              <w:spacing w:after="0" w:line="240" w:lineRule="auto"/>
              <w:jc w:val="right"/>
              <w:rPr>
                <w:rFonts w:eastAsia="Times New Roman" w:cs="Times New Roman"/>
                <w:color w:val="000000"/>
                <w:sz w:val="18"/>
                <w:szCs w:val="18"/>
                <w:lang w:eastAsia="pt-BR"/>
              </w:rPr>
            </w:pPr>
          </w:p>
        </w:tc>
      </w:tr>
      <w:tr w:rsidR="00723A3B" w:rsidRPr="00CD448A" w14:paraId="56DE6007" w14:textId="77777777" w:rsidTr="00DB7D3A">
        <w:trPr>
          <w:trHeight w:val="20"/>
          <w:jc w:val="center"/>
        </w:trPr>
        <w:tc>
          <w:tcPr>
            <w:tcW w:w="2168" w:type="dxa"/>
            <w:shd w:val="clear" w:color="auto" w:fill="auto"/>
            <w:hideMark/>
          </w:tcPr>
          <w:p w14:paraId="0062B04D" w14:textId="4BB4EED5" w:rsidR="00130013" w:rsidRPr="00092D46" w:rsidRDefault="00130013" w:rsidP="00643B46">
            <w:pPr>
              <w:spacing w:after="0" w:line="240" w:lineRule="auto"/>
              <w:rPr>
                <w:rFonts w:eastAsia="Times New Roman" w:cs="Times New Roman"/>
                <w:sz w:val="18"/>
                <w:szCs w:val="18"/>
                <w:lang w:eastAsia="pt-BR"/>
              </w:rPr>
            </w:pPr>
            <w:r w:rsidRPr="00092D46">
              <w:rPr>
                <w:rFonts w:eastAsia="Times New Roman" w:cs="Times New Roman"/>
                <w:sz w:val="18"/>
                <w:szCs w:val="18"/>
                <w:lang w:eastAsia="pt-BR"/>
              </w:rPr>
              <w:t xml:space="preserve">FCVS </w:t>
            </w:r>
            <w:proofErr w:type="spellStart"/>
            <w:r w:rsidRPr="00092D46">
              <w:rPr>
                <w:rFonts w:eastAsia="Times New Roman" w:cs="Times New Roman"/>
                <w:sz w:val="18"/>
                <w:szCs w:val="18"/>
                <w:lang w:eastAsia="pt-BR"/>
              </w:rPr>
              <w:t>VAFs</w:t>
            </w:r>
            <w:proofErr w:type="spellEnd"/>
            <w:r w:rsidRPr="00092D46">
              <w:rPr>
                <w:rFonts w:eastAsia="Times New Roman" w:cs="Times New Roman"/>
                <w:sz w:val="18"/>
                <w:szCs w:val="18"/>
                <w:lang w:eastAsia="pt-BR"/>
              </w:rPr>
              <w:t xml:space="preserve"> </w:t>
            </w:r>
            <w:proofErr w:type="gramStart"/>
            <w:r w:rsidRPr="00092D46">
              <w:rPr>
                <w:rFonts w:eastAsia="Times New Roman" w:cs="Times New Roman"/>
                <w:sz w:val="18"/>
                <w:szCs w:val="18"/>
                <w:lang w:eastAsia="pt-BR"/>
              </w:rPr>
              <w:t>1</w:t>
            </w:r>
            <w:proofErr w:type="gramEnd"/>
            <w:r w:rsidRPr="00092D46">
              <w:rPr>
                <w:rFonts w:eastAsia="Times New Roman" w:cs="Times New Roman"/>
                <w:sz w:val="18"/>
                <w:szCs w:val="18"/>
                <w:lang w:eastAsia="pt-BR"/>
              </w:rPr>
              <w:t xml:space="preserve"> e 2</w:t>
            </w:r>
            <w:r w:rsidR="39780C0F" w:rsidRPr="4446ABD4">
              <w:rPr>
                <w:rFonts w:eastAsia="Times New Roman" w:cs="Times New Roman"/>
                <w:sz w:val="18"/>
                <w:szCs w:val="18"/>
                <w:lang w:eastAsia="pt-BR"/>
              </w:rPr>
              <w:t xml:space="preserve"> </w:t>
            </w:r>
            <w:r w:rsidR="39780C0F" w:rsidRPr="4446ABD4">
              <w:rPr>
                <w:rFonts w:eastAsia="Times New Roman" w:cs="Times New Roman"/>
                <w:i/>
                <w:iCs/>
                <w:sz w:val="18"/>
                <w:szCs w:val="18"/>
                <w:lang w:eastAsia="pt-BR"/>
              </w:rPr>
              <w:t>(c)</w:t>
            </w:r>
          </w:p>
        </w:tc>
        <w:tc>
          <w:tcPr>
            <w:tcW w:w="920" w:type="dxa"/>
            <w:shd w:val="clear" w:color="auto" w:fill="auto"/>
            <w:noWrap/>
            <w:vAlign w:val="center"/>
            <w:hideMark/>
          </w:tcPr>
          <w:p w14:paraId="075D6FD3" w14:textId="630501E4" w:rsidR="00130013" w:rsidRPr="006D77BA" w:rsidRDefault="00130013" w:rsidP="00E5362E">
            <w:pPr>
              <w:spacing w:after="0" w:line="240" w:lineRule="auto"/>
              <w:jc w:val="center"/>
              <w:rPr>
                <w:rFonts w:eastAsia="Times New Roman" w:cs="Times New Roman"/>
                <w:color w:val="000000"/>
                <w:sz w:val="18"/>
                <w:szCs w:val="18"/>
                <w:lang w:eastAsia="pt-BR"/>
              </w:rPr>
            </w:pPr>
            <w:r w:rsidRPr="006D77BA">
              <w:rPr>
                <w:rFonts w:eastAsia="Times New Roman" w:cs="Times New Roman"/>
                <w:color w:val="000000"/>
                <w:sz w:val="18"/>
                <w:szCs w:val="18"/>
                <w:lang w:eastAsia="pt-BR"/>
              </w:rPr>
              <w:t>-</w:t>
            </w:r>
          </w:p>
        </w:tc>
        <w:tc>
          <w:tcPr>
            <w:tcW w:w="1253" w:type="dxa"/>
            <w:shd w:val="clear" w:color="auto" w:fill="auto"/>
            <w:noWrap/>
            <w:vAlign w:val="center"/>
            <w:hideMark/>
          </w:tcPr>
          <w:p w14:paraId="2697946C" w14:textId="5B0BA524" w:rsidR="00130013" w:rsidRPr="006D77BA" w:rsidRDefault="77966B19" w:rsidP="4446ABD4">
            <w:pPr>
              <w:spacing w:after="0" w:line="240" w:lineRule="auto"/>
              <w:jc w:val="right"/>
              <w:rPr>
                <w:rFonts w:eastAsia="Times New Roman" w:cs="Times New Roman"/>
                <w:color w:val="000000"/>
                <w:sz w:val="18"/>
                <w:szCs w:val="18"/>
                <w:lang w:eastAsia="pt-BR"/>
              </w:rPr>
            </w:pPr>
            <w:r w:rsidRPr="4446ABD4">
              <w:rPr>
                <w:rFonts w:eastAsia="Times New Roman" w:cs="Times New Roman"/>
                <w:color w:val="000000" w:themeColor="text1"/>
                <w:sz w:val="18"/>
                <w:szCs w:val="18"/>
                <w:lang w:eastAsia="pt-BR"/>
              </w:rPr>
              <w:t>108.600,0</w:t>
            </w:r>
          </w:p>
        </w:tc>
        <w:tc>
          <w:tcPr>
            <w:tcW w:w="1469" w:type="dxa"/>
            <w:shd w:val="clear" w:color="auto" w:fill="auto"/>
            <w:noWrap/>
            <w:vAlign w:val="center"/>
            <w:hideMark/>
          </w:tcPr>
          <w:p w14:paraId="2025B181" w14:textId="11F6F27F" w:rsidR="00130013" w:rsidRPr="006D77BA" w:rsidRDefault="304846BC" w:rsidP="00643B46">
            <w:pPr>
              <w:spacing w:after="0" w:line="240" w:lineRule="auto"/>
              <w:jc w:val="right"/>
              <w:rPr>
                <w:rFonts w:eastAsia="Times New Roman" w:cs="Times New Roman"/>
                <w:color w:val="000000"/>
                <w:sz w:val="18"/>
                <w:szCs w:val="18"/>
                <w:lang w:eastAsia="pt-BR"/>
              </w:rPr>
            </w:pPr>
            <w:r w:rsidRPr="4446ABD4">
              <w:rPr>
                <w:rFonts w:eastAsia="Times New Roman" w:cs="Times New Roman"/>
                <w:color w:val="000000" w:themeColor="text1"/>
                <w:sz w:val="18"/>
                <w:szCs w:val="18"/>
                <w:lang w:eastAsia="pt-BR"/>
              </w:rPr>
              <w:t>100.566,2</w:t>
            </w:r>
          </w:p>
        </w:tc>
        <w:tc>
          <w:tcPr>
            <w:tcW w:w="2025" w:type="dxa"/>
            <w:vMerge w:val="restart"/>
            <w:shd w:val="clear" w:color="auto" w:fill="auto"/>
            <w:vAlign w:val="center"/>
          </w:tcPr>
          <w:p w14:paraId="6117532A" w14:textId="0F7262B9" w:rsidR="00130013" w:rsidRPr="006D77BA" w:rsidRDefault="003931D5" w:rsidP="003931D5">
            <w:pPr>
              <w:spacing w:after="0" w:line="240" w:lineRule="auto"/>
              <w:jc w:val="right"/>
              <w:rPr>
                <w:rFonts w:eastAsia="Times New Roman" w:cs="Times New Roman"/>
                <w:color w:val="000000"/>
                <w:sz w:val="18"/>
                <w:szCs w:val="18"/>
                <w:lang w:eastAsia="pt-BR"/>
              </w:rPr>
            </w:pPr>
            <w:r w:rsidRPr="003931D5">
              <w:rPr>
                <w:rFonts w:eastAsia="Times New Roman" w:cs="Times New Roman"/>
                <w:sz w:val="18"/>
                <w:szCs w:val="18"/>
                <w:lang w:eastAsia="pt-BR"/>
              </w:rPr>
              <w:t>25</w:t>
            </w:r>
            <w:r>
              <w:rPr>
                <w:rFonts w:eastAsia="Times New Roman" w:cs="Times New Roman"/>
                <w:color w:val="000000"/>
                <w:sz w:val="18"/>
                <w:szCs w:val="18"/>
                <w:lang w:eastAsia="pt-BR"/>
              </w:rPr>
              <w:t>.000,0</w:t>
            </w:r>
          </w:p>
        </w:tc>
      </w:tr>
      <w:tr w:rsidR="00130013" w:rsidRPr="00CD448A" w14:paraId="0F2C1E93" w14:textId="77777777" w:rsidTr="00DB7D3A">
        <w:trPr>
          <w:trHeight w:val="20"/>
          <w:jc w:val="center"/>
        </w:trPr>
        <w:tc>
          <w:tcPr>
            <w:tcW w:w="2168" w:type="dxa"/>
            <w:tcBorders>
              <w:bottom w:val="single" w:sz="4" w:space="0" w:color="BFBFBF" w:themeColor="background1" w:themeShade="BF"/>
            </w:tcBorders>
            <w:shd w:val="clear" w:color="auto" w:fill="auto"/>
            <w:hideMark/>
          </w:tcPr>
          <w:p w14:paraId="60C8D192" w14:textId="6281E178" w:rsidR="00130013" w:rsidRPr="00092D46" w:rsidRDefault="00130013" w:rsidP="00643B46">
            <w:pPr>
              <w:spacing w:after="0" w:line="240" w:lineRule="auto"/>
              <w:rPr>
                <w:rFonts w:eastAsia="Times New Roman" w:cs="Times New Roman"/>
                <w:sz w:val="18"/>
                <w:szCs w:val="18"/>
                <w:lang w:eastAsia="pt-BR"/>
              </w:rPr>
            </w:pPr>
            <w:r w:rsidRPr="00092D46">
              <w:rPr>
                <w:rFonts w:eastAsia="Times New Roman" w:cs="Times New Roman"/>
                <w:sz w:val="18"/>
                <w:szCs w:val="18"/>
                <w:lang w:eastAsia="pt-BR"/>
              </w:rPr>
              <w:t xml:space="preserve">FCVS </w:t>
            </w:r>
            <w:proofErr w:type="spellStart"/>
            <w:r w:rsidRPr="00092D46">
              <w:rPr>
                <w:rFonts w:eastAsia="Times New Roman" w:cs="Times New Roman"/>
                <w:sz w:val="18"/>
                <w:szCs w:val="18"/>
                <w:lang w:eastAsia="pt-BR"/>
              </w:rPr>
              <w:t>VAFs</w:t>
            </w:r>
            <w:proofErr w:type="spellEnd"/>
            <w:r w:rsidRPr="00092D46">
              <w:rPr>
                <w:rFonts w:eastAsia="Times New Roman" w:cs="Times New Roman"/>
                <w:sz w:val="18"/>
                <w:szCs w:val="18"/>
                <w:lang w:eastAsia="pt-BR"/>
              </w:rPr>
              <w:t xml:space="preserve"> </w:t>
            </w:r>
            <w:proofErr w:type="gramStart"/>
            <w:r w:rsidRPr="00092D46">
              <w:rPr>
                <w:rFonts w:eastAsia="Times New Roman" w:cs="Times New Roman"/>
                <w:sz w:val="18"/>
                <w:szCs w:val="18"/>
                <w:lang w:eastAsia="pt-BR"/>
              </w:rPr>
              <w:t>3</w:t>
            </w:r>
            <w:proofErr w:type="gramEnd"/>
            <w:r w:rsidRPr="00092D46">
              <w:rPr>
                <w:rFonts w:eastAsia="Times New Roman" w:cs="Times New Roman"/>
                <w:sz w:val="18"/>
                <w:szCs w:val="18"/>
                <w:lang w:eastAsia="pt-BR"/>
              </w:rPr>
              <w:t xml:space="preserve"> e 4</w:t>
            </w:r>
            <w:r w:rsidR="00492207" w:rsidRPr="00092D46">
              <w:rPr>
                <w:rFonts w:eastAsia="Times New Roman" w:cs="Times New Roman"/>
                <w:sz w:val="18"/>
                <w:szCs w:val="18"/>
                <w:vertAlign w:val="superscript"/>
                <w:lang w:eastAsia="pt-BR"/>
              </w:rPr>
              <w:t xml:space="preserve"> </w:t>
            </w:r>
            <w:r w:rsidR="3CE6EC85" w:rsidRPr="4446ABD4">
              <w:rPr>
                <w:rFonts w:eastAsia="Times New Roman" w:cs="Times New Roman"/>
                <w:i/>
                <w:iCs/>
                <w:sz w:val="18"/>
                <w:szCs w:val="18"/>
                <w:lang w:eastAsia="pt-BR"/>
              </w:rPr>
              <w:t>(d)</w:t>
            </w:r>
          </w:p>
        </w:tc>
        <w:tc>
          <w:tcPr>
            <w:tcW w:w="920" w:type="dxa"/>
            <w:tcBorders>
              <w:bottom w:val="single" w:sz="4" w:space="0" w:color="BFBFBF" w:themeColor="background1" w:themeShade="BF"/>
            </w:tcBorders>
            <w:shd w:val="clear" w:color="auto" w:fill="auto"/>
            <w:noWrap/>
            <w:vAlign w:val="center"/>
            <w:hideMark/>
          </w:tcPr>
          <w:p w14:paraId="501BB4FC" w14:textId="1A46846C" w:rsidR="00130013" w:rsidRPr="006D77BA" w:rsidRDefault="31E5A5A7" w:rsidP="4446ABD4">
            <w:pPr>
              <w:spacing w:after="0" w:line="240" w:lineRule="auto"/>
              <w:jc w:val="right"/>
              <w:rPr>
                <w:rFonts w:eastAsia="Times New Roman" w:cs="Times New Roman"/>
                <w:color w:val="000000"/>
                <w:sz w:val="18"/>
                <w:szCs w:val="18"/>
                <w:lang w:eastAsia="pt-BR"/>
              </w:rPr>
            </w:pPr>
            <w:r w:rsidRPr="4446ABD4">
              <w:rPr>
                <w:rFonts w:eastAsia="Times New Roman" w:cs="Times New Roman"/>
                <w:color w:val="000000" w:themeColor="text1"/>
                <w:sz w:val="18"/>
                <w:szCs w:val="18"/>
                <w:lang w:eastAsia="pt-BR"/>
              </w:rPr>
              <w:t>7.680,0</w:t>
            </w:r>
          </w:p>
        </w:tc>
        <w:tc>
          <w:tcPr>
            <w:tcW w:w="1253" w:type="dxa"/>
            <w:tcBorders>
              <w:bottom w:val="single" w:sz="4" w:space="0" w:color="BFBFBF" w:themeColor="background1" w:themeShade="BF"/>
            </w:tcBorders>
            <w:shd w:val="clear" w:color="auto" w:fill="auto"/>
            <w:noWrap/>
            <w:vAlign w:val="center"/>
            <w:hideMark/>
          </w:tcPr>
          <w:p w14:paraId="51FAFCF7" w14:textId="3C6F1F16" w:rsidR="00130013" w:rsidRPr="006D77BA" w:rsidRDefault="00130013" w:rsidP="00643B46">
            <w:pPr>
              <w:spacing w:after="0" w:line="240" w:lineRule="auto"/>
              <w:jc w:val="right"/>
              <w:rPr>
                <w:rFonts w:eastAsia="Times New Roman" w:cs="Times New Roman"/>
                <w:color w:val="000000"/>
                <w:sz w:val="18"/>
                <w:szCs w:val="18"/>
                <w:lang w:eastAsia="pt-BR"/>
              </w:rPr>
            </w:pPr>
            <w:r w:rsidRPr="4446ABD4">
              <w:rPr>
                <w:rFonts w:eastAsia="Times New Roman" w:cs="Times New Roman"/>
                <w:color w:val="000000" w:themeColor="text1"/>
                <w:sz w:val="18"/>
                <w:szCs w:val="18"/>
                <w:lang w:eastAsia="pt-BR"/>
              </w:rPr>
              <w:t>7.</w:t>
            </w:r>
            <w:r w:rsidR="43A01B6C" w:rsidRPr="4446ABD4">
              <w:rPr>
                <w:rFonts w:eastAsia="Times New Roman" w:cs="Times New Roman"/>
                <w:color w:val="000000" w:themeColor="text1"/>
                <w:sz w:val="18"/>
                <w:szCs w:val="18"/>
                <w:lang w:eastAsia="pt-BR"/>
              </w:rPr>
              <w:t>950</w:t>
            </w:r>
            <w:r w:rsidRPr="4446ABD4">
              <w:rPr>
                <w:rFonts w:eastAsia="Times New Roman" w:cs="Times New Roman"/>
                <w:color w:val="000000" w:themeColor="text1"/>
                <w:sz w:val="18"/>
                <w:szCs w:val="18"/>
                <w:lang w:eastAsia="pt-BR"/>
              </w:rPr>
              <w:t>,0</w:t>
            </w:r>
          </w:p>
        </w:tc>
        <w:tc>
          <w:tcPr>
            <w:tcW w:w="1469" w:type="dxa"/>
            <w:tcBorders>
              <w:bottom w:val="single" w:sz="4" w:space="0" w:color="BFBFBF" w:themeColor="background1" w:themeShade="BF"/>
            </w:tcBorders>
            <w:shd w:val="clear" w:color="auto" w:fill="auto"/>
            <w:noWrap/>
            <w:vAlign w:val="center"/>
            <w:hideMark/>
          </w:tcPr>
          <w:p w14:paraId="24C76C45" w14:textId="1B8E5F64" w:rsidR="00130013" w:rsidRPr="006D77BA" w:rsidRDefault="00130013" w:rsidP="00643B46">
            <w:pPr>
              <w:spacing w:after="0" w:line="240" w:lineRule="auto"/>
              <w:jc w:val="right"/>
              <w:rPr>
                <w:rFonts w:eastAsia="Times New Roman" w:cs="Times New Roman"/>
                <w:color w:val="000000"/>
                <w:sz w:val="18"/>
                <w:szCs w:val="18"/>
                <w:lang w:eastAsia="pt-BR"/>
              </w:rPr>
            </w:pPr>
            <w:r w:rsidRPr="4446ABD4">
              <w:rPr>
                <w:rFonts w:eastAsia="Times New Roman" w:cs="Times New Roman"/>
                <w:color w:val="000000" w:themeColor="text1"/>
                <w:sz w:val="18"/>
                <w:szCs w:val="18"/>
                <w:lang w:eastAsia="pt-BR"/>
              </w:rPr>
              <w:t>7.</w:t>
            </w:r>
            <w:r w:rsidR="3121DCBE" w:rsidRPr="0E56FE0B">
              <w:rPr>
                <w:rFonts w:eastAsia="Times New Roman" w:cs="Times New Roman"/>
                <w:color w:val="000000" w:themeColor="text1"/>
                <w:sz w:val="18"/>
                <w:szCs w:val="18"/>
                <w:lang w:eastAsia="pt-BR"/>
              </w:rPr>
              <w:t>415,1</w:t>
            </w:r>
          </w:p>
        </w:tc>
        <w:tc>
          <w:tcPr>
            <w:tcW w:w="2025" w:type="dxa"/>
            <w:vMerge/>
            <w:noWrap/>
            <w:vAlign w:val="center"/>
          </w:tcPr>
          <w:p w14:paraId="1191530F" w14:textId="6B4DA3F6" w:rsidR="00130013" w:rsidRPr="006D77BA" w:rsidRDefault="00130013" w:rsidP="00643B46">
            <w:pPr>
              <w:spacing w:after="0" w:line="240" w:lineRule="auto"/>
              <w:jc w:val="right"/>
              <w:rPr>
                <w:rFonts w:eastAsia="Times New Roman" w:cs="Times New Roman"/>
                <w:color w:val="000000"/>
                <w:sz w:val="18"/>
                <w:szCs w:val="18"/>
                <w:lang w:eastAsia="pt-BR"/>
              </w:rPr>
            </w:pPr>
          </w:p>
        </w:tc>
      </w:tr>
      <w:tr w:rsidR="00EB720A" w:rsidRPr="00CD448A" w14:paraId="7BE67DBF" w14:textId="77777777" w:rsidTr="00DB7D3A">
        <w:trPr>
          <w:trHeight w:val="20"/>
          <w:jc w:val="center"/>
        </w:trPr>
        <w:tc>
          <w:tcPr>
            <w:tcW w:w="2168" w:type="dxa"/>
            <w:tcBorders>
              <w:bottom w:val="single" w:sz="4" w:space="0" w:color="BFBFBF" w:themeColor="background1" w:themeShade="BF"/>
            </w:tcBorders>
            <w:shd w:val="clear" w:color="auto" w:fill="7F7F7F" w:themeFill="text1" w:themeFillTint="80"/>
            <w:vAlign w:val="center"/>
            <w:hideMark/>
          </w:tcPr>
          <w:p w14:paraId="2A9DA2C1" w14:textId="77777777" w:rsidR="00564E71" w:rsidRPr="00B93AAB" w:rsidRDefault="00564E71" w:rsidP="00643B46">
            <w:pPr>
              <w:spacing w:after="0" w:line="240" w:lineRule="auto"/>
              <w:rPr>
                <w:rFonts w:eastAsia="Times New Roman" w:cs="Times New Roman"/>
                <w:b/>
                <w:bCs/>
                <w:color w:val="FFFFFF" w:themeColor="background1"/>
                <w:sz w:val="18"/>
                <w:szCs w:val="18"/>
                <w:lang w:eastAsia="pt-BR"/>
              </w:rPr>
            </w:pPr>
            <w:r w:rsidRPr="00B93AAB">
              <w:rPr>
                <w:rFonts w:eastAsia="Times New Roman" w:cs="Times New Roman"/>
                <w:b/>
                <w:bCs/>
                <w:color w:val="FFFFFF" w:themeColor="background1"/>
                <w:sz w:val="18"/>
                <w:szCs w:val="18"/>
                <w:lang w:eastAsia="pt-BR"/>
              </w:rPr>
              <w:t>Total</w:t>
            </w:r>
          </w:p>
        </w:tc>
        <w:tc>
          <w:tcPr>
            <w:tcW w:w="920" w:type="dxa"/>
            <w:tcBorders>
              <w:bottom w:val="single" w:sz="4" w:space="0" w:color="BFBFBF" w:themeColor="background1" w:themeShade="BF"/>
            </w:tcBorders>
            <w:shd w:val="clear" w:color="auto" w:fill="7F7F7F" w:themeFill="text1" w:themeFillTint="80"/>
            <w:noWrap/>
            <w:vAlign w:val="center"/>
            <w:hideMark/>
          </w:tcPr>
          <w:p w14:paraId="7C79862C" w14:textId="0C9AE82B" w:rsidR="00564E71" w:rsidRPr="00B93AAB" w:rsidRDefault="626E8F21" w:rsidP="00643B46">
            <w:pPr>
              <w:spacing w:after="0" w:line="240" w:lineRule="auto"/>
              <w:jc w:val="right"/>
              <w:rPr>
                <w:rFonts w:eastAsia="Times New Roman" w:cs="Times New Roman"/>
                <w:b/>
                <w:bCs/>
                <w:color w:val="FFFFFF" w:themeColor="background1"/>
                <w:sz w:val="18"/>
                <w:szCs w:val="18"/>
                <w:lang w:eastAsia="pt-BR"/>
              </w:rPr>
            </w:pPr>
            <w:r w:rsidRPr="00B93AAB">
              <w:rPr>
                <w:rFonts w:eastAsia="Times New Roman" w:cs="Times New Roman"/>
                <w:b/>
                <w:bCs/>
                <w:color w:val="FFFFFF" w:themeColor="background1"/>
                <w:sz w:val="18"/>
                <w:szCs w:val="18"/>
                <w:lang w:eastAsia="pt-BR"/>
              </w:rPr>
              <w:t>13.760,2</w:t>
            </w:r>
          </w:p>
        </w:tc>
        <w:tc>
          <w:tcPr>
            <w:tcW w:w="1253" w:type="dxa"/>
            <w:tcBorders>
              <w:bottom w:val="single" w:sz="4" w:space="0" w:color="BFBFBF" w:themeColor="background1" w:themeShade="BF"/>
            </w:tcBorders>
            <w:shd w:val="clear" w:color="auto" w:fill="7F7F7F" w:themeFill="text1" w:themeFillTint="80"/>
            <w:noWrap/>
            <w:vAlign w:val="center"/>
            <w:hideMark/>
          </w:tcPr>
          <w:p w14:paraId="5D1D51CD" w14:textId="02ADFBCC" w:rsidR="00564E71" w:rsidRPr="00B93AAB" w:rsidRDefault="626E8F21" w:rsidP="00643B46">
            <w:pPr>
              <w:spacing w:after="0" w:line="240" w:lineRule="auto"/>
              <w:jc w:val="right"/>
              <w:rPr>
                <w:rFonts w:eastAsia="Times New Roman" w:cs="Times New Roman"/>
                <w:b/>
                <w:bCs/>
                <w:color w:val="FFFFFF" w:themeColor="background1"/>
                <w:sz w:val="18"/>
                <w:szCs w:val="18"/>
                <w:lang w:eastAsia="pt-BR"/>
              </w:rPr>
            </w:pPr>
            <w:r w:rsidRPr="00B93AAB">
              <w:rPr>
                <w:rFonts w:eastAsia="Times New Roman" w:cs="Times New Roman"/>
                <w:b/>
                <w:bCs/>
                <w:color w:val="FFFFFF" w:themeColor="background1"/>
                <w:sz w:val="18"/>
                <w:szCs w:val="18"/>
                <w:lang w:eastAsia="pt-BR"/>
              </w:rPr>
              <w:t>122.014,0</w:t>
            </w:r>
          </w:p>
        </w:tc>
        <w:tc>
          <w:tcPr>
            <w:tcW w:w="1469" w:type="dxa"/>
            <w:tcBorders>
              <w:bottom w:val="single" w:sz="4" w:space="0" w:color="BFBFBF" w:themeColor="background1" w:themeShade="BF"/>
            </w:tcBorders>
            <w:shd w:val="clear" w:color="auto" w:fill="7F7F7F" w:themeFill="text1" w:themeFillTint="80"/>
            <w:noWrap/>
            <w:vAlign w:val="center"/>
            <w:hideMark/>
          </w:tcPr>
          <w:p w14:paraId="48D7FD37" w14:textId="72E01360" w:rsidR="00564E71" w:rsidRPr="00B93AAB" w:rsidRDefault="00122BFB" w:rsidP="00643B46">
            <w:pPr>
              <w:spacing w:after="0" w:line="240" w:lineRule="auto"/>
              <w:jc w:val="right"/>
              <w:rPr>
                <w:rFonts w:eastAsia="Times New Roman" w:cs="Times New Roman"/>
                <w:b/>
                <w:bCs/>
                <w:color w:val="FFFFFF" w:themeColor="background1"/>
                <w:sz w:val="18"/>
                <w:szCs w:val="18"/>
                <w:lang w:eastAsia="pt-BR"/>
              </w:rPr>
            </w:pPr>
            <w:r w:rsidRPr="00B93AAB">
              <w:rPr>
                <w:rFonts w:eastAsia="Times New Roman" w:cs="Times New Roman"/>
                <w:b/>
                <w:bCs/>
                <w:color w:val="FFFFFF" w:themeColor="background1"/>
                <w:sz w:val="18"/>
                <w:szCs w:val="18"/>
                <w:lang w:eastAsia="pt-BR"/>
              </w:rPr>
              <w:t>113.</w:t>
            </w:r>
            <w:r w:rsidR="001E0354" w:rsidRPr="00B93AAB">
              <w:rPr>
                <w:rFonts w:eastAsia="Times New Roman" w:cs="Times New Roman"/>
                <w:b/>
                <w:bCs/>
                <w:color w:val="FFFFFF" w:themeColor="background1"/>
                <w:sz w:val="18"/>
                <w:szCs w:val="18"/>
                <w:lang w:eastAsia="pt-BR"/>
              </w:rPr>
              <w:t>613,5</w:t>
            </w:r>
          </w:p>
        </w:tc>
        <w:tc>
          <w:tcPr>
            <w:tcW w:w="2025" w:type="dxa"/>
            <w:tcBorders>
              <w:bottom w:val="single" w:sz="4" w:space="0" w:color="BFBFBF" w:themeColor="background1" w:themeShade="BF"/>
            </w:tcBorders>
            <w:shd w:val="clear" w:color="auto" w:fill="7F7F7F" w:themeFill="text1" w:themeFillTint="80"/>
            <w:noWrap/>
            <w:vAlign w:val="center"/>
            <w:hideMark/>
          </w:tcPr>
          <w:p w14:paraId="2119F55C" w14:textId="4A109FD7" w:rsidR="00564E71" w:rsidRPr="00B93AAB" w:rsidRDefault="009107C2" w:rsidP="00643B46">
            <w:pPr>
              <w:spacing w:after="0" w:line="240" w:lineRule="auto"/>
              <w:jc w:val="right"/>
              <w:rPr>
                <w:rFonts w:eastAsia="Times New Roman" w:cs="Times New Roman"/>
                <w:b/>
                <w:bCs/>
                <w:color w:val="FFFFFF" w:themeColor="background1"/>
                <w:sz w:val="18"/>
                <w:szCs w:val="18"/>
                <w:lang w:eastAsia="pt-BR"/>
              </w:rPr>
            </w:pPr>
            <w:r w:rsidRPr="00B93AAB">
              <w:rPr>
                <w:rFonts w:eastAsia="Times New Roman" w:cs="Times New Roman"/>
                <w:b/>
                <w:bCs/>
                <w:color w:val="FFFFFF" w:themeColor="background1"/>
                <w:sz w:val="18"/>
                <w:szCs w:val="18"/>
                <w:lang w:eastAsia="pt-BR"/>
              </w:rPr>
              <w:t>30.670,0</w:t>
            </w:r>
          </w:p>
        </w:tc>
      </w:tr>
      <w:tr w:rsidR="00564E71" w:rsidRPr="00761A79" w14:paraId="5793216D" w14:textId="77777777" w:rsidTr="5F53DBAA">
        <w:trPr>
          <w:trHeight w:val="20"/>
          <w:jc w:val="center"/>
        </w:trPr>
        <w:tc>
          <w:tcPr>
            <w:tcW w:w="7835" w:type="dxa"/>
            <w:gridSpan w:val="5"/>
            <w:tcBorders>
              <w:top w:val="single" w:sz="4" w:space="0" w:color="BFBFBF" w:themeColor="background1" w:themeShade="BF"/>
              <w:left w:val="nil"/>
              <w:bottom w:val="nil"/>
              <w:right w:val="nil"/>
            </w:tcBorders>
            <w:shd w:val="clear" w:color="auto" w:fill="auto"/>
            <w:vAlign w:val="center"/>
          </w:tcPr>
          <w:p w14:paraId="45F4B366" w14:textId="2359F436" w:rsidR="00564E71" w:rsidRPr="00761A79" w:rsidRDefault="42125CBE" w:rsidP="008B1EA7">
            <w:pPr>
              <w:jc w:val="both"/>
              <w:rPr>
                <w:rFonts w:eastAsia="Times New Roman" w:cs="Times New Roman"/>
                <w:b/>
                <w:i/>
                <w:color w:val="000000"/>
                <w:sz w:val="16"/>
                <w:szCs w:val="16"/>
                <w:lang w:eastAsia="pt-BR"/>
              </w:rPr>
            </w:pPr>
            <w:r w:rsidRPr="4446ABD4">
              <w:rPr>
                <w:rFonts w:ascii="Calibri" w:eastAsia="Calibri" w:hAnsi="Calibri" w:cs="Calibri"/>
                <w:i/>
                <w:iCs/>
                <w:sz w:val="16"/>
                <w:szCs w:val="16"/>
              </w:rPr>
              <w:t>(a) Em 2019, a partir da análise de mais de 300 processos, houve uma queda significativa no valor estimado</w:t>
            </w:r>
            <w:r w:rsidR="001E0354">
              <w:rPr>
                <w:rFonts w:ascii="Calibri" w:eastAsia="Calibri" w:hAnsi="Calibri" w:cs="Calibri"/>
                <w:i/>
                <w:iCs/>
                <w:sz w:val="16"/>
                <w:szCs w:val="16"/>
              </w:rPr>
              <w:t xml:space="preserve">; </w:t>
            </w:r>
            <w:r w:rsidRPr="4446ABD4">
              <w:rPr>
                <w:rFonts w:ascii="Calibri" w:eastAsia="Calibri" w:hAnsi="Calibri" w:cs="Calibri"/>
                <w:i/>
                <w:iCs/>
                <w:sz w:val="16"/>
                <w:szCs w:val="16"/>
              </w:rPr>
              <w:t xml:space="preserve">(b) Refere-se, predominantemente, a passivos contingentes da União com a Caixa, pendentes de pleno reconhecimento que possibilite o andamento dos respectivos processos administrativos de regularização. No BGU, </w:t>
            </w:r>
            <w:proofErr w:type="gramStart"/>
            <w:r w:rsidRPr="4446ABD4">
              <w:rPr>
                <w:rFonts w:ascii="Calibri" w:eastAsia="Calibri" w:hAnsi="Calibri" w:cs="Calibri"/>
                <w:i/>
                <w:iCs/>
                <w:sz w:val="16"/>
                <w:szCs w:val="16"/>
              </w:rPr>
              <w:t>esse passivo compõem</w:t>
            </w:r>
            <w:proofErr w:type="gramEnd"/>
            <w:r w:rsidRPr="4446ABD4">
              <w:rPr>
                <w:rFonts w:ascii="Calibri" w:eastAsia="Calibri" w:hAnsi="Calibri" w:cs="Calibri"/>
                <w:i/>
                <w:iCs/>
                <w:sz w:val="16"/>
                <w:szCs w:val="16"/>
              </w:rPr>
              <w:t xml:space="preserve"> a categoria “Riscos Fiscais”</w:t>
            </w:r>
            <w:r w:rsidR="001E0354">
              <w:rPr>
                <w:rFonts w:ascii="Calibri" w:eastAsia="Calibri" w:hAnsi="Calibri" w:cs="Calibri"/>
                <w:i/>
                <w:iCs/>
                <w:sz w:val="16"/>
                <w:szCs w:val="16"/>
              </w:rPr>
              <w:t xml:space="preserve">; </w:t>
            </w:r>
            <w:r w:rsidRPr="4446ABD4">
              <w:rPr>
                <w:rFonts w:ascii="Calibri" w:eastAsia="Calibri" w:hAnsi="Calibri" w:cs="Calibri"/>
                <w:i/>
                <w:iCs/>
                <w:sz w:val="16"/>
                <w:szCs w:val="16"/>
              </w:rPr>
              <w:t xml:space="preserve">(c) Estimativa a partir de informações apresentadas pela CAIXA, administradora do FCVS, até 2019 apenas os </w:t>
            </w:r>
            <w:proofErr w:type="spellStart"/>
            <w:r w:rsidRPr="4446ABD4">
              <w:rPr>
                <w:rFonts w:ascii="Calibri" w:eastAsia="Calibri" w:hAnsi="Calibri" w:cs="Calibri"/>
                <w:i/>
                <w:iCs/>
                <w:sz w:val="16"/>
                <w:szCs w:val="16"/>
              </w:rPr>
              <w:t>VAFs</w:t>
            </w:r>
            <w:proofErr w:type="spellEnd"/>
            <w:r w:rsidRPr="4446ABD4">
              <w:rPr>
                <w:rFonts w:ascii="Calibri" w:eastAsia="Calibri" w:hAnsi="Calibri" w:cs="Calibri"/>
                <w:i/>
                <w:iCs/>
                <w:sz w:val="16"/>
                <w:szCs w:val="16"/>
              </w:rPr>
              <w:t xml:space="preserve"> 3 e 4 eram registrados no BGU pelo ME</w:t>
            </w:r>
            <w:r w:rsidR="001E0354">
              <w:rPr>
                <w:rFonts w:ascii="Calibri" w:eastAsia="Calibri" w:hAnsi="Calibri" w:cs="Calibri"/>
                <w:i/>
                <w:iCs/>
                <w:sz w:val="16"/>
                <w:szCs w:val="16"/>
              </w:rPr>
              <w:t xml:space="preserve">; </w:t>
            </w:r>
            <w:r w:rsidRPr="4446ABD4">
              <w:rPr>
                <w:rFonts w:ascii="Calibri" w:eastAsia="Calibri" w:hAnsi="Calibri" w:cs="Calibri"/>
                <w:i/>
                <w:iCs/>
                <w:sz w:val="16"/>
                <w:szCs w:val="16"/>
              </w:rPr>
              <w:t>(d) Estimativas a partir de informações apresentadas pela CAIXA, administradora do FCVS.</w:t>
            </w:r>
            <w:r w:rsidR="008B1EA7">
              <w:rPr>
                <w:rFonts w:ascii="Calibri" w:eastAsia="Calibri" w:hAnsi="Calibri" w:cs="Calibri"/>
                <w:i/>
                <w:iCs/>
                <w:sz w:val="16"/>
                <w:szCs w:val="16"/>
              </w:rPr>
              <w:t xml:space="preserve"> </w:t>
            </w:r>
            <w:r w:rsidR="00564E71" w:rsidRPr="001A56EF">
              <w:rPr>
                <w:b/>
                <w:i/>
                <w:sz w:val="16"/>
                <w:szCs w:val="16"/>
              </w:rPr>
              <w:t>Fonte</w:t>
            </w:r>
            <w:r w:rsidR="00564E71" w:rsidRPr="001A56EF">
              <w:rPr>
                <w:i/>
                <w:sz w:val="16"/>
                <w:szCs w:val="16"/>
              </w:rPr>
              <w:t>: STN/ME e C</w:t>
            </w:r>
            <w:r w:rsidR="007D02B8" w:rsidRPr="001A56EF">
              <w:rPr>
                <w:i/>
                <w:sz w:val="16"/>
                <w:szCs w:val="16"/>
              </w:rPr>
              <w:t>AIXA</w:t>
            </w:r>
            <w:r w:rsidR="00564E71" w:rsidRPr="001A56EF">
              <w:rPr>
                <w:i/>
                <w:sz w:val="16"/>
                <w:szCs w:val="16"/>
              </w:rPr>
              <w:t>.</w:t>
            </w:r>
            <w:r w:rsidR="00761A79" w:rsidRPr="001A56EF">
              <w:rPr>
                <w:i/>
                <w:sz w:val="16"/>
                <w:szCs w:val="16"/>
              </w:rPr>
              <w:t xml:space="preserve"> </w:t>
            </w:r>
            <w:r w:rsidR="00761A79" w:rsidRPr="001A56EF">
              <w:rPr>
                <w:b/>
                <w:i/>
                <w:sz w:val="16"/>
                <w:szCs w:val="16"/>
              </w:rPr>
              <w:t>Elaboração</w:t>
            </w:r>
            <w:r w:rsidR="00761A79" w:rsidRPr="001A56EF">
              <w:rPr>
                <w:i/>
                <w:sz w:val="16"/>
                <w:szCs w:val="16"/>
              </w:rPr>
              <w:t>: STN/ME</w:t>
            </w:r>
          </w:p>
        </w:tc>
      </w:tr>
    </w:tbl>
    <w:p w14:paraId="45F40E03" w14:textId="07C6C30F" w:rsidR="00465F7C" w:rsidRDefault="00465F7C" w:rsidP="008333C2">
      <w:pPr>
        <w:spacing w:after="120" w:line="240" w:lineRule="auto"/>
        <w:jc w:val="both"/>
        <w:rPr>
          <w:w w:val="105"/>
          <w:sz w:val="24"/>
          <w:szCs w:val="24"/>
        </w:rPr>
      </w:pPr>
    </w:p>
    <w:p w14:paraId="48CC2686" w14:textId="0FC9BCFB" w:rsidR="006D0E43" w:rsidRPr="005C5D8A" w:rsidRDefault="00A50A89" w:rsidP="006D0E43">
      <w:pPr>
        <w:spacing w:after="120" w:line="240" w:lineRule="auto"/>
        <w:ind w:firstLine="1418"/>
        <w:jc w:val="both"/>
        <w:rPr>
          <w:w w:val="105"/>
          <w:sz w:val="24"/>
          <w:szCs w:val="24"/>
        </w:rPr>
      </w:pPr>
      <w:r w:rsidRPr="005C5D8A">
        <w:rPr>
          <w:w w:val="105"/>
          <w:sz w:val="24"/>
          <w:szCs w:val="24"/>
        </w:rPr>
        <w:t xml:space="preserve">A </w:t>
      </w:r>
      <w:r w:rsidR="001F73D5" w:rsidRPr="005C5D8A">
        <w:rPr>
          <w:w w:val="105"/>
          <w:sz w:val="24"/>
          <w:szCs w:val="24"/>
        </w:rPr>
        <w:fldChar w:fldCharType="begin"/>
      </w:r>
      <w:r w:rsidR="001F73D5" w:rsidRPr="005C5D8A">
        <w:rPr>
          <w:w w:val="105"/>
          <w:sz w:val="24"/>
          <w:szCs w:val="24"/>
        </w:rPr>
        <w:instrText xml:space="preserve"> REF _Ref67390223 \h  \* MERGEFORMAT </w:instrText>
      </w:r>
      <w:r w:rsidR="001F73D5" w:rsidRPr="005C5D8A">
        <w:rPr>
          <w:w w:val="105"/>
          <w:sz w:val="24"/>
          <w:szCs w:val="24"/>
        </w:rPr>
      </w:r>
      <w:r w:rsidR="001F73D5" w:rsidRPr="005C5D8A">
        <w:rPr>
          <w:w w:val="105"/>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25</w:t>
      </w:r>
      <w:r w:rsidR="001F73D5" w:rsidRPr="005C5D8A">
        <w:rPr>
          <w:w w:val="105"/>
          <w:sz w:val="24"/>
          <w:szCs w:val="24"/>
        </w:rPr>
        <w:fldChar w:fldCharType="end"/>
      </w:r>
      <w:r w:rsidR="00AE0549" w:rsidRPr="005C5D8A">
        <w:rPr>
          <w:w w:val="105"/>
          <w:sz w:val="24"/>
          <w:szCs w:val="24"/>
        </w:rPr>
        <w:t xml:space="preserve"> apresenta</w:t>
      </w:r>
      <w:r w:rsidRPr="005C5D8A">
        <w:rPr>
          <w:w w:val="105"/>
          <w:sz w:val="24"/>
          <w:szCs w:val="24"/>
        </w:rPr>
        <w:t xml:space="preserve"> a estimativa de pagamentos dos passivos em reconhecimento para o exercício </w:t>
      </w:r>
      <w:r w:rsidR="00834544" w:rsidRPr="005C5D8A">
        <w:rPr>
          <w:w w:val="105"/>
          <w:sz w:val="24"/>
          <w:szCs w:val="24"/>
        </w:rPr>
        <w:t xml:space="preserve">de 2021 </w:t>
      </w:r>
      <w:r w:rsidRPr="005C5D8A">
        <w:rPr>
          <w:w w:val="105"/>
          <w:sz w:val="24"/>
          <w:szCs w:val="24"/>
        </w:rPr>
        <w:t>e para os três subsequentes</w:t>
      </w:r>
      <w:r w:rsidR="006D0E43" w:rsidRPr="005C5D8A">
        <w:rPr>
          <w:w w:val="105"/>
          <w:sz w:val="24"/>
          <w:szCs w:val="24"/>
        </w:rPr>
        <w:t>, bem como demonstra o impacto fiscal para cada um deles.</w:t>
      </w:r>
    </w:p>
    <w:p w14:paraId="182E1729" w14:textId="3EBB803B" w:rsidR="001F73D5" w:rsidRPr="002805A1" w:rsidRDefault="0036507A" w:rsidP="001732B2">
      <w:pPr>
        <w:pStyle w:val="Legenda"/>
        <w:spacing w:before="240" w:after="120"/>
        <w:jc w:val="center"/>
        <w:rPr>
          <w:sz w:val="22"/>
          <w:szCs w:val="22"/>
        </w:rPr>
      </w:pPr>
      <w:bookmarkStart w:id="238" w:name="_Ref67390223"/>
      <w:bookmarkStart w:id="239" w:name="_Ref67389807"/>
      <w:bookmarkStart w:id="240" w:name="_Toc69121371"/>
      <w:r w:rsidRPr="002805A1">
        <w:rPr>
          <w:rFonts w:asciiTheme="minorHAnsi" w:hAnsiTheme="minorHAnsi" w:cstheme="minorHAnsi"/>
          <w:i w:val="0"/>
          <w:color w:val="auto"/>
          <w:sz w:val="22"/>
          <w:szCs w:val="22"/>
        </w:rPr>
        <w:t xml:space="preserve">Tabela </w:t>
      </w:r>
      <w:r w:rsidRPr="002805A1">
        <w:rPr>
          <w:rFonts w:asciiTheme="minorHAnsi" w:hAnsiTheme="minorHAnsi" w:cs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805A1">
        <w:rPr>
          <w:rFonts w:asciiTheme="minorHAnsi" w:hAnsiTheme="minorHAnsi" w:cstheme="minorHAnsi"/>
          <w:i w:val="0"/>
          <w:color w:val="auto"/>
          <w:sz w:val="22"/>
          <w:szCs w:val="22"/>
        </w:rPr>
        <w:fldChar w:fldCharType="separate"/>
      </w:r>
      <w:r w:rsidR="00304F5F">
        <w:rPr>
          <w:rFonts w:asciiTheme="minorHAnsi" w:hAnsiTheme="minorHAnsi"/>
          <w:i w:val="0"/>
          <w:noProof/>
          <w:color w:val="auto"/>
          <w:sz w:val="22"/>
          <w:szCs w:val="22"/>
        </w:rPr>
        <w:t>25</w:t>
      </w:r>
      <w:r w:rsidRPr="002805A1">
        <w:rPr>
          <w:rFonts w:asciiTheme="minorHAnsi" w:hAnsiTheme="minorHAnsi" w:cstheme="minorHAnsi"/>
          <w:i w:val="0"/>
          <w:color w:val="auto"/>
          <w:sz w:val="22"/>
          <w:szCs w:val="22"/>
        </w:rPr>
        <w:fldChar w:fldCharType="end"/>
      </w:r>
      <w:bookmarkEnd w:id="238"/>
      <w:r w:rsidR="001F73D5" w:rsidRPr="002805A1">
        <w:rPr>
          <w:rFonts w:asciiTheme="minorHAnsi" w:hAnsiTheme="minorHAnsi" w:cstheme="minorHAnsi"/>
          <w:i w:val="0"/>
          <w:color w:val="auto"/>
          <w:sz w:val="22"/>
          <w:szCs w:val="22"/>
        </w:rPr>
        <w:t xml:space="preserve"> </w:t>
      </w:r>
      <w:bookmarkEnd w:id="239"/>
      <w:r w:rsidR="00AE0549" w:rsidRPr="002805A1">
        <w:rPr>
          <w:rFonts w:asciiTheme="minorHAnsi" w:hAnsiTheme="minorHAnsi" w:cstheme="minorHAnsi"/>
          <w:i w:val="0"/>
          <w:color w:val="auto"/>
          <w:sz w:val="22"/>
          <w:szCs w:val="22"/>
        </w:rPr>
        <w:t>-</w:t>
      </w:r>
      <w:r w:rsidRPr="001F73D5">
        <w:rPr>
          <w:rFonts w:asciiTheme="minorHAnsi" w:hAnsiTheme="minorHAnsi"/>
          <w:i w:val="0"/>
          <w:color w:val="auto"/>
          <w:sz w:val="22"/>
          <w:szCs w:val="22"/>
        </w:rPr>
        <w:t xml:space="preserve"> </w:t>
      </w:r>
      <w:r w:rsidRPr="0022645B">
        <w:rPr>
          <w:rFonts w:asciiTheme="minorHAnsi" w:hAnsiTheme="minorHAnsi"/>
          <w:i w:val="0"/>
          <w:color w:val="auto"/>
          <w:sz w:val="22"/>
          <w:szCs w:val="22"/>
        </w:rPr>
        <w:t>Obrigações oriundas de passivos contingentes a regularizar</w:t>
      </w:r>
      <w:bookmarkEnd w:id="240"/>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746"/>
        <w:gridCol w:w="2812"/>
        <w:gridCol w:w="782"/>
        <w:gridCol w:w="782"/>
        <w:gridCol w:w="782"/>
        <w:gridCol w:w="782"/>
      </w:tblGrid>
      <w:tr w:rsidR="00D23DF2" w:rsidRPr="00173585" w14:paraId="798B2D4B" w14:textId="77777777" w:rsidTr="5F53DBAA">
        <w:trPr>
          <w:trHeight w:val="20"/>
          <w:tblHeader/>
          <w:jc w:val="center"/>
        </w:trPr>
        <w:tc>
          <w:tcPr>
            <w:tcW w:w="0" w:type="auto"/>
            <w:gridSpan w:val="6"/>
            <w:tcBorders>
              <w:top w:val="nil"/>
              <w:left w:val="nil"/>
              <w:bottom w:val="single" w:sz="4" w:space="0" w:color="BFBFBF" w:themeColor="background1" w:themeShade="BF"/>
              <w:right w:val="nil"/>
            </w:tcBorders>
            <w:shd w:val="clear" w:color="auto" w:fill="auto"/>
            <w:vAlign w:val="center"/>
          </w:tcPr>
          <w:p w14:paraId="29C1594A" w14:textId="77777777" w:rsidR="00D23DF2" w:rsidRPr="001A56EF" w:rsidRDefault="00D23DF2" w:rsidP="00D23DF2">
            <w:pPr>
              <w:spacing w:after="0" w:line="240" w:lineRule="auto"/>
              <w:jc w:val="right"/>
              <w:rPr>
                <w:rFonts w:eastAsia="Times New Roman" w:cs="Times New Roman"/>
                <w:i/>
                <w:sz w:val="16"/>
                <w:szCs w:val="16"/>
                <w:lang w:eastAsia="pt-BR"/>
              </w:rPr>
            </w:pPr>
            <w:r w:rsidRPr="001A56EF">
              <w:rPr>
                <w:rFonts w:eastAsia="Times New Roman" w:cs="Times New Roman"/>
                <w:i/>
                <w:sz w:val="16"/>
                <w:szCs w:val="16"/>
                <w:lang w:eastAsia="pt-BR"/>
              </w:rPr>
              <w:t>Em R$ milhões</w:t>
            </w:r>
          </w:p>
        </w:tc>
      </w:tr>
      <w:tr w:rsidR="00B52B72" w:rsidRPr="00832B0B" w14:paraId="2F6E6AC4" w14:textId="77777777" w:rsidTr="5F53DBAA">
        <w:trPr>
          <w:trHeight w:val="20"/>
          <w:tblHeader/>
          <w:jc w:val="center"/>
        </w:trPr>
        <w:tc>
          <w:tcPr>
            <w:tcW w:w="0" w:type="auto"/>
            <w:vMerge w:val="restart"/>
            <w:tcBorders>
              <w:top w:val="single" w:sz="4" w:space="0" w:color="BFBFBF" w:themeColor="background1" w:themeShade="BF"/>
            </w:tcBorders>
            <w:shd w:val="clear" w:color="auto" w:fill="404040" w:themeFill="text1" w:themeFillTint="BF"/>
            <w:vAlign w:val="center"/>
            <w:hideMark/>
          </w:tcPr>
          <w:p w14:paraId="6B558609" w14:textId="64970E3C" w:rsidR="008B1510" w:rsidRPr="008B49CE" w:rsidRDefault="0094354B" w:rsidP="008B1510">
            <w:pPr>
              <w:spacing w:after="0" w:line="240" w:lineRule="auto"/>
              <w:jc w:val="center"/>
              <w:rPr>
                <w:rFonts w:eastAsia="Times New Roman" w:cs="Times New Roman"/>
                <w:b/>
                <w:bCs/>
                <w:color w:val="FFFFFF" w:themeColor="background1"/>
                <w:sz w:val="20"/>
                <w:szCs w:val="20"/>
                <w:lang w:eastAsia="pt-BR"/>
              </w:rPr>
            </w:pPr>
            <w:r w:rsidRPr="008B49CE">
              <w:rPr>
                <w:rFonts w:eastAsia="Times New Roman" w:cs="Times New Roman"/>
                <w:b/>
                <w:bCs/>
                <w:color w:val="FFFFFF" w:themeColor="background1"/>
                <w:sz w:val="20"/>
                <w:szCs w:val="20"/>
                <w:lang w:eastAsia="pt-BR"/>
              </w:rPr>
              <w:t>Passivo</w:t>
            </w:r>
          </w:p>
        </w:tc>
        <w:tc>
          <w:tcPr>
            <w:tcW w:w="0" w:type="auto"/>
            <w:vMerge w:val="restart"/>
            <w:tcBorders>
              <w:top w:val="single" w:sz="4" w:space="0" w:color="BFBFBF" w:themeColor="background1" w:themeShade="BF"/>
            </w:tcBorders>
            <w:shd w:val="clear" w:color="auto" w:fill="404040" w:themeFill="text1" w:themeFillTint="BF"/>
            <w:vAlign w:val="center"/>
            <w:hideMark/>
          </w:tcPr>
          <w:p w14:paraId="4B0407C5" w14:textId="77777777" w:rsidR="008B1510" w:rsidRPr="008B49CE" w:rsidRDefault="008B1510" w:rsidP="008B1510">
            <w:pPr>
              <w:spacing w:after="0" w:line="240" w:lineRule="auto"/>
              <w:jc w:val="center"/>
              <w:rPr>
                <w:rFonts w:eastAsia="Times New Roman" w:cs="Times New Roman"/>
                <w:b/>
                <w:bCs/>
                <w:color w:val="FFFFFF" w:themeColor="background1"/>
                <w:sz w:val="20"/>
                <w:szCs w:val="20"/>
                <w:lang w:eastAsia="pt-BR"/>
              </w:rPr>
            </w:pPr>
            <w:r w:rsidRPr="008B49CE">
              <w:rPr>
                <w:rFonts w:eastAsia="Times New Roman" w:cs="Times New Roman"/>
                <w:b/>
                <w:bCs/>
                <w:color w:val="FFFFFF" w:themeColor="background1"/>
                <w:sz w:val="20"/>
                <w:szCs w:val="20"/>
                <w:lang w:eastAsia="pt-BR"/>
              </w:rPr>
              <w:t>Credores</w:t>
            </w:r>
          </w:p>
        </w:tc>
        <w:tc>
          <w:tcPr>
            <w:tcW w:w="0" w:type="auto"/>
            <w:gridSpan w:val="4"/>
            <w:tcBorders>
              <w:top w:val="single" w:sz="4" w:space="0" w:color="BFBFBF" w:themeColor="background1" w:themeShade="BF"/>
            </w:tcBorders>
            <w:shd w:val="clear" w:color="auto" w:fill="404040" w:themeFill="text1" w:themeFillTint="BF"/>
            <w:vAlign w:val="center"/>
          </w:tcPr>
          <w:p w14:paraId="7F425972" w14:textId="6B94D098" w:rsidR="008B1510" w:rsidRPr="008B49CE" w:rsidRDefault="006719AF" w:rsidP="008B1510">
            <w:pPr>
              <w:spacing w:after="0" w:line="240" w:lineRule="auto"/>
              <w:jc w:val="center"/>
              <w:rPr>
                <w:rFonts w:eastAsia="Times New Roman" w:cs="Times New Roman"/>
                <w:b/>
                <w:bCs/>
                <w:color w:val="FFFFFF" w:themeColor="background1"/>
                <w:sz w:val="20"/>
                <w:szCs w:val="20"/>
                <w:lang w:eastAsia="pt-BR"/>
              </w:rPr>
            </w:pPr>
            <w:r w:rsidRPr="008B49CE">
              <w:rPr>
                <w:rFonts w:eastAsia="Times New Roman" w:cs="Times New Roman"/>
                <w:b/>
                <w:bCs/>
                <w:color w:val="FFFFFF" w:themeColor="background1"/>
                <w:sz w:val="20"/>
                <w:szCs w:val="20"/>
                <w:lang w:eastAsia="pt-BR"/>
              </w:rPr>
              <w:t>Fluxo Estimado</w:t>
            </w:r>
          </w:p>
        </w:tc>
      </w:tr>
      <w:tr w:rsidR="00F92103" w:rsidRPr="00832B0B" w14:paraId="4A0B26CC" w14:textId="77777777" w:rsidTr="5F53DBAA">
        <w:trPr>
          <w:trHeight w:val="20"/>
          <w:tblHeader/>
          <w:jc w:val="center"/>
        </w:trPr>
        <w:tc>
          <w:tcPr>
            <w:tcW w:w="0" w:type="auto"/>
            <w:vMerge/>
            <w:vAlign w:val="center"/>
          </w:tcPr>
          <w:p w14:paraId="5AE53625" w14:textId="77777777" w:rsidR="00635AFD" w:rsidRPr="0036158B" w:rsidRDefault="00635AFD" w:rsidP="008B1510">
            <w:pPr>
              <w:spacing w:after="0" w:line="240" w:lineRule="auto"/>
              <w:jc w:val="center"/>
              <w:rPr>
                <w:rFonts w:eastAsia="Times New Roman" w:cs="Times New Roman"/>
                <w:color w:val="FFFFFF" w:themeColor="background1"/>
                <w:sz w:val="20"/>
                <w:szCs w:val="20"/>
                <w:lang w:eastAsia="pt-BR"/>
              </w:rPr>
            </w:pPr>
          </w:p>
        </w:tc>
        <w:tc>
          <w:tcPr>
            <w:tcW w:w="0" w:type="auto"/>
            <w:vMerge/>
            <w:vAlign w:val="center"/>
          </w:tcPr>
          <w:p w14:paraId="265B13FE" w14:textId="77777777" w:rsidR="00635AFD" w:rsidRPr="0036158B" w:rsidRDefault="00635AFD" w:rsidP="008B1510">
            <w:pPr>
              <w:spacing w:after="0" w:line="240" w:lineRule="auto"/>
              <w:jc w:val="center"/>
              <w:rPr>
                <w:rFonts w:eastAsia="Times New Roman" w:cs="Times New Roman"/>
                <w:color w:val="FFFFFF" w:themeColor="background1"/>
                <w:sz w:val="20"/>
                <w:szCs w:val="20"/>
                <w:lang w:eastAsia="pt-BR"/>
              </w:rPr>
            </w:pPr>
          </w:p>
        </w:tc>
        <w:tc>
          <w:tcPr>
            <w:tcW w:w="0" w:type="auto"/>
            <w:shd w:val="clear" w:color="auto" w:fill="404040" w:themeFill="text1" w:themeFillTint="BF"/>
            <w:vAlign w:val="center"/>
          </w:tcPr>
          <w:p w14:paraId="0F1AB5FE" w14:textId="55B5E2F5" w:rsidR="00635AFD" w:rsidRPr="008B49CE" w:rsidRDefault="00047E7F" w:rsidP="008B1510">
            <w:pPr>
              <w:spacing w:after="0" w:line="240" w:lineRule="auto"/>
              <w:jc w:val="center"/>
              <w:rPr>
                <w:rFonts w:eastAsia="Times New Roman" w:cs="Times New Roman"/>
                <w:b/>
                <w:bCs/>
                <w:color w:val="FFFFFF" w:themeColor="background1"/>
                <w:sz w:val="20"/>
                <w:szCs w:val="20"/>
                <w:lang w:eastAsia="pt-BR"/>
              </w:rPr>
            </w:pPr>
            <w:r w:rsidRPr="008B49CE">
              <w:rPr>
                <w:rFonts w:eastAsia="Times New Roman" w:cs="Times New Roman"/>
                <w:b/>
                <w:bCs/>
                <w:color w:val="FFFFFF" w:themeColor="background1"/>
                <w:sz w:val="20"/>
                <w:szCs w:val="20"/>
                <w:lang w:eastAsia="pt-BR"/>
              </w:rPr>
              <w:t>202</w:t>
            </w:r>
            <w:r w:rsidR="005C2301" w:rsidRPr="008B49CE">
              <w:rPr>
                <w:rFonts w:eastAsia="Times New Roman" w:cs="Times New Roman"/>
                <w:b/>
                <w:bCs/>
                <w:color w:val="FFFFFF" w:themeColor="background1"/>
                <w:sz w:val="20"/>
                <w:szCs w:val="20"/>
                <w:lang w:eastAsia="pt-BR"/>
              </w:rPr>
              <w:t>1</w:t>
            </w:r>
            <w:r w:rsidR="00367267" w:rsidRPr="008B49CE">
              <w:rPr>
                <w:rFonts w:eastAsia="Times New Roman" w:cs="Times New Roman"/>
                <w:b/>
                <w:bCs/>
                <w:color w:val="FFFFFF" w:themeColor="background1"/>
                <w:sz w:val="20"/>
                <w:szCs w:val="20"/>
                <w:vertAlign w:val="superscript"/>
                <w:lang w:eastAsia="pt-BR"/>
              </w:rPr>
              <w:t xml:space="preserve"> </w:t>
            </w:r>
            <w:r w:rsidR="00F44D85" w:rsidRPr="008B49CE">
              <w:rPr>
                <w:rFonts w:eastAsia="Times New Roman" w:cs="Times New Roman"/>
                <w:b/>
                <w:bCs/>
                <w:color w:val="FFFFFF" w:themeColor="background1"/>
                <w:sz w:val="20"/>
                <w:szCs w:val="20"/>
                <w:vertAlign w:val="superscript"/>
                <w:lang w:eastAsia="pt-BR"/>
              </w:rPr>
              <w:t>1</w:t>
            </w:r>
          </w:p>
        </w:tc>
        <w:tc>
          <w:tcPr>
            <w:tcW w:w="0" w:type="auto"/>
            <w:shd w:val="clear" w:color="auto" w:fill="404040" w:themeFill="text1" w:themeFillTint="BF"/>
            <w:vAlign w:val="center"/>
          </w:tcPr>
          <w:p w14:paraId="0EC48607" w14:textId="09734F6E" w:rsidR="00635AFD" w:rsidRPr="008B49CE" w:rsidRDefault="00047E7F" w:rsidP="008B1510">
            <w:pPr>
              <w:spacing w:after="0" w:line="240" w:lineRule="auto"/>
              <w:jc w:val="center"/>
              <w:rPr>
                <w:rFonts w:eastAsia="Times New Roman" w:cs="Times New Roman"/>
                <w:b/>
                <w:bCs/>
                <w:color w:val="FFFFFF" w:themeColor="background1"/>
                <w:sz w:val="20"/>
                <w:szCs w:val="20"/>
                <w:lang w:eastAsia="pt-BR"/>
              </w:rPr>
            </w:pPr>
            <w:r w:rsidRPr="008B49CE">
              <w:rPr>
                <w:rFonts w:eastAsia="Times New Roman" w:cs="Times New Roman"/>
                <w:b/>
                <w:bCs/>
                <w:color w:val="FFFFFF" w:themeColor="background1"/>
                <w:sz w:val="20"/>
                <w:szCs w:val="20"/>
                <w:lang w:eastAsia="pt-BR"/>
              </w:rPr>
              <w:t>202</w:t>
            </w:r>
            <w:r w:rsidR="005C2301" w:rsidRPr="008B49CE">
              <w:rPr>
                <w:rFonts w:eastAsia="Times New Roman" w:cs="Times New Roman"/>
                <w:b/>
                <w:bCs/>
                <w:color w:val="FFFFFF" w:themeColor="background1"/>
                <w:sz w:val="20"/>
                <w:szCs w:val="20"/>
                <w:lang w:eastAsia="pt-BR"/>
              </w:rPr>
              <w:t>2</w:t>
            </w:r>
          </w:p>
        </w:tc>
        <w:tc>
          <w:tcPr>
            <w:tcW w:w="0" w:type="auto"/>
            <w:shd w:val="clear" w:color="auto" w:fill="404040" w:themeFill="text1" w:themeFillTint="BF"/>
            <w:vAlign w:val="center"/>
          </w:tcPr>
          <w:p w14:paraId="2456693A" w14:textId="4603E614" w:rsidR="00635AFD" w:rsidRPr="008B49CE" w:rsidRDefault="00047E7F" w:rsidP="008B1510">
            <w:pPr>
              <w:spacing w:after="0" w:line="240" w:lineRule="auto"/>
              <w:jc w:val="center"/>
              <w:rPr>
                <w:rFonts w:eastAsia="Times New Roman" w:cs="Times New Roman"/>
                <w:b/>
                <w:bCs/>
                <w:color w:val="FFFFFF" w:themeColor="background1"/>
                <w:sz w:val="20"/>
                <w:szCs w:val="20"/>
                <w:lang w:eastAsia="pt-BR"/>
              </w:rPr>
            </w:pPr>
            <w:r w:rsidRPr="008B49CE">
              <w:rPr>
                <w:rFonts w:eastAsia="Times New Roman" w:cs="Times New Roman"/>
                <w:b/>
                <w:bCs/>
                <w:color w:val="FFFFFF" w:themeColor="background1"/>
                <w:sz w:val="20"/>
                <w:szCs w:val="20"/>
                <w:lang w:eastAsia="pt-BR"/>
              </w:rPr>
              <w:t>202</w:t>
            </w:r>
            <w:r w:rsidR="005C2301" w:rsidRPr="008B49CE">
              <w:rPr>
                <w:rFonts w:eastAsia="Times New Roman" w:cs="Times New Roman"/>
                <w:b/>
                <w:bCs/>
                <w:color w:val="FFFFFF" w:themeColor="background1"/>
                <w:sz w:val="20"/>
                <w:szCs w:val="20"/>
                <w:lang w:eastAsia="pt-BR"/>
              </w:rPr>
              <w:t>3</w:t>
            </w:r>
          </w:p>
        </w:tc>
        <w:tc>
          <w:tcPr>
            <w:tcW w:w="0" w:type="auto"/>
            <w:shd w:val="clear" w:color="auto" w:fill="404040" w:themeFill="text1" w:themeFillTint="BF"/>
            <w:vAlign w:val="center"/>
          </w:tcPr>
          <w:p w14:paraId="220F8FC4" w14:textId="3C343C02" w:rsidR="00635AFD" w:rsidRPr="008B49CE" w:rsidRDefault="00047E7F" w:rsidP="008B1510">
            <w:pPr>
              <w:spacing w:after="0" w:line="240" w:lineRule="auto"/>
              <w:jc w:val="center"/>
              <w:rPr>
                <w:rFonts w:eastAsia="Times New Roman" w:cs="Times New Roman"/>
                <w:b/>
                <w:bCs/>
                <w:color w:val="FFFFFF" w:themeColor="background1"/>
                <w:sz w:val="20"/>
                <w:szCs w:val="20"/>
                <w:lang w:eastAsia="pt-BR"/>
              </w:rPr>
            </w:pPr>
            <w:r w:rsidRPr="008B49CE">
              <w:rPr>
                <w:rFonts w:eastAsia="Times New Roman" w:cs="Times New Roman"/>
                <w:b/>
                <w:bCs/>
                <w:color w:val="FFFFFF" w:themeColor="background1"/>
                <w:sz w:val="20"/>
                <w:szCs w:val="20"/>
                <w:lang w:eastAsia="pt-BR"/>
              </w:rPr>
              <w:t>202</w:t>
            </w:r>
            <w:r w:rsidR="005C2301" w:rsidRPr="008B49CE">
              <w:rPr>
                <w:rFonts w:eastAsia="Times New Roman" w:cs="Times New Roman"/>
                <w:b/>
                <w:bCs/>
                <w:color w:val="FFFFFF" w:themeColor="background1"/>
                <w:sz w:val="20"/>
                <w:szCs w:val="20"/>
                <w:lang w:eastAsia="pt-BR"/>
              </w:rPr>
              <w:t>4</w:t>
            </w:r>
          </w:p>
        </w:tc>
      </w:tr>
      <w:tr w:rsidR="00B52B72" w:rsidRPr="00832B0B" w14:paraId="7F19C85D" w14:textId="77777777" w:rsidTr="5F53DBAA">
        <w:trPr>
          <w:trHeight w:val="20"/>
          <w:jc w:val="center"/>
        </w:trPr>
        <w:tc>
          <w:tcPr>
            <w:tcW w:w="0" w:type="auto"/>
            <w:shd w:val="clear" w:color="auto" w:fill="auto"/>
            <w:hideMark/>
          </w:tcPr>
          <w:p w14:paraId="3A02C0E3" w14:textId="77777777" w:rsidR="0036507A" w:rsidRPr="0036158B" w:rsidRDefault="0036507A" w:rsidP="008B1510">
            <w:pPr>
              <w:spacing w:after="0" w:line="240" w:lineRule="auto"/>
              <w:rPr>
                <w:rFonts w:eastAsia="Times New Roman" w:cs="Times New Roman"/>
                <w:sz w:val="18"/>
                <w:szCs w:val="18"/>
                <w:lang w:eastAsia="pt-BR"/>
              </w:rPr>
            </w:pPr>
            <w:r w:rsidRPr="0036158B">
              <w:rPr>
                <w:rFonts w:eastAsia="Times New Roman" w:cs="Times New Roman"/>
                <w:sz w:val="18"/>
                <w:szCs w:val="18"/>
                <w:lang w:eastAsia="pt-BR"/>
              </w:rPr>
              <w:t>Extinção de entidades</w:t>
            </w:r>
          </w:p>
        </w:tc>
        <w:tc>
          <w:tcPr>
            <w:tcW w:w="0" w:type="auto"/>
            <w:shd w:val="clear" w:color="auto" w:fill="auto"/>
            <w:hideMark/>
          </w:tcPr>
          <w:p w14:paraId="16AE9C95" w14:textId="77777777" w:rsidR="0036507A" w:rsidRPr="00832B0B" w:rsidRDefault="0036507A" w:rsidP="008B1510">
            <w:pPr>
              <w:spacing w:after="0" w:line="240" w:lineRule="auto"/>
              <w:rPr>
                <w:rFonts w:eastAsia="Times New Roman" w:cs="Times New Roman"/>
                <w:sz w:val="18"/>
                <w:szCs w:val="18"/>
                <w:lang w:eastAsia="pt-BR"/>
              </w:rPr>
            </w:pPr>
            <w:r w:rsidRPr="00832B0B">
              <w:rPr>
                <w:rFonts w:eastAsia="Times New Roman" w:cs="Times New Roman"/>
                <w:sz w:val="18"/>
                <w:szCs w:val="18"/>
                <w:lang w:eastAsia="pt-BR"/>
              </w:rPr>
              <w:t>Diversos</w:t>
            </w:r>
          </w:p>
        </w:tc>
        <w:tc>
          <w:tcPr>
            <w:tcW w:w="0" w:type="auto"/>
            <w:shd w:val="clear" w:color="auto" w:fill="auto"/>
            <w:noWrap/>
            <w:vAlign w:val="center"/>
          </w:tcPr>
          <w:p w14:paraId="43B9CAFB" w14:textId="05083C17" w:rsidR="0036507A" w:rsidRPr="00832B0B" w:rsidRDefault="001E1D80"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22</w:t>
            </w:r>
            <w:r w:rsidR="00B14A15">
              <w:rPr>
                <w:rFonts w:eastAsia="Times New Roman" w:cs="Times New Roman"/>
                <w:color w:val="000000"/>
                <w:sz w:val="18"/>
                <w:szCs w:val="18"/>
                <w:lang w:eastAsia="pt-BR"/>
              </w:rPr>
              <w:t>1</w:t>
            </w:r>
            <w:r>
              <w:rPr>
                <w:rFonts w:eastAsia="Times New Roman" w:cs="Times New Roman"/>
                <w:color w:val="000000"/>
                <w:sz w:val="18"/>
                <w:szCs w:val="18"/>
                <w:lang w:eastAsia="pt-BR"/>
              </w:rPr>
              <w:t>,</w:t>
            </w:r>
            <w:r w:rsidR="00B14A15">
              <w:rPr>
                <w:rFonts w:eastAsia="Times New Roman" w:cs="Times New Roman"/>
                <w:color w:val="000000"/>
                <w:sz w:val="18"/>
                <w:szCs w:val="18"/>
                <w:lang w:eastAsia="pt-BR"/>
              </w:rPr>
              <w:t>0</w:t>
            </w:r>
          </w:p>
        </w:tc>
        <w:tc>
          <w:tcPr>
            <w:tcW w:w="0" w:type="auto"/>
            <w:shd w:val="clear" w:color="auto" w:fill="auto"/>
            <w:noWrap/>
            <w:vAlign w:val="center"/>
          </w:tcPr>
          <w:p w14:paraId="49ACEAA1" w14:textId="27F5F548" w:rsidR="0036507A" w:rsidRPr="00832B0B" w:rsidRDefault="009D4DF5"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15,6</w:t>
            </w:r>
          </w:p>
        </w:tc>
        <w:tc>
          <w:tcPr>
            <w:tcW w:w="0" w:type="auto"/>
            <w:shd w:val="clear" w:color="auto" w:fill="auto"/>
            <w:vAlign w:val="center"/>
          </w:tcPr>
          <w:p w14:paraId="09B20E77" w14:textId="02AB0D96" w:rsidR="0036507A" w:rsidRPr="00832B0B" w:rsidRDefault="0036507A" w:rsidP="00173585">
            <w:pPr>
              <w:spacing w:after="0" w:line="240" w:lineRule="auto"/>
              <w:jc w:val="center"/>
              <w:rPr>
                <w:rFonts w:eastAsia="Times New Roman" w:cs="Times New Roman"/>
                <w:sz w:val="18"/>
                <w:szCs w:val="18"/>
                <w:lang w:eastAsia="pt-BR"/>
              </w:rPr>
            </w:pPr>
          </w:p>
        </w:tc>
        <w:tc>
          <w:tcPr>
            <w:tcW w:w="0" w:type="auto"/>
            <w:shd w:val="clear" w:color="auto" w:fill="auto"/>
            <w:vAlign w:val="center"/>
          </w:tcPr>
          <w:p w14:paraId="0EE194E5" w14:textId="6D9753F3" w:rsidR="0036507A" w:rsidRPr="00832B0B" w:rsidRDefault="003A0326" w:rsidP="00173585">
            <w:pPr>
              <w:spacing w:after="0" w:line="240" w:lineRule="auto"/>
              <w:jc w:val="center"/>
              <w:rPr>
                <w:rFonts w:eastAsia="Times New Roman" w:cs="Times New Roman"/>
                <w:sz w:val="18"/>
                <w:szCs w:val="18"/>
                <w:lang w:eastAsia="pt-BR"/>
              </w:rPr>
            </w:pPr>
            <w:r>
              <w:rPr>
                <w:rFonts w:eastAsia="Times New Roman" w:cs="Times New Roman"/>
                <w:sz w:val="18"/>
                <w:szCs w:val="18"/>
                <w:lang w:eastAsia="pt-BR"/>
              </w:rPr>
              <w:t>--</w:t>
            </w:r>
          </w:p>
        </w:tc>
      </w:tr>
      <w:tr w:rsidR="00B52B72" w:rsidRPr="00832B0B" w14:paraId="5FA69AB3" w14:textId="77777777" w:rsidTr="5F53DBAA">
        <w:trPr>
          <w:trHeight w:val="20"/>
          <w:jc w:val="center"/>
        </w:trPr>
        <w:tc>
          <w:tcPr>
            <w:tcW w:w="0" w:type="auto"/>
            <w:shd w:val="clear" w:color="auto" w:fill="auto"/>
            <w:hideMark/>
          </w:tcPr>
          <w:p w14:paraId="1B289A50" w14:textId="77777777" w:rsidR="0036507A" w:rsidRPr="0036158B" w:rsidRDefault="0036507A" w:rsidP="008B1510">
            <w:pPr>
              <w:spacing w:after="0" w:line="240" w:lineRule="auto"/>
              <w:rPr>
                <w:rFonts w:eastAsia="Times New Roman" w:cs="Times New Roman"/>
                <w:sz w:val="18"/>
                <w:szCs w:val="18"/>
                <w:lang w:eastAsia="pt-BR"/>
              </w:rPr>
            </w:pPr>
            <w:r w:rsidRPr="0036158B">
              <w:rPr>
                <w:rFonts w:eastAsia="Times New Roman" w:cs="Times New Roman"/>
                <w:sz w:val="18"/>
                <w:szCs w:val="18"/>
                <w:lang w:eastAsia="pt-BR"/>
              </w:rPr>
              <w:t>Dívida direta</w:t>
            </w:r>
          </w:p>
        </w:tc>
        <w:tc>
          <w:tcPr>
            <w:tcW w:w="0" w:type="auto"/>
            <w:shd w:val="clear" w:color="auto" w:fill="auto"/>
            <w:hideMark/>
          </w:tcPr>
          <w:p w14:paraId="7FB4B2B8" w14:textId="03190382" w:rsidR="0036507A" w:rsidRPr="00832B0B" w:rsidRDefault="0036507A" w:rsidP="008B1510">
            <w:pPr>
              <w:spacing w:after="0" w:line="240" w:lineRule="auto"/>
              <w:rPr>
                <w:rFonts w:eastAsia="Times New Roman" w:cs="Times New Roman"/>
                <w:sz w:val="18"/>
                <w:szCs w:val="18"/>
                <w:lang w:eastAsia="pt-BR"/>
              </w:rPr>
            </w:pPr>
            <w:r w:rsidRPr="00832B0B">
              <w:rPr>
                <w:rFonts w:eastAsia="Times New Roman" w:cs="Times New Roman"/>
                <w:sz w:val="18"/>
                <w:szCs w:val="18"/>
                <w:lang w:eastAsia="pt-BR"/>
              </w:rPr>
              <w:t>C</w:t>
            </w:r>
            <w:r w:rsidR="00577814">
              <w:rPr>
                <w:rFonts w:eastAsia="Times New Roman" w:cs="Times New Roman"/>
                <w:sz w:val="18"/>
                <w:szCs w:val="18"/>
                <w:lang w:eastAsia="pt-BR"/>
              </w:rPr>
              <w:t>AIXA</w:t>
            </w:r>
            <w:r w:rsidR="005C2301" w:rsidRPr="005C2301">
              <w:rPr>
                <w:rFonts w:eastAsia="Times New Roman" w:cs="Times New Roman"/>
                <w:sz w:val="18"/>
                <w:szCs w:val="18"/>
                <w:lang w:eastAsia="pt-BR"/>
              </w:rPr>
              <w:t xml:space="preserve"> </w:t>
            </w:r>
            <w:proofErr w:type="gramStart"/>
            <w:r w:rsidR="005C2301" w:rsidRPr="005C2301">
              <w:rPr>
                <w:rFonts w:eastAsia="Times New Roman" w:cs="Times New Roman"/>
                <w:i/>
                <w:iCs/>
                <w:sz w:val="20"/>
                <w:szCs w:val="20"/>
                <w:vertAlign w:val="superscript"/>
                <w:lang w:eastAsia="pt-BR"/>
              </w:rPr>
              <w:t>2</w:t>
            </w:r>
            <w:proofErr w:type="gramEnd"/>
          </w:p>
        </w:tc>
        <w:tc>
          <w:tcPr>
            <w:tcW w:w="0" w:type="auto"/>
            <w:shd w:val="clear" w:color="auto" w:fill="auto"/>
            <w:vAlign w:val="center"/>
          </w:tcPr>
          <w:p w14:paraId="52393DDF" w14:textId="7FD1DDAA" w:rsidR="0036507A" w:rsidRPr="00832B0B" w:rsidRDefault="007B60F3" w:rsidP="008B1510">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5.372,</w:t>
            </w:r>
            <w:r w:rsidR="007E6B8E">
              <w:rPr>
                <w:rFonts w:eastAsia="Times New Roman" w:cs="Times New Roman"/>
                <w:sz w:val="18"/>
                <w:szCs w:val="18"/>
                <w:lang w:eastAsia="pt-BR"/>
              </w:rPr>
              <w:t>8</w:t>
            </w:r>
          </w:p>
        </w:tc>
        <w:tc>
          <w:tcPr>
            <w:tcW w:w="0" w:type="auto"/>
            <w:shd w:val="clear" w:color="auto" w:fill="auto"/>
            <w:vAlign w:val="center"/>
          </w:tcPr>
          <w:p w14:paraId="790765C1" w14:textId="536509DB" w:rsidR="0036507A" w:rsidRPr="00832B0B" w:rsidRDefault="003A0326" w:rsidP="00173585">
            <w:pPr>
              <w:spacing w:after="0" w:line="240" w:lineRule="auto"/>
              <w:jc w:val="center"/>
              <w:rPr>
                <w:rFonts w:eastAsia="Times New Roman" w:cs="Times New Roman"/>
                <w:sz w:val="18"/>
                <w:szCs w:val="18"/>
                <w:lang w:eastAsia="pt-BR"/>
              </w:rPr>
            </w:pPr>
            <w:r>
              <w:rPr>
                <w:rFonts w:eastAsia="Times New Roman" w:cs="Times New Roman"/>
                <w:sz w:val="18"/>
                <w:szCs w:val="18"/>
                <w:lang w:eastAsia="pt-BR"/>
              </w:rPr>
              <w:t>-</w:t>
            </w:r>
          </w:p>
        </w:tc>
        <w:tc>
          <w:tcPr>
            <w:tcW w:w="0" w:type="auto"/>
            <w:shd w:val="clear" w:color="auto" w:fill="auto"/>
            <w:noWrap/>
            <w:vAlign w:val="center"/>
          </w:tcPr>
          <w:p w14:paraId="2BD7A3D6" w14:textId="66380A65" w:rsidR="0036507A" w:rsidRPr="00832B0B" w:rsidRDefault="003A0326" w:rsidP="00173585">
            <w:pPr>
              <w:spacing w:after="0" w:line="240" w:lineRule="auto"/>
              <w:jc w:val="center"/>
              <w:rPr>
                <w:rFonts w:eastAsia="Times New Roman" w:cs="Times New Roman"/>
                <w:color w:val="000000"/>
                <w:sz w:val="18"/>
                <w:szCs w:val="18"/>
                <w:lang w:eastAsia="pt-BR"/>
              </w:rPr>
            </w:pPr>
            <w:r>
              <w:rPr>
                <w:rFonts w:eastAsia="Times New Roman" w:cs="Times New Roman"/>
                <w:color w:val="000000"/>
                <w:sz w:val="18"/>
                <w:szCs w:val="18"/>
                <w:lang w:eastAsia="pt-BR"/>
              </w:rPr>
              <w:t>-</w:t>
            </w:r>
          </w:p>
        </w:tc>
        <w:tc>
          <w:tcPr>
            <w:tcW w:w="0" w:type="auto"/>
            <w:shd w:val="clear" w:color="auto" w:fill="auto"/>
            <w:noWrap/>
            <w:vAlign w:val="center"/>
          </w:tcPr>
          <w:p w14:paraId="0AB51300" w14:textId="0EF3BDDB" w:rsidR="0036507A" w:rsidRPr="00832B0B" w:rsidRDefault="003A0326" w:rsidP="00173585">
            <w:pPr>
              <w:spacing w:after="0" w:line="240" w:lineRule="auto"/>
              <w:jc w:val="center"/>
              <w:rPr>
                <w:rFonts w:eastAsia="Times New Roman" w:cs="Times New Roman"/>
                <w:color w:val="000000"/>
                <w:sz w:val="18"/>
                <w:szCs w:val="18"/>
                <w:lang w:eastAsia="pt-BR"/>
              </w:rPr>
            </w:pPr>
            <w:r>
              <w:rPr>
                <w:rFonts w:eastAsia="Times New Roman" w:cs="Times New Roman"/>
                <w:color w:val="000000"/>
                <w:sz w:val="18"/>
                <w:szCs w:val="18"/>
                <w:lang w:eastAsia="pt-BR"/>
              </w:rPr>
              <w:t>-</w:t>
            </w:r>
          </w:p>
        </w:tc>
      </w:tr>
      <w:tr w:rsidR="00DF096F" w:rsidRPr="00832B0B" w14:paraId="210259F7" w14:textId="77777777" w:rsidTr="5F53DBAA">
        <w:trPr>
          <w:trHeight w:val="20"/>
          <w:jc w:val="center"/>
        </w:trPr>
        <w:tc>
          <w:tcPr>
            <w:tcW w:w="0" w:type="auto"/>
            <w:shd w:val="clear" w:color="auto" w:fill="auto"/>
            <w:hideMark/>
          </w:tcPr>
          <w:p w14:paraId="1589AB9B" w14:textId="77777777" w:rsidR="0036507A" w:rsidRPr="0036158B" w:rsidRDefault="0036507A" w:rsidP="008B1510">
            <w:pPr>
              <w:spacing w:after="0" w:line="240" w:lineRule="auto"/>
              <w:rPr>
                <w:rFonts w:eastAsia="Times New Roman" w:cs="Times New Roman"/>
                <w:sz w:val="18"/>
                <w:szCs w:val="18"/>
                <w:lang w:eastAsia="pt-BR"/>
              </w:rPr>
            </w:pPr>
            <w:r w:rsidRPr="0036158B">
              <w:rPr>
                <w:rFonts w:eastAsia="Times New Roman" w:cs="Times New Roman"/>
                <w:sz w:val="18"/>
                <w:szCs w:val="18"/>
                <w:lang w:eastAsia="pt-BR"/>
              </w:rPr>
              <w:t xml:space="preserve">FCVS </w:t>
            </w:r>
            <w:proofErr w:type="spellStart"/>
            <w:r w:rsidRPr="0036158B">
              <w:rPr>
                <w:rFonts w:eastAsia="Times New Roman" w:cs="Times New Roman"/>
                <w:sz w:val="18"/>
                <w:szCs w:val="18"/>
                <w:lang w:eastAsia="pt-BR"/>
              </w:rPr>
              <w:t>VAFs</w:t>
            </w:r>
            <w:proofErr w:type="spellEnd"/>
            <w:r w:rsidRPr="0036158B">
              <w:rPr>
                <w:rFonts w:eastAsia="Times New Roman" w:cs="Times New Roman"/>
                <w:sz w:val="18"/>
                <w:szCs w:val="18"/>
                <w:lang w:eastAsia="pt-BR"/>
              </w:rPr>
              <w:t xml:space="preserve"> </w:t>
            </w:r>
            <w:proofErr w:type="gramStart"/>
            <w:r w:rsidRPr="0036158B">
              <w:rPr>
                <w:rFonts w:eastAsia="Times New Roman" w:cs="Times New Roman"/>
                <w:sz w:val="18"/>
                <w:szCs w:val="18"/>
                <w:lang w:eastAsia="pt-BR"/>
              </w:rPr>
              <w:t>1</w:t>
            </w:r>
            <w:proofErr w:type="gramEnd"/>
            <w:r w:rsidRPr="0036158B">
              <w:rPr>
                <w:rFonts w:eastAsia="Times New Roman" w:cs="Times New Roman"/>
                <w:sz w:val="18"/>
                <w:szCs w:val="18"/>
                <w:lang w:eastAsia="pt-BR"/>
              </w:rPr>
              <w:t xml:space="preserve"> e 2</w:t>
            </w:r>
          </w:p>
        </w:tc>
        <w:tc>
          <w:tcPr>
            <w:tcW w:w="0" w:type="auto"/>
            <w:shd w:val="clear" w:color="auto" w:fill="auto"/>
            <w:hideMark/>
          </w:tcPr>
          <w:p w14:paraId="5D892655" w14:textId="77777777" w:rsidR="0036507A" w:rsidRPr="00832B0B" w:rsidRDefault="0036507A" w:rsidP="008B1510">
            <w:pPr>
              <w:spacing w:after="0" w:line="240" w:lineRule="auto"/>
              <w:rPr>
                <w:rFonts w:eastAsia="Times New Roman" w:cs="Times New Roman"/>
                <w:sz w:val="18"/>
                <w:szCs w:val="18"/>
                <w:lang w:eastAsia="pt-BR"/>
              </w:rPr>
            </w:pPr>
            <w:r w:rsidRPr="00832B0B">
              <w:rPr>
                <w:rFonts w:eastAsia="Times New Roman" w:cs="Times New Roman"/>
                <w:sz w:val="18"/>
                <w:szCs w:val="18"/>
                <w:lang w:eastAsia="pt-BR"/>
              </w:rPr>
              <w:t>Agentes do SFH ou seus cessionários</w:t>
            </w:r>
          </w:p>
        </w:tc>
        <w:tc>
          <w:tcPr>
            <w:tcW w:w="0" w:type="auto"/>
            <w:shd w:val="clear" w:color="auto" w:fill="auto"/>
            <w:noWrap/>
            <w:vAlign w:val="center"/>
          </w:tcPr>
          <w:p w14:paraId="71908097" w14:textId="21CF9B19" w:rsidR="0036507A" w:rsidRPr="00832B0B" w:rsidRDefault="006B5823"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16.761,0</w:t>
            </w:r>
          </w:p>
        </w:tc>
        <w:tc>
          <w:tcPr>
            <w:tcW w:w="0" w:type="auto"/>
            <w:shd w:val="clear" w:color="auto" w:fill="auto"/>
            <w:noWrap/>
            <w:vAlign w:val="center"/>
          </w:tcPr>
          <w:p w14:paraId="4FA20868" w14:textId="347DD168" w:rsidR="0036507A" w:rsidRPr="00832B0B" w:rsidRDefault="00555039"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16.761,0</w:t>
            </w:r>
          </w:p>
        </w:tc>
        <w:tc>
          <w:tcPr>
            <w:tcW w:w="0" w:type="auto"/>
            <w:shd w:val="clear" w:color="auto" w:fill="auto"/>
            <w:noWrap/>
            <w:vAlign w:val="center"/>
          </w:tcPr>
          <w:p w14:paraId="162958D2" w14:textId="59D75144" w:rsidR="0036507A" w:rsidRPr="00832B0B" w:rsidRDefault="00555039"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16.761,0</w:t>
            </w:r>
          </w:p>
        </w:tc>
        <w:tc>
          <w:tcPr>
            <w:tcW w:w="0" w:type="auto"/>
            <w:shd w:val="clear" w:color="auto" w:fill="auto"/>
            <w:vAlign w:val="center"/>
          </w:tcPr>
          <w:p w14:paraId="4B413E5D" w14:textId="34559507" w:rsidR="0036507A" w:rsidRPr="00832B0B" w:rsidRDefault="00555039" w:rsidP="00E5505F">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16.761,0</w:t>
            </w:r>
          </w:p>
        </w:tc>
      </w:tr>
      <w:tr w:rsidR="00F92103" w:rsidRPr="00832B0B" w14:paraId="010D5366" w14:textId="77777777" w:rsidTr="5F53DBAA">
        <w:trPr>
          <w:trHeight w:val="20"/>
          <w:jc w:val="center"/>
        </w:trPr>
        <w:tc>
          <w:tcPr>
            <w:tcW w:w="0" w:type="auto"/>
            <w:tcBorders>
              <w:bottom w:val="single" w:sz="4" w:space="0" w:color="BFBFBF" w:themeColor="background1" w:themeShade="BF"/>
            </w:tcBorders>
            <w:shd w:val="clear" w:color="auto" w:fill="auto"/>
            <w:vAlign w:val="center"/>
            <w:hideMark/>
          </w:tcPr>
          <w:p w14:paraId="2368D26D" w14:textId="77777777" w:rsidR="0036507A" w:rsidRPr="0036158B" w:rsidRDefault="0036507A" w:rsidP="008B1510">
            <w:pPr>
              <w:spacing w:after="0" w:line="240" w:lineRule="auto"/>
              <w:rPr>
                <w:rFonts w:eastAsia="Times New Roman" w:cs="Times New Roman"/>
                <w:sz w:val="18"/>
                <w:szCs w:val="18"/>
                <w:lang w:eastAsia="pt-BR"/>
              </w:rPr>
            </w:pPr>
            <w:r w:rsidRPr="0036158B">
              <w:rPr>
                <w:rFonts w:eastAsia="Times New Roman" w:cs="Times New Roman"/>
                <w:sz w:val="18"/>
                <w:szCs w:val="18"/>
                <w:lang w:eastAsia="pt-BR"/>
              </w:rPr>
              <w:t xml:space="preserve">FCVS </w:t>
            </w:r>
            <w:proofErr w:type="spellStart"/>
            <w:r w:rsidRPr="0036158B">
              <w:rPr>
                <w:rFonts w:eastAsia="Times New Roman" w:cs="Times New Roman"/>
                <w:sz w:val="18"/>
                <w:szCs w:val="18"/>
                <w:lang w:eastAsia="pt-BR"/>
              </w:rPr>
              <w:t>VAFs</w:t>
            </w:r>
            <w:proofErr w:type="spellEnd"/>
            <w:r w:rsidRPr="0036158B">
              <w:rPr>
                <w:rFonts w:eastAsia="Times New Roman" w:cs="Times New Roman"/>
                <w:sz w:val="18"/>
                <w:szCs w:val="18"/>
                <w:lang w:eastAsia="pt-BR"/>
              </w:rPr>
              <w:t xml:space="preserve"> </w:t>
            </w:r>
            <w:proofErr w:type="gramStart"/>
            <w:r w:rsidRPr="0036158B">
              <w:rPr>
                <w:rFonts w:eastAsia="Times New Roman" w:cs="Times New Roman"/>
                <w:sz w:val="18"/>
                <w:szCs w:val="18"/>
                <w:lang w:eastAsia="pt-BR"/>
              </w:rPr>
              <w:t>3</w:t>
            </w:r>
            <w:proofErr w:type="gramEnd"/>
            <w:r w:rsidRPr="0036158B">
              <w:rPr>
                <w:rFonts w:eastAsia="Times New Roman" w:cs="Times New Roman"/>
                <w:sz w:val="18"/>
                <w:szCs w:val="18"/>
                <w:lang w:eastAsia="pt-BR"/>
              </w:rPr>
              <w:t xml:space="preserve"> e 4</w:t>
            </w:r>
          </w:p>
        </w:tc>
        <w:tc>
          <w:tcPr>
            <w:tcW w:w="0" w:type="auto"/>
            <w:tcBorders>
              <w:bottom w:val="single" w:sz="4" w:space="0" w:color="BFBFBF" w:themeColor="background1" w:themeShade="BF"/>
            </w:tcBorders>
            <w:shd w:val="clear" w:color="auto" w:fill="auto"/>
            <w:hideMark/>
          </w:tcPr>
          <w:p w14:paraId="67ADD2C6" w14:textId="77777777" w:rsidR="00AF4652" w:rsidRDefault="0036507A" w:rsidP="00CF71FE">
            <w:pPr>
              <w:spacing w:after="0" w:line="240" w:lineRule="auto"/>
              <w:rPr>
                <w:rFonts w:eastAsia="Times New Roman" w:cs="Times New Roman"/>
                <w:sz w:val="18"/>
                <w:szCs w:val="18"/>
                <w:lang w:eastAsia="pt-BR"/>
              </w:rPr>
            </w:pPr>
            <w:r w:rsidRPr="00832B0B">
              <w:rPr>
                <w:rFonts w:eastAsia="Times New Roman" w:cs="Times New Roman"/>
                <w:sz w:val="18"/>
                <w:szCs w:val="18"/>
                <w:lang w:eastAsia="pt-BR"/>
              </w:rPr>
              <w:t xml:space="preserve">FGTS, com eventual repasse </w:t>
            </w:r>
            <w:proofErr w:type="gramStart"/>
            <w:r w:rsidRPr="00832B0B">
              <w:rPr>
                <w:rFonts w:eastAsia="Times New Roman" w:cs="Times New Roman"/>
                <w:sz w:val="18"/>
                <w:szCs w:val="18"/>
                <w:lang w:eastAsia="pt-BR"/>
              </w:rPr>
              <w:t>aos</w:t>
            </w:r>
            <w:proofErr w:type="gramEnd"/>
          </w:p>
          <w:p w14:paraId="075D7279" w14:textId="460DC3EA" w:rsidR="0036507A" w:rsidRPr="00832B0B" w:rsidRDefault="0036507A" w:rsidP="008B1510">
            <w:pPr>
              <w:spacing w:after="0" w:line="240" w:lineRule="auto"/>
              <w:rPr>
                <w:rFonts w:eastAsia="Times New Roman" w:cs="Times New Roman"/>
                <w:color w:val="000000"/>
                <w:sz w:val="18"/>
                <w:szCs w:val="18"/>
                <w:lang w:eastAsia="pt-BR"/>
              </w:rPr>
            </w:pPr>
            <w:proofErr w:type="gramStart"/>
            <w:r w:rsidRPr="00832B0B">
              <w:rPr>
                <w:rFonts w:eastAsia="Times New Roman" w:cs="Times New Roman"/>
                <w:sz w:val="18"/>
                <w:szCs w:val="18"/>
                <w:lang w:eastAsia="pt-BR"/>
              </w:rPr>
              <w:t>agentes</w:t>
            </w:r>
            <w:proofErr w:type="gramEnd"/>
            <w:r w:rsidRPr="00832B0B">
              <w:rPr>
                <w:rFonts w:eastAsia="Times New Roman" w:cs="Times New Roman"/>
                <w:sz w:val="18"/>
                <w:szCs w:val="18"/>
                <w:lang w:eastAsia="pt-BR"/>
              </w:rPr>
              <w:t xml:space="preserve"> do SFH ou seus cessionários</w:t>
            </w:r>
          </w:p>
        </w:tc>
        <w:tc>
          <w:tcPr>
            <w:tcW w:w="0" w:type="auto"/>
            <w:tcBorders>
              <w:bottom w:val="single" w:sz="4" w:space="0" w:color="BFBFBF" w:themeColor="background1" w:themeShade="BF"/>
            </w:tcBorders>
            <w:shd w:val="clear" w:color="auto" w:fill="auto"/>
            <w:noWrap/>
            <w:vAlign w:val="center"/>
          </w:tcPr>
          <w:p w14:paraId="26FD3B63" w14:textId="5242FE51" w:rsidR="0036507A" w:rsidRPr="00832B0B" w:rsidRDefault="004F37EF"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1.235,</w:t>
            </w:r>
            <w:r w:rsidR="00680778">
              <w:rPr>
                <w:rFonts w:eastAsia="Times New Roman" w:cs="Times New Roman"/>
                <w:color w:val="000000"/>
                <w:sz w:val="18"/>
                <w:szCs w:val="18"/>
                <w:lang w:eastAsia="pt-BR"/>
              </w:rPr>
              <w:t>9</w:t>
            </w:r>
          </w:p>
        </w:tc>
        <w:tc>
          <w:tcPr>
            <w:tcW w:w="0" w:type="auto"/>
            <w:tcBorders>
              <w:bottom w:val="single" w:sz="4" w:space="0" w:color="BFBFBF" w:themeColor="background1" w:themeShade="BF"/>
            </w:tcBorders>
            <w:shd w:val="clear" w:color="auto" w:fill="auto"/>
            <w:noWrap/>
            <w:vAlign w:val="center"/>
          </w:tcPr>
          <w:p w14:paraId="5BDC1DFA" w14:textId="6F233BEB" w:rsidR="0036507A" w:rsidRPr="00832B0B" w:rsidRDefault="003A0326"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1.235,</w:t>
            </w:r>
            <w:r w:rsidR="00680778">
              <w:rPr>
                <w:rFonts w:eastAsia="Times New Roman" w:cs="Times New Roman"/>
                <w:color w:val="000000"/>
                <w:sz w:val="18"/>
                <w:szCs w:val="18"/>
                <w:lang w:eastAsia="pt-BR"/>
              </w:rPr>
              <w:t>9</w:t>
            </w:r>
          </w:p>
        </w:tc>
        <w:tc>
          <w:tcPr>
            <w:tcW w:w="0" w:type="auto"/>
            <w:tcBorders>
              <w:bottom w:val="single" w:sz="4" w:space="0" w:color="BFBFBF" w:themeColor="background1" w:themeShade="BF"/>
            </w:tcBorders>
            <w:shd w:val="clear" w:color="auto" w:fill="auto"/>
            <w:noWrap/>
            <w:vAlign w:val="center"/>
          </w:tcPr>
          <w:p w14:paraId="2676F7EF" w14:textId="35BEA60D" w:rsidR="0036507A" w:rsidRPr="00832B0B" w:rsidRDefault="003A0326"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1.235,</w:t>
            </w:r>
            <w:r w:rsidR="00680778">
              <w:rPr>
                <w:rFonts w:eastAsia="Times New Roman" w:cs="Times New Roman"/>
                <w:color w:val="000000"/>
                <w:sz w:val="18"/>
                <w:szCs w:val="18"/>
                <w:lang w:eastAsia="pt-BR"/>
              </w:rPr>
              <w:t>9</w:t>
            </w:r>
          </w:p>
        </w:tc>
        <w:tc>
          <w:tcPr>
            <w:tcW w:w="0" w:type="auto"/>
            <w:tcBorders>
              <w:bottom w:val="single" w:sz="4" w:space="0" w:color="BFBFBF" w:themeColor="background1" w:themeShade="BF"/>
            </w:tcBorders>
            <w:shd w:val="clear" w:color="auto" w:fill="auto"/>
            <w:noWrap/>
            <w:vAlign w:val="center"/>
          </w:tcPr>
          <w:p w14:paraId="3D1245D2" w14:textId="6DF507FA" w:rsidR="0036507A" w:rsidRPr="00832B0B" w:rsidRDefault="003A0326" w:rsidP="008B1510">
            <w:pPr>
              <w:spacing w:after="0" w:line="240" w:lineRule="auto"/>
              <w:jc w:val="right"/>
              <w:rPr>
                <w:rFonts w:eastAsia="Times New Roman" w:cs="Times New Roman"/>
                <w:color w:val="000000"/>
                <w:sz w:val="18"/>
                <w:szCs w:val="18"/>
                <w:lang w:eastAsia="pt-BR"/>
              </w:rPr>
            </w:pPr>
            <w:r>
              <w:rPr>
                <w:rFonts w:eastAsia="Times New Roman" w:cs="Times New Roman"/>
                <w:color w:val="000000"/>
                <w:sz w:val="18"/>
                <w:szCs w:val="18"/>
                <w:lang w:eastAsia="pt-BR"/>
              </w:rPr>
              <w:t>1.235,</w:t>
            </w:r>
            <w:r w:rsidR="00680778">
              <w:rPr>
                <w:rFonts w:eastAsia="Times New Roman" w:cs="Times New Roman"/>
                <w:color w:val="000000"/>
                <w:sz w:val="18"/>
                <w:szCs w:val="18"/>
                <w:lang w:eastAsia="pt-BR"/>
              </w:rPr>
              <w:t>9</w:t>
            </w:r>
          </w:p>
        </w:tc>
      </w:tr>
      <w:tr w:rsidR="00D23DF2" w:rsidRPr="00832B0B" w14:paraId="7B007588" w14:textId="77777777" w:rsidTr="5F53DBAA">
        <w:trPr>
          <w:trHeight w:val="20"/>
          <w:jc w:val="center"/>
        </w:trPr>
        <w:tc>
          <w:tcPr>
            <w:tcW w:w="0" w:type="auto"/>
            <w:gridSpan w:val="2"/>
            <w:tcBorders>
              <w:bottom w:val="single" w:sz="4" w:space="0" w:color="BFBFBF" w:themeColor="background1" w:themeShade="BF"/>
            </w:tcBorders>
            <w:shd w:val="clear" w:color="auto" w:fill="7F7F7F" w:themeFill="text1" w:themeFillTint="80"/>
            <w:vAlign w:val="center"/>
            <w:hideMark/>
          </w:tcPr>
          <w:p w14:paraId="774515D1" w14:textId="77777777" w:rsidR="00D23DF2" w:rsidRPr="008B49CE" w:rsidRDefault="00D23DF2" w:rsidP="00E26456">
            <w:pPr>
              <w:spacing w:after="0" w:line="240" w:lineRule="auto"/>
              <w:rPr>
                <w:rFonts w:eastAsia="Times New Roman" w:cs="Times New Roman"/>
                <w:b/>
                <w:bCs/>
                <w:color w:val="FFFFFF" w:themeColor="background1"/>
                <w:sz w:val="18"/>
                <w:szCs w:val="18"/>
                <w:lang w:eastAsia="pt-BR"/>
              </w:rPr>
            </w:pPr>
            <w:r w:rsidRPr="008B49CE">
              <w:rPr>
                <w:rFonts w:eastAsia="Times New Roman" w:cs="Times New Roman"/>
                <w:b/>
                <w:bCs/>
                <w:color w:val="FFFFFF" w:themeColor="background1"/>
                <w:sz w:val="18"/>
                <w:szCs w:val="18"/>
                <w:lang w:eastAsia="pt-BR"/>
              </w:rPr>
              <w:t>Total</w:t>
            </w:r>
          </w:p>
        </w:tc>
        <w:tc>
          <w:tcPr>
            <w:tcW w:w="0" w:type="auto"/>
            <w:tcBorders>
              <w:bottom w:val="single" w:sz="4" w:space="0" w:color="BFBFBF" w:themeColor="background1" w:themeShade="BF"/>
            </w:tcBorders>
            <w:shd w:val="clear" w:color="auto" w:fill="7F7F7F" w:themeFill="text1" w:themeFillTint="80"/>
            <w:noWrap/>
          </w:tcPr>
          <w:p w14:paraId="3062E1BF" w14:textId="6C3FF80E" w:rsidR="00D23DF2" w:rsidRPr="008B49CE" w:rsidRDefault="00DE458E" w:rsidP="00E26456">
            <w:pPr>
              <w:spacing w:after="0" w:line="240" w:lineRule="auto"/>
              <w:jc w:val="right"/>
              <w:rPr>
                <w:rFonts w:eastAsia="Times New Roman" w:cs="Times New Roman"/>
                <w:b/>
                <w:bCs/>
                <w:color w:val="FFFFFF" w:themeColor="background1"/>
                <w:sz w:val="18"/>
                <w:szCs w:val="18"/>
                <w:lang w:eastAsia="pt-BR"/>
              </w:rPr>
            </w:pPr>
            <w:r w:rsidRPr="008B49CE">
              <w:rPr>
                <w:rFonts w:eastAsia="Times New Roman" w:cs="Times New Roman"/>
                <w:b/>
                <w:bCs/>
                <w:color w:val="FFFFFF" w:themeColor="background1"/>
                <w:sz w:val="18"/>
                <w:szCs w:val="18"/>
                <w:lang w:eastAsia="pt-BR"/>
              </w:rPr>
              <w:t>23.590,</w:t>
            </w:r>
            <w:r w:rsidR="00680778" w:rsidRPr="008B49CE">
              <w:rPr>
                <w:rFonts w:eastAsia="Times New Roman" w:cs="Times New Roman"/>
                <w:b/>
                <w:bCs/>
                <w:color w:val="FFFFFF" w:themeColor="background1"/>
                <w:sz w:val="18"/>
                <w:szCs w:val="18"/>
                <w:lang w:eastAsia="pt-BR"/>
              </w:rPr>
              <w:t>7</w:t>
            </w:r>
          </w:p>
        </w:tc>
        <w:tc>
          <w:tcPr>
            <w:tcW w:w="0" w:type="auto"/>
            <w:tcBorders>
              <w:bottom w:val="single" w:sz="4" w:space="0" w:color="BFBFBF" w:themeColor="background1" w:themeShade="BF"/>
            </w:tcBorders>
            <w:shd w:val="clear" w:color="auto" w:fill="7F7F7F" w:themeFill="text1" w:themeFillTint="80"/>
            <w:noWrap/>
            <w:vAlign w:val="center"/>
          </w:tcPr>
          <w:p w14:paraId="5C7B3447" w14:textId="6D1C2333" w:rsidR="00D23DF2" w:rsidRPr="008B49CE" w:rsidRDefault="0014306B" w:rsidP="00E26456">
            <w:pPr>
              <w:spacing w:after="0" w:line="240" w:lineRule="auto"/>
              <w:jc w:val="right"/>
              <w:rPr>
                <w:rFonts w:eastAsia="Times New Roman" w:cs="Times New Roman"/>
                <w:b/>
                <w:bCs/>
                <w:color w:val="FFFFFF" w:themeColor="background1"/>
                <w:sz w:val="18"/>
                <w:szCs w:val="18"/>
                <w:lang w:eastAsia="pt-BR"/>
              </w:rPr>
            </w:pPr>
            <w:r w:rsidRPr="008B49CE">
              <w:rPr>
                <w:rFonts w:eastAsia="Times New Roman" w:cs="Times New Roman"/>
                <w:b/>
                <w:bCs/>
                <w:color w:val="FFFFFF" w:themeColor="background1"/>
                <w:sz w:val="18"/>
                <w:szCs w:val="18"/>
                <w:lang w:eastAsia="pt-BR"/>
              </w:rPr>
              <w:t>18.012,5</w:t>
            </w:r>
          </w:p>
        </w:tc>
        <w:tc>
          <w:tcPr>
            <w:tcW w:w="0" w:type="auto"/>
            <w:tcBorders>
              <w:bottom w:val="single" w:sz="4" w:space="0" w:color="BFBFBF" w:themeColor="background1" w:themeShade="BF"/>
            </w:tcBorders>
            <w:shd w:val="clear" w:color="auto" w:fill="7F7F7F" w:themeFill="text1" w:themeFillTint="80"/>
            <w:noWrap/>
            <w:vAlign w:val="center"/>
          </w:tcPr>
          <w:p w14:paraId="7D91641A" w14:textId="6B7F4DF1" w:rsidR="00D23DF2" w:rsidRPr="008B49CE" w:rsidRDefault="00D565C7" w:rsidP="00E26456">
            <w:pPr>
              <w:spacing w:after="0" w:line="240" w:lineRule="auto"/>
              <w:jc w:val="right"/>
              <w:rPr>
                <w:rFonts w:eastAsia="Times New Roman" w:cs="Times New Roman"/>
                <w:b/>
                <w:bCs/>
                <w:color w:val="FFFFFF" w:themeColor="background1"/>
                <w:sz w:val="18"/>
                <w:szCs w:val="18"/>
                <w:lang w:eastAsia="pt-BR"/>
              </w:rPr>
            </w:pPr>
            <w:r w:rsidRPr="008B49CE">
              <w:rPr>
                <w:rFonts w:eastAsia="Times New Roman" w:cs="Times New Roman"/>
                <w:b/>
                <w:bCs/>
                <w:color w:val="FFFFFF" w:themeColor="background1"/>
                <w:sz w:val="18"/>
                <w:szCs w:val="18"/>
                <w:lang w:eastAsia="pt-BR"/>
              </w:rPr>
              <w:t>17.996,</w:t>
            </w:r>
            <w:r w:rsidR="00680778" w:rsidRPr="008B49CE">
              <w:rPr>
                <w:rFonts w:eastAsia="Times New Roman" w:cs="Times New Roman"/>
                <w:b/>
                <w:bCs/>
                <w:color w:val="FFFFFF" w:themeColor="background1"/>
                <w:sz w:val="18"/>
                <w:szCs w:val="18"/>
                <w:lang w:eastAsia="pt-BR"/>
              </w:rPr>
              <w:t>9</w:t>
            </w:r>
          </w:p>
        </w:tc>
        <w:tc>
          <w:tcPr>
            <w:tcW w:w="0" w:type="auto"/>
            <w:tcBorders>
              <w:bottom w:val="single" w:sz="4" w:space="0" w:color="BFBFBF" w:themeColor="background1" w:themeShade="BF"/>
            </w:tcBorders>
            <w:shd w:val="clear" w:color="auto" w:fill="7F7F7F" w:themeFill="text1" w:themeFillTint="80"/>
            <w:noWrap/>
          </w:tcPr>
          <w:p w14:paraId="4DBA3141" w14:textId="0DDDFE7B" w:rsidR="00D23DF2" w:rsidRPr="008B49CE" w:rsidRDefault="00BA2FA6" w:rsidP="00E26456">
            <w:pPr>
              <w:spacing w:after="0" w:line="240" w:lineRule="auto"/>
              <w:jc w:val="right"/>
              <w:rPr>
                <w:rFonts w:eastAsia="Times New Roman" w:cs="Times New Roman"/>
                <w:b/>
                <w:bCs/>
                <w:color w:val="FFFFFF" w:themeColor="background1"/>
                <w:sz w:val="18"/>
                <w:szCs w:val="18"/>
                <w:lang w:eastAsia="pt-BR"/>
              </w:rPr>
            </w:pPr>
            <w:r w:rsidRPr="008B49CE">
              <w:rPr>
                <w:rFonts w:eastAsia="Times New Roman" w:cs="Times New Roman"/>
                <w:b/>
                <w:bCs/>
                <w:color w:val="FFFFFF" w:themeColor="background1"/>
                <w:sz w:val="18"/>
                <w:szCs w:val="18"/>
                <w:lang w:eastAsia="pt-BR"/>
              </w:rPr>
              <w:t>17.996,</w:t>
            </w:r>
            <w:r w:rsidR="00680778" w:rsidRPr="008B49CE">
              <w:rPr>
                <w:rFonts w:eastAsia="Times New Roman" w:cs="Times New Roman"/>
                <w:b/>
                <w:bCs/>
                <w:color w:val="FFFFFF" w:themeColor="background1"/>
                <w:sz w:val="18"/>
                <w:szCs w:val="18"/>
                <w:lang w:eastAsia="pt-BR"/>
              </w:rPr>
              <w:t>9</w:t>
            </w:r>
          </w:p>
        </w:tc>
      </w:tr>
      <w:tr w:rsidR="00D23DF2" w:rsidRPr="004555B9" w14:paraId="48BABF34" w14:textId="77777777" w:rsidTr="5F53DBAA">
        <w:trPr>
          <w:trHeight w:val="20"/>
          <w:jc w:val="center"/>
        </w:trPr>
        <w:tc>
          <w:tcPr>
            <w:tcW w:w="0" w:type="auto"/>
            <w:gridSpan w:val="6"/>
            <w:tcBorders>
              <w:top w:val="single" w:sz="4" w:space="0" w:color="BFBFBF" w:themeColor="background1" w:themeShade="BF"/>
              <w:left w:val="nil"/>
              <w:bottom w:val="nil"/>
              <w:right w:val="nil"/>
            </w:tcBorders>
            <w:shd w:val="clear" w:color="auto" w:fill="auto"/>
            <w:vAlign w:val="center"/>
          </w:tcPr>
          <w:p w14:paraId="0F9FFCD2" w14:textId="50724D2F" w:rsidR="00166EE6" w:rsidRDefault="00F44D85" w:rsidP="00097A79">
            <w:pPr>
              <w:spacing w:after="0" w:line="240" w:lineRule="auto"/>
              <w:jc w:val="both"/>
              <w:rPr>
                <w:i/>
                <w:sz w:val="16"/>
                <w:szCs w:val="16"/>
              </w:rPr>
            </w:pPr>
            <w:proofErr w:type="gramStart"/>
            <w:r w:rsidRPr="001A56EF">
              <w:rPr>
                <w:i/>
                <w:sz w:val="16"/>
                <w:szCs w:val="16"/>
                <w:vertAlign w:val="superscript"/>
              </w:rPr>
              <w:t>1</w:t>
            </w:r>
            <w:proofErr w:type="gramEnd"/>
            <w:r w:rsidR="00B07B02" w:rsidRPr="001A56EF">
              <w:rPr>
                <w:i/>
                <w:sz w:val="16"/>
                <w:szCs w:val="16"/>
              </w:rPr>
              <w:t xml:space="preserve"> </w:t>
            </w:r>
            <w:r w:rsidR="00EB42F1" w:rsidRPr="001A56EF">
              <w:rPr>
                <w:i/>
                <w:sz w:val="16"/>
                <w:szCs w:val="16"/>
              </w:rPr>
              <w:t xml:space="preserve">Dentro dos limites estabelecidos </w:t>
            </w:r>
            <w:r w:rsidR="00901739">
              <w:rPr>
                <w:i/>
                <w:sz w:val="16"/>
                <w:szCs w:val="16"/>
              </w:rPr>
              <w:t>no PLOA 2021</w:t>
            </w:r>
            <w:r w:rsidR="00E74EE1" w:rsidRPr="001A56EF">
              <w:rPr>
                <w:i/>
                <w:sz w:val="16"/>
                <w:szCs w:val="16"/>
              </w:rPr>
              <w:t xml:space="preserve"> - ações 00Q3 e 00QE</w:t>
            </w:r>
          </w:p>
          <w:p w14:paraId="40CCE2E8" w14:textId="2D5DFE89" w:rsidR="00EB42F1" w:rsidRPr="001A56EF" w:rsidRDefault="00166EE6" w:rsidP="00097A79">
            <w:pPr>
              <w:spacing w:after="0" w:line="240" w:lineRule="auto"/>
              <w:jc w:val="both"/>
              <w:rPr>
                <w:i/>
                <w:sz w:val="16"/>
                <w:szCs w:val="16"/>
              </w:rPr>
            </w:pPr>
            <w:proofErr w:type="gramStart"/>
            <w:r w:rsidRPr="005C2301">
              <w:rPr>
                <w:rFonts w:eastAsia="Times New Roman" w:cs="Times New Roman"/>
                <w:i/>
                <w:iCs/>
                <w:sz w:val="20"/>
                <w:szCs w:val="20"/>
                <w:vertAlign w:val="superscript"/>
                <w:lang w:eastAsia="pt-BR"/>
              </w:rPr>
              <w:t>2</w:t>
            </w:r>
            <w:proofErr w:type="gramEnd"/>
            <w:r>
              <w:rPr>
                <w:rFonts w:eastAsia="Times New Roman" w:cs="Times New Roman"/>
                <w:i/>
                <w:iCs/>
                <w:sz w:val="20"/>
                <w:szCs w:val="20"/>
                <w:vertAlign w:val="superscript"/>
                <w:lang w:eastAsia="pt-BR"/>
              </w:rPr>
              <w:t xml:space="preserve"> </w:t>
            </w:r>
            <w:r w:rsidR="00E74EE1">
              <w:rPr>
                <w:i/>
                <w:sz w:val="16"/>
                <w:szCs w:val="16"/>
              </w:rPr>
              <w:t>Posição em 31/12/2020</w:t>
            </w:r>
            <w:r w:rsidR="00EB42F1" w:rsidRPr="001A56EF">
              <w:rPr>
                <w:i/>
                <w:sz w:val="16"/>
                <w:szCs w:val="16"/>
              </w:rPr>
              <w:t>.</w:t>
            </w:r>
          </w:p>
          <w:p w14:paraId="4C7BE987" w14:textId="4A06A8CB" w:rsidR="00D23DF2" w:rsidRPr="001A56EF" w:rsidRDefault="00D23DF2" w:rsidP="00D23DF2">
            <w:pPr>
              <w:spacing w:after="0" w:line="240" w:lineRule="auto"/>
              <w:jc w:val="both"/>
              <w:rPr>
                <w:rFonts w:eastAsia="Times New Roman" w:cs="Times New Roman"/>
                <w:b/>
                <w:i/>
                <w:color w:val="000000"/>
                <w:sz w:val="16"/>
                <w:szCs w:val="16"/>
                <w:lang w:eastAsia="pt-BR"/>
              </w:rPr>
            </w:pPr>
            <w:r w:rsidRPr="001A56EF">
              <w:rPr>
                <w:b/>
                <w:i/>
                <w:sz w:val="16"/>
                <w:szCs w:val="16"/>
              </w:rPr>
              <w:t>Fonte</w:t>
            </w:r>
            <w:r w:rsidRPr="001A56EF">
              <w:rPr>
                <w:i/>
                <w:sz w:val="16"/>
                <w:szCs w:val="16"/>
              </w:rPr>
              <w:t>: STN/ME e C</w:t>
            </w:r>
            <w:r w:rsidR="00F8608E" w:rsidRPr="001A56EF">
              <w:rPr>
                <w:i/>
                <w:sz w:val="16"/>
                <w:szCs w:val="16"/>
              </w:rPr>
              <w:t>AIXA</w:t>
            </w:r>
            <w:r w:rsidRPr="001A56EF">
              <w:rPr>
                <w:i/>
                <w:sz w:val="16"/>
                <w:szCs w:val="16"/>
              </w:rPr>
              <w:t>.</w:t>
            </w:r>
            <w:r w:rsidR="004B4B94" w:rsidRPr="001A56EF">
              <w:rPr>
                <w:i/>
                <w:sz w:val="16"/>
                <w:szCs w:val="16"/>
              </w:rPr>
              <w:t xml:space="preserve"> </w:t>
            </w:r>
            <w:r w:rsidR="004B4B94" w:rsidRPr="001A56EF">
              <w:rPr>
                <w:b/>
                <w:i/>
                <w:sz w:val="16"/>
                <w:szCs w:val="16"/>
              </w:rPr>
              <w:t>Elaboração</w:t>
            </w:r>
            <w:r w:rsidR="00361768" w:rsidRPr="001A56EF">
              <w:rPr>
                <w:i/>
                <w:sz w:val="16"/>
                <w:szCs w:val="16"/>
              </w:rPr>
              <w:t xml:space="preserve">: </w:t>
            </w:r>
            <w:r w:rsidR="009737F4" w:rsidRPr="001A56EF">
              <w:rPr>
                <w:i/>
                <w:sz w:val="16"/>
                <w:szCs w:val="16"/>
              </w:rPr>
              <w:t>STN/ME.</w:t>
            </w:r>
          </w:p>
        </w:tc>
      </w:tr>
    </w:tbl>
    <w:p w14:paraId="2F7D479D" w14:textId="77777777" w:rsidR="000F33C9" w:rsidRDefault="000F33C9" w:rsidP="00717514">
      <w:pPr>
        <w:spacing w:after="120" w:line="240" w:lineRule="auto"/>
        <w:ind w:firstLine="1418"/>
        <w:jc w:val="both"/>
        <w:rPr>
          <w:w w:val="105"/>
          <w:sz w:val="24"/>
          <w:szCs w:val="24"/>
        </w:rPr>
      </w:pPr>
    </w:p>
    <w:p w14:paraId="400F0C93" w14:textId="61FC84BE" w:rsidR="00717514" w:rsidRPr="005C5D8A" w:rsidRDefault="00717514" w:rsidP="00717514">
      <w:pPr>
        <w:spacing w:after="120" w:line="240" w:lineRule="auto"/>
        <w:ind w:firstLine="1418"/>
        <w:jc w:val="both"/>
        <w:rPr>
          <w:w w:val="105"/>
          <w:sz w:val="24"/>
          <w:szCs w:val="24"/>
        </w:rPr>
      </w:pPr>
      <w:r w:rsidRPr="005C5D8A">
        <w:rPr>
          <w:w w:val="105"/>
          <w:sz w:val="24"/>
          <w:szCs w:val="24"/>
        </w:rPr>
        <w:t xml:space="preserve">Há que se ressaltar que estas obrigações geram impacto fiscal no endividamento público via emissão de títulos, mas não impactam a apuração do resultado primário, pois </w:t>
      </w:r>
      <w:proofErr w:type="gramStart"/>
      <w:r w:rsidRPr="005C5D8A">
        <w:rPr>
          <w:w w:val="105"/>
          <w:sz w:val="24"/>
          <w:szCs w:val="24"/>
        </w:rPr>
        <w:t>são</w:t>
      </w:r>
      <w:proofErr w:type="gramEnd"/>
      <w:r w:rsidRPr="005C5D8A">
        <w:rPr>
          <w:w w:val="105"/>
          <w:sz w:val="24"/>
          <w:szCs w:val="24"/>
        </w:rPr>
        <w:t xml:space="preserve"> objeto do correspondente ajuste patrimonial pelo Banco Central do Brasil. </w:t>
      </w:r>
    </w:p>
    <w:p w14:paraId="1C622AE3" w14:textId="77777777" w:rsidR="00717514" w:rsidRPr="005C5D8A" w:rsidRDefault="00717514" w:rsidP="00717514">
      <w:pPr>
        <w:spacing w:after="120" w:line="240" w:lineRule="auto"/>
        <w:ind w:firstLine="1418"/>
        <w:jc w:val="both"/>
        <w:rPr>
          <w:w w:val="105"/>
          <w:sz w:val="24"/>
          <w:szCs w:val="24"/>
        </w:rPr>
      </w:pPr>
      <w:r w:rsidRPr="005C5D8A">
        <w:rPr>
          <w:w w:val="105"/>
          <w:sz w:val="24"/>
          <w:szCs w:val="24"/>
        </w:rPr>
        <w:t>Em relação às providências para mitigação dos riscos, foi concluído, em 2018, um mapeamento, com apoio da Coordenação de Riscos Operacionais da STN. O risco de maior relevância envolve a estimativa do estoque de obrigações, decorrentes da extinção de entidades. É preciso levar em conta as etapas já cumpridas do projeto em andamento, desde 2018, de levantamento da situação dos processos de regularização que ingressaram na STN e que deverão ser formal e definitivamente encerrados. Entre 2018 e 2020 o valor registrado como "estoque de processos", parte da categoria "extinção de entidades", caiu de R$ 912 milhões para R$ 24 milhões, posição de 31 de dezembro de 2020.</w:t>
      </w:r>
    </w:p>
    <w:p w14:paraId="6AB403D6" w14:textId="77777777" w:rsidR="00326E76" w:rsidRPr="00FD0C26" w:rsidRDefault="00326E76" w:rsidP="00C0322C">
      <w:pPr>
        <w:spacing w:after="120" w:line="240" w:lineRule="auto"/>
        <w:ind w:firstLine="1418"/>
        <w:jc w:val="both"/>
        <w:rPr>
          <w:w w:val="105"/>
          <w:sz w:val="24"/>
          <w:szCs w:val="24"/>
        </w:rPr>
      </w:pPr>
    </w:p>
    <w:p w14:paraId="7AD1B78E" w14:textId="495C9154" w:rsidR="000D17A6" w:rsidRPr="00EC3367" w:rsidRDefault="000D17A6" w:rsidP="008D72B9">
      <w:pPr>
        <w:pStyle w:val="Ttulo3"/>
        <w:keepNext w:val="0"/>
        <w:numPr>
          <w:ilvl w:val="2"/>
          <w:numId w:val="36"/>
        </w:numPr>
        <w:spacing w:before="240" w:after="120"/>
        <w:ind w:left="720" w:hanging="720"/>
        <w:rPr>
          <w:rFonts w:asciiTheme="minorHAnsi" w:hAnsiTheme="minorHAnsi"/>
          <w:b/>
          <w:smallCaps w:val="0"/>
        </w:rPr>
      </w:pPr>
      <w:bookmarkStart w:id="241" w:name="_Toc67315884"/>
      <w:bookmarkStart w:id="242" w:name="_Toc67317102"/>
      <w:bookmarkStart w:id="243" w:name="_Toc67317150"/>
      <w:bookmarkStart w:id="244" w:name="_Toc67317944"/>
      <w:bookmarkStart w:id="245" w:name="_Toc67317992"/>
      <w:bookmarkStart w:id="246" w:name="_Toc67321151"/>
      <w:bookmarkStart w:id="247" w:name="_Toc67329160"/>
      <w:bookmarkStart w:id="248" w:name="_Toc67330693"/>
      <w:bookmarkStart w:id="249" w:name="_Toc67389047"/>
      <w:bookmarkStart w:id="250" w:name="_Toc67389113"/>
      <w:bookmarkStart w:id="251" w:name="_Toc67561002"/>
      <w:bookmarkStart w:id="252" w:name="_Toc67929646"/>
      <w:bookmarkStart w:id="253" w:name="_Toc67930571"/>
      <w:bookmarkStart w:id="254" w:name="_Toc67931147"/>
      <w:bookmarkStart w:id="255" w:name="_Toc67984406"/>
      <w:bookmarkStart w:id="256" w:name="_Toc67985205"/>
      <w:bookmarkStart w:id="257" w:name="_Toc67985351"/>
      <w:bookmarkStart w:id="258" w:name="_Toc67991664"/>
      <w:bookmarkStart w:id="259" w:name="_Toc67991879"/>
      <w:bookmarkStart w:id="260" w:name="_Toc67992095"/>
      <w:bookmarkStart w:id="261" w:name="_Toc68617498"/>
      <w:bookmarkStart w:id="262" w:name="_Toc5012241"/>
      <w:bookmarkStart w:id="263" w:name="_Toc5030487"/>
      <w:bookmarkStart w:id="264" w:name="_Toc67317996"/>
      <w:bookmarkStart w:id="265" w:name="_Toc67929650"/>
      <w:bookmarkStart w:id="266" w:name="_Ref68687312"/>
      <w:bookmarkStart w:id="267" w:name="_Toc6912122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EC3367">
        <w:rPr>
          <w:rFonts w:asciiTheme="minorHAnsi" w:hAnsiTheme="minorHAnsi"/>
          <w:b/>
          <w:smallCaps w:val="0"/>
        </w:rPr>
        <w:t>Garantias</w:t>
      </w:r>
      <w:r w:rsidR="001C257D" w:rsidRPr="00EC3367">
        <w:rPr>
          <w:rFonts w:asciiTheme="minorHAnsi" w:hAnsiTheme="minorHAnsi"/>
          <w:b/>
          <w:smallCaps w:val="0"/>
        </w:rPr>
        <w:t xml:space="preserve"> </w:t>
      </w:r>
      <w:r w:rsidRPr="00EC3367">
        <w:rPr>
          <w:rFonts w:asciiTheme="minorHAnsi" w:hAnsiTheme="minorHAnsi"/>
          <w:b/>
          <w:smallCaps w:val="0"/>
        </w:rPr>
        <w:t>Prestadas pelo Tesouro</w:t>
      </w:r>
      <w:r w:rsidR="00B92D5D" w:rsidRPr="00EC3367">
        <w:rPr>
          <w:rFonts w:asciiTheme="minorHAnsi" w:hAnsiTheme="minorHAnsi"/>
          <w:b/>
          <w:smallCaps w:val="0"/>
        </w:rPr>
        <w:t xml:space="preserve"> Nacional</w:t>
      </w:r>
      <w:bookmarkEnd w:id="262"/>
      <w:bookmarkEnd w:id="263"/>
      <w:bookmarkEnd w:id="264"/>
      <w:bookmarkEnd w:id="265"/>
      <w:bookmarkEnd w:id="266"/>
      <w:bookmarkEnd w:id="267"/>
    </w:p>
    <w:p w14:paraId="2DCAED07" w14:textId="1FBBC99E" w:rsidR="00792A8B" w:rsidRPr="009B04B3" w:rsidRDefault="00792A8B" w:rsidP="00F343C1">
      <w:pPr>
        <w:pStyle w:val="Ttulo4"/>
        <w:keepLines/>
        <w:numPr>
          <w:ilvl w:val="3"/>
          <w:numId w:val="36"/>
        </w:numPr>
        <w:spacing w:before="240" w:after="120"/>
        <w:ind w:left="862" w:hanging="862"/>
        <w:jc w:val="left"/>
        <w:rPr>
          <w:rFonts w:asciiTheme="minorHAnsi" w:hAnsiTheme="minorHAnsi"/>
        </w:rPr>
      </w:pPr>
      <w:r>
        <w:rPr>
          <w:rFonts w:asciiTheme="minorHAnsi" w:hAnsiTheme="minorHAnsi"/>
        </w:rPr>
        <w:lastRenderedPageBreak/>
        <w:t>Garantias de Operações de Crédito</w:t>
      </w:r>
    </w:p>
    <w:p w14:paraId="5A7BAB69" w14:textId="79EB626E" w:rsidR="000D17A6" w:rsidRPr="00FD0C26" w:rsidRDefault="000D17A6" w:rsidP="000D17A6">
      <w:pPr>
        <w:spacing w:after="120" w:line="240" w:lineRule="auto"/>
        <w:ind w:firstLine="1418"/>
        <w:jc w:val="both"/>
        <w:rPr>
          <w:w w:val="105"/>
          <w:sz w:val="24"/>
          <w:szCs w:val="24"/>
        </w:rPr>
      </w:pPr>
      <w:r w:rsidRPr="00FD0C26">
        <w:rPr>
          <w:w w:val="105"/>
          <w:sz w:val="24"/>
          <w:szCs w:val="24"/>
        </w:rPr>
        <w:t>Esta classe de passivos contingentes inclui as garantias prestadas pela União a operações de crédito, nos termos do art. 29, IV e do art. 40 da Lei de Responsabilidade Fiscal. Trata-se dos avais concedidos pela União aos entes federados e aos entes da administração indireta, das três esferas de governo, para a concessão de crédito, nos termos da lei. As garantias a operações de crédito podem ser internas ou externas, conforme a origem do financiamento que é objeto da garantia.</w:t>
      </w:r>
    </w:p>
    <w:p w14:paraId="556BB97A" w14:textId="3D969432" w:rsidR="000D17A6" w:rsidRPr="00FD0C26" w:rsidRDefault="000D17A6" w:rsidP="000D17A6">
      <w:pPr>
        <w:spacing w:after="120" w:line="240" w:lineRule="auto"/>
        <w:ind w:firstLine="1418"/>
        <w:jc w:val="both"/>
        <w:rPr>
          <w:w w:val="105"/>
          <w:sz w:val="24"/>
          <w:szCs w:val="24"/>
        </w:rPr>
      </w:pPr>
      <w:r w:rsidRPr="00FD0C26">
        <w:rPr>
          <w:w w:val="105"/>
          <w:sz w:val="24"/>
          <w:szCs w:val="24"/>
        </w:rPr>
        <w:t>A S</w:t>
      </w:r>
      <w:r w:rsidR="004D0ABE" w:rsidRPr="00FD0C26">
        <w:rPr>
          <w:w w:val="105"/>
          <w:sz w:val="24"/>
          <w:szCs w:val="24"/>
        </w:rPr>
        <w:t>TN</w:t>
      </w:r>
      <w:r w:rsidRPr="00FD0C26">
        <w:rPr>
          <w:w w:val="105"/>
          <w:sz w:val="24"/>
          <w:szCs w:val="24"/>
        </w:rPr>
        <w:t xml:space="preserve"> monitora os eventuais atrasos no pagamento de operações de crédito garantidas, estabelecendo prazos para regularização das pendências e alertando os devedores quanto às sanções, penalidades e consequências previstas nos contratos e na legislação pertinente.</w:t>
      </w:r>
    </w:p>
    <w:p w14:paraId="20B77176" w14:textId="290ABECD" w:rsidR="000D17A6" w:rsidRPr="00FD0C26" w:rsidRDefault="000D17A6" w:rsidP="000D17A6">
      <w:pPr>
        <w:spacing w:after="120" w:line="240" w:lineRule="auto"/>
        <w:ind w:firstLine="1418"/>
        <w:jc w:val="both"/>
        <w:rPr>
          <w:w w:val="105"/>
          <w:sz w:val="24"/>
          <w:szCs w:val="24"/>
        </w:rPr>
      </w:pPr>
      <w:r w:rsidRPr="00FD0C26">
        <w:rPr>
          <w:w w:val="105"/>
          <w:sz w:val="24"/>
          <w:szCs w:val="24"/>
        </w:rPr>
        <w:t>A</w:t>
      </w:r>
      <w:r w:rsidR="00517959" w:rsidRPr="00FD0C26">
        <w:rPr>
          <w:w w:val="105"/>
          <w:sz w:val="24"/>
          <w:szCs w:val="24"/>
        </w:rPr>
        <w:t xml:space="preserve"> </w:t>
      </w:r>
      <w:r w:rsidR="002B72E6" w:rsidRPr="002B72E6">
        <w:rPr>
          <w:w w:val="105"/>
          <w:sz w:val="24"/>
          <w:szCs w:val="24"/>
        </w:rPr>
        <w:fldChar w:fldCharType="begin"/>
      </w:r>
      <w:r w:rsidR="002B72E6" w:rsidRPr="002B72E6">
        <w:rPr>
          <w:w w:val="105"/>
          <w:sz w:val="24"/>
          <w:szCs w:val="24"/>
        </w:rPr>
        <w:instrText xml:space="preserve"> REF _Ref67655899 \h  \* MERGEFORMAT </w:instrText>
      </w:r>
      <w:r w:rsidR="002B72E6" w:rsidRPr="002B72E6">
        <w:rPr>
          <w:w w:val="105"/>
          <w:sz w:val="24"/>
          <w:szCs w:val="24"/>
        </w:rPr>
      </w:r>
      <w:r w:rsidR="002B72E6" w:rsidRPr="002B72E6">
        <w:rPr>
          <w:w w:val="105"/>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26</w:t>
      </w:r>
      <w:r w:rsidR="002B72E6" w:rsidRPr="002B72E6">
        <w:rPr>
          <w:w w:val="105"/>
          <w:sz w:val="24"/>
          <w:szCs w:val="24"/>
        </w:rPr>
        <w:fldChar w:fldCharType="end"/>
      </w:r>
      <w:r w:rsidRPr="00FD0C26">
        <w:rPr>
          <w:w w:val="105"/>
          <w:sz w:val="24"/>
          <w:szCs w:val="24"/>
        </w:rPr>
        <w:t xml:space="preserve"> sintetiza </w:t>
      </w:r>
      <w:r w:rsidR="00F16E15" w:rsidRPr="00FD0C26">
        <w:rPr>
          <w:w w:val="105"/>
          <w:sz w:val="24"/>
          <w:szCs w:val="24"/>
        </w:rPr>
        <w:t xml:space="preserve">a evolução do saldo devedor </w:t>
      </w:r>
      <w:r w:rsidR="001C35FF" w:rsidRPr="00FD0C26">
        <w:rPr>
          <w:w w:val="105"/>
          <w:sz w:val="24"/>
          <w:szCs w:val="24"/>
        </w:rPr>
        <w:t>das operações de crédito garantidas pela União classificadas por tipo de mutuário e tipo de dívida.</w:t>
      </w:r>
    </w:p>
    <w:p w14:paraId="5515FF16" w14:textId="425DCC73" w:rsidR="00E20D8B" w:rsidRPr="008061C7" w:rsidRDefault="00E20D8B" w:rsidP="008061C7">
      <w:pPr>
        <w:pStyle w:val="Legenda"/>
        <w:spacing w:before="240" w:after="120"/>
        <w:jc w:val="center"/>
        <w:rPr>
          <w:rFonts w:asciiTheme="minorHAnsi" w:hAnsiTheme="minorHAnsi" w:cstheme="minorHAnsi"/>
          <w:i w:val="0"/>
          <w:color w:val="auto"/>
          <w:sz w:val="22"/>
          <w:szCs w:val="22"/>
        </w:rPr>
      </w:pPr>
      <w:bookmarkStart w:id="268" w:name="_Ref67655899"/>
      <w:bookmarkStart w:id="269" w:name="_Toc69121372"/>
      <w:r w:rsidRPr="008061C7">
        <w:rPr>
          <w:rFonts w:asciiTheme="minorHAnsi" w:hAnsiTheme="minorHAnsi" w:cstheme="minorHAnsi"/>
          <w:i w:val="0"/>
          <w:color w:val="auto"/>
          <w:sz w:val="22"/>
          <w:szCs w:val="22"/>
        </w:rPr>
        <w:t xml:space="preserve">Tabela </w:t>
      </w:r>
      <w:r w:rsidRPr="008061C7">
        <w:rPr>
          <w:rFonts w:asciiTheme="minorHAnsi" w:hAnsiTheme="minorHAnsi" w:cstheme="minorHAnsi"/>
          <w:i w:val="0"/>
          <w:color w:val="auto"/>
          <w:sz w:val="22"/>
          <w:szCs w:val="22"/>
        </w:rPr>
        <w:fldChar w:fldCharType="begin"/>
      </w:r>
      <w:r w:rsidRPr="008061C7">
        <w:rPr>
          <w:rFonts w:asciiTheme="minorHAnsi" w:hAnsiTheme="minorHAnsi" w:cstheme="minorHAnsi"/>
          <w:i w:val="0"/>
          <w:color w:val="auto"/>
          <w:sz w:val="22"/>
          <w:szCs w:val="22"/>
        </w:rPr>
        <w:instrText xml:space="preserve"> SEQ Tabela \* ARABIC </w:instrText>
      </w:r>
      <w:r w:rsidRPr="008061C7">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26</w:t>
      </w:r>
      <w:r w:rsidRPr="008061C7">
        <w:rPr>
          <w:rFonts w:asciiTheme="minorHAnsi" w:hAnsiTheme="minorHAnsi" w:cstheme="minorHAnsi"/>
          <w:i w:val="0"/>
          <w:color w:val="auto"/>
          <w:sz w:val="22"/>
          <w:szCs w:val="22"/>
        </w:rPr>
        <w:fldChar w:fldCharType="end"/>
      </w:r>
      <w:bookmarkEnd w:id="268"/>
      <w:r w:rsidRPr="008061C7">
        <w:rPr>
          <w:rFonts w:asciiTheme="minorHAnsi" w:hAnsiTheme="minorHAnsi" w:cstheme="minorHAnsi"/>
          <w:i w:val="0"/>
          <w:color w:val="auto"/>
          <w:sz w:val="22"/>
          <w:szCs w:val="22"/>
        </w:rPr>
        <w:t xml:space="preserve"> </w:t>
      </w:r>
      <w:r w:rsidRPr="008061C7">
        <w:rPr>
          <w:rFonts w:asciiTheme="minorHAnsi" w:eastAsia="Calibri" w:hAnsiTheme="minorHAnsi" w:cstheme="minorHAnsi"/>
          <w:i w:val="0"/>
          <w:color w:val="auto"/>
          <w:sz w:val="22"/>
          <w:szCs w:val="22"/>
        </w:rPr>
        <w:t>- Saldo devedor das Dívidas Garantidas em Operações de Crédito</w:t>
      </w:r>
      <w:bookmarkEnd w:id="269"/>
    </w:p>
    <w:tbl>
      <w:tblPr>
        <w:tblW w:w="0" w:type="auto"/>
        <w:tblLayout w:type="fixed"/>
        <w:tblLook w:val="04A0" w:firstRow="1" w:lastRow="0" w:firstColumn="1" w:lastColumn="0" w:noHBand="0" w:noVBand="1"/>
      </w:tblPr>
      <w:tblGrid>
        <w:gridCol w:w="2694"/>
        <w:gridCol w:w="1204"/>
        <w:gridCol w:w="1205"/>
        <w:gridCol w:w="1205"/>
        <w:gridCol w:w="1205"/>
        <w:gridCol w:w="1205"/>
        <w:gridCol w:w="1197"/>
        <w:gridCol w:w="8"/>
      </w:tblGrid>
      <w:tr w:rsidR="5F53DBAA" w14:paraId="4C8A746A" w14:textId="77777777" w:rsidTr="5F53DBAA">
        <w:trPr>
          <w:gridAfter w:val="1"/>
          <w:wAfter w:w="8" w:type="dxa"/>
          <w:trHeight w:val="15"/>
        </w:trPr>
        <w:tc>
          <w:tcPr>
            <w:tcW w:w="9915" w:type="dxa"/>
            <w:gridSpan w:val="7"/>
            <w:tcBorders>
              <w:top w:val="nil"/>
              <w:left w:val="nil"/>
              <w:bottom w:val="single" w:sz="8" w:space="0" w:color="BFBFBF" w:themeColor="background1" w:themeShade="BF"/>
              <w:right w:val="nil"/>
            </w:tcBorders>
          </w:tcPr>
          <w:p w14:paraId="7B460B81" w14:textId="4F072E6C" w:rsidR="5F53DBAA" w:rsidRPr="00D65408" w:rsidRDefault="002805A1" w:rsidP="00D65408">
            <w:pPr>
              <w:spacing w:after="0" w:line="240" w:lineRule="auto"/>
              <w:jc w:val="right"/>
              <w:rPr>
                <w:rFonts w:cstheme="minorHAnsi"/>
                <w:sz w:val="18"/>
                <w:szCs w:val="18"/>
              </w:rPr>
            </w:pPr>
            <w:r w:rsidRPr="00D65408">
              <w:rPr>
                <w:rFonts w:eastAsia="Calibri" w:cstheme="minorHAnsi"/>
                <w:i/>
                <w:iCs/>
                <w:sz w:val="18"/>
                <w:szCs w:val="18"/>
              </w:rPr>
              <w:t xml:space="preserve">Em R$ bilhões </w:t>
            </w:r>
          </w:p>
        </w:tc>
      </w:tr>
      <w:tr w:rsidR="5F53DBAA" w14:paraId="502EF8F6" w14:textId="77777777" w:rsidTr="005C0B32">
        <w:trPr>
          <w:gridAfter w:val="1"/>
          <w:wAfter w:w="8" w:type="dxa"/>
          <w:trHeight w:val="15"/>
        </w:trPr>
        <w:tc>
          <w:tcPr>
            <w:tcW w:w="269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141405B9" w14:textId="77777777" w:rsidR="005F2391" w:rsidRDefault="5F53DBAA" w:rsidP="00D65408">
            <w:pPr>
              <w:spacing w:after="0" w:line="240" w:lineRule="auto"/>
              <w:jc w:val="center"/>
              <w:rPr>
                <w:rFonts w:eastAsia="Calibri" w:cstheme="minorHAnsi"/>
                <w:b/>
                <w:bCs/>
                <w:color w:val="FFFFFF" w:themeColor="background1"/>
                <w:sz w:val="20"/>
                <w:szCs w:val="20"/>
              </w:rPr>
            </w:pPr>
            <w:r w:rsidRPr="00B710CA">
              <w:rPr>
                <w:rFonts w:eastAsia="Calibri" w:cstheme="minorHAnsi"/>
                <w:b/>
                <w:bCs/>
                <w:color w:val="FFFFFF" w:themeColor="background1"/>
                <w:sz w:val="20"/>
                <w:szCs w:val="20"/>
              </w:rPr>
              <w:t>Garantias em</w:t>
            </w:r>
          </w:p>
          <w:p w14:paraId="731F8259" w14:textId="10D2D4FE" w:rsidR="5F53DBAA" w:rsidRPr="00B710CA" w:rsidRDefault="5F53DBAA" w:rsidP="005F2391">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Operações</w:t>
            </w:r>
            <w:r w:rsidR="005F2391">
              <w:rPr>
                <w:rFonts w:eastAsia="Calibri" w:cstheme="minorHAnsi"/>
                <w:b/>
                <w:bCs/>
                <w:color w:val="FFFFFF" w:themeColor="background1"/>
                <w:sz w:val="20"/>
                <w:szCs w:val="20"/>
              </w:rPr>
              <w:t xml:space="preserve"> </w:t>
            </w:r>
            <w:r w:rsidRPr="00B710CA">
              <w:rPr>
                <w:rFonts w:eastAsia="Calibri" w:cstheme="minorHAnsi"/>
                <w:b/>
                <w:bCs/>
                <w:color w:val="FFFFFF" w:themeColor="background1"/>
                <w:sz w:val="20"/>
                <w:szCs w:val="20"/>
              </w:rPr>
              <w:t>de Crédito</w:t>
            </w:r>
          </w:p>
        </w:tc>
        <w:tc>
          <w:tcPr>
            <w:tcW w:w="7221" w:type="dxa"/>
            <w:gridSpan w:val="6"/>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73578628" w14:textId="3D5CABAE" w:rsidR="5F53DBAA" w:rsidRPr="00B710CA" w:rsidRDefault="5F53DBAA" w:rsidP="00D65408">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Saldo Devedor</w:t>
            </w:r>
          </w:p>
          <w:p w14:paraId="19769ECC" w14:textId="6449098F" w:rsidR="5F53DBAA" w:rsidRPr="007F7D52" w:rsidRDefault="5F53DBAA" w:rsidP="00D65408">
            <w:pPr>
              <w:spacing w:after="0" w:line="240" w:lineRule="auto"/>
              <w:jc w:val="center"/>
              <w:rPr>
                <w:rFonts w:cstheme="minorHAnsi"/>
                <w:color w:val="FFFFFF" w:themeColor="background1"/>
                <w:sz w:val="18"/>
                <w:szCs w:val="18"/>
              </w:rPr>
            </w:pPr>
            <w:r w:rsidRPr="007F7D52">
              <w:rPr>
                <w:rFonts w:eastAsia="Calibri" w:cstheme="minorHAnsi"/>
                <w:color w:val="FFFFFF" w:themeColor="background1"/>
                <w:sz w:val="20"/>
                <w:szCs w:val="20"/>
              </w:rPr>
              <w:t>Valor Realizado ($)</w:t>
            </w:r>
            <w:r w:rsidRPr="007F7D52">
              <w:rPr>
                <w:rFonts w:eastAsia="Calibri" w:cstheme="minorHAnsi"/>
                <w:color w:val="FFFFFF" w:themeColor="background1"/>
                <w:sz w:val="20"/>
                <w:szCs w:val="20"/>
                <w:vertAlign w:val="superscript"/>
              </w:rPr>
              <w:t xml:space="preserve"> </w:t>
            </w:r>
            <w:proofErr w:type="gramStart"/>
            <w:r w:rsidRPr="007F7D52">
              <w:rPr>
                <w:rFonts w:eastAsia="Calibri" w:cstheme="minorHAnsi"/>
                <w:color w:val="FFFFFF" w:themeColor="background1"/>
                <w:sz w:val="20"/>
                <w:szCs w:val="20"/>
                <w:vertAlign w:val="superscript"/>
              </w:rPr>
              <w:t>1</w:t>
            </w:r>
            <w:proofErr w:type="gramEnd"/>
          </w:p>
        </w:tc>
      </w:tr>
      <w:tr w:rsidR="5F53DBAA" w14:paraId="26804B74" w14:textId="77777777" w:rsidTr="000C23F1">
        <w:trPr>
          <w:trHeight w:val="15"/>
        </w:trPr>
        <w:tc>
          <w:tcPr>
            <w:tcW w:w="2694" w:type="dxa"/>
            <w:vMerge/>
            <w:vAlign w:val="center"/>
          </w:tcPr>
          <w:p w14:paraId="36C71AF1" w14:textId="77777777" w:rsidR="00422732" w:rsidRPr="00D65408" w:rsidRDefault="00422732" w:rsidP="00D65408">
            <w:pPr>
              <w:spacing w:after="0" w:line="240" w:lineRule="auto"/>
              <w:rPr>
                <w:rFonts w:cstheme="minorHAnsi"/>
                <w:sz w:val="18"/>
                <w:szCs w:val="18"/>
              </w:rPr>
            </w:pPr>
          </w:p>
        </w:tc>
        <w:tc>
          <w:tcPr>
            <w:tcW w:w="120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5EC0791" w14:textId="2A783828" w:rsidR="5F53DBAA" w:rsidRPr="00B710CA" w:rsidRDefault="5F53DBAA" w:rsidP="00D65408">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2015</w:t>
            </w:r>
          </w:p>
        </w:tc>
        <w:tc>
          <w:tcPr>
            <w:tcW w:w="12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6EE87563" w14:textId="4D28BBAD" w:rsidR="5F53DBAA" w:rsidRPr="00B710CA" w:rsidRDefault="5F53DBAA" w:rsidP="00D65408">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2016</w:t>
            </w:r>
          </w:p>
        </w:tc>
        <w:tc>
          <w:tcPr>
            <w:tcW w:w="12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72AF1474" w14:textId="223286F1" w:rsidR="5F53DBAA" w:rsidRPr="00B710CA" w:rsidRDefault="5F53DBAA" w:rsidP="00D65408">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2017</w:t>
            </w:r>
          </w:p>
        </w:tc>
        <w:tc>
          <w:tcPr>
            <w:tcW w:w="12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053559C2" w14:textId="52E098BB" w:rsidR="5F53DBAA" w:rsidRPr="00B710CA" w:rsidRDefault="5F53DBAA" w:rsidP="00D65408">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2018</w:t>
            </w:r>
          </w:p>
        </w:tc>
        <w:tc>
          <w:tcPr>
            <w:tcW w:w="12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3CEDA8E" w14:textId="75D458CC" w:rsidR="5F53DBAA" w:rsidRPr="00B710CA" w:rsidRDefault="5F53DBAA" w:rsidP="00D65408">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2019</w:t>
            </w:r>
          </w:p>
        </w:tc>
        <w:tc>
          <w:tcPr>
            <w:tcW w:w="1205" w:type="dxa"/>
            <w:gridSpan w:val="2"/>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1F03A127" w14:textId="5758E95F" w:rsidR="5F53DBAA" w:rsidRPr="00B710CA" w:rsidRDefault="5F53DBAA" w:rsidP="00D65408">
            <w:pPr>
              <w:spacing w:after="0" w:line="240" w:lineRule="auto"/>
              <w:jc w:val="center"/>
              <w:rPr>
                <w:rFonts w:cstheme="minorHAnsi"/>
                <w:b/>
                <w:bCs/>
                <w:color w:val="FFFFFF" w:themeColor="background1"/>
                <w:sz w:val="20"/>
                <w:szCs w:val="20"/>
              </w:rPr>
            </w:pPr>
            <w:r w:rsidRPr="00B710CA">
              <w:rPr>
                <w:rFonts w:eastAsia="Calibri" w:cstheme="minorHAnsi"/>
                <w:b/>
                <w:bCs/>
                <w:color w:val="FFFFFF" w:themeColor="background1"/>
                <w:sz w:val="20"/>
                <w:szCs w:val="20"/>
              </w:rPr>
              <w:t>2020</w:t>
            </w:r>
          </w:p>
        </w:tc>
      </w:tr>
      <w:tr w:rsidR="5F53DBAA" w14:paraId="27C98CA3" w14:textId="77777777" w:rsidTr="000C23F1">
        <w:trPr>
          <w:trHeight w:val="15"/>
        </w:trPr>
        <w:tc>
          <w:tcPr>
            <w:tcW w:w="269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6128955" w14:textId="1DBBAB4C" w:rsidR="5F53DBAA" w:rsidRPr="00D65408" w:rsidRDefault="5F53DBAA" w:rsidP="00D65408">
            <w:pPr>
              <w:spacing w:after="0" w:line="240" w:lineRule="auto"/>
              <w:rPr>
                <w:rFonts w:cstheme="minorHAnsi"/>
                <w:sz w:val="18"/>
                <w:szCs w:val="18"/>
              </w:rPr>
            </w:pPr>
            <w:r w:rsidRPr="00D65408">
              <w:rPr>
                <w:rFonts w:eastAsia="Calibri" w:cstheme="minorHAnsi"/>
                <w:b/>
                <w:bCs/>
                <w:sz w:val="18"/>
                <w:szCs w:val="18"/>
              </w:rPr>
              <w:t>Garantias Internas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3BA995A" w14:textId="3CBDBEDA"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112,</w:t>
            </w:r>
            <w:r w:rsidR="002805A1" w:rsidRPr="00D65408">
              <w:rPr>
                <w:rFonts w:eastAsia="Calibri" w:cstheme="minorHAnsi"/>
                <w:b/>
                <w:bCs/>
                <w:sz w:val="18"/>
                <w:szCs w:val="18"/>
              </w:rPr>
              <w:t>3</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201A988" w14:textId="25B12E5F"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111,</w:t>
            </w:r>
            <w:r w:rsidR="004E43D1" w:rsidRPr="00D65408">
              <w:rPr>
                <w:rFonts w:eastAsia="Calibri" w:cstheme="minorHAnsi"/>
                <w:b/>
                <w:bCs/>
                <w:sz w:val="18"/>
                <w:szCs w:val="18"/>
              </w:rPr>
              <w:t>1</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45AFA72" w14:textId="4FAC28C6"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111,</w:t>
            </w:r>
            <w:r w:rsidR="002805A1" w:rsidRPr="00D65408">
              <w:rPr>
                <w:rFonts w:eastAsia="Calibri" w:cstheme="minorHAnsi"/>
                <w:b/>
                <w:bCs/>
                <w:sz w:val="18"/>
                <w:szCs w:val="18"/>
              </w:rPr>
              <w:t>5</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D907E5F" w14:textId="369E9781"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114,</w:t>
            </w:r>
            <w:r w:rsidR="002805A1" w:rsidRPr="00D65408">
              <w:rPr>
                <w:rFonts w:eastAsia="Calibri" w:cstheme="minorHAnsi"/>
                <w:b/>
                <w:bCs/>
                <w:sz w:val="18"/>
                <w:szCs w:val="18"/>
              </w:rPr>
              <w:t>3</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1E3E7D3" w14:textId="1F274174"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109,</w:t>
            </w:r>
            <w:r w:rsidR="002805A1" w:rsidRPr="00D65408">
              <w:rPr>
                <w:rFonts w:eastAsia="Calibri" w:cstheme="minorHAnsi"/>
                <w:b/>
                <w:bCs/>
                <w:sz w:val="18"/>
                <w:szCs w:val="18"/>
              </w:rPr>
              <w:t>3</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529F52D" w14:textId="2D06661D"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114,</w:t>
            </w:r>
            <w:r w:rsidR="004E43D1" w:rsidRPr="00D65408">
              <w:rPr>
                <w:rFonts w:eastAsia="Calibri" w:cstheme="minorHAnsi"/>
                <w:b/>
                <w:bCs/>
                <w:sz w:val="18"/>
                <w:szCs w:val="18"/>
              </w:rPr>
              <w:t>1</w:t>
            </w:r>
          </w:p>
        </w:tc>
      </w:tr>
      <w:tr w:rsidR="5F53DBAA" w14:paraId="6C4DA5DA"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A9333E6" w14:textId="4A93DD32"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Estados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7A21E6" w14:textId="71F13B5F"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81,</w:t>
            </w:r>
            <w:r w:rsidR="002805A1" w:rsidRPr="00D65408">
              <w:rPr>
                <w:rFonts w:eastAsia="Calibri" w:cstheme="minorHAnsi"/>
                <w:sz w:val="18"/>
                <w:szCs w:val="18"/>
              </w:rPr>
              <w:t>8</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B16A40B" w14:textId="74740C62"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81,</w:t>
            </w:r>
            <w:r w:rsidR="004E43D1" w:rsidRPr="00D65408">
              <w:rPr>
                <w:rFonts w:eastAsia="Calibri" w:cstheme="minorHAnsi"/>
                <w:sz w:val="18"/>
                <w:szCs w:val="18"/>
              </w:rPr>
              <w:t>3</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2FBE3DE" w14:textId="1AA5157D"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84,</w:t>
            </w:r>
            <w:r w:rsidR="002805A1" w:rsidRPr="00D65408">
              <w:rPr>
                <w:rFonts w:eastAsia="Calibri" w:cstheme="minorHAnsi"/>
                <w:sz w:val="18"/>
                <w:szCs w:val="18"/>
              </w:rPr>
              <w:t>7</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147CCC3" w14:textId="7D26F6BE"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91,</w:t>
            </w:r>
            <w:r w:rsidR="002805A1" w:rsidRPr="00D65408">
              <w:rPr>
                <w:rFonts w:eastAsia="Calibri" w:cstheme="minorHAnsi"/>
                <w:sz w:val="18"/>
                <w:szCs w:val="18"/>
              </w:rPr>
              <w:t>4</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137711F" w14:textId="4006BDB5"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90,</w:t>
            </w:r>
            <w:r w:rsidR="002805A1" w:rsidRPr="00D65408">
              <w:rPr>
                <w:rFonts w:eastAsia="Calibri" w:cstheme="minorHAnsi"/>
                <w:sz w:val="18"/>
                <w:szCs w:val="18"/>
              </w:rPr>
              <w:t>9</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C32409B" w14:textId="30B27269"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97,</w:t>
            </w:r>
            <w:r w:rsidR="002805A1" w:rsidRPr="00D65408">
              <w:rPr>
                <w:rFonts w:eastAsia="Calibri" w:cstheme="minorHAnsi"/>
                <w:sz w:val="18"/>
                <w:szCs w:val="18"/>
              </w:rPr>
              <w:t>3</w:t>
            </w:r>
          </w:p>
        </w:tc>
      </w:tr>
      <w:tr w:rsidR="5F53DBAA" w14:paraId="135556B2"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B24F2D1" w14:textId="17AE91B6"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Municípios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4D5BB48" w14:textId="56F417FB"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3,</w:t>
            </w:r>
            <w:r w:rsidR="002805A1" w:rsidRPr="00D65408">
              <w:rPr>
                <w:rFonts w:eastAsia="Calibri" w:cstheme="minorHAnsi"/>
                <w:sz w:val="18"/>
                <w:szCs w:val="18"/>
              </w:rPr>
              <w:t>5</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7706553" w14:textId="4B5FA364" w:rsidR="5F53DBAA" w:rsidRPr="00D65408" w:rsidRDefault="004E43D1" w:rsidP="00D65408">
            <w:pPr>
              <w:spacing w:after="0" w:line="240" w:lineRule="auto"/>
              <w:jc w:val="right"/>
              <w:rPr>
                <w:rFonts w:cstheme="minorHAnsi"/>
                <w:sz w:val="18"/>
                <w:szCs w:val="18"/>
              </w:rPr>
            </w:pPr>
            <w:r w:rsidRPr="00D65408">
              <w:rPr>
                <w:rFonts w:eastAsia="Calibri" w:cstheme="minorHAnsi"/>
                <w:sz w:val="18"/>
                <w:szCs w:val="18"/>
              </w:rPr>
              <w:t>4,0</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246E65D" w14:textId="4A3622EB"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3,</w:t>
            </w:r>
            <w:r w:rsidR="002805A1" w:rsidRPr="00D65408">
              <w:rPr>
                <w:rFonts w:eastAsia="Calibri" w:cstheme="minorHAnsi"/>
                <w:sz w:val="18"/>
                <w:szCs w:val="18"/>
              </w:rPr>
              <w:t>9</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57D4DB8" w14:textId="7478A8AF"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3,</w:t>
            </w:r>
            <w:r w:rsidR="004E43D1" w:rsidRPr="00D65408">
              <w:rPr>
                <w:rFonts w:eastAsia="Calibri" w:cstheme="minorHAnsi"/>
                <w:sz w:val="18"/>
                <w:szCs w:val="18"/>
              </w:rPr>
              <w:t>9</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E9C3143" w14:textId="5A3286B2"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4,</w:t>
            </w:r>
            <w:r w:rsidR="004E43D1" w:rsidRPr="00D65408">
              <w:rPr>
                <w:rFonts w:eastAsia="Calibri" w:cstheme="minorHAnsi"/>
                <w:sz w:val="18"/>
                <w:szCs w:val="18"/>
              </w:rPr>
              <w:t>9</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B15D24A" w14:textId="5CDD4BD1"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6,</w:t>
            </w:r>
            <w:r w:rsidR="002805A1" w:rsidRPr="00D65408">
              <w:rPr>
                <w:rFonts w:eastAsia="Calibri" w:cstheme="minorHAnsi"/>
                <w:sz w:val="18"/>
                <w:szCs w:val="18"/>
              </w:rPr>
              <w:t>9</w:t>
            </w:r>
          </w:p>
        </w:tc>
      </w:tr>
      <w:tr w:rsidR="5F53DBAA" w14:paraId="5E530642"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DCEE253" w14:textId="10E66578"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Bancos Federais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4C443EF" w14:textId="3D0E82B3"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7,</w:t>
            </w:r>
            <w:r w:rsidR="004E43D1" w:rsidRPr="00D65408">
              <w:rPr>
                <w:rFonts w:eastAsia="Calibri" w:cstheme="minorHAnsi"/>
                <w:sz w:val="18"/>
                <w:szCs w:val="18"/>
              </w:rPr>
              <w:t>5</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587C4B4" w14:textId="3302CDBD"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7,</w:t>
            </w:r>
            <w:r w:rsidR="004E43D1" w:rsidRPr="00D65408">
              <w:rPr>
                <w:rFonts w:eastAsia="Calibri" w:cstheme="minorHAnsi"/>
                <w:sz w:val="18"/>
                <w:szCs w:val="18"/>
              </w:rPr>
              <w:t>1</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096B9E" w14:textId="19E6684A"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6,</w:t>
            </w:r>
            <w:r w:rsidR="002805A1" w:rsidRPr="00D65408">
              <w:rPr>
                <w:rFonts w:eastAsia="Calibri" w:cstheme="minorHAnsi"/>
                <w:sz w:val="18"/>
                <w:szCs w:val="18"/>
              </w:rPr>
              <w:t>5</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EEED112" w14:textId="7A2B0AFC"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6,</w:t>
            </w:r>
            <w:r w:rsidR="004E43D1" w:rsidRPr="00D65408">
              <w:rPr>
                <w:rFonts w:eastAsia="Calibri" w:cstheme="minorHAnsi"/>
                <w:sz w:val="18"/>
                <w:szCs w:val="18"/>
              </w:rPr>
              <w:t>1</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BDF2C83" w14:textId="39AFF089"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5,</w:t>
            </w:r>
            <w:r w:rsidR="004E43D1" w:rsidRPr="00D65408">
              <w:rPr>
                <w:rFonts w:eastAsia="Calibri" w:cstheme="minorHAnsi"/>
                <w:sz w:val="18"/>
                <w:szCs w:val="18"/>
              </w:rPr>
              <w:t>4</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6848CC2" w14:textId="252D7B3B"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4,</w:t>
            </w:r>
            <w:r w:rsidR="002805A1" w:rsidRPr="00D65408">
              <w:rPr>
                <w:rFonts w:eastAsia="Calibri" w:cstheme="minorHAnsi"/>
                <w:sz w:val="18"/>
                <w:szCs w:val="18"/>
              </w:rPr>
              <w:t>7</w:t>
            </w:r>
          </w:p>
        </w:tc>
      </w:tr>
      <w:tr w:rsidR="5F53DBAA" w14:paraId="3147DFF9"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16E1F87" w14:textId="218049B1"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Estatais Federais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A62B02C" w14:textId="47D4C2D5"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17,</w:t>
            </w:r>
            <w:r w:rsidR="004E43D1" w:rsidRPr="00D65408">
              <w:rPr>
                <w:rFonts w:eastAsia="Calibri" w:cstheme="minorHAnsi"/>
                <w:sz w:val="18"/>
                <w:szCs w:val="18"/>
              </w:rPr>
              <w:t>8</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4807665" w14:textId="0E5148E0"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17,</w:t>
            </w:r>
            <w:r w:rsidR="004E43D1" w:rsidRPr="00D65408">
              <w:rPr>
                <w:rFonts w:eastAsia="Calibri" w:cstheme="minorHAnsi"/>
                <w:sz w:val="18"/>
                <w:szCs w:val="18"/>
              </w:rPr>
              <w:t>7</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EA4FA46" w14:textId="3C08BF45" w:rsidR="5F53DBAA" w:rsidRPr="00D65408" w:rsidRDefault="002805A1" w:rsidP="00D65408">
            <w:pPr>
              <w:spacing w:after="0" w:line="240" w:lineRule="auto"/>
              <w:jc w:val="right"/>
              <w:rPr>
                <w:rFonts w:cstheme="minorHAnsi"/>
                <w:sz w:val="18"/>
                <w:szCs w:val="18"/>
              </w:rPr>
            </w:pPr>
            <w:r w:rsidRPr="00D65408">
              <w:rPr>
                <w:rFonts w:eastAsia="Calibri" w:cstheme="minorHAnsi"/>
                <w:sz w:val="18"/>
                <w:szCs w:val="18"/>
              </w:rPr>
              <w:t>1</w:t>
            </w:r>
            <w:r w:rsidR="004E43D1" w:rsidRPr="00D65408">
              <w:rPr>
                <w:rFonts w:eastAsia="Calibri" w:cstheme="minorHAnsi"/>
                <w:sz w:val="18"/>
                <w:szCs w:val="18"/>
              </w:rPr>
              <w:t>6</w:t>
            </w:r>
            <w:r w:rsidRPr="00D65408">
              <w:rPr>
                <w:rFonts w:eastAsia="Calibri" w:cstheme="minorHAnsi"/>
                <w:sz w:val="18"/>
                <w:szCs w:val="18"/>
              </w:rPr>
              <w:t>,</w:t>
            </w:r>
            <w:r w:rsidR="004E43D1" w:rsidRPr="00D65408">
              <w:rPr>
                <w:rFonts w:eastAsia="Calibri" w:cstheme="minorHAnsi"/>
                <w:sz w:val="18"/>
                <w:szCs w:val="18"/>
              </w:rPr>
              <w:t>0</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ED1ECC4" w14:textId="60514C6C"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12,</w:t>
            </w:r>
            <w:r w:rsidR="002805A1" w:rsidRPr="00D65408">
              <w:rPr>
                <w:rFonts w:eastAsia="Calibri" w:cstheme="minorHAnsi"/>
                <w:sz w:val="18"/>
                <w:szCs w:val="18"/>
              </w:rPr>
              <w:t>7</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EBA9B1F" w14:textId="6613FC13"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8,</w:t>
            </w:r>
            <w:r w:rsidR="004E43D1" w:rsidRPr="00D65408">
              <w:rPr>
                <w:rFonts w:eastAsia="Calibri" w:cstheme="minorHAnsi"/>
                <w:sz w:val="18"/>
                <w:szCs w:val="18"/>
              </w:rPr>
              <w:t>2</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E863A4" w14:textId="1A936F9C"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5,</w:t>
            </w:r>
            <w:r w:rsidR="002805A1" w:rsidRPr="00D65408">
              <w:rPr>
                <w:rFonts w:eastAsia="Calibri" w:cstheme="minorHAnsi"/>
                <w:sz w:val="18"/>
                <w:szCs w:val="18"/>
              </w:rPr>
              <w:t>1</w:t>
            </w:r>
          </w:p>
        </w:tc>
      </w:tr>
      <w:tr w:rsidR="5F53DBAA" w14:paraId="178B99F2"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DE4726D" w14:textId="1EBA58B3"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Entidades Controladas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7656083" w14:textId="48433FD1"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w:t>
            </w:r>
            <w:r w:rsidR="002805A1" w:rsidRPr="00D65408">
              <w:rPr>
                <w:rFonts w:eastAsia="Calibri" w:cstheme="minorHAnsi"/>
                <w:sz w:val="18"/>
                <w:szCs w:val="18"/>
              </w:rPr>
              <w:t>7</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10E8C0A" w14:textId="5F6563A2"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w:t>
            </w:r>
            <w:r w:rsidR="002805A1" w:rsidRPr="00D65408">
              <w:rPr>
                <w:rFonts w:eastAsia="Calibri" w:cstheme="minorHAnsi"/>
                <w:sz w:val="18"/>
                <w:szCs w:val="18"/>
              </w:rPr>
              <w:t>1</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EA94826" w14:textId="40514BBF"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0,</w:t>
            </w:r>
            <w:r w:rsidR="004E43D1" w:rsidRPr="00D65408">
              <w:rPr>
                <w:rFonts w:eastAsia="Calibri" w:cstheme="minorHAnsi"/>
                <w:sz w:val="18"/>
                <w:szCs w:val="18"/>
              </w:rPr>
              <w:t>4</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C780081" w14:textId="29EDB436"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0,</w:t>
            </w:r>
            <w:r w:rsidR="002805A1" w:rsidRPr="00D65408">
              <w:rPr>
                <w:rFonts w:eastAsia="Calibri" w:cstheme="minorHAnsi"/>
                <w:sz w:val="18"/>
                <w:szCs w:val="18"/>
              </w:rPr>
              <w:t>2</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7952FA0" w14:textId="27BA4CC1"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0,</w:t>
            </w:r>
            <w:r w:rsidR="002805A1" w:rsidRPr="00D65408">
              <w:rPr>
                <w:rFonts w:eastAsia="Calibri" w:cstheme="minorHAnsi"/>
                <w:sz w:val="18"/>
                <w:szCs w:val="18"/>
              </w:rPr>
              <w:t>0</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D07DD" w14:textId="311F5883"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0,</w:t>
            </w:r>
            <w:r w:rsidR="002805A1" w:rsidRPr="00D65408">
              <w:rPr>
                <w:rFonts w:eastAsia="Calibri" w:cstheme="minorHAnsi"/>
                <w:sz w:val="18"/>
                <w:szCs w:val="18"/>
              </w:rPr>
              <w:t>0</w:t>
            </w:r>
          </w:p>
        </w:tc>
      </w:tr>
      <w:tr w:rsidR="5F53DBAA" w14:paraId="6B52029B"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A70279" w14:textId="45D6CB99" w:rsidR="5F53DBAA" w:rsidRPr="00D65408" w:rsidRDefault="5F53DBAA" w:rsidP="00D65408">
            <w:pPr>
              <w:spacing w:after="0" w:line="240" w:lineRule="auto"/>
              <w:rPr>
                <w:rFonts w:cstheme="minorHAnsi"/>
                <w:sz w:val="18"/>
                <w:szCs w:val="18"/>
              </w:rPr>
            </w:pPr>
            <w:r w:rsidRPr="00D65408">
              <w:rPr>
                <w:rFonts w:eastAsia="Calibri" w:cstheme="minorHAnsi"/>
                <w:b/>
                <w:bCs/>
                <w:sz w:val="18"/>
                <w:szCs w:val="18"/>
              </w:rPr>
              <w:t>Garantias Externas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B5101A" w14:textId="69882459"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110,</w:t>
            </w:r>
            <w:r w:rsidR="002805A1" w:rsidRPr="00D65408">
              <w:rPr>
                <w:rFonts w:eastAsia="Calibri" w:cstheme="minorHAnsi"/>
                <w:b/>
                <w:bCs/>
                <w:sz w:val="18"/>
                <w:szCs w:val="18"/>
              </w:rPr>
              <w:t>6</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23A9FF" w14:textId="13289FB8"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103,</w:t>
            </w:r>
            <w:r w:rsidR="004E43D1" w:rsidRPr="00D65408">
              <w:rPr>
                <w:rFonts w:eastAsia="Calibri" w:cstheme="minorHAnsi"/>
                <w:b/>
                <w:bCs/>
                <w:sz w:val="18"/>
                <w:szCs w:val="18"/>
              </w:rPr>
              <w:t>8</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044089" w14:textId="077EBF8F"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121,</w:t>
            </w:r>
            <w:r w:rsidR="004E43D1" w:rsidRPr="00D65408">
              <w:rPr>
                <w:rFonts w:eastAsia="Calibri" w:cstheme="minorHAnsi"/>
                <w:b/>
                <w:bCs/>
                <w:sz w:val="18"/>
                <w:szCs w:val="18"/>
              </w:rPr>
              <w:t>9</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3E0CCD" w14:textId="2A3271B2"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143,</w:t>
            </w:r>
            <w:r w:rsidR="002805A1" w:rsidRPr="00D65408">
              <w:rPr>
                <w:rFonts w:eastAsia="Calibri" w:cstheme="minorHAnsi"/>
                <w:b/>
                <w:bCs/>
                <w:sz w:val="18"/>
                <w:szCs w:val="18"/>
              </w:rPr>
              <w:t>9</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6951DE" w14:textId="3CBE8A90"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146,</w:t>
            </w:r>
            <w:r w:rsidR="002805A1" w:rsidRPr="00D65408">
              <w:rPr>
                <w:rFonts w:eastAsia="Calibri" w:cstheme="minorHAnsi"/>
                <w:b/>
                <w:bCs/>
                <w:sz w:val="18"/>
                <w:szCs w:val="18"/>
              </w:rPr>
              <w:t>6</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E61B2E" w14:textId="6967004A" w:rsidR="5F53DBAA" w:rsidRPr="00D65408" w:rsidRDefault="5F53DBAA" w:rsidP="00D65408">
            <w:pPr>
              <w:spacing w:after="0" w:line="240" w:lineRule="auto"/>
              <w:jc w:val="right"/>
              <w:rPr>
                <w:rFonts w:cstheme="minorHAnsi"/>
                <w:sz w:val="18"/>
                <w:szCs w:val="18"/>
              </w:rPr>
            </w:pPr>
            <w:r w:rsidRPr="00D65408">
              <w:rPr>
                <w:rFonts w:eastAsia="Calibri" w:cstheme="minorHAnsi"/>
                <w:b/>
                <w:bCs/>
                <w:sz w:val="18"/>
                <w:szCs w:val="18"/>
              </w:rPr>
              <w:t>181,</w:t>
            </w:r>
            <w:r w:rsidR="002805A1" w:rsidRPr="00D65408">
              <w:rPr>
                <w:rFonts w:eastAsia="Calibri" w:cstheme="minorHAnsi"/>
                <w:b/>
                <w:bCs/>
                <w:sz w:val="18"/>
                <w:szCs w:val="18"/>
              </w:rPr>
              <w:t>9</w:t>
            </w:r>
          </w:p>
        </w:tc>
      </w:tr>
      <w:tr w:rsidR="5F53DBAA" w14:paraId="45C34272"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C3E7A3" w14:textId="1352167C"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Estados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961424" w14:textId="26E764EB"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77,</w:t>
            </w:r>
            <w:r w:rsidR="002805A1" w:rsidRPr="00D65408">
              <w:rPr>
                <w:rFonts w:eastAsia="Calibri" w:cstheme="minorHAnsi"/>
                <w:sz w:val="18"/>
                <w:szCs w:val="18"/>
              </w:rPr>
              <w:t>8</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47A334" w14:textId="58F46259"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75,</w:t>
            </w:r>
            <w:r w:rsidR="004E43D1" w:rsidRPr="00D65408">
              <w:rPr>
                <w:rFonts w:eastAsia="Calibri" w:cstheme="minorHAnsi"/>
                <w:sz w:val="18"/>
                <w:szCs w:val="18"/>
              </w:rPr>
              <w:t>5</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CA2C9F" w14:textId="4A89DAB6"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91,</w:t>
            </w:r>
            <w:r w:rsidR="002805A1" w:rsidRPr="00D65408">
              <w:rPr>
                <w:rFonts w:eastAsia="Calibri" w:cstheme="minorHAnsi"/>
                <w:sz w:val="18"/>
                <w:szCs w:val="18"/>
              </w:rPr>
              <w:t>2</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F36777" w14:textId="4956D0FD"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107,</w:t>
            </w:r>
            <w:r w:rsidR="004E43D1" w:rsidRPr="00D65408">
              <w:rPr>
                <w:rFonts w:eastAsia="Calibri" w:cstheme="minorHAnsi"/>
                <w:sz w:val="18"/>
                <w:szCs w:val="18"/>
              </w:rPr>
              <w:t>7</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7B42D9" w14:textId="33826174"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109,</w:t>
            </w:r>
            <w:r w:rsidR="004E43D1" w:rsidRPr="00D65408">
              <w:rPr>
                <w:rFonts w:eastAsia="Calibri" w:cstheme="minorHAnsi"/>
                <w:sz w:val="18"/>
                <w:szCs w:val="18"/>
              </w:rPr>
              <w:t>6</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63AA96" w14:textId="72846EBD"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135,</w:t>
            </w:r>
            <w:r w:rsidR="004E43D1" w:rsidRPr="00D65408">
              <w:rPr>
                <w:rFonts w:eastAsia="Calibri" w:cstheme="minorHAnsi"/>
                <w:sz w:val="18"/>
                <w:szCs w:val="18"/>
              </w:rPr>
              <w:t>2</w:t>
            </w:r>
          </w:p>
        </w:tc>
      </w:tr>
      <w:tr w:rsidR="5F53DBAA" w14:paraId="042A6356"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8B0D97" w14:textId="49D9051A"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Municípios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81CDA9" w14:textId="277CD912"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10,</w:t>
            </w:r>
            <w:r w:rsidR="004E43D1" w:rsidRPr="00D65408">
              <w:rPr>
                <w:rFonts w:eastAsia="Calibri" w:cstheme="minorHAnsi"/>
                <w:sz w:val="18"/>
                <w:szCs w:val="18"/>
              </w:rPr>
              <w:t>6</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0428B8" w14:textId="326DD436"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10,</w:t>
            </w:r>
            <w:r w:rsidR="002805A1" w:rsidRPr="00D65408">
              <w:rPr>
                <w:rFonts w:eastAsia="Calibri" w:cstheme="minorHAnsi"/>
                <w:sz w:val="18"/>
                <w:szCs w:val="18"/>
              </w:rPr>
              <w:t>7</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520995" w14:textId="163E98AE"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11,</w:t>
            </w:r>
            <w:r w:rsidR="004E43D1" w:rsidRPr="00D65408">
              <w:rPr>
                <w:rFonts w:eastAsia="Calibri" w:cstheme="minorHAnsi"/>
                <w:sz w:val="18"/>
                <w:szCs w:val="18"/>
              </w:rPr>
              <w:t>1</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E9A283" w14:textId="4FBAC356"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13,</w:t>
            </w:r>
            <w:r w:rsidR="002805A1" w:rsidRPr="00D65408">
              <w:rPr>
                <w:rFonts w:eastAsia="Calibri" w:cstheme="minorHAnsi"/>
                <w:sz w:val="18"/>
                <w:szCs w:val="18"/>
              </w:rPr>
              <w:t>4</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0ECE36" w14:textId="2BE1613B"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14,</w:t>
            </w:r>
            <w:r w:rsidR="002805A1" w:rsidRPr="00D65408">
              <w:rPr>
                <w:rFonts w:eastAsia="Calibri" w:cstheme="minorHAnsi"/>
                <w:sz w:val="18"/>
                <w:szCs w:val="18"/>
              </w:rPr>
              <w:t>6</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7C15EA" w14:textId="44C81A64" w:rsidR="5F53DBAA" w:rsidRPr="00D65408" w:rsidRDefault="004E43D1" w:rsidP="00D65408">
            <w:pPr>
              <w:spacing w:after="0" w:line="240" w:lineRule="auto"/>
              <w:jc w:val="right"/>
              <w:rPr>
                <w:rFonts w:cstheme="minorHAnsi"/>
                <w:sz w:val="18"/>
                <w:szCs w:val="18"/>
              </w:rPr>
            </w:pPr>
            <w:r w:rsidRPr="00D65408">
              <w:rPr>
                <w:rFonts w:eastAsia="Calibri" w:cstheme="minorHAnsi"/>
                <w:sz w:val="18"/>
                <w:szCs w:val="18"/>
              </w:rPr>
              <w:t>20,0</w:t>
            </w:r>
          </w:p>
        </w:tc>
      </w:tr>
      <w:tr w:rsidR="5F53DBAA" w14:paraId="012A8A82"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EFA01A" w14:textId="67B63CDB"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Bancos Federais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116CEB" w14:textId="7BA04EDE"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16,</w:t>
            </w:r>
            <w:r w:rsidR="002805A1" w:rsidRPr="00D65408">
              <w:rPr>
                <w:rFonts w:eastAsia="Calibri" w:cstheme="minorHAnsi"/>
                <w:sz w:val="18"/>
                <w:szCs w:val="18"/>
              </w:rPr>
              <w:t>5</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2AF68E" w14:textId="3A72FA54"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12,</w:t>
            </w:r>
            <w:r w:rsidR="002805A1" w:rsidRPr="00D65408">
              <w:rPr>
                <w:rFonts w:eastAsia="Calibri" w:cstheme="minorHAnsi"/>
                <w:sz w:val="18"/>
                <w:szCs w:val="18"/>
              </w:rPr>
              <w:t>2</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4EEE4D" w14:textId="289491E3"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12,</w:t>
            </w:r>
            <w:r w:rsidR="002805A1" w:rsidRPr="00D65408">
              <w:rPr>
                <w:rFonts w:eastAsia="Calibri" w:cstheme="minorHAnsi"/>
                <w:sz w:val="18"/>
                <w:szCs w:val="18"/>
              </w:rPr>
              <w:t>6</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76AC32" w14:textId="281A9F74"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13,</w:t>
            </w:r>
            <w:r w:rsidR="004E43D1" w:rsidRPr="00D65408">
              <w:rPr>
                <w:rFonts w:eastAsia="Calibri" w:cstheme="minorHAnsi"/>
                <w:sz w:val="18"/>
                <w:szCs w:val="18"/>
              </w:rPr>
              <w:t>1</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C933BC" w14:textId="005BCFDB"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12,</w:t>
            </w:r>
            <w:r w:rsidR="002805A1" w:rsidRPr="00D65408">
              <w:rPr>
                <w:rFonts w:eastAsia="Calibri" w:cstheme="minorHAnsi"/>
                <w:sz w:val="18"/>
                <w:szCs w:val="18"/>
              </w:rPr>
              <w:t>3</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3093FD" w14:textId="5CDDD2AC"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14,</w:t>
            </w:r>
            <w:r w:rsidR="004E43D1" w:rsidRPr="00D65408">
              <w:rPr>
                <w:rFonts w:eastAsia="Calibri" w:cstheme="minorHAnsi"/>
                <w:sz w:val="18"/>
                <w:szCs w:val="18"/>
              </w:rPr>
              <w:t>4</w:t>
            </w:r>
          </w:p>
        </w:tc>
      </w:tr>
      <w:tr w:rsidR="5F53DBAA" w14:paraId="45C43081"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CF6898" w14:textId="4DC679E9"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Estatais Federais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3000B7" w14:textId="4FFE97DA"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w:t>
            </w:r>
            <w:r w:rsidR="002805A1" w:rsidRPr="00D65408">
              <w:rPr>
                <w:rFonts w:eastAsia="Calibri" w:cstheme="minorHAnsi"/>
                <w:sz w:val="18"/>
                <w:szCs w:val="18"/>
              </w:rPr>
              <w:t>8</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7D4046" w14:textId="67FA32C4"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w:t>
            </w:r>
            <w:r w:rsidR="002805A1" w:rsidRPr="00D65408">
              <w:rPr>
                <w:rFonts w:eastAsia="Calibri" w:cstheme="minorHAnsi"/>
                <w:sz w:val="18"/>
                <w:szCs w:val="18"/>
              </w:rPr>
              <w:t>6</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5FC0D6" w14:textId="65EC7D47"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1,</w:t>
            </w:r>
            <w:r w:rsidR="004E43D1" w:rsidRPr="00D65408">
              <w:rPr>
                <w:rFonts w:eastAsia="Calibri" w:cstheme="minorHAnsi"/>
                <w:sz w:val="18"/>
                <w:szCs w:val="18"/>
              </w:rPr>
              <w:t>4</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0EA34F" w14:textId="2063F7DD"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2,</w:t>
            </w:r>
            <w:r w:rsidR="002805A1" w:rsidRPr="00D65408">
              <w:rPr>
                <w:rFonts w:eastAsia="Calibri" w:cstheme="minorHAnsi"/>
                <w:sz w:val="18"/>
                <w:szCs w:val="18"/>
              </w:rPr>
              <w:t>2</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DAE8A6" w14:textId="1ACA6F08"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2,</w:t>
            </w:r>
            <w:r w:rsidR="004E43D1" w:rsidRPr="00D65408">
              <w:rPr>
                <w:rFonts w:eastAsia="Calibri" w:cstheme="minorHAnsi"/>
                <w:sz w:val="18"/>
                <w:szCs w:val="18"/>
              </w:rPr>
              <w:t>4</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1853B9" w14:textId="44E80705"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2,</w:t>
            </w:r>
            <w:r w:rsidR="002805A1" w:rsidRPr="00D65408">
              <w:rPr>
                <w:rFonts w:eastAsia="Calibri" w:cstheme="minorHAnsi"/>
                <w:sz w:val="18"/>
                <w:szCs w:val="18"/>
              </w:rPr>
              <w:t>9</w:t>
            </w:r>
          </w:p>
        </w:tc>
      </w:tr>
      <w:tr w:rsidR="5F53DBAA" w14:paraId="7A98977C"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36ACAB" w14:textId="4F56CE9F" w:rsidR="5F53DBAA" w:rsidRPr="00D65408" w:rsidRDefault="5F53DBAA" w:rsidP="00D65408">
            <w:pPr>
              <w:spacing w:after="0" w:line="240" w:lineRule="auto"/>
              <w:rPr>
                <w:rFonts w:cstheme="minorHAnsi"/>
                <w:sz w:val="18"/>
                <w:szCs w:val="18"/>
              </w:rPr>
            </w:pPr>
            <w:r w:rsidRPr="00D65408">
              <w:rPr>
                <w:rFonts w:eastAsia="Calibri" w:cstheme="minorHAnsi"/>
                <w:sz w:val="18"/>
                <w:szCs w:val="18"/>
              </w:rPr>
              <w:t>Entidades Controladas</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A8B795" w14:textId="7514741D"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3,</w:t>
            </w:r>
            <w:r w:rsidR="002805A1" w:rsidRPr="00D65408">
              <w:rPr>
                <w:rFonts w:eastAsia="Calibri" w:cstheme="minorHAnsi"/>
                <w:sz w:val="18"/>
                <w:szCs w:val="18"/>
              </w:rPr>
              <w:t>8</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1532E7" w14:textId="047A89A2"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3,</w:t>
            </w:r>
            <w:r w:rsidR="002805A1" w:rsidRPr="00D65408">
              <w:rPr>
                <w:rFonts w:eastAsia="Calibri" w:cstheme="minorHAnsi"/>
                <w:sz w:val="18"/>
                <w:szCs w:val="18"/>
              </w:rPr>
              <w:t>7</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2A7692" w14:textId="66AD6982"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5,</w:t>
            </w:r>
            <w:r w:rsidR="002805A1" w:rsidRPr="00D65408">
              <w:rPr>
                <w:rFonts w:eastAsia="Calibri" w:cstheme="minorHAnsi"/>
                <w:sz w:val="18"/>
                <w:szCs w:val="18"/>
              </w:rPr>
              <w:t>6</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7DF1459" w14:textId="3628A124"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7,</w:t>
            </w:r>
            <w:r w:rsidR="002805A1" w:rsidRPr="00D65408">
              <w:rPr>
                <w:rFonts w:eastAsia="Calibri" w:cstheme="minorHAnsi"/>
                <w:sz w:val="18"/>
                <w:szCs w:val="18"/>
              </w:rPr>
              <w:t>5</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7F1CEB" w14:textId="329A6A91"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7,</w:t>
            </w:r>
            <w:r w:rsidR="004E43D1" w:rsidRPr="00D65408">
              <w:rPr>
                <w:rFonts w:eastAsia="Calibri" w:cstheme="minorHAnsi"/>
                <w:sz w:val="18"/>
                <w:szCs w:val="18"/>
              </w:rPr>
              <w:t>7</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43BBBD" w14:textId="11E74B66" w:rsidR="5F53DBAA" w:rsidRPr="00D65408" w:rsidRDefault="5F53DBAA" w:rsidP="00D65408">
            <w:pPr>
              <w:spacing w:after="0" w:line="240" w:lineRule="auto"/>
              <w:jc w:val="right"/>
              <w:rPr>
                <w:rFonts w:cstheme="minorHAnsi"/>
                <w:sz w:val="18"/>
                <w:szCs w:val="18"/>
              </w:rPr>
            </w:pPr>
            <w:r w:rsidRPr="00D65408">
              <w:rPr>
                <w:rFonts w:eastAsia="Calibri" w:cstheme="minorHAnsi"/>
                <w:sz w:val="18"/>
                <w:szCs w:val="18"/>
              </w:rPr>
              <w:t>9,</w:t>
            </w:r>
            <w:r w:rsidR="00882B3F" w:rsidRPr="00D65408">
              <w:rPr>
                <w:rFonts w:eastAsia="Calibri" w:cstheme="minorHAnsi"/>
                <w:sz w:val="18"/>
                <w:szCs w:val="18"/>
              </w:rPr>
              <w:t>5</w:t>
            </w:r>
          </w:p>
        </w:tc>
      </w:tr>
      <w:tr w:rsidR="003C2E0B" w14:paraId="3A64CD0A" w14:textId="77777777" w:rsidTr="000C23F1">
        <w:trPr>
          <w:trHeight w:val="15"/>
        </w:trPr>
        <w:tc>
          <w:tcPr>
            <w:tcW w:w="2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62749734" w14:textId="03C20E74" w:rsidR="5F53DBAA" w:rsidRPr="00B213EC" w:rsidRDefault="5F53DBAA" w:rsidP="00D65408">
            <w:pPr>
              <w:spacing w:after="0" w:line="240" w:lineRule="auto"/>
              <w:rPr>
                <w:rFonts w:cstheme="minorHAnsi"/>
                <w:color w:val="FFFFFF" w:themeColor="background1"/>
                <w:sz w:val="18"/>
                <w:szCs w:val="18"/>
              </w:rPr>
            </w:pPr>
            <w:r w:rsidRPr="00B213EC">
              <w:rPr>
                <w:rFonts w:eastAsia="Calibri" w:cstheme="minorHAnsi"/>
                <w:b/>
                <w:bCs/>
                <w:color w:val="FFFFFF" w:themeColor="background1"/>
                <w:sz w:val="18"/>
                <w:szCs w:val="18"/>
              </w:rPr>
              <w:t>Total</w:t>
            </w:r>
          </w:p>
        </w:tc>
        <w:tc>
          <w:tcPr>
            <w:tcW w:w="12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15D0DB58" w14:textId="2CB76849" w:rsidR="5F53DBAA" w:rsidRPr="00B213EC" w:rsidRDefault="5F53DBAA" w:rsidP="00D65408">
            <w:pPr>
              <w:spacing w:after="0" w:line="240" w:lineRule="auto"/>
              <w:jc w:val="right"/>
              <w:rPr>
                <w:rFonts w:cstheme="minorHAnsi"/>
                <w:color w:val="FFFFFF" w:themeColor="background1"/>
                <w:sz w:val="18"/>
                <w:szCs w:val="18"/>
              </w:rPr>
            </w:pPr>
            <w:r w:rsidRPr="00B213EC">
              <w:rPr>
                <w:rFonts w:eastAsia="Calibri" w:cstheme="minorHAnsi"/>
                <w:b/>
                <w:bCs/>
                <w:color w:val="FFFFFF" w:themeColor="background1"/>
                <w:sz w:val="18"/>
                <w:szCs w:val="18"/>
              </w:rPr>
              <w:t>222,</w:t>
            </w:r>
            <w:r w:rsidR="002805A1" w:rsidRPr="00B213EC">
              <w:rPr>
                <w:rFonts w:eastAsia="Calibri" w:cstheme="minorHAnsi"/>
                <w:b/>
                <w:bCs/>
                <w:color w:val="FFFFFF" w:themeColor="background1"/>
                <w:sz w:val="18"/>
                <w:szCs w:val="18"/>
              </w:rPr>
              <w:t>9</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127E26B7" w14:textId="52881B3D" w:rsidR="5F53DBAA" w:rsidRPr="00B213EC" w:rsidRDefault="5F53DBAA" w:rsidP="00D65408">
            <w:pPr>
              <w:spacing w:after="0" w:line="240" w:lineRule="auto"/>
              <w:jc w:val="right"/>
              <w:rPr>
                <w:rFonts w:cstheme="minorHAnsi"/>
                <w:color w:val="FFFFFF" w:themeColor="background1"/>
                <w:sz w:val="18"/>
                <w:szCs w:val="18"/>
              </w:rPr>
            </w:pPr>
            <w:r w:rsidRPr="00B213EC">
              <w:rPr>
                <w:rFonts w:eastAsia="Calibri" w:cstheme="minorHAnsi"/>
                <w:b/>
                <w:bCs/>
                <w:color w:val="FFFFFF" w:themeColor="background1"/>
                <w:sz w:val="18"/>
                <w:szCs w:val="18"/>
              </w:rPr>
              <w:t>214,</w:t>
            </w:r>
            <w:r w:rsidR="004E43D1" w:rsidRPr="00B213EC">
              <w:rPr>
                <w:rFonts w:eastAsia="Calibri" w:cstheme="minorHAnsi"/>
                <w:b/>
                <w:bCs/>
                <w:color w:val="FFFFFF" w:themeColor="background1"/>
                <w:sz w:val="18"/>
                <w:szCs w:val="18"/>
              </w:rPr>
              <w:t>9</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08524BF3" w14:textId="445273D4" w:rsidR="5F53DBAA" w:rsidRPr="00B213EC" w:rsidRDefault="5F53DBAA" w:rsidP="00D65408">
            <w:pPr>
              <w:spacing w:after="0" w:line="240" w:lineRule="auto"/>
              <w:jc w:val="right"/>
              <w:rPr>
                <w:rFonts w:cstheme="minorHAnsi"/>
                <w:color w:val="FFFFFF" w:themeColor="background1"/>
                <w:sz w:val="18"/>
                <w:szCs w:val="18"/>
              </w:rPr>
            </w:pPr>
            <w:r w:rsidRPr="00B213EC">
              <w:rPr>
                <w:rFonts w:eastAsia="Calibri" w:cstheme="minorHAnsi"/>
                <w:b/>
                <w:bCs/>
                <w:color w:val="FFFFFF" w:themeColor="background1"/>
                <w:sz w:val="18"/>
                <w:szCs w:val="18"/>
              </w:rPr>
              <w:t>233,</w:t>
            </w:r>
            <w:r w:rsidR="004E43D1" w:rsidRPr="00B213EC">
              <w:rPr>
                <w:rFonts w:eastAsia="Calibri" w:cstheme="minorHAnsi"/>
                <w:b/>
                <w:bCs/>
                <w:color w:val="FFFFFF" w:themeColor="background1"/>
                <w:sz w:val="18"/>
                <w:szCs w:val="18"/>
              </w:rPr>
              <w:t>4</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1EE252BB" w14:textId="4AE48B3D" w:rsidR="5F53DBAA" w:rsidRPr="00B213EC" w:rsidRDefault="5F53DBAA" w:rsidP="00D65408">
            <w:pPr>
              <w:spacing w:after="0" w:line="240" w:lineRule="auto"/>
              <w:jc w:val="right"/>
              <w:rPr>
                <w:rFonts w:cstheme="minorHAnsi"/>
                <w:color w:val="FFFFFF" w:themeColor="background1"/>
                <w:sz w:val="18"/>
                <w:szCs w:val="18"/>
              </w:rPr>
            </w:pPr>
            <w:r w:rsidRPr="00B213EC">
              <w:rPr>
                <w:rFonts w:eastAsia="Calibri" w:cstheme="minorHAnsi"/>
                <w:b/>
                <w:bCs/>
                <w:color w:val="FFFFFF" w:themeColor="background1"/>
                <w:sz w:val="18"/>
                <w:szCs w:val="18"/>
              </w:rPr>
              <w:t>258,</w:t>
            </w:r>
            <w:r w:rsidR="002805A1" w:rsidRPr="00B213EC">
              <w:rPr>
                <w:rFonts w:eastAsia="Calibri" w:cstheme="minorHAnsi"/>
                <w:b/>
                <w:bCs/>
                <w:color w:val="FFFFFF" w:themeColor="background1"/>
                <w:sz w:val="18"/>
                <w:szCs w:val="18"/>
              </w:rPr>
              <w:t>2</w:t>
            </w:r>
          </w:p>
        </w:tc>
        <w:tc>
          <w:tcPr>
            <w:tcW w:w="12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7DB3F86D" w14:textId="68F7117E" w:rsidR="5F53DBAA" w:rsidRPr="00B213EC" w:rsidRDefault="5F53DBAA" w:rsidP="00D65408">
            <w:pPr>
              <w:spacing w:after="0" w:line="240" w:lineRule="auto"/>
              <w:jc w:val="right"/>
              <w:rPr>
                <w:rFonts w:cstheme="minorHAnsi"/>
                <w:color w:val="FFFFFF" w:themeColor="background1"/>
                <w:sz w:val="18"/>
                <w:szCs w:val="18"/>
              </w:rPr>
            </w:pPr>
            <w:r w:rsidRPr="00B213EC">
              <w:rPr>
                <w:rFonts w:eastAsia="Calibri" w:cstheme="minorHAnsi"/>
                <w:b/>
                <w:bCs/>
                <w:color w:val="FFFFFF" w:themeColor="background1"/>
                <w:sz w:val="18"/>
                <w:szCs w:val="18"/>
              </w:rPr>
              <w:t>255,</w:t>
            </w:r>
            <w:r w:rsidR="002805A1" w:rsidRPr="00B213EC">
              <w:rPr>
                <w:rFonts w:eastAsia="Calibri" w:cstheme="minorHAnsi"/>
                <w:b/>
                <w:bCs/>
                <w:color w:val="FFFFFF" w:themeColor="background1"/>
                <w:sz w:val="18"/>
                <w:szCs w:val="18"/>
              </w:rPr>
              <w:t>9</w:t>
            </w:r>
          </w:p>
        </w:tc>
        <w:tc>
          <w:tcPr>
            <w:tcW w:w="120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0ACF93CC" w14:textId="577437C9" w:rsidR="5F53DBAA" w:rsidRPr="00B213EC" w:rsidRDefault="5F53DBAA" w:rsidP="00D65408">
            <w:pPr>
              <w:spacing w:after="0" w:line="240" w:lineRule="auto"/>
              <w:jc w:val="right"/>
              <w:rPr>
                <w:rFonts w:cstheme="minorHAnsi"/>
                <w:color w:val="FFFFFF" w:themeColor="background1"/>
                <w:sz w:val="18"/>
                <w:szCs w:val="18"/>
              </w:rPr>
            </w:pPr>
            <w:r w:rsidRPr="00B213EC">
              <w:rPr>
                <w:rFonts w:eastAsia="Calibri" w:cstheme="minorHAnsi"/>
                <w:b/>
                <w:bCs/>
                <w:color w:val="FFFFFF" w:themeColor="background1"/>
                <w:sz w:val="18"/>
                <w:szCs w:val="18"/>
              </w:rPr>
              <w:t>296,</w:t>
            </w:r>
            <w:r w:rsidR="002805A1" w:rsidRPr="00B213EC">
              <w:rPr>
                <w:rFonts w:eastAsia="Calibri" w:cstheme="minorHAnsi"/>
                <w:b/>
                <w:bCs/>
                <w:color w:val="FFFFFF" w:themeColor="background1"/>
                <w:sz w:val="18"/>
                <w:szCs w:val="18"/>
              </w:rPr>
              <w:t>0</w:t>
            </w:r>
          </w:p>
        </w:tc>
      </w:tr>
      <w:tr w:rsidR="00B213EC" w14:paraId="7AC7F874" w14:textId="77777777" w:rsidTr="5F53DBAA">
        <w:trPr>
          <w:gridAfter w:val="1"/>
          <w:wAfter w:w="8" w:type="dxa"/>
          <w:trHeight w:val="15"/>
        </w:trPr>
        <w:tc>
          <w:tcPr>
            <w:tcW w:w="9915" w:type="dxa"/>
            <w:gridSpan w:val="7"/>
            <w:tcBorders>
              <w:top w:val="single" w:sz="8" w:space="0" w:color="BFBFBF" w:themeColor="background1" w:themeShade="BF"/>
              <w:left w:val="nil"/>
              <w:bottom w:val="nil"/>
              <w:right w:val="nil"/>
            </w:tcBorders>
          </w:tcPr>
          <w:p w14:paraId="6BA9EAE7" w14:textId="77777777" w:rsidR="00B213EC" w:rsidRPr="00D65408" w:rsidRDefault="00B213EC" w:rsidP="00D65408">
            <w:pPr>
              <w:spacing w:after="0" w:line="240" w:lineRule="auto"/>
              <w:jc w:val="both"/>
              <w:rPr>
                <w:rFonts w:cstheme="minorHAnsi"/>
                <w:sz w:val="18"/>
                <w:szCs w:val="18"/>
              </w:rPr>
            </w:pPr>
            <w:proofErr w:type="gramStart"/>
            <w:r w:rsidRPr="00D65408">
              <w:rPr>
                <w:rFonts w:eastAsia="Calibri" w:cstheme="minorHAnsi"/>
                <w:i/>
                <w:iCs/>
                <w:sz w:val="18"/>
                <w:szCs w:val="18"/>
                <w:vertAlign w:val="superscript"/>
              </w:rPr>
              <w:t>1</w:t>
            </w:r>
            <w:proofErr w:type="gramEnd"/>
            <w:r w:rsidRPr="00D65408">
              <w:rPr>
                <w:rFonts w:eastAsia="Calibri" w:cstheme="minorHAnsi"/>
                <w:i/>
                <w:iCs/>
                <w:sz w:val="18"/>
                <w:szCs w:val="18"/>
                <w:vertAlign w:val="superscript"/>
              </w:rPr>
              <w:t xml:space="preserve"> </w:t>
            </w:r>
            <w:r w:rsidRPr="00D65408">
              <w:rPr>
                <w:rFonts w:eastAsia="Calibri" w:cstheme="minorHAnsi"/>
                <w:i/>
                <w:iCs/>
                <w:sz w:val="18"/>
                <w:szCs w:val="18"/>
              </w:rPr>
              <w:t>Utilizada PTAX de venda do fechamento de 31/12/2020 para apuração de valores em reais.</w:t>
            </w:r>
          </w:p>
          <w:p w14:paraId="7B5253C2" w14:textId="7016684D" w:rsidR="00B213EC" w:rsidRPr="00D65408" w:rsidRDefault="00B213EC" w:rsidP="00D65408">
            <w:pPr>
              <w:spacing w:after="0" w:line="240" w:lineRule="auto"/>
              <w:jc w:val="both"/>
              <w:rPr>
                <w:rFonts w:eastAsia="Calibri" w:cstheme="minorHAnsi"/>
                <w:i/>
                <w:iCs/>
                <w:sz w:val="18"/>
                <w:szCs w:val="18"/>
                <w:vertAlign w:val="superscript"/>
              </w:rPr>
            </w:pPr>
            <w:r w:rsidRPr="00D65408">
              <w:rPr>
                <w:rFonts w:eastAsia="Calibri" w:cstheme="minorHAnsi"/>
                <w:b/>
                <w:bCs/>
                <w:i/>
                <w:iCs/>
                <w:sz w:val="18"/>
                <w:szCs w:val="18"/>
              </w:rPr>
              <w:t>Fonte e elaboração</w:t>
            </w:r>
            <w:r w:rsidRPr="00D65408">
              <w:rPr>
                <w:rFonts w:eastAsia="Calibri" w:cstheme="minorHAnsi"/>
                <w:i/>
                <w:iCs/>
                <w:sz w:val="18"/>
                <w:szCs w:val="18"/>
              </w:rPr>
              <w:t>: STN/ME.</w:t>
            </w:r>
          </w:p>
        </w:tc>
      </w:tr>
    </w:tbl>
    <w:p w14:paraId="55B1A8FC" w14:textId="54ACE645" w:rsidR="00C34A81" w:rsidRPr="00C76704" w:rsidRDefault="00C34A81" w:rsidP="5F53DBAA">
      <w:pPr>
        <w:spacing w:after="120" w:line="240" w:lineRule="auto"/>
        <w:jc w:val="both"/>
        <w:rPr>
          <w:sz w:val="24"/>
          <w:szCs w:val="24"/>
        </w:rPr>
      </w:pPr>
    </w:p>
    <w:p w14:paraId="213995C7" w14:textId="0091DFDD" w:rsidR="00C34A81" w:rsidRPr="00FD0C26" w:rsidRDefault="51D63CE3" w:rsidP="5F53DBAA">
      <w:pPr>
        <w:spacing w:after="120" w:line="240" w:lineRule="auto"/>
        <w:ind w:firstLine="1418"/>
        <w:jc w:val="both"/>
        <w:rPr>
          <w:rFonts w:ascii="Calibri" w:eastAsia="Calibri" w:hAnsi="Calibri" w:cs="Calibri"/>
          <w:w w:val="105"/>
          <w:sz w:val="24"/>
          <w:szCs w:val="24"/>
        </w:rPr>
      </w:pPr>
      <w:r w:rsidRPr="5F53DBAA">
        <w:rPr>
          <w:rFonts w:ascii="Calibri" w:eastAsia="Calibri" w:hAnsi="Calibri" w:cs="Calibri"/>
          <w:sz w:val="24"/>
          <w:szCs w:val="24"/>
        </w:rPr>
        <w:t>Ao final do 3º quadrimestre de 2020, o saldo da dívida garantida em operações de crédito alcançou R$ 29</w:t>
      </w:r>
      <w:r w:rsidR="00CE7941">
        <w:rPr>
          <w:rFonts w:ascii="Calibri" w:eastAsia="Calibri" w:hAnsi="Calibri" w:cs="Calibri"/>
          <w:sz w:val="24"/>
          <w:szCs w:val="24"/>
        </w:rPr>
        <w:t>6,0</w:t>
      </w:r>
      <w:r w:rsidRPr="5F53DBAA">
        <w:rPr>
          <w:rFonts w:ascii="Calibri" w:eastAsia="Calibri" w:hAnsi="Calibri" w:cs="Calibri"/>
          <w:sz w:val="24"/>
          <w:szCs w:val="24"/>
        </w:rPr>
        <w:t xml:space="preserve"> bilhões, com a dívida garantida em operações de crédito externas respondendo por R$ 181,9 bilhões, equivalente a 61,46% do total, enquanto a dívida garantida em operações de crédito internas representa R$ 114,</w:t>
      </w:r>
      <w:r w:rsidR="00CE7941">
        <w:rPr>
          <w:rFonts w:ascii="Calibri" w:eastAsia="Calibri" w:hAnsi="Calibri" w:cs="Calibri"/>
          <w:sz w:val="24"/>
          <w:szCs w:val="24"/>
        </w:rPr>
        <w:t>1</w:t>
      </w:r>
      <w:r w:rsidRPr="5F53DBAA">
        <w:rPr>
          <w:rFonts w:ascii="Calibri" w:eastAsia="Calibri" w:hAnsi="Calibri" w:cs="Calibri"/>
          <w:sz w:val="24"/>
          <w:szCs w:val="24"/>
        </w:rPr>
        <w:t xml:space="preserve"> bilhões, 38,54% do total. O saldo devedor das operações de crédito garantidas pela União apresenta um crescimento de aproximadamente 32,79% no período entre dezembro de 2015 e dezembro de 2020, saindo de R$ 222,9 bilhões para os atuais R$ 296,0 bilhões.</w:t>
      </w:r>
    </w:p>
    <w:p w14:paraId="293B7BC2" w14:textId="72836A19" w:rsidR="00AC1799" w:rsidRPr="00FD0C26" w:rsidRDefault="00442321" w:rsidP="6950D9E7">
      <w:pPr>
        <w:spacing w:after="120" w:line="240" w:lineRule="auto"/>
        <w:ind w:firstLine="1418"/>
        <w:jc w:val="both"/>
        <w:rPr>
          <w:w w:val="105"/>
          <w:sz w:val="24"/>
          <w:szCs w:val="24"/>
        </w:rPr>
      </w:pPr>
      <w:r w:rsidRPr="00FD0C26">
        <w:rPr>
          <w:w w:val="105"/>
          <w:sz w:val="24"/>
          <w:szCs w:val="24"/>
        </w:rPr>
        <w:t xml:space="preserve">A </w:t>
      </w:r>
      <w:r w:rsidR="00E20D8B" w:rsidRPr="00E20D8B">
        <w:rPr>
          <w:w w:val="105"/>
          <w:sz w:val="24"/>
          <w:szCs w:val="24"/>
        </w:rPr>
        <w:fldChar w:fldCharType="begin"/>
      </w:r>
      <w:r w:rsidR="00E20D8B" w:rsidRPr="00E20D8B">
        <w:rPr>
          <w:w w:val="105"/>
          <w:sz w:val="24"/>
          <w:szCs w:val="24"/>
        </w:rPr>
        <w:instrText xml:space="preserve"> REF _Ref67482312 \h </w:instrText>
      </w:r>
      <w:r w:rsidR="00E20D8B">
        <w:rPr>
          <w:w w:val="105"/>
          <w:sz w:val="24"/>
          <w:szCs w:val="24"/>
        </w:rPr>
        <w:instrText xml:space="preserve"> \* MERGEFORMAT </w:instrText>
      </w:r>
      <w:r w:rsidR="00E20D8B" w:rsidRPr="00E20D8B">
        <w:rPr>
          <w:w w:val="105"/>
          <w:sz w:val="24"/>
          <w:szCs w:val="24"/>
        </w:rPr>
      </w:r>
      <w:r w:rsidR="00E20D8B" w:rsidRPr="00E20D8B">
        <w:rPr>
          <w:w w:val="105"/>
          <w:sz w:val="24"/>
          <w:szCs w:val="24"/>
        </w:rPr>
        <w:fldChar w:fldCharType="separate"/>
      </w:r>
      <w:r w:rsidR="00304F5F" w:rsidRPr="00304F5F">
        <w:rPr>
          <w:sz w:val="24"/>
          <w:szCs w:val="24"/>
        </w:rPr>
        <w:t xml:space="preserve">Tabela </w:t>
      </w:r>
      <w:r w:rsidR="00304F5F" w:rsidRPr="00304F5F">
        <w:rPr>
          <w:noProof/>
          <w:sz w:val="24"/>
          <w:szCs w:val="24"/>
        </w:rPr>
        <w:t>27</w:t>
      </w:r>
      <w:r w:rsidR="00E20D8B" w:rsidRPr="00E20D8B">
        <w:rPr>
          <w:w w:val="105"/>
          <w:sz w:val="24"/>
          <w:szCs w:val="24"/>
        </w:rPr>
        <w:fldChar w:fldCharType="end"/>
      </w:r>
      <w:r w:rsidR="001931BA" w:rsidRPr="00FD0C26">
        <w:rPr>
          <w:w w:val="105"/>
          <w:sz w:val="24"/>
          <w:szCs w:val="24"/>
        </w:rPr>
        <w:t xml:space="preserve"> demonstra</w:t>
      </w:r>
      <w:r w:rsidRPr="00FD0C26">
        <w:rPr>
          <w:w w:val="105"/>
          <w:sz w:val="24"/>
          <w:szCs w:val="24"/>
        </w:rPr>
        <w:t xml:space="preserve"> as estimativas</w:t>
      </w:r>
      <w:r w:rsidR="00DB7EB2" w:rsidRPr="00FD0C26">
        <w:rPr>
          <w:w w:val="105"/>
          <w:sz w:val="24"/>
          <w:szCs w:val="24"/>
        </w:rPr>
        <w:t xml:space="preserve"> de saldo devedor</w:t>
      </w:r>
      <w:r w:rsidR="00542010" w:rsidRPr="00FD0C26">
        <w:rPr>
          <w:w w:val="105"/>
          <w:sz w:val="24"/>
          <w:szCs w:val="24"/>
        </w:rPr>
        <w:t xml:space="preserve"> das garantias em operações de crédito</w:t>
      </w:r>
      <w:r w:rsidR="00B2574F" w:rsidRPr="00FD0C26">
        <w:rPr>
          <w:w w:val="105"/>
          <w:sz w:val="24"/>
          <w:szCs w:val="24"/>
        </w:rPr>
        <w:t xml:space="preserve"> e, também, </w:t>
      </w:r>
      <w:r w:rsidR="00AF012E" w:rsidRPr="00FD0C26">
        <w:rPr>
          <w:w w:val="105"/>
          <w:sz w:val="24"/>
          <w:szCs w:val="24"/>
        </w:rPr>
        <w:t>de honras</w:t>
      </w:r>
      <w:r w:rsidR="00C74272" w:rsidRPr="00FD0C26">
        <w:rPr>
          <w:w w:val="105"/>
          <w:sz w:val="24"/>
          <w:szCs w:val="24"/>
        </w:rPr>
        <w:t xml:space="preserve"> de garantias</w:t>
      </w:r>
      <w:r w:rsidR="00EE3BDE" w:rsidRPr="00FD0C26">
        <w:rPr>
          <w:w w:val="105"/>
          <w:sz w:val="24"/>
          <w:szCs w:val="24"/>
        </w:rPr>
        <w:t xml:space="preserve"> para o </w:t>
      </w:r>
      <w:proofErr w:type="gramStart"/>
      <w:r w:rsidR="00EE3BDE" w:rsidRPr="00FD0C26">
        <w:rPr>
          <w:w w:val="105"/>
          <w:sz w:val="24"/>
          <w:szCs w:val="24"/>
        </w:rPr>
        <w:t>atual e próximos</w:t>
      </w:r>
      <w:proofErr w:type="gramEnd"/>
      <w:r w:rsidR="00EE3BDE" w:rsidRPr="00FD0C26">
        <w:rPr>
          <w:w w:val="105"/>
          <w:sz w:val="24"/>
          <w:szCs w:val="24"/>
        </w:rPr>
        <w:t xml:space="preserve"> três exercícios</w:t>
      </w:r>
      <w:r w:rsidR="00020265" w:rsidRPr="00FD0C26">
        <w:rPr>
          <w:w w:val="105"/>
          <w:sz w:val="24"/>
          <w:szCs w:val="24"/>
        </w:rPr>
        <w:t>.</w:t>
      </w:r>
      <w:r w:rsidR="006A7E49" w:rsidRPr="00FD0C26">
        <w:rPr>
          <w:w w:val="105"/>
          <w:sz w:val="24"/>
          <w:szCs w:val="24"/>
        </w:rPr>
        <w:t xml:space="preserve"> A previsão de honras apresenta os valores projetados de pagamentos de garantias da União em obrigações de entes abrigados pelo Regime de Recuperação Fiscal </w:t>
      </w:r>
      <w:r w:rsidR="000A2073" w:rsidRPr="00FD0C26">
        <w:rPr>
          <w:w w:val="105"/>
          <w:sz w:val="24"/>
          <w:szCs w:val="24"/>
        </w:rPr>
        <w:t>(</w:t>
      </w:r>
      <w:r w:rsidR="006A7E49" w:rsidRPr="00FD0C26">
        <w:rPr>
          <w:w w:val="105"/>
          <w:sz w:val="24"/>
          <w:szCs w:val="24"/>
        </w:rPr>
        <w:t>RRF</w:t>
      </w:r>
      <w:r w:rsidR="000A2073" w:rsidRPr="00FD0C26">
        <w:rPr>
          <w:w w:val="105"/>
          <w:sz w:val="24"/>
          <w:szCs w:val="24"/>
        </w:rPr>
        <w:t>)</w:t>
      </w:r>
      <w:r w:rsidR="006A7E49" w:rsidRPr="00FD0C26">
        <w:rPr>
          <w:w w:val="105"/>
          <w:sz w:val="24"/>
          <w:szCs w:val="24"/>
        </w:rPr>
        <w:t xml:space="preserve"> </w:t>
      </w:r>
      <w:r w:rsidR="0F2BB4AF" w:rsidRPr="00FD0C26">
        <w:rPr>
          <w:w w:val="105"/>
          <w:sz w:val="24"/>
          <w:szCs w:val="24"/>
        </w:rPr>
        <w:t>ou em condi</w:t>
      </w:r>
      <w:r w:rsidR="0F2BB4AF" w:rsidRPr="6950D9E7">
        <w:rPr>
          <w:sz w:val="24"/>
          <w:szCs w:val="24"/>
        </w:rPr>
        <w:t>ções de ades</w:t>
      </w:r>
      <w:r w:rsidR="6EDCD39A" w:rsidRPr="6950D9E7">
        <w:rPr>
          <w:sz w:val="24"/>
          <w:szCs w:val="24"/>
        </w:rPr>
        <w:t xml:space="preserve">ão, </w:t>
      </w:r>
      <w:r w:rsidR="006A7E49" w:rsidRPr="00FD0C26">
        <w:rPr>
          <w:w w:val="105"/>
          <w:sz w:val="24"/>
          <w:szCs w:val="24"/>
        </w:rPr>
        <w:t xml:space="preserve">e de entes </w:t>
      </w:r>
      <w:proofErr w:type="gramStart"/>
      <w:r w:rsidR="006A7E49" w:rsidRPr="00FD0C26">
        <w:rPr>
          <w:w w:val="105"/>
          <w:sz w:val="24"/>
          <w:szCs w:val="24"/>
        </w:rPr>
        <w:t>que</w:t>
      </w:r>
      <w:proofErr w:type="gramEnd"/>
      <w:r w:rsidR="006A7E49" w:rsidRPr="00FD0C26">
        <w:rPr>
          <w:w w:val="105"/>
          <w:sz w:val="24"/>
          <w:szCs w:val="24"/>
        </w:rPr>
        <w:t xml:space="preserve"> vem tendo seus compromissos honrados pela União e que se encontram amparados por liminares expedidas pelo STF impedindo a regular execução de </w:t>
      </w:r>
      <w:proofErr w:type="spellStart"/>
      <w:r w:rsidR="006A7E49" w:rsidRPr="00FD0C26">
        <w:rPr>
          <w:w w:val="105"/>
          <w:sz w:val="24"/>
          <w:szCs w:val="24"/>
        </w:rPr>
        <w:t>contragarantias</w:t>
      </w:r>
      <w:proofErr w:type="spellEnd"/>
      <w:r w:rsidR="006A7E49" w:rsidRPr="00FD0C26">
        <w:rPr>
          <w:w w:val="105"/>
          <w:sz w:val="24"/>
          <w:szCs w:val="24"/>
        </w:rPr>
        <w:t>.</w:t>
      </w:r>
    </w:p>
    <w:p w14:paraId="249E2BC4" w14:textId="0208E019" w:rsidR="6C113485" w:rsidRDefault="00A64B29" w:rsidP="6950D9E7">
      <w:pPr>
        <w:jc w:val="center"/>
      </w:pPr>
      <w:bookmarkStart w:id="270" w:name="_Ref67482312"/>
      <w:bookmarkStart w:id="271" w:name="_Toc69121373"/>
      <w:r>
        <w:lastRenderedPageBreak/>
        <w:t xml:space="preserve">Tabela </w:t>
      </w:r>
      <w:fldSimple w:instr=" SEQ Tabela \* ARABIC ">
        <w:r w:rsidR="00304F5F">
          <w:rPr>
            <w:noProof/>
          </w:rPr>
          <w:t>27</w:t>
        </w:r>
      </w:fldSimple>
      <w:bookmarkEnd w:id="270"/>
      <w:r>
        <w:t xml:space="preserve"> - </w:t>
      </w:r>
      <w:r w:rsidR="6C113485" w:rsidRPr="00882B3F">
        <w:rPr>
          <w:rFonts w:ascii="Calibri" w:eastAsia="Calibri" w:hAnsi="Calibri" w:cs="Calibri"/>
        </w:rPr>
        <w:t>Estimativas: Saldo Devedor e Honras de Garantias de Operações de Crédito</w:t>
      </w:r>
      <w:bookmarkEnd w:id="271"/>
    </w:p>
    <w:tbl>
      <w:tblPr>
        <w:tblW w:w="0" w:type="auto"/>
        <w:jc w:val="center"/>
        <w:tblLayout w:type="fixed"/>
        <w:tblLook w:val="04A0" w:firstRow="1" w:lastRow="0" w:firstColumn="1" w:lastColumn="0" w:noHBand="0" w:noVBand="1"/>
      </w:tblPr>
      <w:tblGrid>
        <w:gridCol w:w="1983"/>
        <w:gridCol w:w="736"/>
        <w:gridCol w:w="736"/>
        <w:gridCol w:w="736"/>
        <w:gridCol w:w="736"/>
      </w:tblGrid>
      <w:tr w:rsidR="6950D9E7" w14:paraId="56FA28CE" w14:textId="77777777" w:rsidTr="00C71F54">
        <w:trPr>
          <w:trHeight w:val="15"/>
          <w:tblHeader/>
          <w:jc w:val="center"/>
        </w:trPr>
        <w:tc>
          <w:tcPr>
            <w:tcW w:w="4927" w:type="dxa"/>
            <w:gridSpan w:val="5"/>
            <w:tcBorders>
              <w:top w:val="nil"/>
              <w:left w:val="nil"/>
              <w:bottom w:val="single" w:sz="8" w:space="0" w:color="BFBFBF" w:themeColor="background1" w:themeShade="BF"/>
              <w:right w:val="nil"/>
            </w:tcBorders>
          </w:tcPr>
          <w:p w14:paraId="120CF913" w14:textId="4EFF1BE5" w:rsidR="6950D9E7" w:rsidRPr="00C71F54" w:rsidRDefault="6950D9E7" w:rsidP="00C71F54">
            <w:pPr>
              <w:spacing w:after="0" w:line="240" w:lineRule="auto"/>
              <w:jc w:val="right"/>
              <w:rPr>
                <w:i/>
                <w:sz w:val="16"/>
                <w:szCs w:val="16"/>
              </w:rPr>
            </w:pPr>
            <w:r w:rsidRPr="00C71F54">
              <w:rPr>
                <w:i/>
                <w:sz w:val="16"/>
                <w:szCs w:val="16"/>
              </w:rPr>
              <w:t>Em R$ bilhões</w:t>
            </w:r>
          </w:p>
        </w:tc>
      </w:tr>
      <w:tr w:rsidR="00CA033E" w:rsidRPr="00DC0571" w14:paraId="0956A3D6" w14:textId="77777777" w:rsidTr="00C71F54">
        <w:trPr>
          <w:trHeight w:val="15"/>
          <w:tblHeader/>
          <w:jc w:val="center"/>
        </w:trPr>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48C835A1" w14:textId="723D31B3" w:rsidR="6950D9E7" w:rsidRPr="00CA033E" w:rsidRDefault="6950D9E7" w:rsidP="00C71F54">
            <w:pPr>
              <w:spacing w:after="0" w:line="240" w:lineRule="auto"/>
              <w:jc w:val="center"/>
              <w:rPr>
                <w:b/>
                <w:bCs/>
                <w:color w:val="FFFFFF" w:themeColor="background1"/>
                <w:sz w:val="20"/>
                <w:szCs w:val="20"/>
              </w:rPr>
            </w:pPr>
            <w:r w:rsidRPr="00CA033E">
              <w:rPr>
                <w:rFonts w:ascii="Calibri" w:eastAsia="Calibri" w:hAnsi="Calibri" w:cs="Calibri"/>
                <w:b/>
                <w:bCs/>
                <w:color w:val="FFFFFF" w:themeColor="background1"/>
                <w:sz w:val="20"/>
                <w:szCs w:val="20"/>
              </w:rPr>
              <w:t>Estimativas</w:t>
            </w:r>
          </w:p>
        </w:tc>
        <w:tc>
          <w:tcPr>
            <w:tcW w:w="73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15E77D0C" w14:textId="6E408041" w:rsidR="6950D9E7" w:rsidRPr="00CA033E" w:rsidRDefault="6950D9E7" w:rsidP="00C71F54">
            <w:pPr>
              <w:spacing w:after="0" w:line="240" w:lineRule="auto"/>
              <w:jc w:val="center"/>
              <w:rPr>
                <w:b/>
                <w:bCs/>
                <w:color w:val="FFFFFF" w:themeColor="background1"/>
                <w:sz w:val="20"/>
                <w:szCs w:val="20"/>
              </w:rPr>
            </w:pPr>
            <w:r w:rsidRPr="00CA033E">
              <w:rPr>
                <w:rFonts w:ascii="Calibri" w:eastAsia="Calibri" w:hAnsi="Calibri" w:cs="Calibri"/>
                <w:b/>
                <w:bCs/>
                <w:color w:val="FFFFFF" w:themeColor="background1"/>
                <w:sz w:val="20"/>
                <w:szCs w:val="20"/>
              </w:rPr>
              <w:t>2021</w:t>
            </w:r>
          </w:p>
        </w:tc>
        <w:tc>
          <w:tcPr>
            <w:tcW w:w="73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65A891D8" w14:textId="15D14C3C" w:rsidR="6950D9E7" w:rsidRPr="00CA033E" w:rsidRDefault="6950D9E7" w:rsidP="00C71F54">
            <w:pPr>
              <w:spacing w:after="0" w:line="240" w:lineRule="auto"/>
              <w:jc w:val="center"/>
              <w:rPr>
                <w:b/>
                <w:bCs/>
                <w:color w:val="FFFFFF" w:themeColor="background1"/>
                <w:sz w:val="20"/>
                <w:szCs w:val="20"/>
              </w:rPr>
            </w:pPr>
            <w:r w:rsidRPr="00CA033E">
              <w:rPr>
                <w:rFonts w:ascii="Calibri" w:eastAsia="Calibri" w:hAnsi="Calibri" w:cs="Calibri"/>
                <w:b/>
                <w:bCs/>
                <w:color w:val="FFFFFF" w:themeColor="background1"/>
                <w:sz w:val="20"/>
                <w:szCs w:val="20"/>
              </w:rPr>
              <w:t>2022</w:t>
            </w:r>
          </w:p>
        </w:tc>
        <w:tc>
          <w:tcPr>
            <w:tcW w:w="73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1BFB0CC" w14:textId="6BDA0CC5" w:rsidR="6950D9E7" w:rsidRPr="00CA033E" w:rsidRDefault="6950D9E7" w:rsidP="00C71F54">
            <w:pPr>
              <w:spacing w:after="0" w:line="240" w:lineRule="auto"/>
              <w:jc w:val="center"/>
              <w:rPr>
                <w:b/>
                <w:bCs/>
                <w:color w:val="FFFFFF" w:themeColor="background1"/>
                <w:sz w:val="20"/>
                <w:szCs w:val="20"/>
              </w:rPr>
            </w:pPr>
            <w:r w:rsidRPr="00CA033E">
              <w:rPr>
                <w:rFonts w:ascii="Calibri" w:eastAsia="Calibri" w:hAnsi="Calibri" w:cs="Calibri"/>
                <w:b/>
                <w:bCs/>
                <w:color w:val="FFFFFF" w:themeColor="background1"/>
                <w:sz w:val="20"/>
                <w:szCs w:val="20"/>
              </w:rPr>
              <w:t>2023</w:t>
            </w:r>
          </w:p>
        </w:tc>
        <w:tc>
          <w:tcPr>
            <w:tcW w:w="73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1BD89BC3" w14:textId="1094FE4E" w:rsidR="6950D9E7" w:rsidRPr="00CA033E" w:rsidRDefault="6950D9E7" w:rsidP="00C71F54">
            <w:pPr>
              <w:spacing w:after="0" w:line="240" w:lineRule="auto"/>
              <w:jc w:val="center"/>
              <w:rPr>
                <w:b/>
                <w:bCs/>
                <w:color w:val="FFFFFF" w:themeColor="background1"/>
                <w:sz w:val="20"/>
                <w:szCs w:val="20"/>
              </w:rPr>
            </w:pPr>
            <w:r w:rsidRPr="00CA033E">
              <w:rPr>
                <w:rFonts w:ascii="Calibri" w:eastAsia="Calibri" w:hAnsi="Calibri" w:cs="Calibri"/>
                <w:b/>
                <w:bCs/>
                <w:color w:val="FFFFFF" w:themeColor="background1"/>
                <w:sz w:val="20"/>
                <w:szCs w:val="20"/>
              </w:rPr>
              <w:t>2024</w:t>
            </w:r>
          </w:p>
        </w:tc>
      </w:tr>
      <w:tr w:rsidR="6950D9E7" w14:paraId="5C608907" w14:textId="77777777" w:rsidTr="00882B3F">
        <w:trPr>
          <w:trHeight w:val="15"/>
          <w:jc w:val="center"/>
        </w:trPr>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EB1FEB5" w14:textId="065A8F64" w:rsidR="6950D9E7" w:rsidRPr="00C71F54" w:rsidRDefault="6950D9E7" w:rsidP="00C71F54">
            <w:pPr>
              <w:spacing w:after="0" w:line="240" w:lineRule="auto"/>
              <w:rPr>
                <w:sz w:val="18"/>
                <w:szCs w:val="18"/>
              </w:rPr>
            </w:pPr>
            <w:r w:rsidRPr="00C71F54">
              <w:rPr>
                <w:rFonts w:ascii="Calibri" w:eastAsia="Calibri" w:hAnsi="Calibri" w:cs="Calibri"/>
                <w:sz w:val="18"/>
                <w:szCs w:val="18"/>
              </w:rPr>
              <w:t xml:space="preserve">Saldo Dev. </w:t>
            </w:r>
            <w:proofErr w:type="gramStart"/>
            <w:r w:rsidRPr="00C71F54">
              <w:rPr>
                <w:rFonts w:ascii="Calibri" w:eastAsia="Calibri" w:hAnsi="Calibri" w:cs="Calibri"/>
                <w:sz w:val="18"/>
                <w:szCs w:val="18"/>
              </w:rPr>
              <w:t>das</w:t>
            </w:r>
            <w:proofErr w:type="gramEnd"/>
            <w:r w:rsidRPr="00C71F54">
              <w:rPr>
                <w:rFonts w:ascii="Calibri" w:eastAsia="Calibri" w:hAnsi="Calibri" w:cs="Calibri"/>
                <w:sz w:val="18"/>
                <w:szCs w:val="18"/>
              </w:rPr>
              <w:t xml:space="preserve"> Garantias de Op. </w:t>
            </w:r>
            <w:proofErr w:type="spellStart"/>
            <w:r w:rsidRPr="00C71F54">
              <w:rPr>
                <w:rFonts w:ascii="Calibri" w:eastAsia="Calibri" w:hAnsi="Calibri" w:cs="Calibri"/>
                <w:sz w:val="18"/>
                <w:szCs w:val="18"/>
              </w:rPr>
              <w:t>Cred</w:t>
            </w:r>
            <w:proofErr w:type="spellEnd"/>
            <w:r w:rsidRPr="00C71F54">
              <w:rPr>
                <w:rFonts w:ascii="Calibri" w:eastAsia="Calibri" w:hAnsi="Calibri" w:cs="Calibri"/>
                <w:sz w:val="18"/>
                <w:szCs w:val="18"/>
              </w:rPr>
              <w:t>. (Posição)</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79872F1" w14:textId="142B3E01"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298,7</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B3CF530" w14:textId="063A964A"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287,7</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E2DC703" w14:textId="152B3C2D"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275,9</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8CE3D25" w14:textId="3EFAC052"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263,6</w:t>
            </w:r>
          </w:p>
        </w:tc>
      </w:tr>
      <w:tr w:rsidR="6950D9E7" w14:paraId="02F39EB0" w14:textId="77777777" w:rsidTr="00882B3F">
        <w:trPr>
          <w:trHeight w:val="15"/>
          <w:jc w:val="center"/>
        </w:trPr>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27A33F" w14:textId="7531BA47" w:rsidR="6950D9E7" w:rsidRPr="00C71F54" w:rsidRDefault="6950D9E7" w:rsidP="00C71F54">
            <w:pPr>
              <w:spacing w:after="0" w:line="240" w:lineRule="auto"/>
              <w:rPr>
                <w:sz w:val="18"/>
                <w:szCs w:val="18"/>
              </w:rPr>
            </w:pPr>
            <w:r w:rsidRPr="00C71F54">
              <w:rPr>
                <w:rFonts w:ascii="Calibri" w:eastAsia="Calibri" w:hAnsi="Calibri" w:cs="Calibri"/>
                <w:sz w:val="18"/>
                <w:szCs w:val="18"/>
              </w:rPr>
              <w:t xml:space="preserve">Honras de Garantias a Op. </w:t>
            </w:r>
            <w:proofErr w:type="spellStart"/>
            <w:r w:rsidRPr="00C71F54">
              <w:rPr>
                <w:rFonts w:ascii="Calibri" w:eastAsia="Calibri" w:hAnsi="Calibri" w:cs="Calibri"/>
                <w:sz w:val="18"/>
                <w:szCs w:val="18"/>
              </w:rPr>
              <w:t>Cred</w:t>
            </w:r>
            <w:proofErr w:type="spellEnd"/>
            <w:r w:rsidRPr="00C71F54">
              <w:rPr>
                <w:rFonts w:ascii="Calibri" w:eastAsia="Calibri" w:hAnsi="Calibri" w:cs="Calibri"/>
                <w:sz w:val="18"/>
                <w:szCs w:val="18"/>
              </w:rPr>
              <w:t>. (Fluxo)</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1682A3" w14:textId="478ED6B6"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9,5</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D92385" w14:textId="40EFB672"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9,4</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98F20E" w14:textId="6ACB8187"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9,2</w:t>
            </w:r>
          </w:p>
        </w:tc>
        <w:tc>
          <w:tcPr>
            <w:tcW w:w="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6B155D" w14:textId="74DCD9D8" w:rsidR="6950D9E7" w:rsidRPr="00C71F54" w:rsidRDefault="6950D9E7" w:rsidP="00C71F54">
            <w:pPr>
              <w:spacing w:after="0" w:line="240" w:lineRule="auto"/>
              <w:jc w:val="right"/>
              <w:rPr>
                <w:sz w:val="18"/>
                <w:szCs w:val="18"/>
              </w:rPr>
            </w:pPr>
            <w:r w:rsidRPr="00C71F54">
              <w:rPr>
                <w:rFonts w:ascii="Calibri" w:eastAsia="Calibri" w:hAnsi="Calibri" w:cs="Calibri"/>
                <w:sz w:val="18"/>
                <w:szCs w:val="18"/>
              </w:rPr>
              <w:t>9,1</w:t>
            </w:r>
          </w:p>
        </w:tc>
      </w:tr>
      <w:tr w:rsidR="6950D9E7" w14:paraId="7E4F6041" w14:textId="77777777" w:rsidTr="00882B3F">
        <w:trPr>
          <w:trHeight w:val="15"/>
          <w:jc w:val="center"/>
        </w:trPr>
        <w:tc>
          <w:tcPr>
            <w:tcW w:w="4927" w:type="dxa"/>
            <w:gridSpan w:val="5"/>
            <w:tcBorders>
              <w:top w:val="single" w:sz="8" w:space="0" w:color="BFBFBF" w:themeColor="background1" w:themeShade="BF"/>
              <w:left w:val="nil"/>
              <w:bottom w:val="nil"/>
              <w:right w:val="nil"/>
            </w:tcBorders>
          </w:tcPr>
          <w:p w14:paraId="61FD7579" w14:textId="43EF6466" w:rsidR="6950D9E7" w:rsidRPr="00C71F54" w:rsidRDefault="6950D9E7" w:rsidP="00C71F54">
            <w:pPr>
              <w:spacing w:after="0" w:line="240" w:lineRule="auto"/>
              <w:rPr>
                <w:sz w:val="18"/>
                <w:szCs w:val="18"/>
              </w:rPr>
            </w:pPr>
            <w:r w:rsidRPr="00C71F54">
              <w:rPr>
                <w:rFonts w:ascii="Calibri" w:eastAsia="Calibri" w:hAnsi="Calibri" w:cs="Calibri"/>
                <w:b/>
                <w:bCs/>
                <w:i/>
                <w:iCs/>
                <w:sz w:val="18"/>
                <w:szCs w:val="18"/>
              </w:rPr>
              <w:t>Fonte e elaboração</w:t>
            </w:r>
            <w:r w:rsidRPr="00C71F54">
              <w:rPr>
                <w:rFonts w:ascii="Calibri" w:eastAsia="Calibri" w:hAnsi="Calibri" w:cs="Calibri"/>
                <w:i/>
                <w:iCs/>
                <w:sz w:val="18"/>
                <w:szCs w:val="18"/>
              </w:rPr>
              <w:t>: STN/ME.</w:t>
            </w:r>
          </w:p>
        </w:tc>
      </w:tr>
    </w:tbl>
    <w:p w14:paraId="217DB396" w14:textId="425F28B3" w:rsidR="6950D9E7" w:rsidRDefault="6950D9E7" w:rsidP="6950D9E7">
      <w:pPr>
        <w:spacing w:after="120" w:line="240" w:lineRule="auto"/>
        <w:ind w:firstLine="1418"/>
        <w:jc w:val="both"/>
        <w:rPr>
          <w:sz w:val="24"/>
          <w:szCs w:val="24"/>
        </w:rPr>
      </w:pPr>
    </w:p>
    <w:p w14:paraId="45065041" w14:textId="33557FC4" w:rsidR="000D17A6" w:rsidRPr="00FD0C26" w:rsidRDefault="000D17A6" w:rsidP="000D17A6">
      <w:pPr>
        <w:spacing w:after="120" w:line="240" w:lineRule="auto"/>
        <w:ind w:firstLine="1418"/>
        <w:jc w:val="both"/>
        <w:rPr>
          <w:w w:val="105"/>
          <w:sz w:val="24"/>
          <w:szCs w:val="24"/>
        </w:rPr>
      </w:pPr>
      <w:r w:rsidRPr="00FD0C26">
        <w:rPr>
          <w:w w:val="105"/>
          <w:sz w:val="24"/>
          <w:szCs w:val="24"/>
        </w:rPr>
        <w:t>A</w:t>
      </w:r>
      <w:r w:rsidR="00043020" w:rsidRPr="00FD0C26">
        <w:rPr>
          <w:w w:val="105"/>
          <w:sz w:val="24"/>
          <w:szCs w:val="24"/>
        </w:rPr>
        <w:t xml:space="preserve"> </w:t>
      </w:r>
      <w:r w:rsidR="00E20D8B" w:rsidRPr="00E20D8B">
        <w:rPr>
          <w:w w:val="105"/>
          <w:sz w:val="24"/>
          <w:szCs w:val="24"/>
        </w:rPr>
        <w:fldChar w:fldCharType="begin"/>
      </w:r>
      <w:r w:rsidR="00E20D8B" w:rsidRPr="00E20D8B">
        <w:rPr>
          <w:w w:val="105"/>
          <w:sz w:val="24"/>
          <w:szCs w:val="24"/>
        </w:rPr>
        <w:instrText xml:space="preserve"> REF _Ref67482483 \h </w:instrText>
      </w:r>
      <w:r w:rsidR="00E20D8B">
        <w:rPr>
          <w:w w:val="105"/>
          <w:sz w:val="24"/>
          <w:szCs w:val="24"/>
        </w:rPr>
        <w:instrText xml:space="preserve"> \* MERGEFORMAT </w:instrText>
      </w:r>
      <w:r w:rsidR="00E20D8B" w:rsidRPr="00E20D8B">
        <w:rPr>
          <w:w w:val="105"/>
          <w:sz w:val="24"/>
          <w:szCs w:val="24"/>
        </w:rPr>
      </w:r>
      <w:r w:rsidR="00E20D8B" w:rsidRPr="00E20D8B">
        <w:rPr>
          <w:w w:val="105"/>
          <w:sz w:val="24"/>
          <w:szCs w:val="24"/>
        </w:rPr>
        <w:fldChar w:fldCharType="separate"/>
      </w:r>
      <w:r w:rsidR="00304F5F" w:rsidRPr="00304F5F">
        <w:rPr>
          <w:sz w:val="24"/>
          <w:szCs w:val="24"/>
        </w:rPr>
        <w:t xml:space="preserve">Tabela </w:t>
      </w:r>
      <w:r w:rsidR="00304F5F" w:rsidRPr="00304F5F">
        <w:rPr>
          <w:noProof/>
          <w:sz w:val="24"/>
          <w:szCs w:val="24"/>
        </w:rPr>
        <w:t>28</w:t>
      </w:r>
      <w:r w:rsidR="00E20D8B" w:rsidRPr="00E20D8B">
        <w:rPr>
          <w:w w:val="105"/>
          <w:sz w:val="24"/>
          <w:szCs w:val="24"/>
        </w:rPr>
        <w:fldChar w:fldCharType="end"/>
      </w:r>
      <w:r w:rsidRPr="00FD0C26">
        <w:rPr>
          <w:w w:val="105"/>
          <w:sz w:val="24"/>
          <w:szCs w:val="24"/>
        </w:rPr>
        <w:t xml:space="preserve"> </w:t>
      </w:r>
      <w:r w:rsidR="00FD0C26">
        <w:rPr>
          <w:w w:val="105"/>
          <w:sz w:val="24"/>
          <w:szCs w:val="24"/>
        </w:rPr>
        <w:t>apresenta</w:t>
      </w:r>
      <w:r w:rsidRPr="00FD0C26">
        <w:rPr>
          <w:w w:val="105"/>
          <w:sz w:val="24"/>
          <w:szCs w:val="24"/>
        </w:rPr>
        <w:t xml:space="preserve"> o histórico de honras ocorridas entre 1999 e 20</w:t>
      </w:r>
      <w:r w:rsidR="61D62A37" w:rsidRPr="00FD0C26">
        <w:rPr>
          <w:w w:val="105"/>
          <w:sz w:val="24"/>
          <w:szCs w:val="24"/>
        </w:rPr>
        <w:t>20</w:t>
      </w:r>
      <w:r w:rsidR="00D86EF7" w:rsidRPr="00FD0C26">
        <w:rPr>
          <w:w w:val="105"/>
          <w:sz w:val="24"/>
          <w:szCs w:val="24"/>
        </w:rPr>
        <w:t>.</w:t>
      </w:r>
    </w:p>
    <w:p w14:paraId="23D53470" w14:textId="5D224857" w:rsidR="00A64B29" w:rsidRPr="00882B3F" w:rsidRDefault="00A64B29" w:rsidP="00943A1F">
      <w:pPr>
        <w:pStyle w:val="Legenda"/>
        <w:spacing w:before="240" w:after="120"/>
        <w:jc w:val="center"/>
        <w:rPr>
          <w:rFonts w:asciiTheme="minorHAnsi" w:hAnsiTheme="minorHAnsi" w:cstheme="minorHAnsi"/>
          <w:i w:val="0"/>
          <w:color w:val="auto"/>
          <w:sz w:val="22"/>
          <w:szCs w:val="22"/>
        </w:rPr>
      </w:pPr>
      <w:bookmarkStart w:id="272" w:name="_Ref67482483"/>
      <w:bookmarkStart w:id="273" w:name="_Toc69121374"/>
      <w:r w:rsidRPr="00882B3F">
        <w:rPr>
          <w:rFonts w:asciiTheme="minorHAnsi" w:hAnsiTheme="minorHAnsi" w:cstheme="minorHAnsi"/>
          <w:i w:val="0"/>
          <w:color w:val="auto"/>
          <w:sz w:val="22"/>
          <w:szCs w:val="22"/>
        </w:rPr>
        <w:t xml:space="preserve">Tabela </w:t>
      </w:r>
      <w:r w:rsidRPr="00882B3F">
        <w:rPr>
          <w:rFonts w:asciiTheme="minorHAnsi" w:hAnsiTheme="minorHAnsi" w:cstheme="minorHAnsi"/>
          <w:i w:val="0"/>
          <w:color w:val="auto"/>
          <w:sz w:val="22"/>
          <w:szCs w:val="22"/>
        </w:rPr>
        <w:fldChar w:fldCharType="begin"/>
      </w:r>
      <w:r w:rsidRPr="00943A1F">
        <w:rPr>
          <w:rFonts w:asciiTheme="minorHAnsi" w:hAnsiTheme="minorHAnsi" w:cstheme="minorHAnsi"/>
          <w:i w:val="0"/>
          <w:color w:val="auto"/>
          <w:sz w:val="22"/>
          <w:szCs w:val="22"/>
        </w:rPr>
        <w:instrText xml:space="preserve"> SEQ Tabela \* ARABIC </w:instrText>
      </w:r>
      <w:r w:rsidRPr="00882B3F">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28</w:t>
      </w:r>
      <w:r w:rsidRPr="00882B3F">
        <w:rPr>
          <w:rFonts w:asciiTheme="minorHAnsi" w:hAnsiTheme="minorHAnsi" w:cstheme="minorHAnsi"/>
          <w:i w:val="0"/>
          <w:color w:val="auto"/>
          <w:sz w:val="22"/>
          <w:szCs w:val="22"/>
        </w:rPr>
        <w:fldChar w:fldCharType="end"/>
      </w:r>
      <w:bookmarkEnd w:id="272"/>
      <w:r w:rsidRPr="00943A1F">
        <w:rPr>
          <w:rFonts w:asciiTheme="minorHAnsi" w:hAnsiTheme="minorHAnsi" w:cstheme="minorHAnsi"/>
          <w:i w:val="0"/>
          <w:color w:val="auto"/>
          <w:sz w:val="22"/>
          <w:szCs w:val="22"/>
        </w:rPr>
        <w:t xml:space="preserve"> </w:t>
      </w:r>
      <w:r w:rsidRPr="00943A1F">
        <w:rPr>
          <w:rFonts w:asciiTheme="minorHAnsi" w:eastAsia="Calibri" w:hAnsiTheme="minorHAnsi" w:cstheme="minorHAnsi"/>
          <w:i w:val="0"/>
          <w:color w:val="auto"/>
          <w:sz w:val="22"/>
          <w:szCs w:val="22"/>
        </w:rPr>
        <w:t>- Garantias honradas pela União</w:t>
      </w:r>
      <w:bookmarkEnd w:id="273"/>
    </w:p>
    <w:tbl>
      <w:tblPr>
        <w:tblW w:w="0" w:type="auto"/>
        <w:jc w:val="center"/>
        <w:tblLayout w:type="fixed"/>
        <w:tblLook w:val="04A0" w:firstRow="1" w:lastRow="0" w:firstColumn="1" w:lastColumn="0" w:noHBand="0" w:noVBand="1"/>
      </w:tblPr>
      <w:tblGrid>
        <w:gridCol w:w="1224"/>
        <w:gridCol w:w="1557"/>
        <w:gridCol w:w="1583"/>
        <w:gridCol w:w="13"/>
      </w:tblGrid>
      <w:tr w:rsidR="6950D9E7" w14:paraId="79BE4825" w14:textId="77777777" w:rsidTr="00882B3F">
        <w:trPr>
          <w:trHeight w:val="15"/>
          <w:jc w:val="center"/>
        </w:trPr>
        <w:tc>
          <w:tcPr>
            <w:tcW w:w="4377" w:type="dxa"/>
            <w:gridSpan w:val="4"/>
            <w:tcBorders>
              <w:top w:val="nil"/>
              <w:left w:val="nil"/>
              <w:bottom w:val="single" w:sz="8" w:space="0" w:color="BFBFBF" w:themeColor="background1" w:themeShade="BF"/>
              <w:right w:val="nil"/>
            </w:tcBorders>
            <w:vAlign w:val="center"/>
          </w:tcPr>
          <w:p w14:paraId="0B82F8D4" w14:textId="661ACB25" w:rsidR="6950D9E7" w:rsidRPr="00BC6CE0" w:rsidRDefault="6950D9E7" w:rsidP="00F02A71">
            <w:pPr>
              <w:spacing w:after="0" w:line="240" w:lineRule="auto"/>
              <w:jc w:val="right"/>
              <w:rPr>
                <w:rFonts w:cstheme="minorHAnsi"/>
                <w:sz w:val="16"/>
                <w:szCs w:val="16"/>
              </w:rPr>
            </w:pPr>
            <w:r w:rsidRPr="00BC6CE0">
              <w:rPr>
                <w:rFonts w:cstheme="minorHAnsi"/>
                <w:i/>
                <w:sz w:val="16"/>
                <w:szCs w:val="16"/>
              </w:rPr>
              <w:t>Em R$ milhões</w:t>
            </w:r>
          </w:p>
        </w:tc>
      </w:tr>
      <w:tr w:rsidR="6950D9E7" w14:paraId="5D5BCA1A"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4D2E7B4" w14:textId="750FC235" w:rsidR="6950D9E7" w:rsidRPr="00BC6CE0" w:rsidRDefault="6950D9E7" w:rsidP="00F02A71">
            <w:pPr>
              <w:spacing w:after="0" w:line="240" w:lineRule="auto"/>
              <w:jc w:val="center"/>
              <w:rPr>
                <w:rFonts w:cstheme="minorHAnsi"/>
                <w:b/>
                <w:bCs/>
                <w:color w:val="FFFFFF" w:themeColor="background1"/>
                <w:sz w:val="20"/>
                <w:szCs w:val="20"/>
              </w:rPr>
            </w:pPr>
            <w:r w:rsidRPr="00BC6CE0">
              <w:rPr>
                <w:rFonts w:eastAsia="Calibri" w:cstheme="minorHAnsi"/>
                <w:b/>
                <w:bCs/>
                <w:color w:val="FFFFFF" w:themeColor="background1"/>
                <w:sz w:val="20"/>
                <w:szCs w:val="20"/>
              </w:rPr>
              <w:t>Anos</w:t>
            </w:r>
          </w:p>
        </w:tc>
        <w:tc>
          <w:tcPr>
            <w:tcW w:w="155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0945A1C9" w14:textId="41CDE32F" w:rsidR="6950D9E7" w:rsidRPr="00BC6CE0" w:rsidRDefault="6950D9E7" w:rsidP="00F02A71">
            <w:pPr>
              <w:spacing w:after="0" w:line="240" w:lineRule="auto"/>
              <w:jc w:val="center"/>
              <w:rPr>
                <w:rFonts w:cstheme="minorHAnsi"/>
                <w:b/>
                <w:bCs/>
                <w:color w:val="FFFFFF" w:themeColor="background1"/>
                <w:sz w:val="20"/>
                <w:szCs w:val="20"/>
              </w:rPr>
            </w:pPr>
            <w:r w:rsidRPr="00BC6CE0">
              <w:rPr>
                <w:rFonts w:eastAsia="Calibri" w:cstheme="minorHAnsi"/>
                <w:b/>
                <w:bCs/>
                <w:color w:val="FFFFFF" w:themeColor="background1"/>
                <w:sz w:val="20"/>
                <w:szCs w:val="20"/>
              </w:rPr>
              <w:t>Valor Estimado</w:t>
            </w:r>
          </w:p>
        </w:tc>
        <w:tc>
          <w:tcPr>
            <w:tcW w:w="158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05FD227D" w14:textId="630AD9EB" w:rsidR="6950D9E7" w:rsidRPr="00BC6CE0" w:rsidRDefault="6950D9E7" w:rsidP="00F02A71">
            <w:pPr>
              <w:spacing w:after="0" w:line="240" w:lineRule="auto"/>
              <w:jc w:val="center"/>
              <w:rPr>
                <w:rFonts w:cstheme="minorHAnsi"/>
                <w:b/>
                <w:bCs/>
                <w:color w:val="FFFFFF" w:themeColor="background1"/>
                <w:sz w:val="20"/>
                <w:szCs w:val="20"/>
              </w:rPr>
            </w:pPr>
            <w:r w:rsidRPr="00BC6CE0">
              <w:rPr>
                <w:rFonts w:eastAsia="Calibri" w:cstheme="minorHAnsi"/>
                <w:b/>
                <w:bCs/>
                <w:color w:val="FFFFFF" w:themeColor="background1"/>
                <w:sz w:val="20"/>
                <w:szCs w:val="20"/>
              </w:rPr>
              <w:t>Valor Realizado</w:t>
            </w:r>
          </w:p>
        </w:tc>
      </w:tr>
      <w:tr w:rsidR="6950D9E7" w14:paraId="3C1F2032"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DFD58D5" w14:textId="49F4CA77" w:rsidR="6950D9E7" w:rsidRPr="00F02A71" w:rsidRDefault="6950D9E7" w:rsidP="00F02A71">
            <w:pPr>
              <w:spacing w:after="0" w:line="240" w:lineRule="auto"/>
              <w:jc w:val="center"/>
              <w:rPr>
                <w:rFonts w:cstheme="minorHAnsi"/>
                <w:sz w:val="18"/>
                <w:szCs w:val="18"/>
              </w:rPr>
            </w:pPr>
            <w:r w:rsidRPr="00F02A71">
              <w:rPr>
                <w:rFonts w:eastAsia="Calibri" w:cstheme="minorHAnsi"/>
                <w:sz w:val="18"/>
                <w:szCs w:val="18"/>
              </w:rPr>
              <w:t>1999/2000</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DB6595E" w14:textId="03B076AD"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3D94892" w14:textId="7B9F2B59"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187,3</w:t>
            </w:r>
          </w:p>
        </w:tc>
      </w:tr>
      <w:tr w:rsidR="6950D9E7" w14:paraId="41181A41"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44CC3E5" w14:textId="42A048B4"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2001</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CCBF80" w14:textId="48AFBC01"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955A82" w14:textId="2114FBA4"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15,</w:t>
            </w:r>
            <w:r w:rsidR="00882B3F" w:rsidRPr="00F02A71">
              <w:rPr>
                <w:rFonts w:eastAsia="Calibri" w:cstheme="minorHAnsi"/>
                <w:color w:val="000000" w:themeColor="text1"/>
                <w:sz w:val="18"/>
                <w:szCs w:val="18"/>
              </w:rPr>
              <w:t>3</w:t>
            </w:r>
          </w:p>
        </w:tc>
      </w:tr>
      <w:tr w:rsidR="6950D9E7" w14:paraId="2FBC0FA6"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D8904A6" w14:textId="125F00B5"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2002</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7B44ABB" w14:textId="4F8FBB56"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7944432" w14:textId="3D068318"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28,0</w:t>
            </w:r>
          </w:p>
        </w:tc>
      </w:tr>
      <w:tr w:rsidR="6950D9E7" w14:paraId="0DCAC7C7"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CB25B5" w14:textId="0531FF3F"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2003</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60F7F8" w14:textId="32A2B88B"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F679EC" w14:textId="0561F998"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6,</w:t>
            </w:r>
            <w:r w:rsidR="00882B3F" w:rsidRPr="00F02A71">
              <w:rPr>
                <w:rFonts w:eastAsia="Calibri" w:cstheme="minorHAnsi"/>
                <w:color w:val="000000" w:themeColor="text1"/>
                <w:sz w:val="18"/>
                <w:szCs w:val="18"/>
              </w:rPr>
              <w:t>5</w:t>
            </w:r>
          </w:p>
        </w:tc>
      </w:tr>
      <w:tr w:rsidR="6950D9E7" w14:paraId="1BF0B973"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6BDCD82" w14:textId="225DB510"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2004</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5A91914" w14:textId="18CF0F20"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D6443FD" w14:textId="1AB0E296"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36,1</w:t>
            </w:r>
          </w:p>
        </w:tc>
      </w:tr>
      <w:tr w:rsidR="6950D9E7" w14:paraId="3DD5AC58"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9868194" w14:textId="729F6F9F" w:rsidR="6950D9E7" w:rsidRPr="00F02A71" w:rsidRDefault="6950D9E7" w:rsidP="00F02A71">
            <w:pPr>
              <w:spacing w:after="0" w:line="240" w:lineRule="auto"/>
              <w:jc w:val="center"/>
              <w:rPr>
                <w:rFonts w:cstheme="minorHAnsi"/>
                <w:sz w:val="18"/>
                <w:szCs w:val="18"/>
              </w:rPr>
            </w:pPr>
            <w:r w:rsidRPr="00F02A71">
              <w:rPr>
                <w:rFonts w:eastAsia="Calibri" w:cstheme="minorHAnsi"/>
                <w:sz w:val="18"/>
                <w:szCs w:val="18"/>
              </w:rPr>
              <w:t>2005 a 2015</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5E931D" w14:textId="3F824E44" w:rsidR="6950D9E7" w:rsidRPr="00F02A71" w:rsidRDefault="6950D9E7" w:rsidP="00F02A71">
            <w:pPr>
              <w:spacing w:after="0" w:line="240" w:lineRule="auto"/>
              <w:jc w:val="right"/>
              <w:rPr>
                <w:rFonts w:cstheme="minorHAnsi"/>
                <w:sz w:val="18"/>
                <w:szCs w:val="18"/>
              </w:rPr>
            </w:pPr>
            <w:r w:rsidRPr="00F02A71">
              <w:rPr>
                <w:rFonts w:eastAsia="Calibri" w:cstheme="minorHAnsi"/>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8C5CD2" w14:textId="6C253870" w:rsidR="6950D9E7" w:rsidRPr="00F02A71" w:rsidRDefault="6950D9E7" w:rsidP="00F02A71">
            <w:pPr>
              <w:spacing w:after="0" w:line="240" w:lineRule="auto"/>
              <w:jc w:val="right"/>
              <w:rPr>
                <w:rFonts w:cstheme="minorHAnsi"/>
                <w:sz w:val="18"/>
                <w:szCs w:val="18"/>
              </w:rPr>
            </w:pPr>
            <w:r w:rsidRPr="00F02A71">
              <w:rPr>
                <w:rFonts w:eastAsia="Calibri" w:cstheme="minorHAnsi"/>
                <w:sz w:val="18"/>
                <w:szCs w:val="18"/>
              </w:rPr>
              <w:t>-</w:t>
            </w:r>
          </w:p>
        </w:tc>
      </w:tr>
      <w:tr w:rsidR="6950D9E7" w14:paraId="33D2442C"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2F18395" w14:textId="1C603CE9"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2016</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77844B1" w14:textId="3C31525C"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7D105B9" w14:textId="3D702698"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2.377,</w:t>
            </w:r>
            <w:r w:rsidR="00882B3F" w:rsidRPr="00F02A71">
              <w:rPr>
                <w:rFonts w:eastAsia="Calibri" w:cstheme="minorHAnsi"/>
                <w:color w:val="000000" w:themeColor="text1"/>
                <w:sz w:val="18"/>
                <w:szCs w:val="18"/>
              </w:rPr>
              <w:t>7</w:t>
            </w:r>
          </w:p>
        </w:tc>
      </w:tr>
      <w:tr w:rsidR="6950D9E7" w14:paraId="66E200D1"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D3D580C" w14:textId="4A00E566"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2017</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7AB7C4" w14:textId="0ED3D2E5"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965322" w14:textId="12856372"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4.059,8</w:t>
            </w:r>
          </w:p>
        </w:tc>
      </w:tr>
      <w:tr w:rsidR="6950D9E7" w14:paraId="48BC5D3B"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5AB988ED" w14:textId="69464FBF"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2018</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5BF5335" w14:textId="33F592E9"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4.436,</w:t>
            </w:r>
            <w:r w:rsidR="00882B3F" w:rsidRPr="00F02A71">
              <w:rPr>
                <w:rFonts w:eastAsia="Calibri" w:cstheme="minorHAnsi"/>
                <w:color w:val="000000" w:themeColor="text1"/>
                <w:sz w:val="18"/>
                <w:szCs w:val="18"/>
              </w:rPr>
              <w:t>1</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FFB0AAF" w14:textId="2FB48F77"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4.823,</w:t>
            </w:r>
            <w:r w:rsidR="00882B3F" w:rsidRPr="00F02A71">
              <w:rPr>
                <w:rFonts w:eastAsia="Calibri" w:cstheme="minorHAnsi"/>
                <w:color w:val="000000" w:themeColor="text1"/>
                <w:sz w:val="18"/>
                <w:szCs w:val="18"/>
              </w:rPr>
              <w:t>1</w:t>
            </w:r>
          </w:p>
        </w:tc>
      </w:tr>
      <w:tr w:rsidR="6950D9E7" w14:paraId="1C1E2865"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C44EF0" w14:textId="30FC96FD"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2019</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8119C84" w14:textId="4299C015"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8.426,</w:t>
            </w:r>
            <w:r w:rsidR="00882B3F" w:rsidRPr="00F02A71">
              <w:rPr>
                <w:rFonts w:eastAsia="Calibri" w:cstheme="minorHAnsi"/>
                <w:color w:val="000000" w:themeColor="text1"/>
                <w:sz w:val="18"/>
                <w:szCs w:val="18"/>
              </w:rPr>
              <w:t>3</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7D3554B" w14:textId="3CF09CC0"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8.353,7</w:t>
            </w:r>
          </w:p>
        </w:tc>
      </w:tr>
      <w:tr w:rsidR="6950D9E7" w14:paraId="19D2699B" w14:textId="77777777" w:rsidTr="00882B3F">
        <w:trPr>
          <w:gridAfter w:val="1"/>
          <w:wAfter w:w="13" w:type="dxa"/>
          <w:trHeight w:val="15"/>
          <w:jc w:val="center"/>
        </w:trPr>
        <w:tc>
          <w:tcPr>
            <w:tcW w:w="12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4A9B22A" w14:textId="629787C4" w:rsidR="6950D9E7" w:rsidRPr="00F02A71" w:rsidRDefault="6950D9E7" w:rsidP="00F02A71">
            <w:pPr>
              <w:spacing w:after="0" w:line="240" w:lineRule="auto"/>
              <w:jc w:val="center"/>
              <w:rPr>
                <w:rFonts w:cstheme="minorHAnsi"/>
                <w:sz w:val="18"/>
                <w:szCs w:val="18"/>
              </w:rPr>
            </w:pPr>
            <w:r w:rsidRPr="00F02A71">
              <w:rPr>
                <w:rFonts w:eastAsia="Calibri" w:cstheme="minorHAnsi"/>
                <w:color w:val="000000" w:themeColor="text1"/>
                <w:sz w:val="18"/>
                <w:szCs w:val="18"/>
              </w:rPr>
              <w:t>2020</w:t>
            </w:r>
          </w:p>
        </w:tc>
        <w:tc>
          <w:tcPr>
            <w:tcW w:w="155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F09C49" w14:textId="56A7E1EF"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11.804,</w:t>
            </w:r>
            <w:r w:rsidR="00882B3F" w:rsidRPr="00F02A71">
              <w:rPr>
                <w:rFonts w:eastAsia="Calibri" w:cstheme="minorHAnsi"/>
                <w:color w:val="000000" w:themeColor="text1"/>
                <w:sz w:val="18"/>
                <w:szCs w:val="18"/>
              </w:rPr>
              <w:t>1</w:t>
            </w:r>
          </w:p>
        </w:tc>
        <w:tc>
          <w:tcPr>
            <w:tcW w:w="15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246C92" w14:textId="75BA4764" w:rsidR="6950D9E7" w:rsidRPr="00F02A71" w:rsidRDefault="6950D9E7" w:rsidP="00F02A71">
            <w:pPr>
              <w:spacing w:after="0" w:line="240" w:lineRule="auto"/>
              <w:jc w:val="right"/>
              <w:rPr>
                <w:rFonts w:cstheme="minorHAnsi"/>
                <w:sz w:val="18"/>
                <w:szCs w:val="18"/>
              </w:rPr>
            </w:pPr>
            <w:r w:rsidRPr="00F02A71">
              <w:rPr>
                <w:rFonts w:eastAsia="Calibri" w:cstheme="minorHAnsi"/>
                <w:color w:val="000000" w:themeColor="text1"/>
                <w:sz w:val="18"/>
                <w:szCs w:val="18"/>
              </w:rPr>
              <w:t>13.331,4</w:t>
            </w:r>
          </w:p>
        </w:tc>
      </w:tr>
      <w:tr w:rsidR="6950D9E7" w14:paraId="45CBDD80" w14:textId="77777777" w:rsidTr="00882B3F">
        <w:trPr>
          <w:trHeight w:val="15"/>
          <w:jc w:val="center"/>
        </w:trPr>
        <w:tc>
          <w:tcPr>
            <w:tcW w:w="4377" w:type="dxa"/>
            <w:gridSpan w:val="4"/>
            <w:tcBorders>
              <w:top w:val="single" w:sz="8" w:space="0" w:color="BFBFBF" w:themeColor="background1" w:themeShade="BF"/>
              <w:left w:val="nil"/>
              <w:bottom w:val="nil"/>
              <w:right w:val="nil"/>
            </w:tcBorders>
          </w:tcPr>
          <w:p w14:paraId="03E4FDA0" w14:textId="146C2BF0" w:rsidR="6950D9E7" w:rsidRPr="00F02A71" w:rsidRDefault="6950D9E7" w:rsidP="00F02A71">
            <w:pPr>
              <w:spacing w:after="0" w:line="240" w:lineRule="auto"/>
              <w:jc w:val="both"/>
              <w:rPr>
                <w:rFonts w:cstheme="minorHAnsi"/>
                <w:sz w:val="18"/>
                <w:szCs w:val="18"/>
              </w:rPr>
            </w:pPr>
            <w:r w:rsidRPr="00F02A71">
              <w:rPr>
                <w:rFonts w:eastAsia="Calibri" w:cstheme="minorHAnsi"/>
                <w:b/>
                <w:bCs/>
                <w:i/>
                <w:iCs/>
                <w:color w:val="000000" w:themeColor="text1"/>
                <w:sz w:val="18"/>
                <w:szCs w:val="18"/>
              </w:rPr>
              <w:t>Fonte e Elaboração</w:t>
            </w:r>
            <w:r w:rsidRPr="00F02A71">
              <w:rPr>
                <w:rFonts w:eastAsia="Calibri" w:cstheme="minorHAnsi"/>
                <w:i/>
                <w:iCs/>
                <w:color w:val="000000" w:themeColor="text1"/>
                <w:sz w:val="18"/>
                <w:szCs w:val="18"/>
              </w:rPr>
              <w:t>: STN/ME</w:t>
            </w:r>
          </w:p>
        </w:tc>
      </w:tr>
    </w:tbl>
    <w:p w14:paraId="30777C15" w14:textId="4CD5B36B" w:rsidR="00434BEA" w:rsidRPr="005C2264" w:rsidRDefault="00434BEA" w:rsidP="6950D9E7">
      <w:pPr>
        <w:spacing w:after="120" w:line="240" w:lineRule="auto"/>
        <w:ind w:firstLine="1418"/>
        <w:jc w:val="both"/>
        <w:rPr>
          <w:w w:val="105"/>
          <w:sz w:val="24"/>
          <w:szCs w:val="24"/>
        </w:rPr>
      </w:pPr>
    </w:p>
    <w:p w14:paraId="4F47AF69" w14:textId="24D93D1D" w:rsidR="402987C4" w:rsidRDefault="402987C4" w:rsidP="6950D9E7">
      <w:pPr>
        <w:ind w:firstLine="1418"/>
        <w:jc w:val="both"/>
      </w:pPr>
      <w:r w:rsidRPr="6950D9E7">
        <w:rPr>
          <w:rFonts w:ascii="Calibri" w:eastAsia="Calibri" w:hAnsi="Calibri" w:cs="Calibri"/>
          <w:sz w:val="24"/>
          <w:szCs w:val="24"/>
        </w:rPr>
        <w:t>São contabilizados como provisão os valores garantidos pela União referentes aos estados que aderiram ao RRF. Uma vez que haja a adesão do ente subnacional ao RRF, cria-se a expectativa, por parte da União, da inadimplência em obrigações vincendas de responsabilidade desses entes. Assim, as contas de provisão são afetadas pelas parcelas vincendas garantidas pela União e que estejam previstas para o período de vigência do RRF. Dessa forma, o valor provisionado em 31/12/2020 totalizava R$ 12,5 bilhões.</w:t>
      </w:r>
    </w:p>
    <w:p w14:paraId="3DDD4931" w14:textId="1F5920EE" w:rsidR="402987C4" w:rsidRDefault="402987C4" w:rsidP="6950D9E7">
      <w:pPr>
        <w:ind w:firstLine="1418"/>
        <w:jc w:val="both"/>
        <w:rPr>
          <w:rFonts w:ascii="Calibri" w:eastAsia="Calibri" w:hAnsi="Calibri" w:cs="Calibri"/>
          <w:sz w:val="24"/>
          <w:szCs w:val="24"/>
        </w:rPr>
      </w:pPr>
      <w:r w:rsidRPr="6950D9E7">
        <w:rPr>
          <w:rFonts w:ascii="Calibri" w:eastAsia="Calibri" w:hAnsi="Calibri" w:cs="Calibri"/>
          <w:sz w:val="24"/>
          <w:szCs w:val="24"/>
        </w:rPr>
        <w:t>No que concerne à natureza do impacto, o pagamento de garantias pela União é exclusivamente financeiro. As fontes utilizadas para a honra de garantias são 143 e 144, ambas alimentadas por receitas de emissões de títulos, sendo a 143 para amortização de principal e a 144 para juros.</w:t>
      </w:r>
    </w:p>
    <w:p w14:paraId="2B7457A6" w14:textId="77777777" w:rsidR="00DD5A11" w:rsidRDefault="00DD5A11" w:rsidP="00DD5A11">
      <w:pPr>
        <w:jc w:val="both"/>
      </w:pPr>
    </w:p>
    <w:p w14:paraId="4C1149ED" w14:textId="4E8091C9" w:rsidR="00792A8B" w:rsidRPr="009B04B3" w:rsidRDefault="00792A8B" w:rsidP="0E708980">
      <w:pPr>
        <w:pStyle w:val="Ttulo4"/>
        <w:keepLines/>
        <w:numPr>
          <w:ilvl w:val="3"/>
          <w:numId w:val="36"/>
        </w:numPr>
        <w:spacing w:before="240" w:after="120"/>
        <w:ind w:left="862" w:hanging="862"/>
        <w:jc w:val="left"/>
        <w:rPr>
          <w:rFonts w:asciiTheme="minorHAnsi" w:hAnsiTheme="minorHAnsi"/>
        </w:rPr>
      </w:pPr>
      <w:r w:rsidRPr="0E708980">
        <w:rPr>
          <w:rFonts w:asciiTheme="minorHAnsi" w:hAnsiTheme="minorHAnsi"/>
        </w:rPr>
        <w:t>Garantias de Fundos e Programas</w:t>
      </w:r>
    </w:p>
    <w:p w14:paraId="1BF1F9B6" w14:textId="5384562E" w:rsidR="7CB3363C" w:rsidRDefault="7CB3363C" w:rsidP="0E708980">
      <w:pPr>
        <w:ind w:firstLine="1418"/>
        <w:jc w:val="both"/>
      </w:pPr>
      <w:r w:rsidRPr="0E708980">
        <w:rPr>
          <w:rFonts w:ascii="Calibri" w:eastAsia="Calibri" w:hAnsi="Calibri" w:cs="Calibri"/>
          <w:sz w:val="24"/>
          <w:szCs w:val="24"/>
        </w:rPr>
        <w:t>O estoque de garantias prestadas pelo Tesouro Nacional a Fundos e Programas é de R$ 5.631,</w:t>
      </w:r>
      <w:r w:rsidR="00EC178E">
        <w:rPr>
          <w:rFonts w:ascii="Calibri" w:eastAsia="Calibri" w:hAnsi="Calibri" w:cs="Calibri"/>
          <w:sz w:val="24"/>
          <w:szCs w:val="24"/>
        </w:rPr>
        <w:t>3</w:t>
      </w:r>
      <w:r w:rsidRPr="0E708980">
        <w:rPr>
          <w:rFonts w:ascii="Calibri" w:eastAsia="Calibri" w:hAnsi="Calibri" w:cs="Calibri"/>
          <w:sz w:val="24"/>
          <w:szCs w:val="24"/>
        </w:rPr>
        <w:t xml:space="preserve"> milhões, com posição de 31/12/2020. </w:t>
      </w:r>
      <w:proofErr w:type="gramStart"/>
      <w:r w:rsidRPr="0E708980">
        <w:rPr>
          <w:rFonts w:ascii="Calibri" w:eastAsia="Calibri" w:hAnsi="Calibri" w:cs="Calibri"/>
          <w:sz w:val="24"/>
          <w:szCs w:val="24"/>
        </w:rPr>
        <w:t>Cerca de 64</w:t>
      </w:r>
      <w:proofErr w:type="gramEnd"/>
      <w:r w:rsidRPr="0E708980">
        <w:rPr>
          <w:rFonts w:ascii="Calibri" w:eastAsia="Calibri" w:hAnsi="Calibri" w:cs="Calibri"/>
          <w:sz w:val="24"/>
          <w:szCs w:val="24"/>
        </w:rPr>
        <w:t>% desse valor decorre da Lei nº 8.036, de 11 de maio de 1990, referente ao risco de operações ativas junto ao Fundo de Garantia do Tempo de Serviço (FGTS), enquanto os demais valores são referentes ao Seguro de Crédito à Exportação – SCE/IRB e à Assunção de Riscos nas Operações do Programa Nacional de Fortalecimento da Agricultura – Pronaf e do Programa de Recuperação da Lavoura Cacaueira Baiana.</w:t>
      </w:r>
    </w:p>
    <w:p w14:paraId="257FD6C7" w14:textId="05380A02" w:rsidR="7CB3363C" w:rsidRDefault="7CB3363C" w:rsidP="0E708980">
      <w:pPr>
        <w:ind w:firstLine="1418"/>
        <w:jc w:val="both"/>
      </w:pPr>
      <w:r w:rsidRPr="0E708980">
        <w:rPr>
          <w:rFonts w:ascii="Calibri" w:eastAsia="Calibri" w:hAnsi="Calibri" w:cs="Calibri"/>
          <w:sz w:val="24"/>
          <w:szCs w:val="24"/>
        </w:rPr>
        <w:lastRenderedPageBreak/>
        <w:t>Em 2020, a STN realizou o pagamento de R$ 25,1 milhões, no âmbito do Programa de Recuperação da Lavoura Cacaueira Baiana (ação orçamentária 00QM). Destaca-se que esse valor já estava previsto na LOA 2020 e em RAP com dotação orçamentária específica. Da mesma forma, foram enviados para compor o PLOA 2021 os valores de R$ 215 milhões para a mesma finalidade no âmbito do Programa de Recuperação da Lavoura Cacaueira Baiana e de R$ 100 milhões para o Pronaf.</w:t>
      </w:r>
    </w:p>
    <w:p w14:paraId="298EAA3A" w14:textId="77777777" w:rsidR="00582466" w:rsidRPr="009B04B3" w:rsidRDefault="00582466" w:rsidP="00850996">
      <w:pPr>
        <w:spacing w:after="120" w:line="240" w:lineRule="auto"/>
        <w:jc w:val="both"/>
        <w:rPr>
          <w:w w:val="105"/>
          <w:sz w:val="24"/>
          <w:szCs w:val="24"/>
        </w:rPr>
      </w:pPr>
    </w:p>
    <w:p w14:paraId="60D6E606" w14:textId="7284E529" w:rsidR="00B524DD" w:rsidRPr="009B04B3" w:rsidRDefault="00202CB8" w:rsidP="00E463D0">
      <w:pPr>
        <w:pStyle w:val="Ttulo3"/>
        <w:keepNext w:val="0"/>
        <w:numPr>
          <w:ilvl w:val="2"/>
          <w:numId w:val="36"/>
        </w:numPr>
        <w:spacing w:before="240" w:after="120"/>
        <w:ind w:left="720" w:hanging="720"/>
        <w:rPr>
          <w:rFonts w:asciiTheme="minorHAnsi" w:hAnsiTheme="minorHAnsi"/>
          <w:b/>
          <w:smallCaps w:val="0"/>
        </w:rPr>
      </w:pPr>
      <w:bookmarkStart w:id="274" w:name="_Toc67317997"/>
      <w:bookmarkStart w:id="275" w:name="_Toc67929651"/>
      <w:bookmarkStart w:id="276" w:name="_Toc69121230"/>
      <w:proofErr w:type="spellStart"/>
      <w:r w:rsidRPr="009B04B3">
        <w:rPr>
          <w:rFonts w:asciiTheme="minorHAnsi" w:hAnsiTheme="minorHAnsi"/>
          <w:b/>
          <w:smallCaps w:val="0"/>
        </w:rPr>
        <w:t>Contragarantias</w:t>
      </w:r>
      <w:proofErr w:type="spellEnd"/>
      <w:r w:rsidR="00113921" w:rsidRPr="009B04B3">
        <w:rPr>
          <w:rFonts w:asciiTheme="minorHAnsi" w:hAnsiTheme="minorHAnsi"/>
          <w:b/>
          <w:smallCaps w:val="0"/>
        </w:rPr>
        <w:t xml:space="preserve"> </w:t>
      </w:r>
      <w:r w:rsidR="00792A8B">
        <w:rPr>
          <w:rFonts w:asciiTheme="minorHAnsi" w:hAnsiTheme="minorHAnsi"/>
          <w:b/>
          <w:smallCaps w:val="0"/>
        </w:rPr>
        <w:t>da União</w:t>
      </w:r>
      <w:bookmarkEnd w:id="274"/>
      <w:bookmarkEnd w:id="275"/>
      <w:bookmarkEnd w:id="276"/>
    </w:p>
    <w:p w14:paraId="0483F560" w14:textId="578D8F22" w:rsidR="00754B4C" w:rsidRPr="009B04B3" w:rsidRDefault="00754B4C" w:rsidP="005E1F74">
      <w:pPr>
        <w:spacing w:after="120" w:line="240" w:lineRule="auto"/>
        <w:ind w:firstLine="1418"/>
        <w:jc w:val="both"/>
        <w:rPr>
          <w:w w:val="105"/>
          <w:sz w:val="24"/>
          <w:szCs w:val="24"/>
        </w:rPr>
      </w:pPr>
      <w:r w:rsidRPr="009B04B3">
        <w:rPr>
          <w:w w:val="105"/>
          <w:sz w:val="24"/>
          <w:szCs w:val="24"/>
        </w:rPr>
        <w:t xml:space="preserve">A concessão de garantias pela União em operações de crédito tem como contrapartida a vinculação, pelo tomador de crédito, de </w:t>
      </w:r>
      <w:proofErr w:type="spellStart"/>
      <w:r w:rsidRPr="009B04B3">
        <w:rPr>
          <w:w w:val="105"/>
          <w:sz w:val="24"/>
          <w:szCs w:val="24"/>
        </w:rPr>
        <w:t>contragarantias</w:t>
      </w:r>
      <w:proofErr w:type="spellEnd"/>
      <w:r w:rsidRPr="009B04B3">
        <w:rPr>
          <w:w w:val="105"/>
          <w:sz w:val="24"/>
          <w:szCs w:val="24"/>
        </w:rPr>
        <w:t xml:space="preserve"> em valor suficiente para cobertura dos compromissos financeiros assumidos, conforme previsto em lei. Dessa forma, sempre que a União honra compromissos de outrem em decorrência de garantias por ela oferecidas, são acionadas as </w:t>
      </w:r>
      <w:proofErr w:type="spellStart"/>
      <w:r w:rsidRPr="009B04B3">
        <w:rPr>
          <w:w w:val="105"/>
          <w:sz w:val="24"/>
          <w:szCs w:val="24"/>
        </w:rPr>
        <w:t>contragarantias</w:t>
      </w:r>
      <w:proofErr w:type="spellEnd"/>
      <w:r w:rsidRPr="009B04B3">
        <w:rPr>
          <w:w w:val="105"/>
          <w:sz w:val="24"/>
          <w:szCs w:val="24"/>
        </w:rPr>
        <w:t xml:space="preserve"> correspondentes visando </w:t>
      </w:r>
      <w:proofErr w:type="gramStart"/>
      <w:r w:rsidRPr="009B04B3">
        <w:rPr>
          <w:w w:val="105"/>
          <w:sz w:val="24"/>
          <w:szCs w:val="24"/>
        </w:rPr>
        <w:t>a</w:t>
      </w:r>
      <w:proofErr w:type="gramEnd"/>
      <w:r w:rsidRPr="009B04B3">
        <w:rPr>
          <w:w w:val="105"/>
          <w:sz w:val="24"/>
          <w:szCs w:val="24"/>
        </w:rPr>
        <w:t xml:space="preserve"> recuperação dos valores dispendidos na operação. Além do valor original devido, são incluídos juros de mora, multas e outros encargos eventualmente previstos nos contratos de financiamento.</w:t>
      </w:r>
    </w:p>
    <w:p w14:paraId="33827595" w14:textId="2EE59B43" w:rsidR="00AB6ABC" w:rsidRPr="009B04B3" w:rsidRDefault="00AB6ABC" w:rsidP="005E1F74">
      <w:pPr>
        <w:spacing w:after="120" w:line="240" w:lineRule="auto"/>
        <w:ind w:firstLine="1418"/>
        <w:jc w:val="both"/>
        <w:rPr>
          <w:w w:val="105"/>
          <w:sz w:val="24"/>
          <w:szCs w:val="24"/>
        </w:rPr>
      </w:pPr>
      <w:r w:rsidRPr="009B04B3">
        <w:rPr>
          <w:w w:val="105"/>
          <w:sz w:val="24"/>
          <w:szCs w:val="24"/>
        </w:rPr>
        <w:t xml:space="preserve">No momento em que um ente efetua a contratação de empréstimo dessa categoria, são firmados três contratos: 1) um contrato de financiamento entre o ente e a instituição financeira que será credora do empréstimo; 2) um contrato de garantia entre a instituição financeira e a União, na condição de garantidora do financiamento; e 3) um contrato de </w:t>
      </w:r>
      <w:proofErr w:type="spellStart"/>
      <w:r w:rsidRPr="009B04B3">
        <w:rPr>
          <w:w w:val="105"/>
          <w:sz w:val="24"/>
          <w:szCs w:val="24"/>
        </w:rPr>
        <w:t>contragarantia</w:t>
      </w:r>
      <w:proofErr w:type="spellEnd"/>
      <w:r w:rsidRPr="009B04B3">
        <w:rPr>
          <w:w w:val="105"/>
          <w:sz w:val="24"/>
          <w:szCs w:val="24"/>
        </w:rPr>
        <w:t xml:space="preserve"> entre o ente e a União, mediante o qual a União pode utilizar </w:t>
      </w:r>
      <w:proofErr w:type="spellStart"/>
      <w:r w:rsidRPr="009B04B3">
        <w:rPr>
          <w:w w:val="105"/>
          <w:sz w:val="24"/>
          <w:szCs w:val="24"/>
        </w:rPr>
        <w:t>contragarantias</w:t>
      </w:r>
      <w:proofErr w:type="spellEnd"/>
      <w:r w:rsidRPr="009B04B3">
        <w:rPr>
          <w:w w:val="105"/>
          <w:sz w:val="24"/>
          <w:szCs w:val="24"/>
        </w:rPr>
        <w:t xml:space="preserve"> para cobertura dos valores eventualmente honrados por conta de inadimplências do ente beneficiado pelo empréstimo.</w:t>
      </w:r>
    </w:p>
    <w:p w14:paraId="6F25E76B" w14:textId="14172D9B" w:rsidR="005E1F74" w:rsidRPr="009B04B3" w:rsidRDefault="005E1F74" w:rsidP="005E1F74">
      <w:pPr>
        <w:spacing w:after="120" w:line="240" w:lineRule="auto"/>
        <w:ind w:firstLine="1418"/>
        <w:jc w:val="both"/>
        <w:rPr>
          <w:w w:val="105"/>
          <w:sz w:val="24"/>
          <w:szCs w:val="24"/>
        </w:rPr>
      </w:pPr>
      <w:r w:rsidRPr="009B04B3">
        <w:rPr>
          <w:w w:val="105"/>
          <w:sz w:val="24"/>
          <w:szCs w:val="24"/>
        </w:rPr>
        <w:t xml:space="preserve">Os saldos das </w:t>
      </w:r>
      <w:proofErr w:type="spellStart"/>
      <w:r w:rsidRPr="009B04B3">
        <w:rPr>
          <w:w w:val="105"/>
          <w:sz w:val="24"/>
          <w:szCs w:val="24"/>
        </w:rPr>
        <w:t>contragarantias</w:t>
      </w:r>
      <w:proofErr w:type="spellEnd"/>
      <w:r w:rsidRPr="009B04B3">
        <w:rPr>
          <w:w w:val="105"/>
          <w:sz w:val="24"/>
          <w:szCs w:val="24"/>
        </w:rPr>
        <w:t xml:space="preserve"> relacionadas aos contratos financeiros firmados por entes junto às instituições financeiras com o aval da União não são registrados no SIAFI</w:t>
      </w:r>
      <w:r w:rsidR="00C46228" w:rsidRPr="009B04B3">
        <w:rPr>
          <w:w w:val="105"/>
          <w:sz w:val="24"/>
          <w:szCs w:val="24"/>
        </w:rPr>
        <w:t>, mas apenas</w:t>
      </w:r>
      <w:r w:rsidR="005B7659" w:rsidRPr="009B04B3">
        <w:rPr>
          <w:w w:val="105"/>
          <w:sz w:val="24"/>
          <w:szCs w:val="24"/>
        </w:rPr>
        <w:t xml:space="preserve"> </w:t>
      </w:r>
      <w:r w:rsidRPr="009B04B3">
        <w:rPr>
          <w:w w:val="105"/>
          <w:sz w:val="24"/>
          <w:szCs w:val="24"/>
        </w:rPr>
        <w:t xml:space="preserve">os recebimentos decorrentes de </w:t>
      </w:r>
      <w:proofErr w:type="spellStart"/>
      <w:r w:rsidRPr="009B04B3">
        <w:rPr>
          <w:w w:val="105"/>
          <w:sz w:val="24"/>
          <w:szCs w:val="24"/>
        </w:rPr>
        <w:t>contragarantias</w:t>
      </w:r>
      <w:proofErr w:type="spellEnd"/>
      <w:r w:rsidRPr="009B04B3">
        <w:rPr>
          <w:w w:val="105"/>
          <w:sz w:val="24"/>
          <w:szCs w:val="24"/>
        </w:rPr>
        <w:t xml:space="preserve"> recuperadas pelo agente financeiro. Estas recuperações são efetuadas a pedido da STN, visando quitar os montantes de avais</w:t>
      </w:r>
      <w:r w:rsidR="001D65C5" w:rsidRPr="009B04B3">
        <w:rPr>
          <w:w w:val="105"/>
          <w:sz w:val="24"/>
          <w:szCs w:val="24"/>
        </w:rPr>
        <w:t xml:space="preserve"> por ela </w:t>
      </w:r>
      <w:r w:rsidRPr="009B04B3">
        <w:rPr>
          <w:w w:val="105"/>
          <w:sz w:val="24"/>
          <w:szCs w:val="24"/>
        </w:rPr>
        <w:t xml:space="preserve">honrados em decorrência dos inadimplementos dos entes em empréstimos firmados junto a instituições financeiras e nos quais a União tem parte como garantidora. Os respectivos recebimentos são registrados no SIAFI pelo agente financeiro Banco do Brasil S/A, por meio de Guias de Recolhimento da União </w:t>
      </w:r>
      <w:r w:rsidR="00FE36E5" w:rsidRPr="009B04B3">
        <w:rPr>
          <w:w w:val="105"/>
          <w:sz w:val="24"/>
          <w:szCs w:val="24"/>
        </w:rPr>
        <w:t>(</w:t>
      </w:r>
      <w:r w:rsidRPr="009B04B3">
        <w:rPr>
          <w:w w:val="105"/>
          <w:sz w:val="24"/>
          <w:szCs w:val="24"/>
        </w:rPr>
        <w:t>GRU</w:t>
      </w:r>
      <w:r w:rsidR="00FE36E5" w:rsidRPr="009B04B3">
        <w:rPr>
          <w:w w:val="105"/>
          <w:sz w:val="24"/>
          <w:szCs w:val="24"/>
        </w:rPr>
        <w:t>)</w:t>
      </w:r>
      <w:r w:rsidRPr="009B04B3">
        <w:rPr>
          <w:w w:val="105"/>
          <w:sz w:val="24"/>
          <w:szCs w:val="24"/>
        </w:rPr>
        <w:t>.</w:t>
      </w:r>
    </w:p>
    <w:p w14:paraId="3137A4C3" w14:textId="0161D0C9" w:rsidR="005E1F74" w:rsidRDefault="005E1F74" w:rsidP="005E1F74">
      <w:pPr>
        <w:spacing w:after="120" w:line="240" w:lineRule="auto"/>
        <w:ind w:firstLine="1418"/>
        <w:jc w:val="both"/>
        <w:rPr>
          <w:w w:val="105"/>
          <w:sz w:val="24"/>
          <w:szCs w:val="24"/>
        </w:rPr>
      </w:pPr>
      <w:r w:rsidRPr="009B04B3">
        <w:rPr>
          <w:w w:val="105"/>
          <w:sz w:val="24"/>
          <w:szCs w:val="24"/>
        </w:rPr>
        <w:t xml:space="preserve">Dentre os ativos dos entes que podem ser utilizados como </w:t>
      </w:r>
      <w:proofErr w:type="spellStart"/>
      <w:r w:rsidRPr="009B04B3">
        <w:rPr>
          <w:w w:val="105"/>
          <w:sz w:val="24"/>
          <w:szCs w:val="24"/>
        </w:rPr>
        <w:t>contragarantias</w:t>
      </w:r>
      <w:proofErr w:type="spellEnd"/>
      <w:r w:rsidR="00884E3B" w:rsidRPr="009B04B3">
        <w:rPr>
          <w:w w:val="105"/>
          <w:sz w:val="24"/>
          <w:szCs w:val="24"/>
        </w:rPr>
        <w:t>,</w:t>
      </w:r>
      <w:r w:rsidRPr="009B04B3">
        <w:rPr>
          <w:w w:val="105"/>
          <w:sz w:val="24"/>
          <w:szCs w:val="24"/>
        </w:rPr>
        <w:t xml:space="preserve"> destacamos, por exemplo, o Fundo de Participação dos Estados </w:t>
      </w:r>
      <w:r w:rsidR="00B33960" w:rsidRPr="009B04B3">
        <w:rPr>
          <w:w w:val="105"/>
          <w:sz w:val="24"/>
          <w:szCs w:val="24"/>
        </w:rPr>
        <w:t>(</w:t>
      </w:r>
      <w:r w:rsidRPr="009B04B3">
        <w:rPr>
          <w:w w:val="105"/>
          <w:sz w:val="24"/>
          <w:szCs w:val="24"/>
        </w:rPr>
        <w:t>FPE</w:t>
      </w:r>
      <w:r w:rsidR="00B33960" w:rsidRPr="009B04B3">
        <w:rPr>
          <w:w w:val="105"/>
          <w:sz w:val="24"/>
          <w:szCs w:val="24"/>
        </w:rPr>
        <w:t>)</w:t>
      </w:r>
      <w:r w:rsidRPr="009B04B3">
        <w:rPr>
          <w:w w:val="105"/>
          <w:sz w:val="24"/>
          <w:szCs w:val="24"/>
        </w:rPr>
        <w:t xml:space="preserve">, e o Fundo de Participação dos Municípios </w:t>
      </w:r>
      <w:r w:rsidR="00FE36E5" w:rsidRPr="009B04B3">
        <w:rPr>
          <w:w w:val="105"/>
          <w:sz w:val="24"/>
          <w:szCs w:val="24"/>
        </w:rPr>
        <w:t>(</w:t>
      </w:r>
      <w:r w:rsidRPr="009B04B3">
        <w:rPr>
          <w:w w:val="105"/>
          <w:sz w:val="24"/>
          <w:szCs w:val="24"/>
        </w:rPr>
        <w:t>FPM</w:t>
      </w:r>
      <w:r w:rsidR="00FE36E5" w:rsidRPr="009B04B3">
        <w:rPr>
          <w:w w:val="105"/>
          <w:sz w:val="24"/>
          <w:szCs w:val="24"/>
        </w:rPr>
        <w:t>)</w:t>
      </w:r>
      <w:r w:rsidRPr="009B04B3">
        <w:rPr>
          <w:w w:val="105"/>
          <w:sz w:val="24"/>
          <w:szCs w:val="24"/>
        </w:rPr>
        <w:t xml:space="preserve">, além das receitas próprias. A STN não possui gestão sobre as </w:t>
      </w:r>
      <w:proofErr w:type="spellStart"/>
      <w:r w:rsidRPr="009B04B3">
        <w:rPr>
          <w:w w:val="105"/>
          <w:sz w:val="24"/>
          <w:szCs w:val="24"/>
        </w:rPr>
        <w:t>contragarantias</w:t>
      </w:r>
      <w:proofErr w:type="spellEnd"/>
      <w:r w:rsidRPr="009B04B3">
        <w:rPr>
          <w:w w:val="105"/>
          <w:sz w:val="24"/>
          <w:szCs w:val="24"/>
        </w:rPr>
        <w:t xml:space="preserve">, as quais correspondem </w:t>
      </w:r>
      <w:proofErr w:type="gramStart"/>
      <w:r w:rsidRPr="009B04B3">
        <w:rPr>
          <w:w w:val="105"/>
          <w:sz w:val="24"/>
          <w:szCs w:val="24"/>
        </w:rPr>
        <w:t>a ativos</w:t>
      </w:r>
      <w:proofErr w:type="gramEnd"/>
      <w:r w:rsidRPr="009B04B3">
        <w:rPr>
          <w:w w:val="105"/>
          <w:sz w:val="24"/>
          <w:szCs w:val="24"/>
        </w:rPr>
        <w:t xml:space="preserve"> dos entes.</w:t>
      </w:r>
    </w:p>
    <w:p w14:paraId="530DDE99" w14:textId="77777777" w:rsidR="00850996" w:rsidRPr="009B04B3" w:rsidRDefault="00850996" w:rsidP="00850996">
      <w:pPr>
        <w:spacing w:after="120" w:line="240" w:lineRule="auto"/>
        <w:jc w:val="both"/>
        <w:rPr>
          <w:w w:val="105"/>
          <w:sz w:val="24"/>
          <w:szCs w:val="24"/>
        </w:rPr>
      </w:pPr>
    </w:p>
    <w:p w14:paraId="10293BE5" w14:textId="7064C7A6" w:rsidR="00ED5A73" w:rsidRPr="009B04B3" w:rsidRDefault="00FE76DE" w:rsidP="00486926">
      <w:pPr>
        <w:pStyle w:val="Ttulo4"/>
        <w:keepLines/>
        <w:numPr>
          <w:ilvl w:val="3"/>
          <w:numId w:val="36"/>
        </w:numPr>
        <w:spacing w:before="240" w:after="120"/>
        <w:ind w:left="648"/>
        <w:jc w:val="left"/>
        <w:rPr>
          <w:rFonts w:asciiTheme="minorHAnsi" w:hAnsiTheme="minorHAnsi"/>
        </w:rPr>
      </w:pPr>
      <w:r w:rsidRPr="009B04B3">
        <w:rPr>
          <w:rFonts w:asciiTheme="minorHAnsi" w:hAnsiTheme="minorHAnsi"/>
        </w:rPr>
        <w:t xml:space="preserve">Riscos Fiscais mapeados, agrupados de acordo com a </w:t>
      </w:r>
      <w:proofErr w:type="gramStart"/>
      <w:r w:rsidRPr="009B04B3">
        <w:rPr>
          <w:rFonts w:asciiTheme="minorHAnsi" w:hAnsiTheme="minorHAnsi"/>
        </w:rPr>
        <w:t>natureza</w:t>
      </w:r>
      <w:proofErr w:type="gramEnd"/>
    </w:p>
    <w:p w14:paraId="4726D03C" w14:textId="54C76741" w:rsidR="2B87A84A" w:rsidRDefault="2B87A84A" w:rsidP="39B600F5">
      <w:pPr>
        <w:ind w:firstLine="1418"/>
        <w:jc w:val="both"/>
      </w:pPr>
      <w:r w:rsidRPr="39B600F5">
        <w:rPr>
          <w:rFonts w:ascii="Calibri" w:eastAsia="Calibri" w:hAnsi="Calibri" w:cs="Calibri"/>
          <w:color w:val="000000" w:themeColor="text1"/>
          <w:sz w:val="24"/>
          <w:szCs w:val="24"/>
        </w:rPr>
        <w:t xml:space="preserve">Os riscos fiscais relativos à execução de </w:t>
      </w:r>
      <w:proofErr w:type="spellStart"/>
      <w:r w:rsidRPr="39B600F5">
        <w:rPr>
          <w:rFonts w:ascii="Calibri" w:eastAsia="Calibri" w:hAnsi="Calibri" w:cs="Calibri"/>
          <w:color w:val="000000" w:themeColor="text1"/>
          <w:sz w:val="24"/>
          <w:szCs w:val="24"/>
        </w:rPr>
        <w:t>contragarantias</w:t>
      </w:r>
      <w:proofErr w:type="spellEnd"/>
      <w:r w:rsidRPr="39B600F5">
        <w:rPr>
          <w:rFonts w:ascii="Calibri" w:eastAsia="Calibri" w:hAnsi="Calibri" w:cs="Calibri"/>
          <w:color w:val="000000" w:themeColor="text1"/>
          <w:sz w:val="24"/>
          <w:szCs w:val="24"/>
        </w:rPr>
        <w:t xml:space="preserve"> </w:t>
      </w:r>
      <w:proofErr w:type="gramStart"/>
      <w:r w:rsidRPr="39B600F5">
        <w:rPr>
          <w:rFonts w:ascii="Calibri" w:eastAsia="Calibri" w:hAnsi="Calibri" w:cs="Calibri"/>
          <w:color w:val="000000" w:themeColor="text1"/>
          <w:sz w:val="24"/>
          <w:szCs w:val="24"/>
        </w:rPr>
        <w:t>sob gestão</w:t>
      </w:r>
      <w:proofErr w:type="gramEnd"/>
      <w:r w:rsidRPr="39B600F5">
        <w:rPr>
          <w:rFonts w:ascii="Calibri" w:eastAsia="Calibri" w:hAnsi="Calibri" w:cs="Calibri"/>
          <w:color w:val="000000" w:themeColor="text1"/>
          <w:sz w:val="24"/>
          <w:szCs w:val="24"/>
        </w:rPr>
        <w:t xml:space="preserve"> da STN são de três naturezas: riscos relativos às ações judiciais (35 contratos)</w:t>
      </w:r>
      <w:r w:rsidR="00FB0293">
        <w:rPr>
          <w:rFonts w:ascii="Calibri" w:eastAsia="Calibri" w:hAnsi="Calibri" w:cs="Calibri"/>
          <w:color w:val="000000" w:themeColor="text1"/>
          <w:sz w:val="24"/>
          <w:szCs w:val="24"/>
        </w:rPr>
        <w:t>;</w:t>
      </w:r>
      <w:r w:rsidRPr="39B600F5">
        <w:rPr>
          <w:rFonts w:ascii="Calibri" w:eastAsia="Calibri" w:hAnsi="Calibri" w:cs="Calibri"/>
          <w:color w:val="000000" w:themeColor="text1"/>
          <w:sz w:val="24"/>
          <w:szCs w:val="24"/>
        </w:rPr>
        <w:t xml:space="preserve"> riscos de frustração de receitas em decorrência da aplicação de dispositivos legais</w:t>
      </w:r>
      <w:r w:rsidR="00FB0293">
        <w:rPr>
          <w:rFonts w:ascii="Calibri" w:eastAsia="Calibri" w:hAnsi="Calibri" w:cs="Calibri"/>
          <w:color w:val="000000" w:themeColor="text1"/>
          <w:sz w:val="24"/>
          <w:szCs w:val="24"/>
        </w:rPr>
        <w:t>;</w:t>
      </w:r>
      <w:r w:rsidRPr="39B600F5">
        <w:rPr>
          <w:rFonts w:ascii="Calibri" w:eastAsia="Calibri" w:hAnsi="Calibri" w:cs="Calibri"/>
          <w:color w:val="000000" w:themeColor="text1"/>
          <w:sz w:val="24"/>
          <w:szCs w:val="24"/>
        </w:rPr>
        <w:t xml:space="preserve"> e riscos decorrentes de incertezas legislativas.</w:t>
      </w:r>
    </w:p>
    <w:p w14:paraId="37DD2590" w14:textId="27294BE6" w:rsidR="2B87A84A" w:rsidRDefault="2B87A84A" w:rsidP="39B600F5">
      <w:pPr>
        <w:ind w:firstLine="1418"/>
        <w:jc w:val="both"/>
        <w:rPr>
          <w:rFonts w:ascii="Calibri" w:eastAsia="Calibri" w:hAnsi="Calibri" w:cs="Calibri"/>
          <w:color w:val="000000" w:themeColor="text1"/>
          <w:sz w:val="24"/>
          <w:szCs w:val="24"/>
        </w:rPr>
      </w:pPr>
      <w:r w:rsidRPr="39B600F5">
        <w:rPr>
          <w:rFonts w:ascii="Calibri" w:eastAsia="Calibri" w:hAnsi="Calibri" w:cs="Calibri"/>
          <w:color w:val="000000" w:themeColor="text1"/>
          <w:sz w:val="24"/>
          <w:szCs w:val="24"/>
        </w:rPr>
        <w:t xml:space="preserve">Os riscos relativos às ações judiciais decorrem de liminares em ações impetradas pelos mutuários contra a União em diversas instâncias da Justiça concernentes aos haveres originários de </w:t>
      </w:r>
      <w:r w:rsidRPr="39B600F5">
        <w:rPr>
          <w:rFonts w:ascii="Calibri" w:eastAsia="Calibri" w:hAnsi="Calibri" w:cs="Calibri"/>
          <w:color w:val="000000" w:themeColor="text1"/>
          <w:sz w:val="24"/>
          <w:szCs w:val="24"/>
        </w:rPr>
        <w:lastRenderedPageBreak/>
        <w:t>avais honrados pela União, as quais impedem temporariamente a recuperação dos valores. No que tange à carteira supracitada, atualmente há 12 ações judiciais com impacto financeiro de R$ 9,5 bilhões (posição de 31/12/2020).</w:t>
      </w:r>
    </w:p>
    <w:p w14:paraId="25A38CED" w14:textId="4B71CC21" w:rsidR="007D2CCA" w:rsidRPr="009B04B3" w:rsidRDefault="005F369A" w:rsidP="39B600F5">
      <w:pPr>
        <w:spacing w:after="120" w:line="240" w:lineRule="auto"/>
        <w:ind w:firstLine="1418"/>
        <w:jc w:val="both"/>
        <w:rPr>
          <w:sz w:val="24"/>
          <w:szCs w:val="24"/>
        </w:rPr>
      </w:pPr>
      <w:r w:rsidRPr="009B04B3">
        <w:rPr>
          <w:w w:val="105"/>
          <w:sz w:val="24"/>
          <w:szCs w:val="24"/>
        </w:rPr>
        <w:t>Os riscos</w:t>
      </w:r>
      <w:r w:rsidR="00063BEA" w:rsidRPr="009B04B3">
        <w:rPr>
          <w:w w:val="105"/>
          <w:sz w:val="24"/>
          <w:szCs w:val="24"/>
        </w:rPr>
        <w:t xml:space="preserve"> de frustração de receitas em decorrência da aplicação de dispositivos legais</w:t>
      </w:r>
      <w:r w:rsidR="000E4843" w:rsidRPr="009B04B3">
        <w:rPr>
          <w:w w:val="105"/>
          <w:sz w:val="24"/>
          <w:szCs w:val="24"/>
        </w:rPr>
        <w:t xml:space="preserve">, por sua vez, </w:t>
      </w:r>
      <w:r w:rsidR="00063BEA" w:rsidRPr="009B04B3">
        <w:rPr>
          <w:w w:val="105"/>
          <w:sz w:val="24"/>
          <w:szCs w:val="24"/>
        </w:rPr>
        <w:t xml:space="preserve">estão relacionados à Lei Complementar nº 159/2017 – Regime de Recuperação Fiscal </w:t>
      </w:r>
      <w:r w:rsidR="00403A3C" w:rsidRPr="009B04B3">
        <w:rPr>
          <w:w w:val="105"/>
          <w:sz w:val="24"/>
          <w:szCs w:val="24"/>
        </w:rPr>
        <w:t>(</w:t>
      </w:r>
      <w:r w:rsidR="00063BEA" w:rsidRPr="009B04B3">
        <w:rPr>
          <w:w w:val="105"/>
          <w:sz w:val="24"/>
          <w:szCs w:val="24"/>
        </w:rPr>
        <w:t>RRF</w:t>
      </w:r>
      <w:r w:rsidR="00403A3C" w:rsidRPr="009B04B3">
        <w:rPr>
          <w:w w:val="105"/>
          <w:sz w:val="24"/>
          <w:szCs w:val="24"/>
        </w:rPr>
        <w:t>)</w:t>
      </w:r>
      <w:r w:rsidR="00063BEA" w:rsidRPr="009B04B3">
        <w:rPr>
          <w:w w:val="105"/>
          <w:sz w:val="24"/>
          <w:szCs w:val="24"/>
        </w:rPr>
        <w:t xml:space="preserve">, aplicável às dívidas estaduais a serem incluídas no âmbito do referido Regime. A adesão de Estados ao RRF pode suspender e postergar o pagamento de valores devidos à União durante o seu período de vigência. </w:t>
      </w:r>
      <w:r w:rsidR="5E609499" w:rsidRPr="39B600F5">
        <w:rPr>
          <w:rFonts w:ascii="Calibri" w:eastAsia="Calibri" w:hAnsi="Calibri" w:cs="Calibri"/>
          <w:color w:val="000000" w:themeColor="text1"/>
          <w:sz w:val="24"/>
          <w:szCs w:val="24"/>
        </w:rPr>
        <w:t>Até o momento, somente o Estado do Rio de Janeiro aderiu às condições da LC nº 159/2017, e somente permaneceu no âmbito do referido Regime, em virtude da decisão judicial ACO 3.457 TP – RJ, de 24/12/2020. É de se considerar como provável a adesão dos Estados do Rio Grande do Sul, Minas Gerais e Goiás ao referido Regime.</w:t>
      </w:r>
    </w:p>
    <w:p w14:paraId="7FD9B468" w14:textId="32594097" w:rsidR="007D2CCA" w:rsidRPr="009B04B3" w:rsidRDefault="5E609499" w:rsidP="00063BEA">
      <w:pPr>
        <w:spacing w:after="120" w:line="240" w:lineRule="auto"/>
        <w:ind w:firstLine="1418"/>
        <w:jc w:val="both"/>
      </w:pPr>
      <w:r w:rsidRPr="39B600F5">
        <w:rPr>
          <w:rFonts w:ascii="Calibri" w:eastAsia="Calibri" w:hAnsi="Calibri" w:cs="Calibri"/>
          <w:color w:val="000000" w:themeColor="text1"/>
          <w:sz w:val="24"/>
          <w:szCs w:val="24"/>
        </w:rPr>
        <w:t xml:space="preserve">Outra incerteza legislativa a ser considerada é a possibilidade de derrubada, pelo Congresso Nacional, do veto do Poder Executivo Federal ao Artigo 26 da LC nº 178/2021, efetuado durante a sanção do referido normativo. No caso, o Art. 26 dispõe que a União suspenderá a execução das </w:t>
      </w:r>
      <w:proofErr w:type="spellStart"/>
      <w:r w:rsidRPr="39B600F5">
        <w:rPr>
          <w:rFonts w:ascii="Calibri" w:eastAsia="Calibri" w:hAnsi="Calibri" w:cs="Calibri"/>
          <w:color w:val="000000" w:themeColor="text1"/>
          <w:sz w:val="24"/>
          <w:szCs w:val="24"/>
        </w:rPr>
        <w:t>contragarantias</w:t>
      </w:r>
      <w:proofErr w:type="spellEnd"/>
      <w:r w:rsidRPr="39B600F5">
        <w:rPr>
          <w:rFonts w:ascii="Calibri" w:eastAsia="Calibri" w:hAnsi="Calibri" w:cs="Calibri"/>
          <w:color w:val="000000" w:themeColor="text1"/>
          <w:sz w:val="24"/>
          <w:szCs w:val="24"/>
        </w:rPr>
        <w:t xml:space="preserve"> das dívidas decorrentes de contratos de operações de crédito com instituições multilaterais, firmados até a data da publicação desta Lei Complementar, de Estados e Municípios classificados, em 31 de outubro de 2020, como A, B ou C quanto à capacidade de pagamento, conforme metodologia definida pelo Ministério da Economia. Dessa forma, a União passaria a pagar, em nome do Estado ou do Município, e na data de seu vencimento, as prestações dos contratos acima mencionados. Nesse caso, a derrubada do veto ao Art. 26 da LC nº 178/2020 acarretaria à União ao longo de 2021 o impacto estimado de R$ 15,61 bilhões.</w:t>
      </w:r>
    </w:p>
    <w:p w14:paraId="6A105DA6" w14:textId="7FC11F3D" w:rsidR="005B3664" w:rsidRPr="005B3664" w:rsidRDefault="000F016A" w:rsidP="005B3664">
      <w:pPr>
        <w:spacing w:after="120" w:line="240" w:lineRule="auto"/>
        <w:ind w:firstLine="1418"/>
        <w:jc w:val="both"/>
        <w:rPr>
          <w:rFonts w:ascii="Calibri" w:eastAsia="Calibri" w:hAnsi="Calibri" w:cs="Calibri"/>
          <w:color w:val="000000" w:themeColor="text1"/>
          <w:sz w:val="24"/>
          <w:szCs w:val="24"/>
        </w:rPr>
      </w:pPr>
      <w:r w:rsidRPr="009B04B3">
        <w:rPr>
          <w:w w:val="105"/>
          <w:sz w:val="24"/>
          <w:szCs w:val="24"/>
        </w:rPr>
        <w:t>A</w:t>
      </w:r>
      <w:r w:rsidR="005E4483">
        <w:rPr>
          <w:w w:val="105"/>
          <w:sz w:val="24"/>
          <w:szCs w:val="24"/>
        </w:rPr>
        <w:t xml:space="preserve"> </w:t>
      </w:r>
      <w:r w:rsidR="00BD7B05" w:rsidRPr="00BD7B05">
        <w:rPr>
          <w:w w:val="105"/>
          <w:sz w:val="24"/>
          <w:szCs w:val="24"/>
        </w:rPr>
        <w:fldChar w:fldCharType="begin"/>
      </w:r>
      <w:r w:rsidR="00BD7B05" w:rsidRPr="00BD7B05">
        <w:rPr>
          <w:w w:val="105"/>
          <w:sz w:val="24"/>
          <w:szCs w:val="24"/>
        </w:rPr>
        <w:instrText xml:space="preserve"> REF _Ref67560648 \h </w:instrText>
      </w:r>
      <w:r w:rsidR="00BD7B05">
        <w:rPr>
          <w:w w:val="105"/>
          <w:sz w:val="24"/>
          <w:szCs w:val="24"/>
        </w:rPr>
        <w:instrText xml:space="preserve"> \* MERGEFORMAT </w:instrText>
      </w:r>
      <w:r w:rsidR="00BD7B05" w:rsidRPr="00BD7B05">
        <w:rPr>
          <w:w w:val="105"/>
          <w:sz w:val="24"/>
          <w:szCs w:val="24"/>
        </w:rPr>
      </w:r>
      <w:r w:rsidR="00BD7B05" w:rsidRPr="00BD7B05">
        <w:rPr>
          <w:w w:val="105"/>
          <w:sz w:val="24"/>
          <w:szCs w:val="24"/>
        </w:rPr>
        <w:fldChar w:fldCharType="separate"/>
      </w:r>
      <w:r w:rsidR="00304F5F" w:rsidRPr="00304F5F">
        <w:rPr>
          <w:sz w:val="24"/>
          <w:szCs w:val="24"/>
        </w:rPr>
        <w:t xml:space="preserve">Tabela </w:t>
      </w:r>
      <w:r w:rsidR="00304F5F" w:rsidRPr="00304F5F">
        <w:rPr>
          <w:noProof/>
          <w:sz w:val="24"/>
          <w:szCs w:val="24"/>
        </w:rPr>
        <w:t>29</w:t>
      </w:r>
      <w:r w:rsidR="00BD7B05" w:rsidRPr="00BD7B05">
        <w:rPr>
          <w:w w:val="105"/>
          <w:sz w:val="24"/>
          <w:szCs w:val="24"/>
        </w:rPr>
        <w:fldChar w:fldCharType="end"/>
      </w:r>
      <w:r w:rsidR="00BD7B05">
        <w:rPr>
          <w:w w:val="105"/>
          <w:sz w:val="24"/>
          <w:szCs w:val="24"/>
        </w:rPr>
        <w:t xml:space="preserve"> </w:t>
      </w:r>
      <w:r w:rsidRPr="009B04B3">
        <w:rPr>
          <w:w w:val="105"/>
          <w:sz w:val="24"/>
          <w:szCs w:val="24"/>
        </w:rPr>
        <w:t xml:space="preserve">demonstra a evolução do estoque do ativo nos </w:t>
      </w:r>
      <w:r w:rsidR="0080025B" w:rsidRPr="009B04B3">
        <w:rPr>
          <w:w w:val="105"/>
          <w:sz w:val="24"/>
          <w:szCs w:val="24"/>
        </w:rPr>
        <w:t>últimos exercícios</w:t>
      </w:r>
      <w:r w:rsidR="00645E05" w:rsidRPr="009B04B3">
        <w:rPr>
          <w:w w:val="105"/>
          <w:sz w:val="24"/>
          <w:szCs w:val="24"/>
        </w:rPr>
        <w:t xml:space="preserve">. </w:t>
      </w:r>
      <w:r w:rsidR="00264CA1" w:rsidRPr="009B04B3">
        <w:rPr>
          <w:w w:val="105"/>
          <w:sz w:val="24"/>
          <w:szCs w:val="24"/>
        </w:rPr>
        <w:t xml:space="preserve">Cabe destacar, no que se refere aos avais honrados, a variação positiva de </w:t>
      </w:r>
      <w:r w:rsidR="4CEA4E8C" w:rsidRPr="009B04B3">
        <w:rPr>
          <w:w w:val="105"/>
          <w:sz w:val="24"/>
          <w:szCs w:val="24"/>
        </w:rPr>
        <w:t>87</w:t>
      </w:r>
      <w:r w:rsidR="00264CA1" w:rsidRPr="009B04B3">
        <w:rPr>
          <w:w w:val="105"/>
          <w:sz w:val="24"/>
          <w:szCs w:val="24"/>
        </w:rPr>
        <w:t>,7% na comparação do ano de 20</w:t>
      </w:r>
      <w:r w:rsidR="0559DE42" w:rsidRPr="009B04B3">
        <w:rPr>
          <w:w w:val="105"/>
          <w:sz w:val="24"/>
          <w:szCs w:val="24"/>
        </w:rPr>
        <w:t>20</w:t>
      </w:r>
      <w:r w:rsidR="00264CA1" w:rsidRPr="009B04B3">
        <w:rPr>
          <w:w w:val="105"/>
          <w:sz w:val="24"/>
          <w:szCs w:val="24"/>
        </w:rPr>
        <w:t xml:space="preserve"> com 2019, </w:t>
      </w:r>
      <w:r w:rsidR="00264CA1" w:rsidRPr="39B600F5">
        <w:rPr>
          <w:rFonts w:ascii="Calibri" w:eastAsia="Calibri" w:hAnsi="Calibri" w:cs="Calibri"/>
          <w:color w:val="000000" w:themeColor="text1"/>
          <w:sz w:val="24"/>
          <w:szCs w:val="24"/>
        </w:rPr>
        <w:t>explicada pelo estoque de avais não recuperados em 31/12/</w:t>
      </w:r>
      <w:r w:rsidR="4E8A5BFE" w:rsidRPr="39B600F5">
        <w:rPr>
          <w:rFonts w:ascii="Calibri" w:eastAsia="Calibri" w:hAnsi="Calibri" w:cs="Calibri"/>
          <w:color w:val="000000" w:themeColor="text1"/>
          <w:sz w:val="24"/>
          <w:szCs w:val="24"/>
        </w:rPr>
        <w:t>2020</w:t>
      </w:r>
      <w:r w:rsidR="00264CA1" w:rsidRPr="39B600F5">
        <w:rPr>
          <w:rFonts w:ascii="Calibri" w:eastAsia="Calibri" w:hAnsi="Calibri" w:cs="Calibri"/>
          <w:color w:val="000000" w:themeColor="text1"/>
          <w:sz w:val="24"/>
          <w:szCs w:val="24"/>
        </w:rPr>
        <w:t xml:space="preserve">, em decorrência das ações judiciais impetradas pelos Estados </w:t>
      </w:r>
      <w:r w:rsidR="4E8A5BFE" w:rsidRPr="39B600F5">
        <w:rPr>
          <w:rFonts w:ascii="Calibri" w:eastAsia="Calibri" w:hAnsi="Calibri" w:cs="Calibri"/>
          <w:color w:val="000000" w:themeColor="text1"/>
          <w:sz w:val="24"/>
          <w:szCs w:val="24"/>
        </w:rPr>
        <w:t>do Amapá,</w:t>
      </w:r>
      <w:r w:rsidR="00264CA1" w:rsidRPr="39B600F5">
        <w:rPr>
          <w:rFonts w:ascii="Calibri" w:eastAsia="Calibri" w:hAnsi="Calibri" w:cs="Calibri"/>
          <w:color w:val="000000" w:themeColor="text1"/>
          <w:sz w:val="24"/>
          <w:szCs w:val="24"/>
        </w:rPr>
        <w:t xml:space="preserve"> Goiás, </w:t>
      </w:r>
      <w:r w:rsidR="4E8A5BFE" w:rsidRPr="39B600F5">
        <w:rPr>
          <w:rFonts w:ascii="Calibri" w:eastAsia="Calibri" w:hAnsi="Calibri" w:cs="Calibri"/>
          <w:color w:val="000000" w:themeColor="text1"/>
          <w:sz w:val="24"/>
          <w:szCs w:val="24"/>
        </w:rPr>
        <w:t xml:space="preserve">Maranhão, </w:t>
      </w:r>
      <w:r w:rsidR="00264CA1" w:rsidRPr="39B600F5">
        <w:rPr>
          <w:rFonts w:ascii="Calibri" w:eastAsia="Calibri" w:hAnsi="Calibri" w:cs="Calibri"/>
          <w:color w:val="000000" w:themeColor="text1"/>
          <w:sz w:val="24"/>
          <w:szCs w:val="24"/>
        </w:rPr>
        <w:t xml:space="preserve">Minas Gerais e Rio Grande do Norte contra a União, as quais </w:t>
      </w:r>
      <w:r w:rsidR="4E8A5BFE" w:rsidRPr="39B600F5">
        <w:rPr>
          <w:rFonts w:ascii="Calibri" w:eastAsia="Calibri" w:hAnsi="Calibri" w:cs="Calibri"/>
          <w:color w:val="000000" w:themeColor="text1"/>
          <w:sz w:val="24"/>
          <w:szCs w:val="24"/>
        </w:rPr>
        <w:t>mantiveram em suspenso da</w:t>
      </w:r>
      <w:r w:rsidR="00264CA1" w:rsidRPr="39B600F5">
        <w:rPr>
          <w:rFonts w:ascii="Calibri" w:eastAsia="Calibri" w:hAnsi="Calibri" w:cs="Calibri"/>
          <w:color w:val="000000" w:themeColor="text1"/>
          <w:sz w:val="24"/>
          <w:szCs w:val="24"/>
        </w:rPr>
        <w:t xml:space="preserve"> execução das </w:t>
      </w:r>
      <w:proofErr w:type="spellStart"/>
      <w:r w:rsidR="00264CA1" w:rsidRPr="39B600F5">
        <w:rPr>
          <w:rFonts w:ascii="Calibri" w:eastAsia="Calibri" w:hAnsi="Calibri" w:cs="Calibri"/>
          <w:color w:val="000000" w:themeColor="text1"/>
          <w:sz w:val="24"/>
          <w:szCs w:val="24"/>
        </w:rPr>
        <w:t>contragarantias</w:t>
      </w:r>
      <w:proofErr w:type="spellEnd"/>
      <w:r w:rsidR="00264CA1" w:rsidRPr="39B600F5">
        <w:rPr>
          <w:rFonts w:ascii="Calibri" w:eastAsia="Calibri" w:hAnsi="Calibri" w:cs="Calibri"/>
          <w:color w:val="000000" w:themeColor="text1"/>
          <w:sz w:val="24"/>
          <w:szCs w:val="24"/>
        </w:rPr>
        <w:t xml:space="preserve"> correspondentes a partir do exercício de 2019.</w:t>
      </w:r>
    </w:p>
    <w:p w14:paraId="468DD031" w14:textId="32FA54E7" w:rsidR="00E568D5" w:rsidRPr="00A32DF9" w:rsidRDefault="003B2DE5" w:rsidP="002D210D">
      <w:pPr>
        <w:pStyle w:val="TabelaARF"/>
        <w:spacing w:after="120"/>
        <w:jc w:val="center"/>
        <w:rPr>
          <w:rFonts w:cstheme="minorHAnsi"/>
          <w:i/>
          <w:color w:val="000000" w:themeColor="text1"/>
          <w:szCs w:val="22"/>
        </w:rPr>
      </w:pPr>
      <w:bookmarkStart w:id="277" w:name="_Ref67560648"/>
      <w:bookmarkStart w:id="278" w:name="_Ref67560640"/>
      <w:bookmarkStart w:id="279" w:name="_Toc69121375"/>
      <w:r>
        <w:t xml:space="preserve">Tabela </w:t>
      </w:r>
      <w:fldSimple w:instr=" SEQ Tabela \* ARABIC ">
        <w:r w:rsidR="00304F5F">
          <w:rPr>
            <w:noProof/>
          </w:rPr>
          <w:t>29</w:t>
        </w:r>
      </w:fldSimple>
      <w:bookmarkEnd w:id="277"/>
      <w:r>
        <w:t xml:space="preserve"> - </w:t>
      </w:r>
      <w:r w:rsidRPr="00FA4F3E">
        <w:t xml:space="preserve">Evolução do estoque das </w:t>
      </w:r>
      <w:proofErr w:type="spellStart"/>
      <w:r w:rsidRPr="00FA4F3E">
        <w:t>contragarantias</w:t>
      </w:r>
      <w:proofErr w:type="spellEnd"/>
      <w:r w:rsidRPr="00FA4F3E">
        <w:t xml:space="preserve"> não executadas, segundo as </w:t>
      </w:r>
      <w:proofErr w:type="gramStart"/>
      <w:r w:rsidRPr="00FA4F3E">
        <w:t>motivações</w:t>
      </w:r>
      <w:bookmarkEnd w:id="278"/>
      <w:bookmarkEnd w:id="279"/>
      <w:proofErr w:type="gramEnd"/>
    </w:p>
    <w:tbl>
      <w:tblPr>
        <w:tblW w:w="93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81"/>
        <w:gridCol w:w="935"/>
        <w:gridCol w:w="851"/>
        <w:gridCol w:w="850"/>
        <w:gridCol w:w="851"/>
      </w:tblGrid>
      <w:tr w:rsidR="001A4ADE" w:rsidRPr="00DF7D1A" w14:paraId="1732D0D7" w14:textId="77777777" w:rsidTr="006E3D33">
        <w:trPr>
          <w:trHeight w:val="20"/>
          <w:tblHeader/>
          <w:jc w:val="center"/>
        </w:trPr>
        <w:tc>
          <w:tcPr>
            <w:tcW w:w="9368" w:type="dxa"/>
            <w:gridSpan w:val="5"/>
            <w:tcBorders>
              <w:top w:val="nil"/>
              <w:left w:val="nil"/>
              <w:bottom w:val="single" w:sz="4" w:space="0" w:color="BFBFBF" w:themeColor="background1" w:themeShade="BF"/>
              <w:right w:val="nil"/>
            </w:tcBorders>
            <w:shd w:val="clear" w:color="auto" w:fill="auto"/>
            <w:vAlign w:val="center"/>
            <w:hideMark/>
          </w:tcPr>
          <w:p w14:paraId="45CAFC03" w14:textId="15477325" w:rsidR="001A4ADE" w:rsidRPr="002D210D" w:rsidRDefault="001A4ADE" w:rsidP="002D210D">
            <w:pPr>
              <w:spacing w:after="0" w:line="240" w:lineRule="auto"/>
              <w:jc w:val="right"/>
              <w:textAlignment w:val="baseline"/>
              <w:rPr>
                <w:rFonts w:ascii="Calibri" w:eastAsia="Times New Roman" w:hAnsi="Calibri" w:cs="Times New Roman"/>
                <w:i/>
                <w:sz w:val="16"/>
                <w:szCs w:val="16"/>
                <w:lang w:eastAsia="pt-BR"/>
              </w:rPr>
            </w:pPr>
            <w:r w:rsidRPr="002D210D">
              <w:rPr>
                <w:rFonts w:ascii="Calibri" w:eastAsia="Times New Roman" w:hAnsi="Calibri" w:cs="Times New Roman"/>
                <w:i/>
                <w:color w:val="000000"/>
                <w:sz w:val="16"/>
                <w:szCs w:val="16"/>
                <w:lang w:eastAsia="pt-BR"/>
              </w:rPr>
              <w:t>Em R$ milhões</w:t>
            </w:r>
          </w:p>
        </w:tc>
      </w:tr>
      <w:tr w:rsidR="004A2F12" w:rsidRPr="00DF7D1A" w14:paraId="1F044F27" w14:textId="77777777" w:rsidTr="006E3D33">
        <w:trPr>
          <w:trHeight w:val="20"/>
          <w:tblHeader/>
          <w:jc w:val="center"/>
        </w:trPr>
        <w:tc>
          <w:tcPr>
            <w:tcW w:w="588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382821A" w14:textId="1403870D" w:rsidR="00DF7D1A" w:rsidRPr="002D210D" w:rsidRDefault="00DF7D1A" w:rsidP="002D210D">
            <w:pPr>
              <w:spacing w:after="0" w:line="240" w:lineRule="auto"/>
              <w:jc w:val="center"/>
              <w:textAlignment w:val="baseline"/>
              <w:rPr>
                <w:rFonts w:ascii="Calibri" w:eastAsia="Times New Roman" w:hAnsi="Calibri" w:cs="Times New Roman"/>
                <w:b/>
                <w:bCs/>
                <w:color w:val="FFFFFF" w:themeColor="background1"/>
                <w:sz w:val="20"/>
                <w:szCs w:val="20"/>
                <w:lang w:eastAsia="pt-BR"/>
              </w:rPr>
            </w:pPr>
            <w:r w:rsidRPr="002D210D">
              <w:rPr>
                <w:rFonts w:ascii="Calibri" w:eastAsia="Times New Roman" w:hAnsi="Calibri" w:cs="Times New Roman"/>
                <w:b/>
                <w:bCs/>
                <w:color w:val="FFFFFF" w:themeColor="background1"/>
                <w:sz w:val="20"/>
                <w:szCs w:val="20"/>
                <w:lang w:eastAsia="pt-BR"/>
              </w:rPr>
              <w:t>Ativo/Programa</w:t>
            </w:r>
          </w:p>
        </w:tc>
        <w:tc>
          <w:tcPr>
            <w:tcW w:w="348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0A5AE2D" w14:textId="77777777" w:rsidR="00DF7D1A" w:rsidRPr="002D210D" w:rsidRDefault="00DF7D1A" w:rsidP="002D210D">
            <w:pPr>
              <w:spacing w:after="0" w:line="240" w:lineRule="auto"/>
              <w:jc w:val="center"/>
              <w:textAlignment w:val="baseline"/>
              <w:rPr>
                <w:rFonts w:ascii="Calibri" w:eastAsia="Times New Roman" w:hAnsi="Calibri" w:cs="Times New Roman"/>
                <w:b/>
                <w:bCs/>
                <w:color w:val="FFFFFF" w:themeColor="background1"/>
                <w:sz w:val="20"/>
                <w:szCs w:val="20"/>
                <w:lang w:eastAsia="pt-BR"/>
              </w:rPr>
            </w:pPr>
            <w:r w:rsidRPr="002D210D">
              <w:rPr>
                <w:rFonts w:ascii="Calibri" w:eastAsia="Times New Roman" w:hAnsi="Calibri" w:cs="Times New Roman"/>
                <w:b/>
                <w:bCs/>
                <w:color w:val="FFFFFF" w:themeColor="background1"/>
                <w:sz w:val="20"/>
                <w:szCs w:val="20"/>
                <w:lang w:eastAsia="pt-BR"/>
              </w:rPr>
              <w:t>Valores a Recuperar</w:t>
            </w:r>
            <w:r w:rsidR="001E7CDD" w:rsidRPr="002D210D">
              <w:rPr>
                <w:rFonts w:ascii="Calibri" w:eastAsia="Times New Roman" w:hAnsi="Calibri" w:cs="Times New Roman"/>
                <w:b/>
                <w:bCs/>
                <w:color w:val="FFFFFF" w:themeColor="background1"/>
                <w:sz w:val="20"/>
                <w:szCs w:val="20"/>
                <w:lang w:eastAsia="pt-BR"/>
              </w:rPr>
              <w:t xml:space="preserve"> ($)</w:t>
            </w:r>
          </w:p>
          <w:p w14:paraId="139D925A" w14:textId="4CBCCBDF" w:rsidR="001E7CDD" w:rsidRPr="002D210D" w:rsidRDefault="005075DF" w:rsidP="002D210D">
            <w:pPr>
              <w:spacing w:after="0" w:line="240" w:lineRule="auto"/>
              <w:jc w:val="center"/>
              <w:textAlignment w:val="baseline"/>
              <w:rPr>
                <w:rFonts w:ascii="Calibri" w:eastAsia="Times New Roman" w:hAnsi="Calibri" w:cs="Times New Roman"/>
                <w:color w:val="FFFFFF" w:themeColor="background1"/>
                <w:sz w:val="20"/>
                <w:szCs w:val="20"/>
                <w:lang w:eastAsia="pt-BR"/>
              </w:rPr>
            </w:pPr>
            <w:r w:rsidRPr="002D210D">
              <w:rPr>
                <w:rFonts w:ascii="Calibri" w:eastAsia="Times New Roman" w:hAnsi="Calibri" w:cs="Times New Roman"/>
                <w:color w:val="FFFFFF" w:themeColor="background1"/>
                <w:sz w:val="20"/>
                <w:szCs w:val="20"/>
                <w:lang w:eastAsia="pt-BR"/>
              </w:rPr>
              <w:t>Variação</w:t>
            </w:r>
            <w:r w:rsidR="00551D29" w:rsidRPr="002D210D">
              <w:rPr>
                <w:rFonts w:ascii="Calibri" w:eastAsia="Times New Roman" w:hAnsi="Calibri" w:cs="Times New Roman"/>
                <w:color w:val="FFFFFF" w:themeColor="background1"/>
                <w:sz w:val="20"/>
                <w:szCs w:val="20"/>
                <w:lang w:eastAsia="pt-BR"/>
              </w:rPr>
              <w:t xml:space="preserve"> (%)</w:t>
            </w:r>
            <w:r w:rsidR="00D87AAC" w:rsidRPr="002D210D">
              <w:rPr>
                <w:rFonts w:ascii="Calibri" w:eastAsia="Times New Roman" w:hAnsi="Calibri" w:cs="Times New Roman"/>
                <w:color w:val="FFFFFF" w:themeColor="background1"/>
                <w:sz w:val="20"/>
                <w:szCs w:val="20"/>
                <w:lang w:eastAsia="pt-BR"/>
              </w:rPr>
              <w:t xml:space="preserve"> </w:t>
            </w:r>
            <w:proofErr w:type="gramStart"/>
            <w:r w:rsidR="00D87AAC" w:rsidRPr="002D210D">
              <w:rPr>
                <w:rFonts w:ascii="Calibri" w:eastAsia="Times New Roman" w:hAnsi="Calibri" w:cs="Times New Roman"/>
                <w:color w:val="FFFFFF" w:themeColor="background1"/>
                <w:sz w:val="20"/>
                <w:szCs w:val="20"/>
                <w:vertAlign w:val="superscript"/>
                <w:lang w:eastAsia="pt-BR"/>
              </w:rPr>
              <w:t>1</w:t>
            </w:r>
            <w:proofErr w:type="gramEnd"/>
          </w:p>
        </w:tc>
      </w:tr>
      <w:tr w:rsidR="00D87AAC" w:rsidRPr="00DF7D1A" w14:paraId="0A0EA1CB" w14:textId="77777777" w:rsidTr="006E3D33">
        <w:trPr>
          <w:trHeight w:val="20"/>
          <w:tblHeader/>
          <w:jc w:val="center"/>
        </w:trPr>
        <w:tc>
          <w:tcPr>
            <w:tcW w:w="5881" w:type="dxa"/>
            <w:vMerge/>
            <w:tcBorders>
              <w:left w:val="single" w:sz="4" w:space="0" w:color="BFBFBF" w:themeColor="background1" w:themeShade="BF"/>
              <w:bottom w:val="single" w:sz="4" w:space="0" w:color="BFBFBF" w:themeColor="background1" w:themeShade="BF"/>
            </w:tcBorders>
            <w:vAlign w:val="center"/>
            <w:hideMark/>
          </w:tcPr>
          <w:p w14:paraId="035D5773" w14:textId="1FCBB4DB" w:rsidR="00DF7D1A" w:rsidRPr="002D210D" w:rsidRDefault="00DF7D1A" w:rsidP="002D210D">
            <w:pPr>
              <w:spacing w:after="0" w:line="240" w:lineRule="auto"/>
              <w:jc w:val="center"/>
              <w:textAlignment w:val="baseline"/>
              <w:rPr>
                <w:rFonts w:ascii="Calibri" w:eastAsia="Times New Roman" w:hAnsi="Calibri" w:cs="Times New Roman"/>
                <w:color w:val="FFFFFF" w:themeColor="background1"/>
                <w:sz w:val="18"/>
                <w:szCs w:val="18"/>
                <w:lang w:eastAsia="pt-BR"/>
              </w:rPr>
            </w:pP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EF086CF" w14:textId="79AD1E1A" w:rsidR="00DF7D1A" w:rsidRPr="002D210D" w:rsidRDefault="08630519" w:rsidP="002D210D">
            <w:pPr>
              <w:spacing w:after="0" w:line="240" w:lineRule="auto"/>
              <w:jc w:val="center"/>
              <w:textAlignment w:val="baseline"/>
              <w:rPr>
                <w:rFonts w:ascii="Calibri" w:eastAsia="Times New Roman" w:hAnsi="Calibri" w:cs="Times New Roman"/>
                <w:b/>
                <w:bCs/>
                <w:color w:val="FFFFFF" w:themeColor="background1"/>
                <w:sz w:val="20"/>
                <w:szCs w:val="20"/>
                <w:lang w:eastAsia="pt-BR"/>
              </w:rPr>
            </w:pPr>
            <w:r w:rsidRPr="002D210D">
              <w:rPr>
                <w:rFonts w:ascii="Calibri" w:eastAsia="Times New Roman" w:hAnsi="Calibri" w:cs="Times New Roman"/>
                <w:b/>
                <w:bCs/>
                <w:color w:val="FFFFFF" w:themeColor="background1"/>
                <w:sz w:val="20"/>
                <w:szCs w:val="20"/>
                <w:lang w:eastAsia="pt-BR"/>
              </w:rPr>
              <w:t>201</w:t>
            </w:r>
            <w:r w:rsidR="55BA6198" w:rsidRPr="002D210D">
              <w:rPr>
                <w:rFonts w:ascii="Calibri" w:eastAsia="Times New Roman" w:hAnsi="Calibri" w:cs="Times New Roman"/>
                <w:b/>
                <w:bCs/>
                <w:color w:val="FFFFFF" w:themeColor="background1"/>
                <w:sz w:val="20"/>
                <w:szCs w:val="20"/>
                <w:lang w:eastAsia="pt-BR"/>
              </w:rPr>
              <w:t>7</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C70773C" w14:textId="0CF476BE" w:rsidR="00DF7D1A" w:rsidRPr="002D210D" w:rsidRDefault="08630519" w:rsidP="002D210D">
            <w:pPr>
              <w:spacing w:after="0" w:line="240" w:lineRule="auto"/>
              <w:jc w:val="center"/>
              <w:textAlignment w:val="baseline"/>
              <w:rPr>
                <w:rFonts w:ascii="Calibri" w:eastAsia="Times New Roman" w:hAnsi="Calibri" w:cs="Times New Roman"/>
                <w:b/>
                <w:bCs/>
                <w:color w:val="FFFFFF" w:themeColor="background1"/>
                <w:sz w:val="20"/>
                <w:szCs w:val="20"/>
                <w:lang w:eastAsia="pt-BR"/>
              </w:rPr>
            </w:pPr>
            <w:r w:rsidRPr="002D210D">
              <w:rPr>
                <w:rFonts w:ascii="Calibri" w:eastAsia="Times New Roman" w:hAnsi="Calibri" w:cs="Times New Roman"/>
                <w:b/>
                <w:bCs/>
                <w:color w:val="FFFFFF" w:themeColor="background1"/>
                <w:sz w:val="20"/>
                <w:szCs w:val="20"/>
                <w:lang w:eastAsia="pt-BR"/>
              </w:rPr>
              <w:t>201</w:t>
            </w:r>
            <w:r w:rsidR="73B7A923" w:rsidRPr="002D210D">
              <w:rPr>
                <w:rFonts w:ascii="Calibri" w:eastAsia="Times New Roman" w:hAnsi="Calibri" w:cs="Times New Roman"/>
                <w:b/>
                <w:bCs/>
                <w:color w:val="FFFFFF" w:themeColor="background1"/>
                <w:sz w:val="20"/>
                <w:szCs w:val="20"/>
                <w:lang w:eastAsia="pt-BR"/>
              </w:rPr>
              <w:t>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619B0FF0" w14:textId="13851AE0" w:rsidR="00DF7D1A" w:rsidRPr="002D210D" w:rsidRDefault="08630519" w:rsidP="002D210D">
            <w:pPr>
              <w:spacing w:after="0" w:line="240" w:lineRule="auto"/>
              <w:jc w:val="center"/>
              <w:textAlignment w:val="baseline"/>
              <w:rPr>
                <w:rFonts w:ascii="Calibri" w:eastAsia="Times New Roman" w:hAnsi="Calibri" w:cs="Times New Roman"/>
                <w:b/>
                <w:bCs/>
                <w:color w:val="FFFFFF" w:themeColor="background1"/>
                <w:sz w:val="20"/>
                <w:szCs w:val="20"/>
                <w:lang w:eastAsia="pt-BR"/>
              </w:rPr>
            </w:pPr>
            <w:r w:rsidRPr="002D210D">
              <w:rPr>
                <w:rFonts w:ascii="Calibri" w:eastAsia="Times New Roman" w:hAnsi="Calibri" w:cs="Times New Roman"/>
                <w:b/>
                <w:bCs/>
                <w:color w:val="FFFFFF" w:themeColor="background1"/>
                <w:sz w:val="20"/>
                <w:szCs w:val="20"/>
                <w:lang w:eastAsia="pt-BR"/>
              </w:rPr>
              <w:t>201</w:t>
            </w:r>
            <w:r w:rsidR="7B6A26F0" w:rsidRPr="002D210D">
              <w:rPr>
                <w:rFonts w:ascii="Calibri" w:eastAsia="Times New Roman" w:hAnsi="Calibri" w:cs="Times New Roman"/>
                <w:b/>
                <w:bCs/>
                <w:color w:val="FFFFFF" w:themeColor="background1"/>
                <w:sz w:val="20"/>
                <w:szCs w:val="20"/>
                <w:lang w:eastAsia="pt-BR"/>
              </w:rPr>
              <w:t>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4BF4D8C" w14:textId="01C6B0F5" w:rsidR="00DF7D1A" w:rsidRPr="002D210D" w:rsidRDefault="08630519" w:rsidP="002D210D">
            <w:pPr>
              <w:spacing w:after="0" w:line="240" w:lineRule="auto"/>
              <w:jc w:val="center"/>
              <w:textAlignment w:val="baseline"/>
              <w:rPr>
                <w:rFonts w:ascii="Calibri" w:eastAsia="Times New Roman" w:hAnsi="Calibri" w:cs="Times New Roman"/>
                <w:b/>
                <w:bCs/>
                <w:color w:val="FFFFFF" w:themeColor="background1"/>
                <w:sz w:val="20"/>
                <w:szCs w:val="20"/>
                <w:lang w:eastAsia="pt-BR"/>
              </w:rPr>
            </w:pPr>
            <w:r w:rsidRPr="002D210D">
              <w:rPr>
                <w:rFonts w:ascii="Calibri" w:eastAsia="Times New Roman" w:hAnsi="Calibri" w:cs="Times New Roman"/>
                <w:b/>
                <w:bCs/>
                <w:color w:val="FFFFFF" w:themeColor="background1"/>
                <w:sz w:val="20"/>
                <w:szCs w:val="20"/>
                <w:lang w:eastAsia="pt-BR"/>
              </w:rPr>
              <w:t>20</w:t>
            </w:r>
            <w:r w:rsidR="696A3EA1" w:rsidRPr="002D210D">
              <w:rPr>
                <w:rFonts w:ascii="Calibri" w:eastAsia="Times New Roman" w:hAnsi="Calibri" w:cs="Times New Roman"/>
                <w:b/>
                <w:bCs/>
                <w:color w:val="FFFFFF" w:themeColor="background1"/>
                <w:sz w:val="20"/>
                <w:szCs w:val="20"/>
                <w:lang w:eastAsia="pt-BR"/>
              </w:rPr>
              <w:t>20</w:t>
            </w:r>
          </w:p>
        </w:tc>
      </w:tr>
      <w:tr w:rsidR="00684AC2" w:rsidRPr="00DF7D1A" w14:paraId="7637C43B" w14:textId="77777777" w:rsidTr="006E3D33">
        <w:trPr>
          <w:trHeight w:val="20"/>
          <w:jc w:val="center"/>
        </w:trPr>
        <w:tc>
          <w:tcPr>
            <w:tcW w:w="5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E61A97B" w14:textId="226FFD4D" w:rsidR="001A4ADE" w:rsidRPr="002D210D" w:rsidRDefault="001A4ADE" w:rsidP="002D210D">
            <w:pPr>
              <w:spacing w:after="0" w:line="240" w:lineRule="auto"/>
              <w:textAlignment w:val="baseline"/>
              <w:rPr>
                <w:rFonts w:ascii="Calibri" w:eastAsia="Times New Roman" w:hAnsi="Calibri" w:cs="Times New Roman"/>
                <w:sz w:val="18"/>
                <w:szCs w:val="18"/>
                <w:lang w:eastAsia="pt-BR"/>
              </w:rPr>
            </w:pPr>
            <w:r w:rsidRPr="002D210D">
              <w:rPr>
                <w:rFonts w:ascii="Calibri" w:eastAsia="Times New Roman" w:hAnsi="Calibri" w:cs="Times New Roman"/>
                <w:color w:val="000000"/>
                <w:sz w:val="18"/>
                <w:szCs w:val="18"/>
                <w:lang w:eastAsia="pt-BR"/>
              </w:rPr>
              <w:t>Avais a Recuperar</w:t>
            </w:r>
            <w:r w:rsidR="00D87AAC" w:rsidRPr="002D210D">
              <w:rPr>
                <w:rFonts w:ascii="Calibri" w:eastAsia="Times New Roman" w:hAnsi="Calibri" w:cs="Times New Roman"/>
                <w:color w:val="000000"/>
                <w:sz w:val="18"/>
                <w:szCs w:val="18"/>
                <w:lang w:eastAsia="pt-BR"/>
              </w:rPr>
              <w:t xml:space="preserve"> </w:t>
            </w:r>
            <w:proofErr w:type="gramStart"/>
            <w:r w:rsidR="00D87AAC" w:rsidRPr="002D210D">
              <w:rPr>
                <w:rFonts w:ascii="Calibri" w:eastAsia="Times New Roman" w:hAnsi="Calibri" w:cs="Times New Roman"/>
                <w:color w:val="000000"/>
                <w:sz w:val="18"/>
                <w:szCs w:val="18"/>
                <w:vertAlign w:val="superscript"/>
                <w:lang w:eastAsia="pt-BR"/>
              </w:rPr>
              <w:t>2</w:t>
            </w:r>
            <w:proofErr w:type="gramEnd"/>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0A382A" w14:textId="2ACB3BAD" w:rsidR="001A4ADE" w:rsidRPr="002D210D" w:rsidRDefault="2BEA2F12"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508,2</w:t>
            </w:r>
          </w:p>
          <w:p w14:paraId="33AFD17D" w14:textId="2101CE91" w:rsidR="001A4ADE" w:rsidRPr="002D210D" w:rsidRDefault="69AA5291"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37,2%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0E8E25" w14:textId="66CB6CDB" w:rsidR="00A753B2" w:rsidRPr="002D210D" w:rsidRDefault="5DA843DA"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5</w:t>
            </w:r>
            <w:r w:rsidR="75509542" w:rsidRPr="002D210D">
              <w:rPr>
                <w:rFonts w:ascii="Calibri" w:eastAsia="Times New Roman" w:hAnsi="Calibri" w:cs="Times New Roman"/>
                <w:sz w:val="18"/>
                <w:szCs w:val="18"/>
                <w:lang w:eastAsia="pt-BR"/>
              </w:rPr>
              <w:t>94,8</w:t>
            </w:r>
          </w:p>
          <w:p w14:paraId="7B048159" w14:textId="691E2889" w:rsidR="001A4ADE" w:rsidRPr="002D210D" w:rsidRDefault="14C83656"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1</w:t>
            </w:r>
            <w:r w:rsidR="0DA66566" w:rsidRPr="002D210D">
              <w:rPr>
                <w:rFonts w:ascii="Calibri" w:eastAsia="Times New Roman" w:hAnsi="Calibri" w:cs="Times New Roman"/>
                <w:sz w:val="18"/>
                <w:szCs w:val="18"/>
                <w:lang w:eastAsia="pt-BR"/>
              </w:rPr>
              <w:t>7</w:t>
            </w:r>
            <w:r w:rsidR="439C7D65" w:rsidRPr="002D210D">
              <w:rPr>
                <w:rFonts w:ascii="Calibri" w:eastAsia="Times New Roman" w:hAnsi="Calibri" w:cs="Times New Roman"/>
                <w:sz w:val="18"/>
                <w:szCs w:val="18"/>
                <w:lang w:eastAsia="pt-BR"/>
              </w:rPr>
              <w:t>,0</w:t>
            </w:r>
            <w:r w:rsidR="0DA66566" w:rsidRPr="002D210D">
              <w:rPr>
                <w:rFonts w:ascii="Calibri" w:eastAsia="Times New Roman" w:hAnsi="Calibri" w:cs="Times New Roman"/>
                <w:sz w:val="18"/>
                <w:szCs w:val="18"/>
                <w:lang w:eastAsia="pt-BR"/>
              </w:rPr>
              <w:t>%</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F98896C" w14:textId="2660DB25" w:rsidR="001A4ADE" w:rsidRPr="002D210D" w:rsidRDefault="5DA843DA"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5</w:t>
            </w:r>
            <w:r w:rsidR="006B4D9C">
              <w:rPr>
                <w:rFonts w:ascii="Calibri" w:eastAsia="Times New Roman" w:hAnsi="Calibri" w:cs="Times New Roman"/>
                <w:sz w:val="18"/>
                <w:szCs w:val="18"/>
                <w:lang w:eastAsia="pt-BR"/>
              </w:rPr>
              <w:t>.</w:t>
            </w:r>
            <w:r w:rsidR="41F37BF3" w:rsidRPr="002D210D">
              <w:rPr>
                <w:rFonts w:ascii="Calibri" w:eastAsia="Times New Roman" w:hAnsi="Calibri" w:cs="Times New Roman"/>
                <w:sz w:val="18"/>
                <w:szCs w:val="18"/>
                <w:lang w:eastAsia="pt-BR"/>
              </w:rPr>
              <w:t>047</w:t>
            </w:r>
            <w:r w:rsidRPr="002D210D">
              <w:rPr>
                <w:rFonts w:ascii="Calibri" w:eastAsia="Times New Roman" w:hAnsi="Calibri" w:cs="Times New Roman"/>
                <w:sz w:val="18"/>
                <w:szCs w:val="18"/>
                <w:lang w:eastAsia="pt-BR"/>
              </w:rPr>
              <w:t>,</w:t>
            </w:r>
            <w:r w:rsidR="42470EEB" w:rsidRPr="002D210D">
              <w:rPr>
                <w:rFonts w:ascii="Calibri" w:eastAsia="Times New Roman" w:hAnsi="Calibri" w:cs="Times New Roman"/>
                <w:sz w:val="18"/>
                <w:szCs w:val="18"/>
                <w:lang w:eastAsia="pt-BR"/>
              </w:rPr>
              <w:t>0</w:t>
            </w:r>
          </w:p>
          <w:p w14:paraId="76E32479" w14:textId="23537864" w:rsidR="00A753B2" w:rsidRPr="002D210D" w:rsidRDefault="5E5E7504"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748</w:t>
            </w:r>
            <w:r w:rsidR="0DA66566" w:rsidRPr="002D210D">
              <w:rPr>
                <w:rFonts w:ascii="Calibri" w:eastAsia="Times New Roman" w:hAnsi="Calibri" w:cs="Times New Roman"/>
                <w:sz w:val="18"/>
                <w:szCs w:val="18"/>
                <w:lang w:eastAsia="pt-BR"/>
              </w:rPr>
              <w:t>,</w:t>
            </w:r>
            <w:r w:rsidR="00DE32FC" w:rsidRPr="002D210D">
              <w:rPr>
                <w:rFonts w:ascii="Calibri" w:eastAsia="Times New Roman" w:hAnsi="Calibri" w:cs="Times New Roman"/>
                <w:sz w:val="18"/>
                <w:szCs w:val="18"/>
                <w:lang w:eastAsia="pt-BR"/>
              </w:rPr>
              <w:t>6</w:t>
            </w:r>
            <w:r w:rsidR="0DA66566" w:rsidRPr="002D210D">
              <w:rPr>
                <w:rFonts w:ascii="Calibri" w:eastAsia="Times New Roman" w:hAnsi="Calibri" w:cs="Times New Roman"/>
                <w:sz w:val="18"/>
                <w:szCs w:val="18"/>
                <w:lang w:eastAsia="pt-BR"/>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4010DA5" w14:textId="6CC3E24C" w:rsidR="001A4ADE" w:rsidRPr="002D210D" w:rsidRDefault="6ABA8370"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9</w:t>
            </w:r>
            <w:r w:rsidR="006B4D9C">
              <w:rPr>
                <w:rFonts w:ascii="Calibri" w:eastAsia="Times New Roman" w:hAnsi="Calibri" w:cs="Times New Roman"/>
                <w:sz w:val="18"/>
                <w:szCs w:val="18"/>
                <w:lang w:eastAsia="pt-BR"/>
              </w:rPr>
              <w:t>.</w:t>
            </w:r>
            <w:r w:rsidRPr="002D210D">
              <w:rPr>
                <w:rFonts w:ascii="Calibri" w:eastAsia="Times New Roman" w:hAnsi="Calibri" w:cs="Times New Roman"/>
                <w:sz w:val="18"/>
                <w:szCs w:val="18"/>
                <w:lang w:eastAsia="pt-BR"/>
              </w:rPr>
              <w:t>473</w:t>
            </w:r>
            <w:r w:rsidR="5DA843DA" w:rsidRPr="002D210D">
              <w:rPr>
                <w:rFonts w:ascii="Calibri" w:eastAsia="Times New Roman" w:hAnsi="Calibri" w:cs="Times New Roman"/>
                <w:sz w:val="18"/>
                <w:szCs w:val="18"/>
                <w:lang w:eastAsia="pt-BR"/>
              </w:rPr>
              <w:t>,</w:t>
            </w:r>
            <w:r w:rsidR="5D4F73E3" w:rsidRPr="002D210D">
              <w:rPr>
                <w:rFonts w:ascii="Calibri" w:eastAsia="Times New Roman" w:hAnsi="Calibri" w:cs="Times New Roman"/>
                <w:sz w:val="18"/>
                <w:szCs w:val="18"/>
                <w:lang w:eastAsia="pt-BR"/>
              </w:rPr>
              <w:t>2</w:t>
            </w:r>
          </w:p>
          <w:p w14:paraId="02FB1A97" w14:textId="010037D6" w:rsidR="00A753B2" w:rsidRPr="002D210D" w:rsidRDefault="43F7F23C"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87</w:t>
            </w:r>
            <w:r w:rsidR="0DA66566" w:rsidRPr="002D210D">
              <w:rPr>
                <w:rFonts w:ascii="Calibri" w:eastAsia="Times New Roman" w:hAnsi="Calibri" w:cs="Times New Roman"/>
                <w:sz w:val="18"/>
                <w:szCs w:val="18"/>
                <w:lang w:eastAsia="pt-BR"/>
              </w:rPr>
              <w:t>,</w:t>
            </w:r>
            <w:r w:rsidR="08715106" w:rsidRPr="002D210D">
              <w:rPr>
                <w:rFonts w:ascii="Calibri" w:eastAsia="Times New Roman" w:hAnsi="Calibri" w:cs="Times New Roman"/>
                <w:sz w:val="18"/>
                <w:szCs w:val="18"/>
                <w:lang w:eastAsia="pt-BR"/>
              </w:rPr>
              <w:t>7</w:t>
            </w:r>
            <w:r w:rsidR="0DA66566" w:rsidRPr="002D210D">
              <w:rPr>
                <w:rFonts w:ascii="Calibri" w:eastAsia="Times New Roman" w:hAnsi="Calibri" w:cs="Times New Roman"/>
                <w:sz w:val="18"/>
                <w:szCs w:val="18"/>
                <w:lang w:eastAsia="pt-BR"/>
              </w:rPr>
              <w:t>%</w:t>
            </w:r>
          </w:p>
        </w:tc>
      </w:tr>
      <w:tr w:rsidR="00684AC2" w:rsidRPr="00DF7D1A" w14:paraId="2FF677C6" w14:textId="77777777" w:rsidTr="006E3D33">
        <w:trPr>
          <w:trHeight w:val="20"/>
          <w:jc w:val="center"/>
        </w:trPr>
        <w:tc>
          <w:tcPr>
            <w:tcW w:w="5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F8F0274" w14:textId="0A4B65ED" w:rsidR="001A4ADE" w:rsidRPr="002D210D" w:rsidRDefault="001A4ADE" w:rsidP="002D210D">
            <w:pPr>
              <w:spacing w:after="0" w:line="240" w:lineRule="auto"/>
              <w:textAlignment w:val="baseline"/>
              <w:rPr>
                <w:rFonts w:ascii="Calibri" w:eastAsia="Times New Roman" w:hAnsi="Calibri" w:cs="Times New Roman"/>
                <w:sz w:val="18"/>
                <w:szCs w:val="18"/>
                <w:lang w:eastAsia="pt-BR"/>
              </w:rPr>
            </w:pPr>
            <w:r w:rsidRPr="002D210D">
              <w:rPr>
                <w:rFonts w:ascii="Calibri" w:eastAsia="Times New Roman" w:hAnsi="Calibri" w:cs="Times New Roman"/>
                <w:color w:val="000000"/>
                <w:sz w:val="18"/>
                <w:szCs w:val="18"/>
                <w:lang w:eastAsia="pt-BR"/>
              </w:rPr>
              <w:t>Avais a Recuperar sob o Regime de Recuperação Fiscal</w:t>
            </w:r>
            <w:r w:rsidR="00DF7D1A" w:rsidRPr="002D210D">
              <w:rPr>
                <w:rFonts w:ascii="Calibri" w:eastAsia="Times New Roman" w:hAnsi="Calibri" w:cs="Times New Roman"/>
                <w:color w:val="000000"/>
                <w:sz w:val="18"/>
                <w:szCs w:val="18"/>
                <w:lang w:eastAsia="pt-BR"/>
              </w:rPr>
              <w:t xml:space="preserve"> (</w:t>
            </w:r>
            <w:r w:rsidRPr="002D210D">
              <w:rPr>
                <w:rFonts w:ascii="Calibri" w:eastAsia="Times New Roman" w:hAnsi="Calibri" w:cs="Times New Roman"/>
                <w:color w:val="000000"/>
                <w:sz w:val="18"/>
                <w:szCs w:val="18"/>
                <w:lang w:eastAsia="pt-BR"/>
              </w:rPr>
              <w:t>RRF</w:t>
            </w:r>
            <w:r w:rsidR="00DF7D1A" w:rsidRPr="002D210D">
              <w:rPr>
                <w:rFonts w:ascii="Calibri" w:eastAsia="Times New Roman" w:hAnsi="Calibri" w:cs="Times New Roman"/>
                <w:color w:val="000000"/>
                <w:sz w:val="18"/>
                <w:szCs w:val="18"/>
                <w:lang w:eastAsia="pt-BR"/>
              </w:rPr>
              <w:t xml:space="preserve">) </w:t>
            </w:r>
            <w:proofErr w:type="gramStart"/>
            <w:r w:rsidR="00D87AAC" w:rsidRPr="002D210D">
              <w:rPr>
                <w:rFonts w:ascii="Calibri" w:eastAsia="Times New Roman" w:hAnsi="Calibri" w:cs="Times New Roman"/>
                <w:color w:val="000000"/>
                <w:sz w:val="18"/>
                <w:szCs w:val="18"/>
                <w:vertAlign w:val="superscript"/>
                <w:lang w:eastAsia="pt-BR"/>
              </w:rPr>
              <w:t>3</w:t>
            </w:r>
            <w:proofErr w:type="gramEnd"/>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723E57" w14:textId="2CB87243" w:rsidR="001A4ADE" w:rsidRPr="002D210D" w:rsidRDefault="14CADF71"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3.090,1</w:t>
            </w:r>
          </w:p>
          <w:p w14:paraId="5C5E18E5" w14:textId="20B4EEE8" w:rsidR="001A4ADE" w:rsidRPr="002D210D" w:rsidRDefault="001A4ADE" w:rsidP="002D210D">
            <w:pPr>
              <w:spacing w:after="0" w:line="240" w:lineRule="auto"/>
              <w:jc w:val="right"/>
              <w:textAlignment w:val="baseline"/>
              <w:rPr>
                <w:rFonts w:ascii="Calibri" w:eastAsia="Times New Roman" w:hAnsi="Calibri" w:cs="Times New Roman"/>
                <w:sz w:val="18"/>
                <w:szCs w:val="18"/>
                <w:lang w:eastAsia="pt-BR"/>
              </w:rPr>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14651E" w14:textId="759292DA" w:rsidR="001A4ADE" w:rsidRPr="002D210D" w:rsidRDefault="14CADF71"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7.782,5</w:t>
            </w:r>
          </w:p>
          <w:p w14:paraId="20EDF3AB" w14:textId="352516A9" w:rsidR="001A4ADE" w:rsidRPr="002D210D" w:rsidRDefault="49DA567E"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151,8%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7DB25B" w14:textId="6D392B2E" w:rsidR="14CADF71" w:rsidRPr="002D210D" w:rsidRDefault="14CADF71" w:rsidP="002D210D">
            <w:pPr>
              <w:spacing w:after="0" w:line="240" w:lineRule="auto"/>
              <w:jc w:val="right"/>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12.665,3</w:t>
            </w:r>
          </w:p>
          <w:p w14:paraId="63A99EDE" w14:textId="13A47A07" w:rsidR="00A753B2" w:rsidRPr="002D210D" w:rsidRDefault="30D99888" w:rsidP="0038214B">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62</w:t>
            </w:r>
            <w:r w:rsidR="3B54F4DD" w:rsidRPr="002D210D">
              <w:rPr>
                <w:rFonts w:ascii="Calibri" w:eastAsia="Times New Roman" w:hAnsi="Calibri" w:cs="Times New Roman"/>
                <w:sz w:val="18"/>
                <w:szCs w:val="18"/>
                <w:lang w:eastAsia="pt-BR"/>
              </w:rPr>
              <w:t>,</w:t>
            </w:r>
            <w:r w:rsidR="6423FFAD" w:rsidRPr="002D210D">
              <w:rPr>
                <w:rFonts w:ascii="Calibri" w:eastAsia="Times New Roman" w:hAnsi="Calibri" w:cs="Times New Roman"/>
                <w:sz w:val="18"/>
                <w:szCs w:val="18"/>
                <w:lang w:eastAsia="pt-BR"/>
              </w:rPr>
              <w:t>7</w:t>
            </w:r>
            <w:r w:rsidR="3B54F4DD" w:rsidRPr="002D210D">
              <w:rPr>
                <w:rFonts w:ascii="Calibri" w:eastAsia="Times New Roman" w:hAnsi="Calibri" w:cs="Times New Roman"/>
                <w:sz w:val="18"/>
                <w:szCs w:val="18"/>
                <w:lang w:eastAsia="pt-BR"/>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A5795E" w14:textId="5340A393" w:rsidR="330B0BC0" w:rsidRPr="002D210D" w:rsidRDefault="330B0BC0" w:rsidP="002D210D">
            <w:pPr>
              <w:spacing w:after="0" w:line="240" w:lineRule="auto"/>
              <w:jc w:val="right"/>
              <w:rPr>
                <w:sz w:val="18"/>
                <w:szCs w:val="18"/>
              </w:rPr>
            </w:pPr>
            <w:r w:rsidRPr="002D210D">
              <w:rPr>
                <w:rFonts w:ascii="Calibri" w:eastAsia="Times New Roman" w:hAnsi="Calibri" w:cs="Times New Roman"/>
                <w:sz w:val="18"/>
                <w:szCs w:val="18"/>
                <w:lang w:eastAsia="pt-BR"/>
              </w:rPr>
              <w:t>24.070,1</w:t>
            </w:r>
          </w:p>
          <w:p w14:paraId="7D4089E1" w14:textId="2A8837B4" w:rsidR="001A4ADE" w:rsidRPr="002D210D" w:rsidRDefault="4ADF25ED" w:rsidP="002D210D">
            <w:pPr>
              <w:spacing w:after="0" w:line="240" w:lineRule="auto"/>
              <w:jc w:val="right"/>
              <w:textAlignment w:val="baseline"/>
              <w:rPr>
                <w:rFonts w:ascii="Calibri" w:eastAsia="Times New Roman" w:hAnsi="Calibri" w:cs="Times New Roman"/>
                <w:sz w:val="18"/>
                <w:szCs w:val="18"/>
                <w:lang w:eastAsia="pt-BR"/>
              </w:rPr>
            </w:pPr>
            <w:r w:rsidRPr="002D210D">
              <w:rPr>
                <w:rFonts w:ascii="Calibri" w:eastAsia="Times New Roman" w:hAnsi="Calibri" w:cs="Times New Roman"/>
                <w:sz w:val="18"/>
                <w:szCs w:val="18"/>
                <w:lang w:eastAsia="pt-BR"/>
              </w:rPr>
              <w:t>90</w:t>
            </w:r>
            <w:r w:rsidR="3B54F4DD" w:rsidRPr="002D210D">
              <w:rPr>
                <w:rFonts w:ascii="Calibri" w:eastAsia="Times New Roman" w:hAnsi="Calibri" w:cs="Times New Roman"/>
                <w:sz w:val="18"/>
                <w:szCs w:val="18"/>
                <w:lang w:eastAsia="pt-BR"/>
              </w:rPr>
              <w:t>,</w:t>
            </w:r>
            <w:r w:rsidR="4E93134F" w:rsidRPr="002D210D">
              <w:rPr>
                <w:rFonts w:ascii="Calibri" w:eastAsia="Times New Roman" w:hAnsi="Calibri" w:cs="Times New Roman"/>
                <w:sz w:val="18"/>
                <w:szCs w:val="18"/>
                <w:lang w:eastAsia="pt-BR"/>
              </w:rPr>
              <w:t>0</w:t>
            </w:r>
            <w:r w:rsidR="002D210D">
              <w:rPr>
                <w:rFonts w:ascii="Calibri" w:eastAsia="Times New Roman" w:hAnsi="Calibri" w:cs="Times New Roman"/>
                <w:sz w:val="18"/>
                <w:szCs w:val="18"/>
                <w:lang w:eastAsia="pt-BR"/>
              </w:rPr>
              <w:t>%</w:t>
            </w:r>
          </w:p>
        </w:tc>
      </w:tr>
      <w:tr w:rsidR="00684AC2" w:rsidRPr="00DF7D1A" w14:paraId="10B401CD" w14:textId="77777777" w:rsidTr="006E3D33">
        <w:trPr>
          <w:trHeight w:val="20"/>
          <w:jc w:val="center"/>
        </w:trPr>
        <w:tc>
          <w:tcPr>
            <w:tcW w:w="5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14:paraId="5765A65F" w14:textId="41CA6C61" w:rsidR="00DF7D1A" w:rsidRPr="0038214B" w:rsidRDefault="00DF7D1A" w:rsidP="002D210D">
            <w:pPr>
              <w:spacing w:after="0" w:line="240" w:lineRule="auto"/>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Total</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hideMark/>
          </w:tcPr>
          <w:p w14:paraId="2FC8F06F" w14:textId="377073FD" w:rsidR="00DF7D1A" w:rsidRPr="0038214B" w:rsidRDefault="08630519" w:rsidP="002D210D">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3</w:t>
            </w:r>
            <w:r w:rsidR="00B14D8F">
              <w:rPr>
                <w:rFonts w:ascii="Calibri" w:eastAsia="Times New Roman" w:hAnsi="Calibri" w:cs="Times New Roman"/>
                <w:b/>
                <w:bCs/>
                <w:color w:val="FFFFFF" w:themeColor="background1"/>
                <w:sz w:val="18"/>
                <w:szCs w:val="18"/>
                <w:lang w:eastAsia="pt-BR"/>
              </w:rPr>
              <w:t>.</w:t>
            </w:r>
            <w:r w:rsidR="764660A3" w:rsidRPr="0038214B">
              <w:rPr>
                <w:rFonts w:ascii="Calibri" w:eastAsia="Times New Roman" w:hAnsi="Calibri" w:cs="Times New Roman"/>
                <w:b/>
                <w:bCs/>
                <w:color w:val="FFFFFF" w:themeColor="background1"/>
                <w:sz w:val="18"/>
                <w:szCs w:val="18"/>
                <w:lang w:eastAsia="pt-BR"/>
              </w:rPr>
              <w:t>598</w:t>
            </w:r>
            <w:r w:rsidRPr="0038214B">
              <w:rPr>
                <w:rFonts w:ascii="Calibri" w:eastAsia="Times New Roman" w:hAnsi="Calibri" w:cs="Times New Roman"/>
                <w:b/>
                <w:bCs/>
                <w:color w:val="FFFFFF" w:themeColor="background1"/>
                <w:sz w:val="18"/>
                <w:szCs w:val="18"/>
                <w:lang w:eastAsia="pt-BR"/>
              </w:rPr>
              <w:t>,</w:t>
            </w:r>
            <w:r w:rsidR="453D6BB0" w:rsidRPr="0038214B">
              <w:rPr>
                <w:rFonts w:ascii="Calibri" w:eastAsia="Times New Roman" w:hAnsi="Calibri" w:cs="Times New Roman"/>
                <w:b/>
                <w:bCs/>
                <w:color w:val="FFFFFF" w:themeColor="background1"/>
                <w:sz w:val="18"/>
                <w:szCs w:val="18"/>
                <w:lang w:eastAsia="pt-BR"/>
              </w:rPr>
              <w:t>4</w:t>
            </w:r>
          </w:p>
          <w:p w14:paraId="71AC71E9" w14:textId="5E4513E3" w:rsidR="00DF7D1A" w:rsidRPr="0038214B" w:rsidRDefault="453D6BB0" w:rsidP="002D210D">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871,0%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hideMark/>
          </w:tcPr>
          <w:p w14:paraId="61E58C17" w14:textId="77777777" w:rsidR="00DF7D1A" w:rsidRPr="0038214B" w:rsidRDefault="453D6BB0" w:rsidP="002D210D">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8.377,3</w:t>
            </w:r>
          </w:p>
          <w:p w14:paraId="7F9AEAF5" w14:textId="3930936C" w:rsidR="000B22ED" w:rsidRPr="0038214B" w:rsidRDefault="453D6BB0" w:rsidP="0038214B">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132,8%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hideMark/>
          </w:tcPr>
          <w:p w14:paraId="456EA4F8" w14:textId="77777777" w:rsidR="00684AC2" w:rsidRPr="0038214B" w:rsidRDefault="453D6BB0" w:rsidP="002D210D">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17.712,3</w:t>
            </w:r>
          </w:p>
          <w:p w14:paraId="7534A7D2" w14:textId="66E1F8EE" w:rsidR="00684AC2" w:rsidRPr="0038214B" w:rsidRDefault="453D6BB0" w:rsidP="002D210D">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111,4%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hideMark/>
          </w:tcPr>
          <w:p w14:paraId="5EA648ED" w14:textId="0284019C" w:rsidR="001E1804" w:rsidRPr="0038214B" w:rsidRDefault="453D6BB0" w:rsidP="002D210D">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33.543,3</w:t>
            </w:r>
          </w:p>
          <w:p w14:paraId="00171602" w14:textId="46D0803A" w:rsidR="001E1804" w:rsidRPr="0038214B" w:rsidRDefault="453D6BB0" w:rsidP="002D210D">
            <w:pPr>
              <w:spacing w:after="0" w:line="240" w:lineRule="auto"/>
              <w:jc w:val="right"/>
              <w:textAlignment w:val="baseline"/>
              <w:rPr>
                <w:rFonts w:ascii="Calibri" w:eastAsia="Times New Roman" w:hAnsi="Calibri" w:cs="Times New Roman"/>
                <w:b/>
                <w:bCs/>
                <w:color w:val="FFFFFF" w:themeColor="background1"/>
                <w:sz w:val="18"/>
                <w:szCs w:val="18"/>
                <w:lang w:eastAsia="pt-BR"/>
              </w:rPr>
            </w:pPr>
            <w:r w:rsidRPr="0038214B">
              <w:rPr>
                <w:rFonts w:ascii="Calibri" w:eastAsia="Times New Roman" w:hAnsi="Calibri" w:cs="Times New Roman"/>
                <w:b/>
                <w:bCs/>
                <w:color w:val="FFFFFF" w:themeColor="background1"/>
                <w:sz w:val="18"/>
                <w:szCs w:val="18"/>
                <w:lang w:eastAsia="pt-BR"/>
              </w:rPr>
              <w:t>89</w:t>
            </w:r>
            <w:r w:rsidR="001E1804" w:rsidRPr="0038214B">
              <w:rPr>
                <w:rFonts w:ascii="Calibri" w:eastAsia="Times New Roman" w:hAnsi="Calibri" w:cs="Times New Roman"/>
                <w:b/>
                <w:bCs/>
                <w:color w:val="FFFFFF" w:themeColor="background1"/>
                <w:sz w:val="18"/>
                <w:szCs w:val="18"/>
                <w:lang w:eastAsia="pt-BR"/>
              </w:rPr>
              <w:t>,4</w:t>
            </w:r>
            <w:r w:rsidR="00FF709C" w:rsidRPr="0038214B">
              <w:rPr>
                <w:rFonts w:ascii="Calibri" w:eastAsia="Times New Roman" w:hAnsi="Calibri" w:cs="Times New Roman"/>
                <w:b/>
                <w:bCs/>
                <w:color w:val="FFFFFF" w:themeColor="background1"/>
                <w:sz w:val="18"/>
                <w:szCs w:val="18"/>
                <w:lang w:eastAsia="pt-BR"/>
              </w:rPr>
              <w:t>%</w:t>
            </w:r>
          </w:p>
        </w:tc>
      </w:tr>
      <w:tr w:rsidR="00DF7D1A" w:rsidRPr="00504D46" w14:paraId="1CCDA772" w14:textId="77777777" w:rsidTr="006E3D33">
        <w:trPr>
          <w:trHeight w:val="20"/>
          <w:jc w:val="center"/>
        </w:trPr>
        <w:tc>
          <w:tcPr>
            <w:tcW w:w="9368" w:type="dxa"/>
            <w:gridSpan w:val="5"/>
            <w:tcBorders>
              <w:top w:val="single" w:sz="4" w:space="0" w:color="BFBFBF" w:themeColor="background1" w:themeShade="BF"/>
              <w:left w:val="nil"/>
              <w:bottom w:val="nil"/>
              <w:right w:val="nil"/>
            </w:tcBorders>
            <w:shd w:val="clear" w:color="auto" w:fill="auto"/>
            <w:vAlign w:val="center"/>
          </w:tcPr>
          <w:p w14:paraId="575F2146" w14:textId="45A3AAFF" w:rsidR="00504D46" w:rsidRPr="002D210D" w:rsidRDefault="00FD7B63" w:rsidP="002D210D">
            <w:pPr>
              <w:spacing w:after="0" w:line="240" w:lineRule="auto"/>
              <w:textAlignment w:val="baseline"/>
              <w:rPr>
                <w:rFonts w:ascii="Calibri" w:eastAsia="Times New Roman" w:hAnsi="Calibri" w:cs="Segoe UI"/>
                <w:i/>
                <w:sz w:val="16"/>
                <w:szCs w:val="16"/>
                <w:lang w:eastAsia="pt-BR"/>
              </w:rPr>
            </w:pPr>
            <w:proofErr w:type="gramStart"/>
            <w:r w:rsidRPr="002D210D">
              <w:rPr>
                <w:rFonts w:ascii="Calibri" w:eastAsia="Times New Roman" w:hAnsi="Calibri" w:cs="Segoe UI"/>
                <w:i/>
                <w:sz w:val="16"/>
                <w:szCs w:val="16"/>
                <w:vertAlign w:val="superscript"/>
                <w:lang w:eastAsia="pt-BR"/>
              </w:rPr>
              <w:t>1</w:t>
            </w:r>
            <w:proofErr w:type="gramEnd"/>
            <w:r w:rsidR="00504D46" w:rsidRPr="002D210D">
              <w:rPr>
                <w:rFonts w:ascii="Calibri" w:eastAsia="Times New Roman" w:hAnsi="Calibri" w:cs="Segoe UI"/>
                <w:i/>
                <w:sz w:val="16"/>
                <w:szCs w:val="16"/>
                <w:lang w:eastAsia="pt-BR"/>
              </w:rPr>
              <w:t xml:space="preserve"> Variação em relação ao exercício imediatamente anterior.</w:t>
            </w:r>
          </w:p>
          <w:p w14:paraId="4012886F" w14:textId="0F94135A" w:rsidR="00DF7D1A" w:rsidRPr="002D210D" w:rsidRDefault="00FD7B63" w:rsidP="002D210D">
            <w:pPr>
              <w:spacing w:after="0" w:line="240" w:lineRule="auto"/>
              <w:textAlignment w:val="baseline"/>
              <w:rPr>
                <w:rFonts w:ascii="Calibri" w:eastAsia="Times New Roman" w:hAnsi="Calibri" w:cs="Segoe UI"/>
                <w:i/>
                <w:sz w:val="16"/>
                <w:szCs w:val="16"/>
                <w:lang w:eastAsia="pt-BR"/>
              </w:rPr>
            </w:pPr>
            <w:proofErr w:type="gramStart"/>
            <w:r w:rsidRPr="002D210D">
              <w:rPr>
                <w:rFonts w:ascii="Calibri" w:eastAsia="Times New Roman" w:hAnsi="Calibri" w:cs="Segoe UI"/>
                <w:i/>
                <w:sz w:val="16"/>
                <w:szCs w:val="16"/>
                <w:vertAlign w:val="superscript"/>
                <w:lang w:eastAsia="pt-BR"/>
              </w:rPr>
              <w:t>2</w:t>
            </w:r>
            <w:proofErr w:type="gramEnd"/>
            <w:r w:rsidR="00DF7D1A" w:rsidRPr="002D210D">
              <w:rPr>
                <w:rFonts w:ascii="Calibri" w:eastAsia="Times New Roman" w:hAnsi="Calibri" w:cs="Segoe UI"/>
                <w:i/>
                <w:sz w:val="16"/>
                <w:szCs w:val="16"/>
                <w:vertAlign w:val="superscript"/>
                <w:lang w:eastAsia="pt-BR"/>
              </w:rPr>
              <w:t xml:space="preserve"> </w:t>
            </w:r>
            <w:r w:rsidR="00DF7D1A" w:rsidRPr="002D210D">
              <w:rPr>
                <w:rFonts w:ascii="Calibri" w:eastAsia="Times New Roman" w:hAnsi="Calibri" w:cs="Segoe UI"/>
                <w:i/>
                <w:sz w:val="16"/>
                <w:szCs w:val="16"/>
                <w:lang w:eastAsia="pt-BR"/>
              </w:rPr>
              <w:t xml:space="preserve">A União está atualmente impedida de receber avais honrados em decorrência das </w:t>
            </w:r>
            <w:proofErr w:type="spellStart"/>
            <w:r w:rsidR="00DF7D1A" w:rsidRPr="002D210D">
              <w:rPr>
                <w:rFonts w:ascii="Calibri" w:eastAsia="Calibri" w:hAnsi="Calibri" w:cs="Calibri"/>
                <w:color w:val="000000" w:themeColor="text1"/>
                <w:sz w:val="16"/>
                <w:szCs w:val="16"/>
              </w:rPr>
              <w:t>ACOs</w:t>
            </w:r>
            <w:proofErr w:type="spellEnd"/>
            <w:r w:rsidR="00DF7D1A" w:rsidRPr="002D210D">
              <w:rPr>
                <w:rFonts w:ascii="Calibri" w:eastAsia="Calibri" w:hAnsi="Calibri" w:cs="Calibri"/>
                <w:color w:val="000000" w:themeColor="text1"/>
                <w:sz w:val="16"/>
                <w:szCs w:val="16"/>
              </w:rPr>
              <w:t xml:space="preserve">/STF </w:t>
            </w:r>
            <w:r w:rsidR="538C1D0F" w:rsidRPr="002D210D">
              <w:rPr>
                <w:rFonts w:ascii="Calibri" w:eastAsia="Calibri" w:hAnsi="Calibri" w:cs="Calibri"/>
                <w:color w:val="000000" w:themeColor="text1"/>
                <w:sz w:val="16"/>
                <w:szCs w:val="16"/>
              </w:rPr>
              <w:t>n</w:t>
            </w:r>
            <w:r w:rsidR="538C1D0F" w:rsidRPr="002D210D">
              <w:rPr>
                <w:rFonts w:ascii="Calibri" w:eastAsia="Calibri" w:hAnsi="Calibri" w:cs="Calibri"/>
                <w:color w:val="000000" w:themeColor="text1"/>
                <w:sz w:val="16"/>
                <w:szCs w:val="16"/>
                <w:vertAlign w:val="superscript"/>
              </w:rPr>
              <w:t>os</w:t>
            </w:r>
            <w:r w:rsidR="538C1D0F" w:rsidRPr="002D210D">
              <w:rPr>
                <w:rFonts w:ascii="Calibri" w:eastAsia="Calibri" w:hAnsi="Calibri" w:cs="Calibri"/>
                <w:color w:val="000000" w:themeColor="text1"/>
                <w:sz w:val="16"/>
                <w:szCs w:val="16"/>
              </w:rPr>
              <w:t xml:space="preserve"> 3.045</w:t>
            </w:r>
            <w:r w:rsidR="00DF7D1A" w:rsidRPr="002D210D">
              <w:rPr>
                <w:rFonts w:ascii="Calibri" w:eastAsia="Calibri" w:hAnsi="Calibri" w:cs="Calibri"/>
                <w:color w:val="000000" w:themeColor="text1"/>
                <w:sz w:val="16"/>
                <w:szCs w:val="16"/>
              </w:rPr>
              <w:t>, 3.225, 3.233, 3.235</w:t>
            </w:r>
            <w:r w:rsidR="538C1D0F" w:rsidRPr="002D210D">
              <w:rPr>
                <w:rFonts w:ascii="Calibri" w:eastAsia="Calibri" w:hAnsi="Calibri" w:cs="Calibri"/>
                <w:color w:val="000000" w:themeColor="text1"/>
                <w:sz w:val="16"/>
                <w:szCs w:val="16"/>
              </w:rPr>
              <w:t>.</w:t>
            </w:r>
            <w:r w:rsidR="00DF7D1A" w:rsidRPr="002D210D">
              <w:rPr>
                <w:rFonts w:ascii="Calibri" w:eastAsia="Calibri" w:hAnsi="Calibri" w:cs="Calibri"/>
                <w:color w:val="000000" w:themeColor="text1"/>
                <w:sz w:val="16"/>
                <w:szCs w:val="16"/>
              </w:rPr>
              <w:t xml:space="preserve"> 3.244, 3.252, 3.</w:t>
            </w:r>
            <w:r w:rsidR="538C1D0F" w:rsidRPr="002D210D">
              <w:rPr>
                <w:rFonts w:ascii="Calibri" w:eastAsia="Calibri" w:hAnsi="Calibri" w:cs="Calibri"/>
                <w:color w:val="000000" w:themeColor="text1"/>
                <w:sz w:val="16"/>
                <w:szCs w:val="16"/>
              </w:rPr>
              <w:t>262, 3.270, 3.280, 3.285, 3.286, 3.431, 3.438, 3.457, 2.981, 3.215 e Ação Civil Pública nº 1038641-32.2020.4.01.3700 Justiça Federal do Maranhão.</w:t>
            </w:r>
          </w:p>
          <w:p w14:paraId="2208D3AE" w14:textId="689AEE73" w:rsidR="00DF7D1A" w:rsidRPr="002D210D" w:rsidRDefault="00FD7B63" w:rsidP="002D210D">
            <w:pPr>
              <w:spacing w:after="0" w:line="240" w:lineRule="auto"/>
              <w:textAlignment w:val="baseline"/>
              <w:rPr>
                <w:rFonts w:ascii="Calibri" w:eastAsia="Times New Roman" w:hAnsi="Calibri" w:cs="Segoe UI"/>
                <w:i/>
                <w:sz w:val="16"/>
                <w:szCs w:val="16"/>
                <w:lang w:eastAsia="pt-BR"/>
              </w:rPr>
            </w:pPr>
            <w:proofErr w:type="gramStart"/>
            <w:r w:rsidRPr="002D210D">
              <w:rPr>
                <w:rFonts w:ascii="Calibri" w:eastAsia="Times New Roman" w:hAnsi="Calibri" w:cs="Segoe UI"/>
                <w:i/>
                <w:sz w:val="16"/>
                <w:szCs w:val="16"/>
                <w:vertAlign w:val="superscript"/>
                <w:lang w:eastAsia="pt-BR"/>
              </w:rPr>
              <w:t>3</w:t>
            </w:r>
            <w:proofErr w:type="gramEnd"/>
            <w:r w:rsidR="00DF7D1A" w:rsidRPr="002D210D">
              <w:rPr>
                <w:rFonts w:ascii="Calibri" w:eastAsia="Times New Roman" w:hAnsi="Calibri" w:cs="Segoe UI"/>
                <w:i/>
                <w:sz w:val="16"/>
                <w:szCs w:val="16"/>
                <w:vertAlign w:val="superscript"/>
                <w:lang w:eastAsia="pt-BR"/>
              </w:rPr>
              <w:t xml:space="preserve"> </w:t>
            </w:r>
            <w:r w:rsidR="00DF7D1A" w:rsidRPr="002D210D">
              <w:rPr>
                <w:rFonts w:ascii="Calibri" w:eastAsia="Times New Roman" w:hAnsi="Calibri" w:cs="Segoe UI"/>
                <w:i/>
                <w:sz w:val="16"/>
                <w:szCs w:val="16"/>
                <w:lang w:eastAsia="pt-BR"/>
              </w:rPr>
              <w:t>Valor a Recuperar</w:t>
            </w:r>
            <w:r w:rsidR="004A2F12" w:rsidRPr="002D210D">
              <w:rPr>
                <w:rFonts w:ascii="Calibri" w:eastAsia="Times New Roman" w:hAnsi="Calibri" w:cs="Segoe UI"/>
                <w:i/>
                <w:sz w:val="16"/>
                <w:szCs w:val="16"/>
                <w:lang w:eastAsia="pt-BR"/>
              </w:rPr>
              <w:t xml:space="preserve"> (</w:t>
            </w:r>
            <w:r w:rsidR="00DF7D1A" w:rsidRPr="002D210D">
              <w:rPr>
                <w:rFonts w:ascii="Calibri" w:eastAsia="Times New Roman" w:hAnsi="Calibri" w:cs="Segoe UI"/>
                <w:i/>
                <w:sz w:val="16"/>
                <w:szCs w:val="16"/>
                <w:lang w:eastAsia="pt-BR"/>
              </w:rPr>
              <w:t>RRF</w:t>
            </w:r>
            <w:r w:rsidR="004A2F12" w:rsidRPr="002D210D">
              <w:rPr>
                <w:rFonts w:ascii="Calibri" w:eastAsia="Times New Roman" w:hAnsi="Calibri" w:cs="Segoe UI"/>
                <w:i/>
                <w:sz w:val="16"/>
                <w:szCs w:val="16"/>
                <w:lang w:eastAsia="pt-BR"/>
              </w:rPr>
              <w:t>)</w:t>
            </w:r>
            <w:r w:rsidR="00DF7D1A" w:rsidRPr="002D210D">
              <w:rPr>
                <w:rFonts w:ascii="Calibri" w:eastAsia="Times New Roman" w:hAnsi="Calibri" w:cs="Segoe UI"/>
                <w:i/>
                <w:sz w:val="16"/>
                <w:szCs w:val="16"/>
                <w:lang w:eastAsia="pt-BR"/>
              </w:rPr>
              <w:t>: Valores registrados em Conta Gráfica a serem pagos nos prazos e condições estabelecidos pela Lei Complementar nº 159, de 2017 (RRF), atualizados até a data de referência da coluna.</w:t>
            </w:r>
          </w:p>
          <w:p w14:paraId="0E603B3F" w14:textId="424DBB21" w:rsidR="00DF7D1A" w:rsidRPr="002D210D" w:rsidRDefault="00DF7D1A" w:rsidP="002D210D">
            <w:pPr>
              <w:spacing w:after="0" w:line="240" w:lineRule="auto"/>
              <w:textAlignment w:val="baseline"/>
              <w:rPr>
                <w:rFonts w:ascii="Calibri" w:eastAsia="Times New Roman" w:hAnsi="Calibri" w:cs="Segoe UI"/>
                <w:i/>
                <w:sz w:val="16"/>
                <w:szCs w:val="16"/>
                <w:lang w:eastAsia="pt-BR"/>
              </w:rPr>
            </w:pPr>
            <w:r w:rsidRPr="002D210D">
              <w:rPr>
                <w:rFonts w:ascii="Calibri" w:eastAsia="Times New Roman" w:hAnsi="Calibri" w:cs="Segoe UI"/>
                <w:b/>
                <w:i/>
                <w:sz w:val="16"/>
                <w:szCs w:val="16"/>
                <w:lang w:eastAsia="pt-BR"/>
              </w:rPr>
              <w:t>Fonte e elaboração</w:t>
            </w:r>
            <w:r w:rsidRPr="002D210D">
              <w:rPr>
                <w:rFonts w:ascii="Calibri" w:eastAsia="Times New Roman" w:hAnsi="Calibri" w:cs="Segoe UI"/>
                <w:i/>
                <w:sz w:val="16"/>
                <w:szCs w:val="16"/>
                <w:lang w:eastAsia="pt-BR"/>
              </w:rPr>
              <w:t>: STN/ME.</w:t>
            </w:r>
          </w:p>
        </w:tc>
      </w:tr>
    </w:tbl>
    <w:p w14:paraId="57ABBBBC" w14:textId="77777777" w:rsidR="00E17949" w:rsidRDefault="00E17949" w:rsidP="001A4ADE">
      <w:pPr>
        <w:spacing w:after="120" w:line="240" w:lineRule="auto"/>
        <w:jc w:val="both"/>
        <w:rPr>
          <w:color w:val="00B050"/>
          <w:w w:val="105"/>
          <w:sz w:val="24"/>
          <w:szCs w:val="24"/>
        </w:rPr>
      </w:pPr>
    </w:p>
    <w:p w14:paraId="6B121F06" w14:textId="279C8D23" w:rsidR="00223A64" w:rsidRDefault="00640FED" w:rsidP="00223A64">
      <w:pPr>
        <w:spacing w:after="120" w:line="240" w:lineRule="auto"/>
        <w:ind w:firstLine="1418"/>
        <w:jc w:val="both"/>
        <w:rPr>
          <w:rFonts w:ascii="Calibri" w:eastAsia="Calibri" w:hAnsi="Calibri" w:cs="Calibri"/>
          <w:color w:val="000000" w:themeColor="text1"/>
          <w:sz w:val="24"/>
          <w:szCs w:val="24"/>
        </w:rPr>
      </w:pPr>
      <w:r w:rsidRPr="009B04B3">
        <w:rPr>
          <w:w w:val="105"/>
          <w:sz w:val="24"/>
          <w:szCs w:val="24"/>
        </w:rPr>
        <w:t xml:space="preserve">A </w:t>
      </w:r>
      <w:r w:rsidR="006E3D33" w:rsidRPr="003A67A4">
        <w:rPr>
          <w:w w:val="105"/>
          <w:sz w:val="24"/>
          <w:szCs w:val="24"/>
        </w:rPr>
        <w:fldChar w:fldCharType="begin"/>
      </w:r>
      <w:r w:rsidR="006E3D33" w:rsidRPr="003A67A4">
        <w:rPr>
          <w:w w:val="105"/>
          <w:sz w:val="24"/>
          <w:szCs w:val="24"/>
        </w:rPr>
        <w:instrText xml:space="preserve"> REF _Ref67665912 \h </w:instrText>
      </w:r>
      <w:r w:rsidR="003A67A4">
        <w:rPr>
          <w:w w:val="105"/>
          <w:sz w:val="24"/>
          <w:szCs w:val="24"/>
        </w:rPr>
        <w:instrText xml:space="preserve"> \* MERGEFORMAT </w:instrText>
      </w:r>
      <w:r w:rsidR="006E3D33" w:rsidRPr="003A67A4">
        <w:rPr>
          <w:w w:val="105"/>
          <w:sz w:val="24"/>
          <w:szCs w:val="24"/>
        </w:rPr>
      </w:r>
      <w:r w:rsidR="006E3D33" w:rsidRPr="003A67A4">
        <w:rPr>
          <w:w w:val="105"/>
          <w:sz w:val="24"/>
          <w:szCs w:val="24"/>
        </w:rPr>
        <w:fldChar w:fldCharType="separate"/>
      </w:r>
      <w:r w:rsidR="00304F5F" w:rsidRPr="00304F5F">
        <w:rPr>
          <w:sz w:val="24"/>
          <w:szCs w:val="24"/>
        </w:rPr>
        <w:t xml:space="preserve">Tabela </w:t>
      </w:r>
      <w:r w:rsidR="00304F5F" w:rsidRPr="00304F5F">
        <w:rPr>
          <w:noProof/>
          <w:sz w:val="24"/>
          <w:szCs w:val="24"/>
        </w:rPr>
        <w:t>30</w:t>
      </w:r>
      <w:r w:rsidR="006E3D33" w:rsidRPr="003A67A4">
        <w:rPr>
          <w:w w:val="105"/>
          <w:sz w:val="24"/>
          <w:szCs w:val="24"/>
        </w:rPr>
        <w:fldChar w:fldCharType="end"/>
      </w:r>
      <w:r w:rsidR="00563EFA">
        <w:rPr>
          <w:w w:val="105"/>
          <w:sz w:val="24"/>
          <w:szCs w:val="24"/>
        </w:rPr>
        <w:t xml:space="preserve"> </w:t>
      </w:r>
      <w:r w:rsidR="008911A9" w:rsidRPr="009B04B3">
        <w:rPr>
          <w:w w:val="105"/>
          <w:sz w:val="24"/>
          <w:szCs w:val="24"/>
        </w:rPr>
        <w:t>apresenta as estimativas de impacto no atual e nos próximos três exercícios</w:t>
      </w:r>
      <w:r w:rsidR="4499C079" w:rsidRPr="009B04B3">
        <w:rPr>
          <w:w w:val="105"/>
          <w:sz w:val="24"/>
          <w:szCs w:val="24"/>
        </w:rPr>
        <w:t>,</w:t>
      </w:r>
      <w:r w:rsidR="008911A9" w:rsidRPr="009B04B3">
        <w:rPr>
          <w:w w:val="105"/>
          <w:sz w:val="24"/>
          <w:szCs w:val="24"/>
        </w:rPr>
        <w:t xml:space="preserve"> </w:t>
      </w:r>
      <w:r w:rsidR="444F0231" w:rsidRPr="39B600F5">
        <w:rPr>
          <w:rFonts w:ascii="Calibri" w:eastAsia="Calibri" w:hAnsi="Calibri" w:cs="Calibri"/>
          <w:color w:val="000000" w:themeColor="text1"/>
          <w:sz w:val="24"/>
          <w:szCs w:val="24"/>
        </w:rPr>
        <w:t xml:space="preserve">tendo como base os riscos das </w:t>
      </w:r>
      <w:proofErr w:type="spellStart"/>
      <w:r w:rsidR="444F0231" w:rsidRPr="39B600F5">
        <w:rPr>
          <w:rFonts w:ascii="Calibri" w:eastAsia="Calibri" w:hAnsi="Calibri" w:cs="Calibri"/>
          <w:color w:val="000000" w:themeColor="text1"/>
          <w:sz w:val="24"/>
          <w:szCs w:val="24"/>
        </w:rPr>
        <w:t>contragarantias</w:t>
      </w:r>
      <w:proofErr w:type="spellEnd"/>
      <w:r w:rsidR="444F0231" w:rsidRPr="39B600F5">
        <w:rPr>
          <w:rFonts w:ascii="Calibri" w:eastAsia="Calibri" w:hAnsi="Calibri" w:cs="Calibri"/>
          <w:color w:val="000000" w:themeColor="text1"/>
          <w:sz w:val="24"/>
          <w:szCs w:val="24"/>
        </w:rPr>
        <w:t xml:space="preserve"> mapeados pela STN e as previsões de avais a serem honrados pela União. Ressalta-se que essas operações são financeiras e o impacto fiscal da ocorrência dos riscos se dá sobre o endividamento público.</w:t>
      </w:r>
    </w:p>
    <w:p w14:paraId="58A1850F" w14:textId="77777777" w:rsidR="00867642" w:rsidRDefault="00867642" w:rsidP="00223A64">
      <w:pPr>
        <w:spacing w:after="120" w:line="240" w:lineRule="auto"/>
        <w:ind w:firstLine="1418"/>
        <w:jc w:val="both"/>
        <w:rPr>
          <w:rFonts w:ascii="Calibri" w:eastAsia="Calibri" w:hAnsi="Calibri" w:cs="Calibri"/>
          <w:color w:val="000000" w:themeColor="text1"/>
          <w:sz w:val="24"/>
          <w:szCs w:val="24"/>
        </w:rPr>
      </w:pPr>
    </w:p>
    <w:p w14:paraId="4618D480" w14:textId="77777777" w:rsidR="00867642" w:rsidRDefault="00867642" w:rsidP="00223A64">
      <w:pPr>
        <w:spacing w:after="120" w:line="240" w:lineRule="auto"/>
        <w:ind w:firstLine="1418"/>
        <w:jc w:val="both"/>
        <w:rPr>
          <w:rFonts w:ascii="Calibri" w:eastAsia="Calibri" w:hAnsi="Calibri" w:cs="Calibri"/>
          <w:color w:val="000000" w:themeColor="text1"/>
          <w:sz w:val="24"/>
          <w:szCs w:val="24"/>
        </w:rPr>
      </w:pPr>
    </w:p>
    <w:p w14:paraId="3D989B7A" w14:textId="77777777" w:rsidR="00867642" w:rsidRPr="00223A64" w:rsidRDefault="00867642" w:rsidP="00223A64">
      <w:pPr>
        <w:spacing w:after="120" w:line="240" w:lineRule="auto"/>
        <w:ind w:firstLine="1418"/>
        <w:jc w:val="both"/>
        <w:rPr>
          <w:rFonts w:ascii="Calibri" w:eastAsia="Calibri" w:hAnsi="Calibri" w:cs="Calibri"/>
          <w:color w:val="000000" w:themeColor="text1"/>
          <w:sz w:val="24"/>
          <w:szCs w:val="24"/>
        </w:rPr>
      </w:pPr>
    </w:p>
    <w:p w14:paraId="5172782D" w14:textId="4769C6DF" w:rsidR="7DD9432C" w:rsidRPr="00F213DF" w:rsidRDefault="00BD0796" w:rsidP="00614E5C">
      <w:pPr>
        <w:pStyle w:val="TabelaARF"/>
        <w:spacing w:after="120"/>
        <w:jc w:val="center"/>
        <w:rPr>
          <w:rFonts w:cstheme="minorHAnsi"/>
          <w:i/>
          <w:color w:val="000000" w:themeColor="text1"/>
          <w:szCs w:val="22"/>
        </w:rPr>
      </w:pPr>
      <w:bookmarkStart w:id="280" w:name="_Ref67665912"/>
      <w:bookmarkStart w:id="281" w:name="_Toc69121376"/>
      <w:bookmarkStart w:id="282" w:name="_Ref35435370"/>
      <w:bookmarkStart w:id="283" w:name="_Ref35435361"/>
      <w:r>
        <w:t xml:space="preserve">Tabela </w:t>
      </w:r>
      <w:fldSimple w:instr=" SEQ Tabela \* ARABIC ">
        <w:r w:rsidR="00304F5F">
          <w:rPr>
            <w:noProof/>
          </w:rPr>
          <w:t>30</w:t>
        </w:r>
      </w:fldSimple>
      <w:bookmarkEnd w:id="280"/>
      <w:r>
        <w:t xml:space="preserve"> - </w:t>
      </w:r>
      <w:r w:rsidRPr="00B25616">
        <w:rPr>
          <w:rFonts w:eastAsia="Calibri"/>
        </w:rPr>
        <w:t>Mensuração dos impactos nas contas públicas dos riscos fiscais mapeados</w:t>
      </w:r>
      <w:bookmarkEnd w:id="281"/>
    </w:p>
    <w:tbl>
      <w:tblPr>
        <w:tblW w:w="54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947"/>
        <w:gridCol w:w="947"/>
        <w:gridCol w:w="785"/>
        <w:gridCol w:w="162"/>
        <w:gridCol w:w="948"/>
      </w:tblGrid>
      <w:tr w:rsidR="00376B4F" w:rsidRPr="00AB339E" w14:paraId="4D3EE1E0" w14:textId="6E2162A3" w:rsidTr="00867642">
        <w:trPr>
          <w:trHeight w:val="20"/>
          <w:tblHeader/>
          <w:jc w:val="center"/>
        </w:trPr>
        <w:tc>
          <w:tcPr>
            <w:tcW w:w="4380" w:type="dxa"/>
            <w:gridSpan w:val="4"/>
            <w:tcBorders>
              <w:top w:val="nil"/>
              <w:left w:val="nil"/>
              <w:bottom w:val="single" w:sz="4" w:space="0" w:color="BFBFBF" w:themeColor="background1" w:themeShade="BF"/>
              <w:right w:val="nil"/>
            </w:tcBorders>
            <w:shd w:val="clear" w:color="auto" w:fill="auto"/>
            <w:vAlign w:val="center"/>
            <w:hideMark/>
          </w:tcPr>
          <w:bookmarkEnd w:id="282"/>
          <w:bookmarkEnd w:id="283"/>
          <w:p w14:paraId="7348DC78" w14:textId="782E8CE9" w:rsidR="00376B4F" w:rsidRPr="00614E5C" w:rsidRDefault="00C641DB" w:rsidP="00614E5C">
            <w:pPr>
              <w:spacing w:after="0" w:line="240" w:lineRule="auto"/>
              <w:jc w:val="right"/>
              <w:textAlignment w:val="baseline"/>
              <w:rPr>
                <w:rFonts w:eastAsia="Times New Roman" w:cstheme="minorHAnsi"/>
                <w:i/>
                <w:sz w:val="16"/>
                <w:szCs w:val="16"/>
                <w:lang w:eastAsia="pt-BR"/>
              </w:rPr>
            </w:pPr>
            <w:r w:rsidRPr="00614E5C">
              <w:rPr>
                <w:rFonts w:eastAsia="Times New Roman" w:cstheme="minorHAnsi"/>
                <w:i/>
                <w:color w:val="000000"/>
                <w:sz w:val="16"/>
                <w:szCs w:val="16"/>
                <w:lang w:eastAsia="pt-BR"/>
              </w:rPr>
              <w:t xml:space="preserve">  </w:t>
            </w:r>
          </w:p>
        </w:tc>
        <w:tc>
          <w:tcPr>
            <w:tcW w:w="1110" w:type="dxa"/>
            <w:gridSpan w:val="2"/>
            <w:tcBorders>
              <w:top w:val="nil"/>
              <w:left w:val="nil"/>
              <w:bottom w:val="single" w:sz="4" w:space="0" w:color="BFBFBF" w:themeColor="background1" w:themeShade="BF"/>
              <w:right w:val="nil"/>
            </w:tcBorders>
            <w:shd w:val="clear" w:color="auto" w:fill="auto"/>
            <w:vAlign w:val="center"/>
          </w:tcPr>
          <w:p w14:paraId="09CA74CE" w14:textId="3BF9544D" w:rsidR="39B600F5" w:rsidRPr="00614E5C" w:rsidRDefault="00C641DB" w:rsidP="00614E5C">
            <w:pPr>
              <w:spacing w:after="0" w:line="240" w:lineRule="auto"/>
              <w:jc w:val="right"/>
              <w:rPr>
                <w:rFonts w:eastAsia="Times New Roman" w:cstheme="minorHAnsi"/>
                <w:i/>
                <w:iCs/>
                <w:color w:val="000000" w:themeColor="text1"/>
                <w:sz w:val="16"/>
                <w:szCs w:val="16"/>
                <w:lang w:eastAsia="pt-BR"/>
              </w:rPr>
            </w:pPr>
            <w:r w:rsidRPr="00614E5C">
              <w:rPr>
                <w:rFonts w:eastAsia="Times New Roman" w:cstheme="minorHAnsi"/>
                <w:i/>
                <w:color w:val="000000"/>
                <w:sz w:val="16"/>
                <w:szCs w:val="16"/>
                <w:lang w:eastAsia="pt-BR"/>
              </w:rPr>
              <w:t>Em R$ milhões</w:t>
            </w:r>
          </w:p>
        </w:tc>
      </w:tr>
      <w:tr w:rsidR="00376B4F" w:rsidRPr="00AB339E" w14:paraId="3CF7683D" w14:textId="33BEE3F0" w:rsidTr="00867642">
        <w:trPr>
          <w:trHeight w:val="20"/>
          <w:tblHeader/>
          <w:jc w:val="center"/>
        </w:trPr>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006C3901" w14:textId="09ECE196" w:rsidR="00376B4F" w:rsidRPr="00614E5C" w:rsidRDefault="00376B4F" w:rsidP="00614E5C">
            <w:pPr>
              <w:spacing w:after="0" w:line="240" w:lineRule="auto"/>
              <w:jc w:val="center"/>
              <w:textAlignment w:val="baseline"/>
              <w:rPr>
                <w:rFonts w:eastAsia="Times New Roman" w:cstheme="minorHAnsi"/>
                <w:b/>
                <w:bCs/>
                <w:color w:val="FFFFFF" w:themeColor="background1"/>
                <w:sz w:val="20"/>
                <w:szCs w:val="20"/>
                <w:lang w:eastAsia="pt-BR"/>
              </w:rPr>
            </w:pPr>
          </w:p>
        </w:tc>
        <w:tc>
          <w:tcPr>
            <w:tcW w:w="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6166292" w14:textId="754D9046" w:rsidR="00376B4F" w:rsidRPr="00614E5C" w:rsidRDefault="00376B4F" w:rsidP="00614E5C">
            <w:pPr>
              <w:spacing w:after="0" w:line="240" w:lineRule="auto"/>
              <w:jc w:val="center"/>
              <w:textAlignment w:val="baseline"/>
              <w:rPr>
                <w:rFonts w:eastAsia="Times New Roman" w:cstheme="minorHAnsi"/>
                <w:b/>
                <w:bCs/>
                <w:color w:val="FFFFFF" w:themeColor="background1"/>
                <w:sz w:val="20"/>
                <w:szCs w:val="20"/>
                <w:lang w:eastAsia="pt-BR"/>
              </w:rPr>
            </w:pPr>
            <w:r w:rsidRPr="00614E5C">
              <w:rPr>
                <w:rFonts w:eastAsia="Times New Roman" w:cstheme="minorHAnsi"/>
                <w:b/>
                <w:bCs/>
                <w:color w:val="FFFFFF" w:themeColor="background1"/>
                <w:sz w:val="20"/>
                <w:szCs w:val="20"/>
                <w:lang w:eastAsia="pt-BR"/>
              </w:rPr>
              <w:t>2021</w:t>
            </w:r>
          </w:p>
        </w:tc>
        <w:tc>
          <w:tcPr>
            <w:tcW w:w="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73D0358E" w14:textId="3BA4BCD9" w:rsidR="00376B4F" w:rsidRPr="00614E5C" w:rsidRDefault="00376B4F" w:rsidP="00614E5C">
            <w:pPr>
              <w:spacing w:after="0" w:line="240" w:lineRule="auto"/>
              <w:jc w:val="center"/>
              <w:textAlignment w:val="baseline"/>
              <w:rPr>
                <w:rFonts w:eastAsia="Times New Roman" w:cstheme="minorHAnsi"/>
                <w:b/>
                <w:bCs/>
                <w:color w:val="FFFFFF" w:themeColor="background1"/>
                <w:sz w:val="20"/>
                <w:szCs w:val="20"/>
                <w:lang w:eastAsia="pt-BR"/>
              </w:rPr>
            </w:pPr>
            <w:r w:rsidRPr="00614E5C">
              <w:rPr>
                <w:rFonts w:eastAsia="Times New Roman" w:cstheme="minorHAnsi"/>
                <w:b/>
                <w:bCs/>
                <w:color w:val="FFFFFF" w:themeColor="background1"/>
                <w:sz w:val="20"/>
                <w:szCs w:val="20"/>
                <w:lang w:eastAsia="pt-BR"/>
              </w:rPr>
              <w:t>2022</w:t>
            </w:r>
          </w:p>
        </w:tc>
        <w:tc>
          <w:tcPr>
            <w:tcW w:w="94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5A38379" w14:textId="39EDAE91" w:rsidR="00376B4F" w:rsidRPr="00614E5C" w:rsidRDefault="00376B4F" w:rsidP="00614E5C">
            <w:pPr>
              <w:spacing w:after="0" w:line="240" w:lineRule="auto"/>
              <w:jc w:val="center"/>
              <w:textAlignment w:val="baseline"/>
              <w:rPr>
                <w:rFonts w:eastAsia="Times New Roman" w:cstheme="minorHAnsi"/>
                <w:b/>
                <w:bCs/>
                <w:color w:val="FFFFFF" w:themeColor="background1"/>
                <w:sz w:val="20"/>
                <w:szCs w:val="20"/>
                <w:lang w:eastAsia="pt-BR"/>
              </w:rPr>
            </w:pPr>
            <w:r w:rsidRPr="00614E5C">
              <w:rPr>
                <w:rFonts w:eastAsia="Times New Roman" w:cstheme="minorHAnsi"/>
                <w:b/>
                <w:bCs/>
                <w:color w:val="FFFFFF" w:themeColor="background1"/>
                <w:sz w:val="20"/>
                <w:szCs w:val="20"/>
                <w:lang w:eastAsia="pt-BR"/>
              </w:rPr>
              <w:t>2023</w:t>
            </w:r>
          </w:p>
        </w:tc>
        <w:tc>
          <w:tcPr>
            <w:tcW w:w="9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566A56A6" w14:textId="71835E7B" w:rsidR="5A6E4FCA" w:rsidRPr="00614E5C" w:rsidRDefault="5A6E4FCA" w:rsidP="00614E5C">
            <w:pPr>
              <w:spacing w:after="0" w:line="240" w:lineRule="auto"/>
              <w:jc w:val="center"/>
              <w:textAlignment w:val="baseline"/>
              <w:rPr>
                <w:rFonts w:eastAsia="Times New Roman" w:cstheme="minorHAnsi"/>
                <w:b/>
                <w:bCs/>
                <w:color w:val="FFFFFF" w:themeColor="background1"/>
                <w:sz w:val="20"/>
                <w:szCs w:val="20"/>
                <w:lang w:eastAsia="pt-BR"/>
              </w:rPr>
            </w:pPr>
            <w:r w:rsidRPr="00614E5C">
              <w:rPr>
                <w:rFonts w:eastAsia="Times New Roman" w:cstheme="minorHAnsi"/>
                <w:b/>
                <w:bCs/>
                <w:color w:val="FFFFFF" w:themeColor="background1"/>
                <w:sz w:val="20"/>
                <w:szCs w:val="20"/>
                <w:lang w:eastAsia="pt-BR"/>
              </w:rPr>
              <w:t>2024</w:t>
            </w:r>
          </w:p>
        </w:tc>
      </w:tr>
      <w:tr w:rsidR="00376B4F" w:rsidRPr="00AB339E" w14:paraId="088416A4" w14:textId="3D02094F" w:rsidTr="00B168F3">
        <w:trPr>
          <w:trHeight w:val="20"/>
          <w:jc w:val="center"/>
        </w:trPr>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A66B73C" w14:textId="23C2F990" w:rsidR="00376B4F" w:rsidRPr="00614E5C" w:rsidRDefault="00964589" w:rsidP="00B168F3">
            <w:pPr>
              <w:spacing w:after="0" w:line="240" w:lineRule="auto"/>
              <w:textAlignment w:val="baseline"/>
              <w:rPr>
                <w:rFonts w:eastAsia="Times New Roman" w:cstheme="minorHAnsi"/>
                <w:sz w:val="18"/>
                <w:szCs w:val="18"/>
                <w:lang w:eastAsia="pt-BR"/>
              </w:rPr>
            </w:pPr>
            <w:r w:rsidRPr="00614E5C">
              <w:rPr>
                <w:rFonts w:eastAsia="Times New Roman" w:cstheme="minorHAnsi"/>
                <w:sz w:val="18"/>
                <w:szCs w:val="18"/>
                <w:lang w:eastAsia="pt-BR"/>
              </w:rPr>
              <w:t>Previsão de Impacto</w:t>
            </w:r>
          </w:p>
        </w:tc>
        <w:tc>
          <w:tcPr>
            <w:tcW w:w="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E84867D" w14:textId="5C6B40B1" w:rsidR="00376B4F" w:rsidRPr="00614E5C" w:rsidRDefault="515FBCE3" w:rsidP="00B168F3">
            <w:pPr>
              <w:spacing w:after="0" w:line="240" w:lineRule="auto"/>
              <w:jc w:val="right"/>
              <w:textAlignment w:val="baseline"/>
              <w:rPr>
                <w:rFonts w:eastAsia="Times New Roman" w:cstheme="minorHAnsi"/>
                <w:sz w:val="18"/>
                <w:szCs w:val="18"/>
                <w:lang w:eastAsia="pt-BR"/>
              </w:rPr>
            </w:pPr>
            <w:r w:rsidRPr="00614E5C">
              <w:rPr>
                <w:rFonts w:eastAsia="Times New Roman" w:cstheme="minorHAnsi"/>
                <w:sz w:val="18"/>
                <w:szCs w:val="18"/>
                <w:lang w:eastAsia="pt-BR"/>
              </w:rPr>
              <w:t>5</w:t>
            </w:r>
            <w:r w:rsidR="00E37E4B" w:rsidRPr="00614E5C">
              <w:rPr>
                <w:rFonts w:eastAsia="Times New Roman" w:cstheme="minorHAnsi"/>
                <w:sz w:val="18"/>
                <w:szCs w:val="18"/>
                <w:lang w:eastAsia="pt-BR"/>
              </w:rPr>
              <w:t>.</w:t>
            </w:r>
            <w:r w:rsidRPr="00614E5C">
              <w:rPr>
                <w:rFonts w:eastAsia="Times New Roman" w:cstheme="minorHAnsi"/>
                <w:sz w:val="18"/>
                <w:szCs w:val="18"/>
                <w:lang w:eastAsia="pt-BR"/>
              </w:rPr>
              <w:t>678,9</w:t>
            </w:r>
          </w:p>
        </w:tc>
        <w:tc>
          <w:tcPr>
            <w:tcW w:w="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D284187" w14:textId="45305F5C" w:rsidR="00376B4F" w:rsidRPr="00614E5C" w:rsidRDefault="515FBCE3" w:rsidP="00B168F3">
            <w:pPr>
              <w:spacing w:after="0" w:line="240" w:lineRule="auto"/>
              <w:jc w:val="right"/>
              <w:textAlignment w:val="baseline"/>
              <w:rPr>
                <w:rFonts w:eastAsia="Calibri" w:cstheme="minorHAnsi"/>
                <w:sz w:val="18"/>
                <w:szCs w:val="18"/>
              </w:rPr>
            </w:pPr>
            <w:r w:rsidRPr="00614E5C">
              <w:rPr>
                <w:rFonts w:eastAsia="Calibri" w:cstheme="minorHAnsi"/>
                <w:sz w:val="18"/>
                <w:szCs w:val="18"/>
              </w:rPr>
              <w:t>5.534,1</w:t>
            </w:r>
          </w:p>
        </w:tc>
        <w:tc>
          <w:tcPr>
            <w:tcW w:w="94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C66A2E5" w14:textId="152B3471" w:rsidR="00376B4F" w:rsidRPr="00614E5C" w:rsidRDefault="515FBCE3" w:rsidP="00B168F3">
            <w:pPr>
              <w:spacing w:after="0" w:line="240" w:lineRule="auto"/>
              <w:jc w:val="right"/>
              <w:textAlignment w:val="baseline"/>
              <w:rPr>
                <w:rFonts w:eastAsia="Calibri" w:cstheme="minorHAnsi"/>
                <w:sz w:val="18"/>
                <w:szCs w:val="18"/>
              </w:rPr>
            </w:pPr>
            <w:r w:rsidRPr="00614E5C">
              <w:rPr>
                <w:rFonts w:eastAsia="Calibri" w:cstheme="minorHAnsi"/>
                <w:sz w:val="18"/>
                <w:szCs w:val="18"/>
              </w:rPr>
              <w:t>5.450,4</w:t>
            </w:r>
          </w:p>
        </w:tc>
        <w:tc>
          <w:tcPr>
            <w:tcW w:w="9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0348AC" w14:textId="7206A7EA" w:rsidR="39B600F5" w:rsidRPr="00614E5C" w:rsidRDefault="515FBCE3" w:rsidP="00B168F3">
            <w:pPr>
              <w:spacing w:after="0" w:line="240" w:lineRule="auto"/>
              <w:jc w:val="right"/>
              <w:textAlignment w:val="baseline"/>
              <w:rPr>
                <w:rFonts w:eastAsia="Times New Roman" w:cstheme="minorHAnsi"/>
                <w:color w:val="FFFFFF" w:themeColor="background1"/>
                <w:sz w:val="18"/>
                <w:szCs w:val="18"/>
                <w:lang w:eastAsia="pt-BR"/>
              </w:rPr>
            </w:pPr>
            <w:r w:rsidRPr="00614E5C">
              <w:rPr>
                <w:rFonts w:eastAsia="Times New Roman" w:cstheme="minorHAnsi"/>
                <w:color w:val="000000" w:themeColor="text1"/>
                <w:sz w:val="18"/>
                <w:szCs w:val="18"/>
                <w:lang w:eastAsia="pt-BR"/>
              </w:rPr>
              <w:t>4.696,0</w:t>
            </w:r>
          </w:p>
        </w:tc>
      </w:tr>
      <w:tr w:rsidR="00614E5C" w:rsidRPr="000E6D93" w14:paraId="29D7972A" w14:textId="13B3C23F" w:rsidTr="002304D6">
        <w:trPr>
          <w:trHeight w:val="20"/>
          <w:jc w:val="center"/>
        </w:trPr>
        <w:tc>
          <w:tcPr>
            <w:tcW w:w="5490" w:type="dxa"/>
            <w:gridSpan w:val="6"/>
            <w:tcBorders>
              <w:top w:val="single" w:sz="4" w:space="0" w:color="BFBFBF" w:themeColor="background1" w:themeShade="BF"/>
              <w:left w:val="nil"/>
              <w:bottom w:val="nil"/>
              <w:right w:val="nil"/>
            </w:tcBorders>
            <w:shd w:val="clear" w:color="auto" w:fill="auto"/>
            <w:vAlign w:val="center"/>
            <w:hideMark/>
          </w:tcPr>
          <w:p w14:paraId="36FB65F5" w14:textId="22CE0E25" w:rsidR="00614E5C" w:rsidRPr="00614E5C" w:rsidRDefault="00614E5C" w:rsidP="00614E5C">
            <w:pPr>
              <w:spacing w:after="0" w:line="240" w:lineRule="auto"/>
              <w:rPr>
                <w:rFonts w:eastAsia="Times New Roman" w:cstheme="minorHAnsi"/>
                <w:sz w:val="16"/>
                <w:szCs w:val="16"/>
                <w:lang w:eastAsia="pt-BR"/>
              </w:rPr>
            </w:pPr>
            <w:r w:rsidRPr="00614E5C">
              <w:rPr>
                <w:rFonts w:eastAsia="Times New Roman" w:cstheme="minorHAnsi"/>
                <w:b/>
                <w:i/>
                <w:color w:val="000000"/>
                <w:sz w:val="16"/>
                <w:szCs w:val="16"/>
                <w:lang w:eastAsia="pt-BR"/>
              </w:rPr>
              <w:t>Fonte e elaboração</w:t>
            </w:r>
            <w:r w:rsidRPr="00614E5C">
              <w:rPr>
                <w:rFonts w:eastAsia="Times New Roman" w:cstheme="minorHAnsi"/>
                <w:i/>
                <w:color w:val="000000"/>
                <w:sz w:val="16"/>
                <w:szCs w:val="16"/>
                <w:lang w:eastAsia="pt-BR"/>
              </w:rPr>
              <w:t>:</w:t>
            </w:r>
            <w:r w:rsidRPr="00614E5C">
              <w:rPr>
                <w:rFonts w:eastAsia="Times New Roman" w:cstheme="minorHAnsi"/>
                <w:color w:val="000000"/>
                <w:sz w:val="16"/>
                <w:szCs w:val="16"/>
                <w:lang w:eastAsia="pt-BR"/>
              </w:rPr>
              <w:t xml:space="preserve"> STN/ME.</w:t>
            </w:r>
          </w:p>
        </w:tc>
      </w:tr>
    </w:tbl>
    <w:p w14:paraId="0E5C2A14" w14:textId="29E931DA" w:rsidR="00614E5C" w:rsidRDefault="00614E5C" w:rsidP="00614E5C">
      <w:pPr>
        <w:spacing w:after="120" w:line="240" w:lineRule="auto"/>
        <w:jc w:val="both"/>
        <w:rPr>
          <w:rFonts w:ascii="Calibri" w:eastAsia="Calibri" w:hAnsi="Calibri" w:cs="Calibri"/>
          <w:color w:val="000000" w:themeColor="text1"/>
          <w:sz w:val="24"/>
          <w:szCs w:val="24"/>
        </w:rPr>
      </w:pPr>
    </w:p>
    <w:p w14:paraId="00CB1263" w14:textId="01463292" w:rsidR="0071532E" w:rsidRPr="009B04B3" w:rsidRDefault="44B24B10" w:rsidP="39B600F5">
      <w:pPr>
        <w:spacing w:after="120" w:line="240" w:lineRule="auto"/>
        <w:ind w:firstLine="1418"/>
        <w:jc w:val="both"/>
        <w:rPr>
          <w:rFonts w:ascii="Calibri" w:eastAsia="Calibri" w:hAnsi="Calibri" w:cs="Calibri"/>
          <w:color w:val="000000" w:themeColor="text1"/>
          <w:sz w:val="24"/>
          <w:szCs w:val="24"/>
        </w:rPr>
      </w:pPr>
      <w:r w:rsidRPr="39B600F5">
        <w:rPr>
          <w:rFonts w:ascii="Calibri" w:eastAsia="Calibri" w:hAnsi="Calibri" w:cs="Calibri"/>
          <w:color w:val="000000" w:themeColor="text1"/>
          <w:sz w:val="24"/>
          <w:szCs w:val="24"/>
        </w:rPr>
        <w:t xml:space="preserve">A principal medida de mitigação para os riscos relativos às </w:t>
      </w:r>
      <w:proofErr w:type="spellStart"/>
      <w:r w:rsidRPr="39B600F5">
        <w:rPr>
          <w:rFonts w:ascii="Calibri" w:eastAsia="Calibri" w:hAnsi="Calibri" w:cs="Calibri"/>
          <w:color w:val="000000" w:themeColor="text1"/>
          <w:sz w:val="24"/>
          <w:szCs w:val="24"/>
        </w:rPr>
        <w:t>contragarantias</w:t>
      </w:r>
      <w:proofErr w:type="spellEnd"/>
      <w:r w:rsidRPr="39B600F5">
        <w:rPr>
          <w:rFonts w:ascii="Calibri" w:eastAsia="Calibri" w:hAnsi="Calibri" w:cs="Calibri"/>
          <w:color w:val="000000" w:themeColor="text1"/>
          <w:sz w:val="24"/>
          <w:szCs w:val="24"/>
        </w:rPr>
        <w:t xml:space="preserve"> é a intensificação do relacionamento com a AGU e suas procuradorias regionais e seccionais, com vistas à reversão das decisões judiciais</w:t>
      </w:r>
      <w:r w:rsidR="60ED70C5" w:rsidRPr="39B600F5">
        <w:rPr>
          <w:rFonts w:ascii="Calibri" w:eastAsia="Calibri" w:hAnsi="Calibri" w:cs="Calibri"/>
          <w:color w:val="000000" w:themeColor="text1"/>
          <w:sz w:val="24"/>
          <w:szCs w:val="24"/>
        </w:rPr>
        <w:t>.</w:t>
      </w:r>
      <w:r w:rsidRPr="39B600F5">
        <w:rPr>
          <w:rFonts w:ascii="Calibri" w:eastAsia="Calibri" w:hAnsi="Calibri" w:cs="Calibri"/>
          <w:color w:val="000000" w:themeColor="text1"/>
          <w:sz w:val="24"/>
          <w:szCs w:val="24"/>
        </w:rPr>
        <w:t xml:space="preserve"> </w:t>
      </w:r>
      <w:r w:rsidR="4A520AF3" w:rsidRPr="39B600F5">
        <w:rPr>
          <w:rFonts w:ascii="Calibri" w:eastAsia="Calibri" w:hAnsi="Calibri" w:cs="Calibri"/>
          <w:color w:val="000000" w:themeColor="text1"/>
          <w:sz w:val="24"/>
          <w:szCs w:val="24"/>
        </w:rPr>
        <w:t>B</w:t>
      </w:r>
      <w:r w:rsidRPr="39B600F5">
        <w:rPr>
          <w:rFonts w:ascii="Calibri" w:eastAsia="Calibri" w:hAnsi="Calibri" w:cs="Calibri"/>
          <w:color w:val="000000" w:themeColor="text1"/>
          <w:sz w:val="24"/>
          <w:szCs w:val="24"/>
        </w:rPr>
        <w:t>usca</w:t>
      </w:r>
      <w:r w:rsidR="5F413E1A" w:rsidRPr="39B600F5">
        <w:rPr>
          <w:rFonts w:ascii="Calibri" w:eastAsia="Calibri" w:hAnsi="Calibri" w:cs="Calibri"/>
          <w:color w:val="000000" w:themeColor="text1"/>
          <w:sz w:val="24"/>
          <w:szCs w:val="24"/>
        </w:rPr>
        <w:t>-se</w:t>
      </w:r>
      <w:r w:rsidRPr="39B600F5">
        <w:rPr>
          <w:rFonts w:ascii="Calibri" w:eastAsia="Calibri" w:hAnsi="Calibri" w:cs="Calibri"/>
          <w:color w:val="000000" w:themeColor="text1"/>
          <w:sz w:val="24"/>
          <w:szCs w:val="24"/>
        </w:rPr>
        <w:t>, sempre que possível, a</w:t>
      </w:r>
      <w:r w:rsidR="1C662752" w:rsidRPr="39B600F5">
        <w:rPr>
          <w:rFonts w:ascii="Calibri" w:eastAsia="Calibri" w:hAnsi="Calibri" w:cs="Calibri"/>
          <w:color w:val="000000" w:themeColor="text1"/>
          <w:sz w:val="24"/>
          <w:szCs w:val="24"/>
        </w:rPr>
        <w:t xml:space="preserve"> atuação</w:t>
      </w:r>
      <w:r w:rsidRPr="39B600F5">
        <w:rPr>
          <w:rFonts w:ascii="Calibri" w:eastAsia="Calibri" w:hAnsi="Calibri" w:cs="Calibri"/>
          <w:color w:val="000000" w:themeColor="text1"/>
          <w:sz w:val="24"/>
          <w:szCs w:val="24"/>
        </w:rPr>
        <w:t xml:space="preserve"> junto às instâncias pertinentes com o objetivo de evitar ou minimizar impactos sobre as dívidas subnacionais.</w:t>
      </w:r>
    </w:p>
    <w:p w14:paraId="21237014" w14:textId="4D117EF2" w:rsidR="0071532E" w:rsidRPr="009B04B3" w:rsidRDefault="0071532E" w:rsidP="39B600F5">
      <w:pPr>
        <w:spacing w:after="120" w:line="240" w:lineRule="auto"/>
        <w:jc w:val="both"/>
        <w:rPr>
          <w:w w:val="105"/>
          <w:sz w:val="24"/>
          <w:szCs w:val="24"/>
        </w:rPr>
      </w:pPr>
    </w:p>
    <w:p w14:paraId="066CEB19" w14:textId="30EE6747" w:rsidR="000D17A6" w:rsidRPr="009B04B3" w:rsidRDefault="000D17A6" w:rsidP="00F056EA">
      <w:pPr>
        <w:pStyle w:val="Ttulo3"/>
        <w:keepNext w:val="0"/>
        <w:numPr>
          <w:ilvl w:val="2"/>
          <w:numId w:val="36"/>
        </w:numPr>
        <w:spacing w:before="240" w:after="120"/>
        <w:ind w:left="720" w:hanging="720"/>
        <w:rPr>
          <w:rFonts w:asciiTheme="minorHAnsi" w:hAnsiTheme="minorHAnsi"/>
          <w:b/>
          <w:smallCaps w:val="0"/>
        </w:rPr>
      </w:pPr>
      <w:bookmarkStart w:id="284" w:name="_Toc67317998"/>
      <w:bookmarkStart w:id="285" w:name="_Toc67929652"/>
      <w:bookmarkStart w:id="286" w:name="_Toc69121231"/>
      <w:r w:rsidRPr="009B04B3">
        <w:rPr>
          <w:rFonts w:asciiTheme="minorHAnsi" w:hAnsiTheme="minorHAnsi"/>
          <w:b/>
          <w:smallCaps w:val="0"/>
        </w:rPr>
        <w:t>Fundos Constitucionais de Financiamento</w:t>
      </w:r>
      <w:bookmarkEnd w:id="284"/>
      <w:bookmarkEnd w:id="285"/>
      <w:bookmarkEnd w:id="286"/>
    </w:p>
    <w:p w14:paraId="1B83CC04" w14:textId="77777777" w:rsidR="000D17A6" w:rsidRPr="009B04B3" w:rsidRDefault="000D17A6" w:rsidP="000D17A6">
      <w:pPr>
        <w:spacing w:after="120" w:line="240" w:lineRule="auto"/>
        <w:ind w:firstLine="1418"/>
        <w:jc w:val="both"/>
        <w:rPr>
          <w:w w:val="105"/>
          <w:sz w:val="24"/>
          <w:szCs w:val="24"/>
        </w:rPr>
      </w:pPr>
      <w:r w:rsidRPr="009B04B3">
        <w:rPr>
          <w:w w:val="105"/>
          <w:sz w:val="24"/>
          <w:szCs w:val="24"/>
        </w:rPr>
        <w:t>A Constituição Federal de 1988 destinou 3% do produto da arrecadação dos impostos sobre renda e proventos de qualquer natureza (IR) e sobre produtos industrializados (IPI) para aplicação em programas de financiamento aos setores produtivos das Regiões Norte, Nordeste e Centro-Oeste. Com isso, foram criados os Fundos Constitucionais de Financiamento do Norte (FNO), do Nordeste (FNE) e do Centro-Oeste (FCO), para os quais são transferidos aqueles recursos.</w:t>
      </w:r>
    </w:p>
    <w:p w14:paraId="2A367631" w14:textId="77777777" w:rsidR="000D17A6" w:rsidRPr="009B04B3" w:rsidRDefault="000D17A6" w:rsidP="000D17A6">
      <w:pPr>
        <w:spacing w:after="120" w:line="240" w:lineRule="auto"/>
        <w:ind w:firstLine="1418"/>
        <w:jc w:val="both"/>
        <w:rPr>
          <w:w w:val="105"/>
          <w:sz w:val="24"/>
          <w:szCs w:val="24"/>
        </w:rPr>
      </w:pPr>
      <w:r w:rsidRPr="009B04B3">
        <w:rPr>
          <w:w w:val="105"/>
          <w:sz w:val="24"/>
          <w:szCs w:val="24"/>
        </w:rPr>
        <w:t xml:space="preserve">Tendo em vista que os Fundos têm natureza pública e </w:t>
      </w:r>
      <w:proofErr w:type="gramStart"/>
      <w:r w:rsidRPr="009B04B3">
        <w:rPr>
          <w:w w:val="105"/>
          <w:sz w:val="24"/>
          <w:szCs w:val="24"/>
        </w:rPr>
        <w:t>compõem</w:t>
      </w:r>
      <w:proofErr w:type="gramEnd"/>
      <w:r w:rsidRPr="009B04B3">
        <w:rPr>
          <w:w w:val="105"/>
          <w:sz w:val="24"/>
          <w:szCs w:val="24"/>
        </w:rPr>
        <w:t xml:space="preserve"> o patrimônio da União, as provisões reduzem, indiretamente, o patrimônio da União. Por esta razão, estão contidos no Anexo de Riscos Fiscais.</w:t>
      </w:r>
    </w:p>
    <w:p w14:paraId="06610D3F" w14:textId="6286A782" w:rsidR="000D17A6" w:rsidRPr="009B04B3" w:rsidRDefault="000D17A6" w:rsidP="000D17A6">
      <w:pPr>
        <w:spacing w:after="120" w:line="240" w:lineRule="auto"/>
        <w:ind w:firstLine="1418"/>
        <w:jc w:val="both"/>
        <w:rPr>
          <w:w w:val="105"/>
          <w:sz w:val="24"/>
          <w:szCs w:val="24"/>
        </w:rPr>
      </w:pPr>
      <w:r w:rsidRPr="009B04B3">
        <w:rPr>
          <w:w w:val="105"/>
          <w:sz w:val="24"/>
          <w:szCs w:val="24"/>
        </w:rPr>
        <w:t>A Portaria Interministerial nº 11, de 28</w:t>
      </w:r>
      <w:r w:rsidR="003018DB" w:rsidRPr="009B04B3">
        <w:rPr>
          <w:w w:val="105"/>
          <w:sz w:val="24"/>
          <w:szCs w:val="24"/>
        </w:rPr>
        <w:t>/12/</w:t>
      </w:r>
      <w:r w:rsidRPr="009B04B3">
        <w:rPr>
          <w:w w:val="105"/>
          <w:sz w:val="24"/>
          <w:szCs w:val="24"/>
        </w:rPr>
        <w:t xml:space="preserve">2005, editada pelos Ministérios da Integração Nacional – MI e da Fazenda – MF, estabelece as normas de contabilização e de estruturação dos balanços dos fundos FNO, FNE e FCO, bem como os critérios para provisões e registro de prejuízos. De acordo com os critérios estabelecidos em seu artigo 3º, nas operações em que os Fundos detenham o risco integral ou compartilhado, o banco administrador de cada Fundo deve constituir provisão para créditos de liquidação </w:t>
      </w:r>
      <w:proofErr w:type="gramStart"/>
      <w:r w:rsidRPr="009B04B3">
        <w:rPr>
          <w:w w:val="105"/>
          <w:sz w:val="24"/>
          <w:szCs w:val="24"/>
        </w:rPr>
        <w:t>duvidosa referentes às parcelas do principal</w:t>
      </w:r>
      <w:proofErr w:type="gramEnd"/>
      <w:r w:rsidRPr="009B04B3">
        <w:rPr>
          <w:w w:val="105"/>
          <w:sz w:val="24"/>
          <w:szCs w:val="24"/>
        </w:rPr>
        <w:t xml:space="preserve"> e encargos vencidos há mais de cento e oitenta dias. Tais provisionamentos resultam em déficit primário no momento de sua ocorrência.</w:t>
      </w:r>
    </w:p>
    <w:p w14:paraId="5445DC63" w14:textId="373F70F4" w:rsidR="000D17A6" w:rsidRPr="009B04B3" w:rsidRDefault="000D17A6" w:rsidP="000D17A6">
      <w:pPr>
        <w:spacing w:after="120" w:line="240" w:lineRule="auto"/>
        <w:ind w:firstLine="1418"/>
        <w:jc w:val="both"/>
        <w:rPr>
          <w:w w:val="105"/>
          <w:sz w:val="24"/>
          <w:szCs w:val="24"/>
        </w:rPr>
      </w:pPr>
      <w:r w:rsidRPr="009B04B3">
        <w:rPr>
          <w:w w:val="105"/>
          <w:sz w:val="24"/>
          <w:szCs w:val="24"/>
        </w:rPr>
        <w:t>Com base no balanço dos Fundos Constitucionais de 31</w:t>
      </w:r>
      <w:r w:rsidR="003F07D7" w:rsidRPr="009B04B3">
        <w:rPr>
          <w:w w:val="105"/>
          <w:sz w:val="24"/>
          <w:szCs w:val="24"/>
        </w:rPr>
        <w:t>/12/</w:t>
      </w:r>
      <w:r w:rsidR="622070DD" w:rsidRPr="009B04B3">
        <w:rPr>
          <w:w w:val="105"/>
          <w:sz w:val="24"/>
          <w:szCs w:val="24"/>
        </w:rPr>
        <w:t>20</w:t>
      </w:r>
      <w:r w:rsidR="55EA644A" w:rsidRPr="009B04B3">
        <w:rPr>
          <w:w w:val="105"/>
          <w:sz w:val="24"/>
          <w:szCs w:val="24"/>
        </w:rPr>
        <w:t>20</w:t>
      </w:r>
      <w:r w:rsidRPr="009B04B3">
        <w:rPr>
          <w:w w:val="105"/>
          <w:sz w:val="24"/>
          <w:szCs w:val="24"/>
        </w:rPr>
        <w:t xml:space="preserve"> para o FCO, </w:t>
      </w:r>
      <w:proofErr w:type="gramStart"/>
      <w:r w:rsidRPr="009B04B3">
        <w:rPr>
          <w:w w:val="105"/>
          <w:sz w:val="24"/>
          <w:szCs w:val="24"/>
        </w:rPr>
        <w:t>o FNE e o FNO, constata-se</w:t>
      </w:r>
      <w:proofErr w:type="gramEnd"/>
      <w:r w:rsidRPr="009B04B3">
        <w:rPr>
          <w:w w:val="105"/>
          <w:sz w:val="24"/>
          <w:szCs w:val="24"/>
        </w:rPr>
        <w:t xml:space="preserve"> que as despesas com provisões para devedores duvidosos somaram, respectivamente, R$ </w:t>
      </w:r>
      <w:r w:rsidR="622070DD" w:rsidRPr="009B04B3">
        <w:rPr>
          <w:w w:val="105"/>
          <w:sz w:val="24"/>
          <w:szCs w:val="24"/>
        </w:rPr>
        <w:t>1</w:t>
      </w:r>
      <w:r w:rsidR="05E4DD83" w:rsidRPr="009B04B3">
        <w:rPr>
          <w:w w:val="105"/>
          <w:sz w:val="24"/>
          <w:szCs w:val="24"/>
        </w:rPr>
        <w:t>9</w:t>
      </w:r>
      <w:r w:rsidR="622070DD" w:rsidRPr="009B04B3">
        <w:rPr>
          <w:w w:val="105"/>
          <w:sz w:val="24"/>
          <w:szCs w:val="24"/>
        </w:rPr>
        <w:t>,</w:t>
      </w:r>
      <w:r w:rsidR="1DF73364" w:rsidRPr="009B04B3">
        <w:rPr>
          <w:w w:val="105"/>
          <w:sz w:val="24"/>
          <w:szCs w:val="24"/>
        </w:rPr>
        <w:t>2</w:t>
      </w:r>
      <w:r w:rsidRPr="009B04B3">
        <w:rPr>
          <w:w w:val="105"/>
          <w:sz w:val="24"/>
          <w:szCs w:val="24"/>
        </w:rPr>
        <w:t xml:space="preserve"> milhões, R$ </w:t>
      </w:r>
      <w:r w:rsidR="2C3AA009" w:rsidRPr="009B04B3">
        <w:rPr>
          <w:w w:val="105"/>
          <w:sz w:val="24"/>
          <w:szCs w:val="24"/>
        </w:rPr>
        <w:t>752</w:t>
      </w:r>
      <w:r w:rsidR="622070DD" w:rsidRPr="009B04B3">
        <w:rPr>
          <w:w w:val="105"/>
          <w:sz w:val="24"/>
          <w:szCs w:val="24"/>
        </w:rPr>
        <w:t>,</w:t>
      </w:r>
      <w:r w:rsidR="7528599B" w:rsidRPr="009B04B3">
        <w:rPr>
          <w:w w:val="105"/>
          <w:sz w:val="24"/>
          <w:szCs w:val="24"/>
        </w:rPr>
        <w:t>4</w:t>
      </w:r>
      <w:r w:rsidRPr="009B04B3">
        <w:rPr>
          <w:w w:val="105"/>
          <w:sz w:val="24"/>
          <w:szCs w:val="24"/>
        </w:rPr>
        <w:t xml:space="preserve"> milhões e R$ </w:t>
      </w:r>
      <w:r w:rsidR="622070DD" w:rsidRPr="009B04B3">
        <w:rPr>
          <w:w w:val="105"/>
          <w:sz w:val="24"/>
          <w:szCs w:val="24"/>
        </w:rPr>
        <w:t>3</w:t>
      </w:r>
      <w:r w:rsidR="3051676F" w:rsidRPr="009B04B3">
        <w:rPr>
          <w:w w:val="105"/>
          <w:sz w:val="24"/>
          <w:szCs w:val="24"/>
        </w:rPr>
        <w:t>15</w:t>
      </w:r>
      <w:r w:rsidR="00D87FF5" w:rsidRPr="009B04B3">
        <w:rPr>
          <w:w w:val="105"/>
          <w:sz w:val="24"/>
          <w:szCs w:val="24"/>
        </w:rPr>
        <w:t>,2</w:t>
      </w:r>
      <w:r w:rsidRPr="009B04B3">
        <w:rPr>
          <w:w w:val="105"/>
          <w:sz w:val="24"/>
          <w:szCs w:val="24"/>
        </w:rPr>
        <w:t xml:space="preserve"> milhões, totalizando R$ 1.</w:t>
      </w:r>
      <w:r w:rsidR="339C77FC" w:rsidRPr="009B04B3">
        <w:rPr>
          <w:w w:val="105"/>
          <w:sz w:val="24"/>
          <w:szCs w:val="24"/>
        </w:rPr>
        <w:t>086</w:t>
      </w:r>
      <w:r w:rsidR="00D87FF5" w:rsidRPr="009B04B3">
        <w:rPr>
          <w:w w:val="105"/>
          <w:sz w:val="24"/>
          <w:szCs w:val="24"/>
        </w:rPr>
        <w:t>,8</w:t>
      </w:r>
      <w:r w:rsidRPr="009B04B3">
        <w:rPr>
          <w:w w:val="105"/>
          <w:sz w:val="24"/>
          <w:szCs w:val="24"/>
        </w:rPr>
        <w:t xml:space="preserve"> milhões. Tais valores estão apresentados nas contas de resultado dos balanços dos respectivos fundos. Adicionalmente, os bancos administradores destes fundos projetam os valores de provisão esperados para os anos futuros. </w:t>
      </w:r>
      <w:r w:rsidR="00985B0D" w:rsidRPr="009B04B3">
        <w:rPr>
          <w:w w:val="105"/>
          <w:sz w:val="24"/>
          <w:szCs w:val="24"/>
        </w:rPr>
        <w:t xml:space="preserve">A despesa com provisão para devedores </w:t>
      </w:r>
      <w:proofErr w:type="gramStart"/>
      <w:r w:rsidR="00985B0D" w:rsidRPr="009B04B3">
        <w:rPr>
          <w:w w:val="105"/>
          <w:sz w:val="24"/>
          <w:szCs w:val="24"/>
        </w:rPr>
        <w:t>duvidosos afeta</w:t>
      </w:r>
      <w:proofErr w:type="gramEnd"/>
      <w:r w:rsidR="00985B0D" w:rsidRPr="009B04B3">
        <w:rPr>
          <w:w w:val="105"/>
          <w:sz w:val="24"/>
          <w:szCs w:val="24"/>
        </w:rPr>
        <w:t xml:space="preserve"> a rubrica de resultado dos fundos constitucionais que, por sua vez, impacta o resultado primário do Governo Central.</w:t>
      </w:r>
      <w:r w:rsidR="00F02D59" w:rsidRPr="009B04B3">
        <w:rPr>
          <w:w w:val="105"/>
          <w:sz w:val="24"/>
          <w:szCs w:val="24"/>
        </w:rPr>
        <w:t xml:space="preserve"> </w:t>
      </w:r>
      <w:r w:rsidRPr="009B04B3">
        <w:rPr>
          <w:w w:val="105"/>
          <w:sz w:val="24"/>
          <w:szCs w:val="24"/>
        </w:rPr>
        <w:t>A</w:t>
      </w:r>
      <w:r w:rsidR="00EC27C7" w:rsidRPr="009B04B3">
        <w:rPr>
          <w:w w:val="105"/>
          <w:sz w:val="24"/>
          <w:szCs w:val="24"/>
        </w:rPr>
        <w:t xml:space="preserve"> </w:t>
      </w:r>
      <w:r w:rsidR="004551E1" w:rsidRPr="009B04B3">
        <w:rPr>
          <w:w w:val="105"/>
          <w:sz w:val="24"/>
          <w:szCs w:val="24"/>
        </w:rPr>
        <w:fldChar w:fldCharType="begin"/>
      </w:r>
      <w:r w:rsidR="004551E1" w:rsidRPr="009B04B3">
        <w:rPr>
          <w:w w:val="105"/>
          <w:sz w:val="24"/>
          <w:szCs w:val="24"/>
        </w:rPr>
        <w:instrText xml:space="preserve"> REF _Ref5284579 \h </w:instrText>
      </w:r>
      <w:r w:rsidR="006C6B6B" w:rsidRPr="009B04B3">
        <w:rPr>
          <w:w w:val="105"/>
          <w:sz w:val="24"/>
          <w:szCs w:val="24"/>
        </w:rPr>
        <w:instrText xml:space="preserve"> \* MERGEFORMAT </w:instrText>
      </w:r>
      <w:r w:rsidR="004551E1" w:rsidRPr="009B04B3">
        <w:rPr>
          <w:w w:val="105"/>
          <w:sz w:val="24"/>
          <w:szCs w:val="24"/>
        </w:rPr>
      </w:r>
      <w:r w:rsidR="004551E1" w:rsidRPr="009B04B3">
        <w:rPr>
          <w:w w:val="105"/>
          <w:sz w:val="24"/>
          <w:szCs w:val="24"/>
        </w:rPr>
        <w:fldChar w:fldCharType="separate"/>
      </w:r>
      <w:r w:rsidR="00304F5F" w:rsidRPr="00304F5F">
        <w:rPr>
          <w:w w:val="105"/>
          <w:sz w:val="24"/>
          <w:szCs w:val="24"/>
        </w:rPr>
        <w:t>Tabela 31</w:t>
      </w:r>
      <w:r w:rsidR="004551E1" w:rsidRPr="009B04B3">
        <w:rPr>
          <w:w w:val="105"/>
          <w:sz w:val="24"/>
          <w:szCs w:val="24"/>
        </w:rPr>
        <w:fldChar w:fldCharType="end"/>
      </w:r>
      <w:r w:rsidR="00581A72" w:rsidRPr="009B04B3">
        <w:rPr>
          <w:w w:val="105"/>
          <w:sz w:val="24"/>
          <w:szCs w:val="24"/>
        </w:rPr>
        <w:t xml:space="preserve"> </w:t>
      </w:r>
      <w:r w:rsidR="00F02D59" w:rsidRPr="009B04B3">
        <w:rPr>
          <w:w w:val="105"/>
          <w:sz w:val="24"/>
          <w:szCs w:val="24"/>
        </w:rPr>
        <w:t>consolida</w:t>
      </w:r>
      <w:r w:rsidRPr="009B04B3">
        <w:rPr>
          <w:w w:val="105"/>
          <w:sz w:val="24"/>
          <w:szCs w:val="24"/>
        </w:rPr>
        <w:t xml:space="preserve"> essas informações</w:t>
      </w:r>
      <w:r w:rsidR="002B7F22" w:rsidRPr="009B04B3">
        <w:rPr>
          <w:w w:val="105"/>
          <w:sz w:val="24"/>
          <w:szCs w:val="24"/>
        </w:rPr>
        <w:t>.</w:t>
      </w:r>
    </w:p>
    <w:p w14:paraId="74ECA350" w14:textId="5B396B7C" w:rsidR="000D17A6" w:rsidRPr="0022645B" w:rsidRDefault="000D17A6" w:rsidP="003F07D7">
      <w:pPr>
        <w:pStyle w:val="Legenda"/>
        <w:spacing w:before="240" w:after="120"/>
        <w:jc w:val="center"/>
        <w:rPr>
          <w:rFonts w:asciiTheme="minorHAnsi" w:hAnsiTheme="minorHAnsi"/>
          <w:i w:val="0"/>
          <w:color w:val="auto"/>
          <w:sz w:val="22"/>
          <w:szCs w:val="22"/>
        </w:rPr>
      </w:pPr>
      <w:bookmarkStart w:id="287" w:name="_Ref5284579"/>
      <w:bookmarkStart w:id="288" w:name="_Toc5027598"/>
      <w:bookmarkStart w:id="289" w:name="_Toc69121377"/>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31</w:t>
      </w:r>
      <w:r w:rsidRPr="0022645B">
        <w:rPr>
          <w:rFonts w:asciiTheme="minorHAnsi" w:hAnsiTheme="minorHAnsi"/>
          <w:i w:val="0"/>
          <w:color w:val="auto"/>
          <w:sz w:val="22"/>
          <w:szCs w:val="22"/>
        </w:rPr>
        <w:fldChar w:fldCharType="end"/>
      </w:r>
      <w:bookmarkEnd w:id="287"/>
      <w:bookmarkEnd w:id="288"/>
      <w:r w:rsidRPr="0022645B">
        <w:rPr>
          <w:rFonts w:asciiTheme="minorHAnsi" w:hAnsiTheme="minorHAnsi"/>
          <w:i w:val="0"/>
          <w:color w:val="auto"/>
          <w:sz w:val="22"/>
          <w:szCs w:val="22"/>
        </w:rPr>
        <w:t xml:space="preserve"> </w:t>
      </w:r>
      <w:r w:rsidR="003F07D7">
        <w:rPr>
          <w:rFonts w:asciiTheme="minorHAnsi" w:hAnsiTheme="minorHAnsi"/>
          <w:i w:val="0"/>
          <w:color w:val="auto"/>
          <w:sz w:val="22"/>
          <w:szCs w:val="22"/>
        </w:rPr>
        <w:t>-</w:t>
      </w:r>
      <w:r w:rsidRPr="0022645B">
        <w:rPr>
          <w:rFonts w:asciiTheme="minorHAnsi" w:hAnsiTheme="minorHAnsi"/>
          <w:i w:val="0"/>
          <w:color w:val="auto"/>
          <w:sz w:val="22"/>
          <w:szCs w:val="22"/>
        </w:rPr>
        <w:t xml:space="preserve"> </w:t>
      </w:r>
      <w:r w:rsidR="00CD21FF" w:rsidRPr="00CD21FF">
        <w:rPr>
          <w:rFonts w:asciiTheme="minorHAnsi" w:hAnsiTheme="minorHAnsi"/>
          <w:i w:val="0"/>
          <w:color w:val="auto"/>
          <w:sz w:val="22"/>
          <w:szCs w:val="22"/>
        </w:rPr>
        <w:t xml:space="preserve">Riscos dos Fundos Constitucionais: </w:t>
      </w:r>
      <w:r w:rsidR="002A6CA5">
        <w:rPr>
          <w:rFonts w:asciiTheme="minorHAnsi" w:hAnsiTheme="minorHAnsi"/>
          <w:i w:val="0"/>
          <w:color w:val="auto"/>
          <w:sz w:val="22"/>
          <w:szCs w:val="22"/>
        </w:rPr>
        <w:t>p</w:t>
      </w:r>
      <w:r w:rsidR="00CD21FF" w:rsidRPr="00CD21FF">
        <w:rPr>
          <w:rFonts w:asciiTheme="minorHAnsi" w:hAnsiTheme="minorHAnsi"/>
          <w:i w:val="0"/>
          <w:color w:val="auto"/>
          <w:sz w:val="22"/>
          <w:szCs w:val="22"/>
        </w:rPr>
        <w:t xml:space="preserve">revisão de </w:t>
      </w:r>
      <w:r w:rsidR="002A6CA5">
        <w:rPr>
          <w:rFonts w:asciiTheme="minorHAnsi" w:hAnsiTheme="minorHAnsi"/>
          <w:i w:val="0"/>
          <w:color w:val="auto"/>
          <w:sz w:val="22"/>
          <w:szCs w:val="22"/>
        </w:rPr>
        <w:t>p</w:t>
      </w:r>
      <w:r w:rsidR="00CD21FF" w:rsidRPr="00CD21FF">
        <w:rPr>
          <w:rFonts w:asciiTheme="minorHAnsi" w:hAnsiTheme="minorHAnsi"/>
          <w:i w:val="0"/>
          <w:color w:val="auto"/>
          <w:sz w:val="22"/>
          <w:szCs w:val="22"/>
        </w:rPr>
        <w:t xml:space="preserve">rovisão para </w:t>
      </w:r>
      <w:r w:rsidR="002A6CA5">
        <w:rPr>
          <w:rFonts w:asciiTheme="minorHAnsi" w:hAnsiTheme="minorHAnsi"/>
          <w:i w:val="0"/>
          <w:color w:val="auto"/>
          <w:sz w:val="22"/>
          <w:szCs w:val="22"/>
        </w:rPr>
        <w:t>d</w:t>
      </w:r>
      <w:r w:rsidR="00CD21FF" w:rsidRPr="00CD21FF">
        <w:rPr>
          <w:rFonts w:asciiTheme="minorHAnsi" w:hAnsiTheme="minorHAnsi"/>
          <w:i w:val="0"/>
          <w:color w:val="auto"/>
          <w:sz w:val="22"/>
          <w:szCs w:val="22"/>
        </w:rPr>
        <w:t xml:space="preserve">evedores </w:t>
      </w:r>
      <w:r w:rsidR="002A6CA5">
        <w:rPr>
          <w:rFonts w:asciiTheme="minorHAnsi" w:hAnsiTheme="minorHAnsi"/>
          <w:i w:val="0"/>
          <w:color w:val="auto"/>
          <w:sz w:val="22"/>
          <w:szCs w:val="22"/>
        </w:rPr>
        <w:t>d</w:t>
      </w:r>
      <w:r w:rsidR="00CD21FF" w:rsidRPr="00CD21FF">
        <w:rPr>
          <w:rFonts w:asciiTheme="minorHAnsi" w:hAnsiTheme="minorHAnsi"/>
          <w:i w:val="0"/>
          <w:color w:val="auto"/>
          <w:sz w:val="22"/>
          <w:szCs w:val="22"/>
        </w:rPr>
        <w:t>uvidosos</w:t>
      </w:r>
      <w:bookmarkEnd w:id="289"/>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23"/>
        <w:gridCol w:w="1296"/>
        <w:gridCol w:w="1279"/>
        <w:gridCol w:w="1275"/>
        <w:gridCol w:w="1276"/>
        <w:gridCol w:w="1276"/>
      </w:tblGrid>
      <w:tr w:rsidR="00215CF3" w:rsidRPr="00935C23" w14:paraId="281E5D33" w14:textId="77777777" w:rsidTr="00582466">
        <w:trPr>
          <w:trHeight w:val="20"/>
          <w:tblHeader/>
          <w:jc w:val="center"/>
        </w:trPr>
        <w:tc>
          <w:tcPr>
            <w:tcW w:w="7225" w:type="dxa"/>
            <w:gridSpan w:val="6"/>
            <w:tcBorders>
              <w:top w:val="nil"/>
              <w:left w:val="nil"/>
              <w:right w:val="nil"/>
            </w:tcBorders>
            <w:shd w:val="clear" w:color="auto" w:fill="auto"/>
            <w:noWrap/>
            <w:vAlign w:val="center"/>
          </w:tcPr>
          <w:p w14:paraId="3E143412" w14:textId="069954BE" w:rsidR="00215CF3" w:rsidRPr="0071532E" w:rsidRDefault="00215CF3" w:rsidP="00156302">
            <w:pPr>
              <w:spacing w:after="0" w:line="240" w:lineRule="auto"/>
              <w:jc w:val="right"/>
              <w:rPr>
                <w:color w:val="000000"/>
                <w:sz w:val="16"/>
                <w:szCs w:val="16"/>
              </w:rPr>
            </w:pPr>
            <w:r w:rsidRPr="0071532E">
              <w:rPr>
                <w:i/>
                <w:sz w:val="16"/>
                <w:szCs w:val="16"/>
              </w:rPr>
              <w:t>Em R$ milhões</w:t>
            </w:r>
          </w:p>
        </w:tc>
      </w:tr>
      <w:tr w:rsidR="00EF2253" w:rsidRPr="00935C23" w14:paraId="46703A10" w14:textId="77777777" w:rsidTr="00582466">
        <w:trPr>
          <w:trHeight w:val="20"/>
          <w:tblHeader/>
          <w:jc w:val="center"/>
        </w:trPr>
        <w:tc>
          <w:tcPr>
            <w:tcW w:w="823" w:type="dxa"/>
            <w:vMerge w:val="restart"/>
            <w:shd w:val="clear" w:color="auto" w:fill="404040" w:themeFill="text1" w:themeFillTint="BF"/>
            <w:noWrap/>
            <w:vAlign w:val="center"/>
          </w:tcPr>
          <w:p w14:paraId="6C8A9FEE" w14:textId="11254F1D" w:rsidR="00215CF3" w:rsidRPr="0005780E" w:rsidRDefault="00215CF3" w:rsidP="00935C23">
            <w:pPr>
              <w:spacing w:after="0" w:line="240" w:lineRule="auto"/>
              <w:jc w:val="center"/>
              <w:rPr>
                <w:b/>
                <w:bCs/>
                <w:color w:val="FFFFFF" w:themeColor="background1"/>
                <w:sz w:val="20"/>
                <w:szCs w:val="20"/>
              </w:rPr>
            </w:pPr>
            <w:r w:rsidRPr="0005780E">
              <w:rPr>
                <w:b/>
                <w:bCs/>
                <w:color w:val="FFFFFF" w:themeColor="background1"/>
                <w:sz w:val="20"/>
                <w:szCs w:val="20"/>
              </w:rPr>
              <w:t>Fundos</w:t>
            </w:r>
          </w:p>
        </w:tc>
        <w:tc>
          <w:tcPr>
            <w:tcW w:w="1296" w:type="dxa"/>
            <w:shd w:val="clear" w:color="auto" w:fill="404040" w:themeFill="text1" w:themeFillTint="BF"/>
            <w:noWrap/>
            <w:vAlign w:val="center"/>
          </w:tcPr>
          <w:p w14:paraId="1D26547D" w14:textId="14D1C667" w:rsidR="00215CF3" w:rsidRPr="0005780E" w:rsidRDefault="00215CF3" w:rsidP="0066329B">
            <w:pPr>
              <w:spacing w:after="0" w:line="240" w:lineRule="auto"/>
              <w:jc w:val="center"/>
              <w:rPr>
                <w:b/>
                <w:bCs/>
                <w:color w:val="FFFFFF" w:themeColor="background1"/>
                <w:sz w:val="20"/>
                <w:szCs w:val="20"/>
              </w:rPr>
            </w:pPr>
            <w:r w:rsidRPr="0005780E">
              <w:rPr>
                <w:b/>
                <w:bCs/>
                <w:color w:val="FFFFFF" w:themeColor="background1"/>
                <w:sz w:val="20"/>
                <w:szCs w:val="20"/>
              </w:rPr>
              <w:t>Realizado</w:t>
            </w:r>
          </w:p>
        </w:tc>
        <w:tc>
          <w:tcPr>
            <w:tcW w:w="5106" w:type="dxa"/>
            <w:gridSpan w:val="4"/>
            <w:shd w:val="clear" w:color="auto" w:fill="404040" w:themeFill="text1" w:themeFillTint="BF"/>
            <w:noWrap/>
            <w:vAlign w:val="center"/>
          </w:tcPr>
          <w:p w14:paraId="2D44E0C9" w14:textId="7C1D8DB1" w:rsidR="00215CF3" w:rsidRPr="0005780E" w:rsidRDefault="00ED4B14" w:rsidP="0066329B">
            <w:pPr>
              <w:spacing w:after="0" w:line="240" w:lineRule="auto"/>
              <w:jc w:val="center"/>
              <w:rPr>
                <w:b/>
                <w:bCs/>
                <w:color w:val="FFFFFF" w:themeColor="background1"/>
                <w:sz w:val="20"/>
                <w:szCs w:val="20"/>
              </w:rPr>
            </w:pPr>
            <w:r w:rsidRPr="0005780E">
              <w:rPr>
                <w:b/>
                <w:bCs/>
                <w:color w:val="FFFFFF" w:themeColor="background1"/>
                <w:sz w:val="20"/>
                <w:szCs w:val="20"/>
              </w:rPr>
              <w:t>Estimativa</w:t>
            </w:r>
          </w:p>
        </w:tc>
      </w:tr>
      <w:tr w:rsidR="00505B15" w:rsidRPr="00DF3365" w14:paraId="36FBEFAB" w14:textId="77777777" w:rsidTr="669DA5A2">
        <w:trPr>
          <w:trHeight w:val="20"/>
          <w:tblHeader/>
          <w:jc w:val="center"/>
        </w:trPr>
        <w:tc>
          <w:tcPr>
            <w:tcW w:w="823" w:type="dxa"/>
            <w:vMerge/>
            <w:noWrap/>
            <w:vAlign w:val="center"/>
          </w:tcPr>
          <w:p w14:paraId="27ECC41A" w14:textId="11F824F3" w:rsidR="00215CF3" w:rsidRPr="0005780E" w:rsidRDefault="00215CF3" w:rsidP="00215CF3">
            <w:pPr>
              <w:spacing w:after="0" w:line="240" w:lineRule="auto"/>
              <w:rPr>
                <w:b/>
                <w:bCs/>
                <w:color w:val="000000"/>
                <w:sz w:val="20"/>
                <w:szCs w:val="20"/>
              </w:rPr>
            </w:pPr>
          </w:p>
        </w:tc>
        <w:tc>
          <w:tcPr>
            <w:tcW w:w="1296" w:type="dxa"/>
            <w:shd w:val="clear" w:color="auto" w:fill="404040" w:themeFill="text1" w:themeFillTint="BF"/>
            <w:noWrap/>
            <w:vAlign w:val="center"/>
          </w:tcPr>
          <w:p w14:paraId="412BEA72" w14:textId="3EA8D12C" w:rsidR="00215CF3" w:rsidRPr="0005780E" w:rsidRDefault="113A2633" w:rsidP="00215CF3">
            <w:pPr>
              <w:spacing w:after="0" w:line="240" w:lineRule="auto"/>
              <w:jc w:val="center"/>
              <w:rPr>
                <w:b/>
                <w:bCs/>
                <w:color w:val="FFFFFF" w:themeColor="background1"/>
                <w:sz w:val="20"/>
                <w:szCs w:val="20"/>
              </w:rPr>
            </w:pPr>
            <w:r w:rsidRPr="0005780E">
              <w:rPr>
                <w:b/>
                <w:bCs/>
                <w:color w:val="FFFFFF" w:themeColor="background1"/>
                <w:sz w:val="20"/>
                <w:szCs w:val="20"/>
              </w:rPr>
              <w:t>20</w:t>
            </w:r>
            <w:r w:rsidR="6F165DD6" w:rsidRPr="0005780E">
              <w:rPr>
                <w:b/>
                <w:bCs/>
                <w:color w:val="FFFFFF" w:themeColor="background1"/>
                <w:sz w:val="20"/>
                <w:szCs w:val="20"/>
              </w:rPr>
              <w:t>20</w:t>
            </w:r>
          </w:p>
        </w:tc>
        <w:tc>
          <w:tcPr>
            <w:tcW w:w="1279" w:type="dxa"/>
            <w:shd w:val="clear" w:color="auto" w:fill="404040" w:themeFill="text1" w:themeFillTint="BF"/>
            <w:noWrap/>
            <w:vAlign w:val="center"/>
          </w:tcPr>
          <w:p w14:paraId="4CCDE3F4" w14:textId="4CAB74DF" w:rsidR="00215CF3" w:rsidRPr="0005780E" w:rsidRDefault="113A2633" w:rsidP="00215CF3">
            <w:pPr>
              <w:spacing w:after="0" w:line="240" w:lineRule="auto"/>
              <w:jc w:val="center"/>
              <w:rPr>
                <w:b/>
                <w:bCs/>
                <w:color w:val="FFFFFF" w:themeColor="background1"/>
                <w:sz w:val="20"/>
                <w:szCs w:val="20"/>
              </w:rPr>
            </w:pPr>
            <w:r w:rsidRPr="0005780E">
              <w:rPr>
                <w:b/>
                <w:bCs/>
                <w:color w:val="FFFFFF" w:themeColor="background1"/>
                <w:sz w:val="20"/>
                <w:szCs w:val="20"/>
              </w:rPr>
              <w:t>202</w:t>
            </w:r>
            <w:r w:rsidR="18D3F494" w:rsidRPr="0005780E">
              <w:rPr>
                <w:b/>
                <w:bCs/>
                <w:color w:val="FFFFFF" w:themeColor="background1"/>
                <w:sz w:val="20"/>
                <w:szCs w:val="20"/>
              </w:rPr>
              <w:t>1</w:t>
            </w:r>
          </w:p>
        </w:tc>
        <w:tc>
          <w:tcPr>
            <w:tcW w:w="1275" w:type="dxa"/>
            <w:shd w:val="clear" w:color="auto" w:fill="404040" w:themeFill="text1" w:themeFillTint="BF"/>
            <w:noWrap/>
            <w:vAlign w:val="center"/>
          </w:tcPr>
          <w:p w14:paraId="11AEE335" w14:textId="25D8FF90" w:rsidR="00215CF3" w:rsidRPr="0005780E" w:rsidRDefault="113A2633" w:rsidP="00215CF3">
            <w:pPr>
              <w:spacing w:after="0" w:line="240" w:lineRule="auto"/>
              <w:jc w:val="center"/>
              <w:rPr>
                <w:b/>
                <w:bCs/>
                <w:color w:val="FFFFFF" w:themeColor="background1"/>
                <w:sz w:val="20"/>
                <w:szCs w:val="20"/>
              </w:rPr>
            </w:pPr>
            <w:r w:rsidRPr="0005780E">
              <w:rPr>
                <w:b/>
                <w:bCs/>
                <w:color w:val="FFFFFF" w:themeColor="background1"/>
                <w:sz w:val="20"/>
                <w:szCs w:val="20"/>
              </w:rPr>
              <w:t>202</w:t>
            </w:r>
            <w:r w:rsidR="6B48D381" w:rsidRPr="0005780E">
              <w:rPr>
                <w:b/>
                <w:bCs/>
                <w:color w:val="FFFFFF" w:themeColor="background1"/>
                <w:sz w:val="20"/>
                <w:szCs w:val="20"/>
              </w:rPr>
              <w:t>2</w:t>
            </w:r>
          </w:p>
        </w:tc>
        <w:tc>
          <w:tcPr>
            <w:tcW w:w="1276" w:type="dxa"/>
            <w:shd w:val="clear" w:color="auto" w:fill="404040" w:themeFill="text1" w:themeFillTint="BF"/>
            <w:noWrap/>
            <w:vAlign w:val="center"/>
          </w:tcPr>
          <w:p w14:paraId="7D4F1A61" w14:textId="48861A99" w:rsidR="00215CF3" w:rsidRPr="0005780E" w:rsidRDefault="113A2633" w:rsidP="00215CF3">
            <w:pPr>
              <w:spacing w:after="0" w:line="240" w:lineRule="auto"/>
              <w:jc w:val="center"/>
              <w:rPr>
                <w:b/>
                <w:bCs/>
                <w:color w:val="FFFFFF" w:themeColor="background1"/>
                <w:sz w:val="20"/>
                <w:szCs w:val="20"/>
              </w:rPr>
            </w:pPr>
            <w:r w:rsidRPr="0005780E">
              <w:rPr>
                <w:b/>
                <w:bCs/>
                <w:color w:val="FFFFFF" w:themeColor="background1"/>
                <w:sz w:val="20"/>
                <w:szCs w:val="20"/>
              </w:rPr>
              <w:t>202</w:t>
            </w:r>
            <w:r w:rsidR="42B509A4" w:rsidRPr="0005780E">
              <w:rPr>
                <w:b/>
                <w:bCs/>
                <w:color w:val="FFFFFF" w:themeColor="background1"/>
                <w:sz w:val="20"/>
                <w:szCs w:val="20"/>
              </w:rPr>
              <w:t>3</w:t>
            </w:r>
          </w:p>
        </w:tc>
        <w:tc>
          <w:tcPr>
            <w:tcW w:w="1276" w:type="dxa"/>
            <w:shd w:val="clear" w:color="auto" w:fill="404040" w:themeFill="text1" w:themeFillTint="BF"/>
            <w:noWrap/>
            <w:vAlign w:val="center"/>
          </w:tcPr>
          <w:p w14:paraId="5EB3E8EF" w14:textId="646AD936" w:rsidR="00215CF3" w:rsidRPr="0005780E" w:rsidRDefault="113A2633" w:rsidP="00215CF3">
            <w:pPr>
              <w:spacing w:after="0" w:line="240" w:lineRule="auto"/>
              <w:jc w:val="center"/>
              <w:rPr>
                <w:b/>
                <w:bCs/>
                <w:color w:val="FFFFFF" w:themeColor="background1"/>
                <w:sz w:val="20"/>
                <w:szCs w:val="20"/>
              </w:rPr>
            </w:pPr>
            <w:r w:rsidRPr="0005780E">
              <w:rPr>
                <w:b/>
                <w:bCs/>
                <w:color w:val="FFFFFF" w:themeColor="background1"/>
                <w:sz w:val="20"/>
                <w:szCs w:val="20"/>
              </w:rPr>
              <w:t>202</w:t>
            </w:r>
            <w:r w:rsidR="06354923" w:rsidRPr="0005780E">
              <w:rPr>
                <w:b/>
                <w:bCs/>
                <w:color w:val="FFFFFF" w:themeColor="background1"/>
                <w:sz w:val="20"/>
                <w:szCs w:val="20"/>
              </w:rPr>
              <w:t>4</w:t>
            </w:r>
          </w:p>
        </w:tc>
      </w:tr>
      <w:tr w:rsidR="00762A66" w:rsidRPr="00DF3365" w14:paraId="1A598E35" w14:textId="77777777" w:rsidTr="0005780E">
        <w:trPr>
          <w:trHeight w:val="20"/>
          <w:jc w:val="center"/>
        </w:trPr>
        <w:tc>
          <w:tcPr>
            <w:tcW w:w="823" w:type="dxa"/>
            <w:shd w:val="clear" w:color="auto" w:fill="auto"/>
            <w:noWrap/>
            <w:vAlign w:val="center"/>
            <w:hideMark/>
          </w:tcPr>
          <w:p w14:paraId="799E3BC9" w14:textId="77777777" w:rsidR="000D17A6" w:rsidRPr="008D64A3" w:rsidRDefault="000D17A6" w:rsidP="0067574A">
            <w:pPr>
              <w:spacing w:after="0" w:line="240" w:lineRule="auto"/>
              <w:rPr>
                <w:color w:val="000000"/>
                <w:sz w:val="18"/>
                <w:szCs w:val="18"/>
              </w:rPr>
            </w:pPr>
            <w:r w:rsidRPr="008D64A3">
              <w:rPr>
                <w:color w:val="000000"/>
                <w:sz w:val="18"/>
                <w:szCs w:val="18"/>
              </w:rPr>
              <w:t>FCO</w:t>
            </w:r>
          </w:p>
        </w:tc>
        <w:tc>
          <w:tcPr>
            <w:tcW w:w="1296" w:type="dxa"/>
            <w:shd w:val="clear" w:color="auto" w:fill="auto"/>
            <w:noWrap/>
            <w:vAlign w:val="center"/>
            <w:hideMark/>
          </w:tcPr>
          <w:p w14:paraId="46687558" w14:textId="3533855C" w:rsidR="000D17A6" w:rsidRPr="008D64A3" w:rsidRDefault="4FC535BC" w:rsidP="0005780E">
            <w:pPr>
              <w:spacing w:after="0" w:line="240" w:lineRule="auto"/>
              <w:jc w:val="right"/>
              <w:rPr>
                <w:color w:val="000000"/>
                <w:sz w:val="18"/>
                <w:szCs w:val="18"/>
              </w:rPr>
            </w:pPr>
            <w:r w:rsidRPr="669DA5A2">
              <w:rPr>
                <w:color w:val="000000" w:themeColor="text1"/>
                <w:sz w:val="18"/>
                <w:szCs w:val="18"/>
              </w:rPr>
              <w:t>1</w:t>
            </w:r>
            <w:r w:rsidR="325CB4FB" w:rsidRPr="669DA5A2">
              <w:rPr>
                <w:color w:val="000000" w:themeColor="text1"/>
                <w:sz w:val="18"/>
                <w:szCs w:val="18"/>
              </w:rPr>
              <w:t>9</w:t>
            </w:r>
            <w:r w:rsidRPr="669DA5A2">
              <w:rPr>
                <w:color w:val="000000" w:themeColor="text1"/>
                <w:sz w:val="18"/>
                <w:szCs w:val="18"/>
              </w:rPr>
              <w:t>,</w:t>
            </w:r>
            <w:r w:rsidR="3816EFC4" w:rsidRPr="669DA5A2">
              <w:rPr>
                <w:color w:val="000000" w:themeColor="text1"/>
                <w:sz w:val="18"/>
                <w:szCs w:val="18"/>
              </w:rPr>
              <w:t>2</w:t>
            </w:r>
          </w:p>
        </w:tc>
        <w:tc>
          <w:tcPr>
            <w:tcW w:w="1279" w:type="dxa"/>
            <w:shd w:val="clear" w:color="auto" w:fill="auto"/>
            <w:noWrap/>
            <w:vAlign w:val="center"/>
            <w:hideMark/>
          </w:tcPr>
          <w:p w14:paraId="306A9D64" w14:textId="5749494E" w:rsidR="000D17A6" w:rsidRPr="008D64A3" w:rsidRDefault="39615840" w:rsidP="0005780E">
            <w:pPr>
              <w:spacing w:after="0" w:line="240" w:lineRule="auto"/>
              <w:jc w:val="right"/>
              <w:rPr>
                <w:color w:val="000000"/>
                <w:sz w:val="18"/>
                <w:szCs w:val="18"/>
              </w:rPr>
            </w:pPr>
            <w:r w:rsidRPr="669DA5A2">
              <w:rPr>
                <w:color w:val="000000" w:themeColor="text1"/>
                <w:sz w:val="18"/>
                <w:szCs w:val="18"/>
              </w:rPr>
              <w:t>1</w:t>
            </w:r>
            <w:r w:rsidR="42C79C17" w:rsidRPr="669DA5A2">
              <w:rPr>
                <w:color w:val="000000" w:themeColor="text1"/>
                <w:sz w:val="18"/>
                <w:szCs w:val="18"/>
              </w:rPr>
              <w:t>7</w:t>
            </w:r>
            <w:r w:rsidR="4FC535BC" w:rsidRPr="669DA5A2">
              <w:rPr>
                <w:color w:val="000000" w:themeColor="text1"/>
                <w:sz w:val="18"/>
                <w:szCs w:val="18"/>
              </w:rPr>
              <w:t>,</w:t>
            </w:r>
            <w:r w:rsidR="01432245" w:rsidRPr="669DA5A2">
              <w:rPr>
                <w:color w:val="000000" w:themeColor="text1"/>
                <w:sz w:val="18"/>
                <w:szCs w:val="18"/>
              </w:rPr>
              <w:t>8</w:t>
            </w:r>
          </w:p>
        </w:tc>
        <w:tc>
          <w:tcPr>
            <w:tcW w:w="1275" w:type="dxa"/>
            <w:shd w:val="clear" w:color="auto" w:fill="auto"/>
            <w:noWrap/>
            <w:vAlign w:val="center"/>
            <w:hideMark/>
          </w:tcPr>
          <w:p w14:paraId="0524D8CD" w14:textId="74F31C32" w:rsidR="000D17A6" w:rsidRPr="008D64A3" w:rsidRDefault="7FD78344" w:rsidP="0005780E">
            <w:pPr>
              <w:spacing w:after="0" w:line="240" w:lineRule="auto"/>
              <w:jc w:val="right"/>
              <w:rPr>
                <w:color w:val="000000"/>
                <w:sz w:val="18"/>
                <w:szCs w:val="18"/>
              </w:rPr>
            </w:pPr>
            <w:r w:rsidRPr="669DA5A2">
              <w:rPr>
                <w:color w:val="000000" w:themeColor="text1"/>
                <w:sz w:val="18"/>
                <w:szCs w:val="18"/>
              </w:rPr>
              <w:t>17,9</w:t>
            </w:r>
          </w:p>
        </w:tc>
        <w:tc>
          <w:tcPr>
            <w:tcW w:w="1276" w:type="dxa"/>
            <w:shd w:val="clear" w:color="auto" w:fill="auto"/>
            <w:noWrap/>
            <w:vAlign w:val="center"/>
            <w:hideMark/>
          </w:tcPr>
          <w:p w14:paraId="719DF148" w14:textId="03A053A8" w:rsidR="000D17A6" w:rsidRPr="008D64A3" w:rsidRDefault="722A5037" w:rsidP="0005780E">
            <w:pPr>
              <w:spacing w:after="0" w:line="240" w:lineRule="auto"/>
              <w:jc w:val="right"/>
              <w:rPr>
                <w:color w:val="000000"/>
                <w:sz w:val="18"/>
                <w:szCs w:val="18"/>
              </w:rPr>
            </w:pPr>
            <w:r w:rsidRPr="669DA5A2">
              <w:rPr>
                <w:color w:val="000000" w:themeColor="text1"/>
                <w:sz w:val="18"/>
                <w:szCs w:val="18"/>
              </w:rPr>
              <w:t>18,0</w:t>
            </w:r>
          </w:p>
        </w:tc>
        <w:tc>
          <w:tcPr>
            <w:tcW w:w="1276" w:type="dxa"/>
            <w:shd w:val="clear" w:color="auto" w:fill="auto"/>
            <w:noWrap/>
            <w:vAlign w:val="center"/>
            <w:hideMark/>
          </w:tcPr>
          <w:p w14:paraId="533E5BEE" w14:textId="188B6E16" w:rsidR="000D17A6" w:rsidRPr="008D64A3" w:rsidRDefault="22A20DEE" w:rsidP="0005780E">
            <w:pPr>
              <w:spacing w:after="0" w:line="240" w:lineRule="auto"/>
              <w:jc w:val="right"/>
              <w:rPr>
                <w:color w:val="000000"/>
                <w:sz w:val="18"/>
                <w:szCs w:val="18"/>
              </w:rPr>
            </w:pPr>
            <w:r w:rsidRPr="669DA5A2">
              <w:rPr>
                <w:color w:val="000000" w:themeColor="text1"/>
                <w:sz w:val="18"/>
                <w:szCs w:val="18"/>
              </w:rPr>
              <w:t>18,1</w:t>
            </w:r>
          </w:p>
        </w:tc>
      </w:tr>
      <w:tr w:rsidR="00762A66" w:rsidRPr="00DF3365" w14:paraId="39B4EE52" w14:textId="77777777" w:rsidTr="007D2EC3">
        <w:trPr>
          <w:trHeight w:val="20"/>
          <w:jc w:val="center"/>
        </w:trPr>
        <w:tc>
          <w:tcPr>
            <w:tcW w:w="823" w:type="dxa"/>
            <w:shd w:val="clear" w:color="auto" w:fill="F2F2F2" w:themeFill="background1" w:themeFillShade="F2"/>
            <w:noWrap/>
            <w:vAlign w:val="center"/>
            <w:hideMark/>
          </w:tcPr>
          <w:p w14:paraId="78B14B6F" w14:textId="77777777" w:rsidR="000D17A6" w:rsidRPr="008D64A3" w:rsidRDefault="000D17A6" w:rsidP="0067574A">
            <w:pPr>
              <w:spacing w:after="0" w:line="240" w:lineRule="auto"/>
              <w:rPr>
                <w:color w:val="000000"/>
                <w:sz w:val="18"/>
                <w:szCs w:val="18"/>
              </w:rPr>
            </w:pPr>
            <w:r w:rsidRPr="008D64A3">
              <w:rPr>
                <w:color w:val="000000"/>
                <w:sz w:val="18"/>
                <w:szCs w:val="18"/>
              </w:rPr>
              <w:t>FNE</w:t>
            </w:r>
          </w:p>
        </w:tc>
        <w:tc>
          <w:tcPr>
            <w:tcW w:w="1296" w:type="dxa"/>
            <w:shd w:val="clear" w:color="auto" w:fill="F2F2F2" w:themeFill="background1" w:themeFillShade="F2"/>
            <w:noWrap/>
            <w:vAlign w:val="center"/>
            <w:hideMark/>
          </w:tcPr>
          <w:p w14:paraId="44A7ECC4" w14:textId="0ABF4998" w:rsidR="000D17A6" w:rsidRPr="008D64A3" w:rsidRDefault="0A80E05A" w:rsidP="0005780E">
            <w:pPr>
              <w:spacing w:after="0" w:line="240" w:lineRule="auto"/>
              <w:jc w:val="right"/>
              <w:rPr>
                <w:color w:val="000000"/>
                <w:sz w:val="18"/>
                <w:szCs w:val="18"/>
              </w:rPr>
            </w:pPr>
            <w:r w:rsidRPr="669DA5A2">
              <w:rPr>
                <w:color w:val="000000" w:themeColor="text1"/>
                <w:sz w:val="18"/>
                <w:szCs w:val="18"/>
              </w:rPr>
              <w:t>752</w:t>
            </w:r>
            <w:r w:rsidR="4E8BD989" w:rsidRPr="669DA5A2">
              <w:rPr>
                <w:color w:val="000000" w:themeColor="text1"/>
                <w:sz w:val="18"/>
                <w:szCs w:val="18"/>
              </w:rPr>
              <w:t>,4</w:t>
            </w:r>
          </w:p>
        </w:tc>
        <w:tc>
          <w:tcPr>
            <w:tcW w:w="1279" w:type="dxa"/>
            <w:shd w:val="clear" w:color="auto" w:fill="F2F2F2" w:themeFill="background1" w:themeFillShade="F2"/>
            <w:noWrap/>
            <w:vAlign w:val="center"/>
            <w:hideMark/>
          </w:tcPr>
          <w:p w14:paraId="7932F663" w14:textId="66C08E1D" w:rsidR="000D17A6" w:rsidRPr="008D64A3" w:rsidRDefault="519C27AE" w:rsidP="0005780E">
            <w:pPr>
              <w:spacing w:after="0" w:line="240" w:lineRule="auto"/>
              <w:jc w:val="right"/>
              <w:rPr>
                <w:color w:val="000000"/>
                <w:sz w:val="18"/>
                <w:szCs w:val="18"/>
              </w:rPr>
            </w:pPr>
            <w:r w:rsidRPr="669DA5A2">
              <w:rPr>
                <w:color w:val="000000" w:themeColor="text1"/>
                <w:sz w:val="18"/>
                <w:szCs w:val="18"/>
              </w:rPr>
              <w:t>685,3</w:t>
            </w:r>
          </w:p>
        </w:tc>
        <w:tc>
          <w:tcPr>
            <w:tcW w:w="1275" w:type="dxa"/>
            <w:shd w:val="clear" w:color="auto" w:fill="F2F2F2" w:themeFill="background1" w:themeFillShade="F2"/>
            <w:noWrap/>
            <w:vAlign w:val="center"/>
            <w:hideMark/>
          </w:tcPr>
          <w:p w14:paraId="33233657" w14:textId="0A1488FF" w:rsidR="000D17A6" w:rsidRPr="008D64A3" w:rsidRDefault="0960FD13" w:rsidP="0005780E">
            <w:pPr>
              <w:spacing w:after="0" w:line="240" w:lineRule="auto"/>
              <w:jc w:val="right"/>
              <w:rPr>
                <w:color w:val="000000"/>
                <w:sz w:val="18"/>
                <w:szCs w:val="18"/>
              </w:rPr>
            </w:pPr>
            <w:r w:rsidRPr="669DA5A2">
              <w:rPr>
                <w:color w:val="000000" w:themeColor="text1"/>
                <w:sz w:val="18"/>
                <w:szCs w:val="18"/>
              </w:rPr>
              <w:t>691,7</w:t>
            </w:r>
          </w:p>
        </w:tc>
        <w:tc>
          <w:tcPr>
            <w:tcW w:w="1276" w:type="dxa"/>
            <w:shd w:val="clear" w:color="auto" w:fill="F2F2F2" w:themeFill="background1" w:themeFillShade="F2"/>
            <w:noWrap/>
            <w:vAlign w:val="center"/>
            <w:hideMark/>
          </w:tcPr>
          <w:p w14:paraId="68E8838A" w14:textId="4D2F28DD" w:rsidR="000D17A6" w:rsidRPr="008D64A3" w:rsidRDefault="07681C1F" w:rsidP="0005780E">
            <w:pPr>
              <w:spacing w:after="0" w:line="240" w:lineRule="auto"/>
              <w:jc w:val="right"/>
              <w:rPr>
                <w:color w:val="000000"/>
                <w:sz w:val="18"/>
                <w:szCs w:val="18"/>
              </w:rPr>
            </w:pPr>
            <w:r w:rsidRPr="669DA5A2">
              <w:rPr>
                <w:color w:val="000000" w:themeColor="text1"/>
                <w:sz w:val="18"/>
                <w:szCs w:val="18"/>
              </w:rPr>
              <w:t>691,7</w:t>
            </w:r>
          </w:p>
        </w:tc>
        <w:tc>
          <w:tcPr>
            <w:tcW w:w="1276" w:type="dxa"/>
            <w:shd w:val="clear" w:color="auto" w:fill="F2F2F2" w:themeFill="background1" w:themeFillShade="F2"/>
            <w:noWrap/>
            <w:vAlign w:val="center"/>
            <w:hideMark/>
          </w:tcPr>
          <w:p w14:paraId="3B0B4077" w14:textId="73740869" w:rsidR="000D17A6" w:rsidRPr="008D64A3" w:rsidRDefault="4C3FE4DF" w:rsidP="0005780E">
            <w:pPr>
              <w:spacing w:after="0" w:line="240" w:lineRule="auto"/>
              <w:jc w:val="right"/>
              <w:rPr>
                <w:color w:val="000000"/>
                <w:sz w:val="18"/>
                <w:szCs w:val="18"/>
              </w:rPr>
            </w:pPr>
            <w:r w:rsidRPr="669DA5A2">
              <w:rPr>
                <w:color w:val="000000" w:themeColor="text1"/>
                <w:sz w:val="18"/>
                <w:szCs w:val="18"/>
              </w:rPr>
              <w:t>691,7</w:t>
            </w:r>
          </w:p>
        </w:tc>
      </w:tr>
      <w:tr w:rsidR="00BC7907" w:rsidRPr="00DF3365" w14:paraId="54B66121" w14:textId="77777777" w:rsidTr="0005780E">
        <w:trPr>
          <w:trHeight w:val="20"/>
          <w:jc w:val="center"/>
        </w:trPr>
        <w:tc>
          <w:tcPr>
            <w:tcW w:w="823" w:type="dxa"/>
            <w:shd w:val="clear" w:color="auto" w:fill="auto"/>
            <w:noWrap/>
            <w:vAlign w:val="center"/>
          </w:tcPr>
          <w:p w14:paraId="2767831F" w14:textId="7D8FDC5D" w:rsidR="007F1B90" w:rsidRPr="008D64A3" w:rsidRDefault="007F1B90" w:rsidP="007F1B90">
            <w:pPr>
              <w:spacing w:after="0" w:line="240" w:lineRule="auto"/>
              <w:rPr>
                <w:color w:val="000000"/>
                <w:sz w:val="18"/>
                <w:szCs w:val="18"/>
              </w:rPr>
            </w:pPr>
            <w:r w:rsidRPr="008D64A3">
              <w:rPr>
                <w:color w:val="000000"/>
                <w:sz w:val="18"/>
                <w:szCs w:val="18"/>
              </w:rPr>
              <w:t>FNO</w:t>
            </w:r>
          </w:p>
        </w:tc>
        <w:tc>
          <w:tcPr>
            <w:tcW w:w="1296" w:type="dxa"/>
            <w:shd w:val="clear" w:color="auto" w:fill="auto"/>
            <w:noWrap/>
            <w:vAlign w:val="center"/>
          </w:tcPr>
          <w:p w14:paraId="491DFAD4" w14:textId="37BFF77C" w:rsidR="007F1B90" w:rsidRPr="008D64A3" w:rsidRDefault="49713CED" w:rsidP="0005780E">
            <w:pPr>
              <w:spacing w:after="0" w:line="240" w:lineRule="auto"/>
              <w:jc w:val="right"/>
              <w:rPr>
                <w:color w:val="000000"/>
                <w:sz w:val="18"/>
                <w:szCs w:val="18"/>
              </w:rPr>
            </w:pPr>
            <w:r w:rsidRPr="669DA5A2">
              <w:rPr>
                <w:color w:val="000000" w:themeColor="text1"/>
                <w:sz w:val="18"/>
                <w:szCs w:val="18"/>
              </w:rPr>
              <w:t>3</w:t>
            </w:r>
            <w:r w:rsidR="3084986C" w:rsidRPr="669DA5A2">
              <w:rPr>
                <w:color w:val="000000" w:themeColor="text1"/>
                <w:sz w:val="18"/>
                <w:szCs w:val="18"/>
              </w:rPr>
              <w:t>15</w:t>
            </w:r>
            <w:r w:rsidR="007F1B90" w:rsidRPr="669DA5A2">
              <w:rPr>
                <w:color w:val="000000" w:themeColor="text1"/>
                <w:sz w:val="18"/>
                <w:szCs w:val="18"/>
              </w:rPr>
              <w:t>,2</w:t>
            </w:r>
          </w:p>
        </w:tc>
        <w:tc>
          <w:tcPr>
            <w:tcW w:w="1279" w:type="dxa"/>
            <w:shd w:val="clear" w:color="auto" w:fill="auto"/>
            <w:noWrap/>
            <w:vAlign w:val="center"/>
          </w:tcPr>
          <w:p w14:paraId="1E2C6432" w14:textId="33C78BDF" w:rsidR="007F1B90" w:rsidRPr="008D64A3" w:rsidRDefault="1CCAB47F" w:rsidP="0005780E">
            <w:pPr>
              <w:spacing w:after="0" w:line="240" w:lineRule="auto"/>
              <w:jc w:val="right"/>
              <w:rPr>
                <w:color w:val="000000"/>
                <w:sz w:val="18"/>
                <w:szCs w:val="18"/>
              </w:rPr>
            </w:pPr>
            <w:r w:rsidRPr="669DA5A2">
              <w:rPr>
                <w:color w:val="000000" w:themeColor="text1"/>
                <w:sz w:val="18"/>
                <w:szCs w:val="18"/>
              </w:rPr>
              <w:t>305,9</w:t>
            </w:r>
          </w:p>
        </w:tc>
        <w:tc>
          <w:tcPr>
            <w:tcW w:w="1275" w:type="dxa"/>
            <w:shd w:val="clear" w:color="auto" w:fill="auto"/>
            <w:noWrap/>
            <w:vAlign w:val="center"/>
          </w:tcPr>
          <w:p w14:paraId="280C8917" w14:textId="0A180315" w:rsidR="007F1B90" w:rsidRPr="008D64A3" w:rsidRDefault="486E2FE9" w:rsidP="0005780E">
            <w:pPr>
              <w:spacing w:after="0" w:line="240" w:lineRule="auto"/>
              <w:jc w:val="right"/>
              <w:rPr>
                <w:color w:val="000000"/>
                <w:sz w:val="18"/>
                <w:szCs w:val="18"/>
              </w:rPr>
            </w:pPr>
            <w:r w:rsidRPr="669DA5A2">
              <w:rPr>
                <w:color w:val="000000" w:themeColor="text1"/>
                <w:sz w:val="18"/>
                <w:szCs w:val="18"/>
              </w:rPr>
              <w:t>329,4</w:t>
            </w:r>
          </w:p>
        </w:tc>
        <w:tc>
          <w:tcPr>
            <w:tcW w:w="1276" w:type="dxa"/>
            <w:shd w:val="clear" w:color="auto" w:fill="auto"/>
            <w:noWrap/>
            <w:vAlign w:val="center"/>
          </w:tcPr>
          <w:p w14:paraId="03F3F04E" w14:textId="7A966C8E" w:rsidR="007F1B90" w:rsidRPr="008D64A3" w:rsidRDefault="6CD1991B" w:rsidP="0005780E">
            <w:pPr>
              <w:spacing w:after="0" w:line="240" w:lineRule="auto"/>
              <w:jc w:val="right"/>
              <w:rPr>
                <w:color w:val="000000"/>
                <w:sz w:val="18"/>
                <w:szCs w:val="18"/>
              </w:rPr>
            </w:pPr>
            <w:r w:rsidRPr="669DA5A2">
              <w:rPr>
                <w:color w:val="000000" w:themeColor="text1"/>
                <w:sz w:val="18"/>
                <w:szCs w:val="18"/>
              </w:rPr>
              <w:t>360,9</w:t>
            </w:r>
          </w:p>
        </w:tc>
        <w:tc>
          <w:tcPr>
            <w:tcW w:w="1276" w:type="dxa"/>
            <w:shd w:val="clear" w:color="auto" w:fill="auto"/>
            <w:noWrap/>
            <w:vAlign w:val="center"/>
          </w:tcPr>
          <w:p w14:paraId="4056959C" w14:textId="71B1AF61" w:rsidR="007F1B90" w:rsidRPr="008D64A3" w:rsidRDefault="2DD12275" w:rsidP="0005780E">
            <w:pPr>
              <w:spacing w:after="0" w:line="240" w:lineRule="auto"/>
              <w:jc w:val="right"/>
              <w:rPr>
                <w:color w:val="000000"/>
                <w:sz w:val="18"/>
                <w:szCs w:val="18"/>
              </w:rPr>
            </w:pPr>
            <w:r w:rsidRPr="669DA5A2">
              <w:rPr>
                <w:color w:val="000000" w:themeColor="text1"/>
                <w:sz w:val="18"/>
                <w:szCs w:val="18"/>
              </w:rPr>
              <w:t>430,6</w:t>
            </w:r>
          </w:p>
        </w:tc>
      </w:tr>
      <w:tr w:rsidR="00762A66" w:rsidRPr="00DF3365" w14:paraId="5A08BD0D" w14:textId="77777777" w:rsidTr="0005780E">
        <w:trPr>
          <w:trHeight w:val="20"/>
          <w:jc w:val="center"/>
        </w:trPr>
        <w:tc>
          <w:tcPr>
            <w:tcW w:w="823" w:type="dxa"/>
            <w:tcBorders>
              <w:bottom w:val="single" w:sz="4" w:space="0" w:color="BFBFBF" w:themeColor="background1" w:themeShade="BF"/>
            </w:tcBorders>
            <w:shd w:val="clear" w:color="auto" w:fill="7F7F7F" w:themeFill="text1" w:themeFillTint="80"/>
            <w:noWrap/>
            <w:vAlign w:val="center"/>
          </w:tcPr>
          <w:p w14:paraId="3A99C5F2" w14:textId="4AF9AB48" w:rsidR="00F34E43" w:rsidRPr="0005780E" w:rsidRDefault="00F34E43" w:rsidP="00F34E43">
            <w:pPr>
              <w:spacing w:after="0" w:line="240" w:lineRule="auto"/>
              <w:rPr>
                <w:b/>
                <w:bCs/>
                <w:color w:val="FFFFFF" w:themeColor="background1"/>
                <w:sz w:val="18"/>
                <w:szCs w:val="18"/>
              </w:rPr>
            </w:pPr>
            <w:r w:rsidRPr="0005780E">
              <w:rPr>
                <w:b/>
                <w:bCs/>
                <w:color w:val="FFFFFF" w:themeColor="background1"/>
                <w:sz w:val="18"/>
                <w:szCs w:val="18"/>
              </w:rPr>
              <w:t>Total</w:t>
            </w:r>
          </w:p>
        </w:tc>
        <w:tc>
          <w:tcPr>
            <w:tcW w:w="1296" w:type="dxa"/>
            <w:tcBorders>
              <w:bottom w:val="single" w:sz="4" w:space="0" w:color="BFBFBF" w:themeColor="background1" w:themeShade="BF"/>
            </w:tcBorders>
            <w:shd w:val="clear" w:color="auto" w:fill="7F7F7F" w:themeFill="text1" w:themeFillTint="80"/>
            <w:noWrap/>
            <w:vAlign w:val="center"/>
          </w:tcPr>
          <w:p w14:paraId="384BA1A4" w14:textId="6DCD6320" w:rsidR="00F34E43" w:rsidRPr="0005780E" w:rsidRDefault="00F34E43" w:rsidP="0005780E">
            <w:pPr>
              <w:spacing w:after="0" w:line="240" w:lineRule="auto"/>
              <w:jc w:val="right"/>
              <w:rPr>
                <w:b/>
                <w:bCs/>
                <w:color w:val="FFFFFF" w:themeColor="background1"/>
                <w:sz w:val="18"/>
                <w:szCs w:val="18"/>
              </w:rPr>
            </w:pPr>
            <w:r w:rsidRPr="0005780E">
              <w:rPr>
                <w:b/>
                <w:bCs/>
                <w:color w:val="FFFFFF" w:themeColor="background1"/>
                <w:sz w:val="18"/>
                <w:szCs w:val="18"/>
              </w:rPr>
              <w:t>1.</w:t>
            </w:r>
            <w:r w:rsidR="20D030A7" w:rsidRPr="0005780E">
              <w:rPr>
                <w:b/>
                <w:bCs/>
                <w:color w:val="FFFFFF" w:themeColor="background1"/>
                <w:sz w:val="18"/>
                <w:szCs w:val="18"/>
              </w:rPr>
              <w:t>086</w:t>
            </w:r>
            <w:r w:rsidRPr="0005780E">
              <w:rPr>
                <w:b/>
                <w:bCs/>
                <w:color w:val="FFFFFF" w:themeColor="background1"/>
                <w:sz w:val="18"/>
                <w:szCs w:val="18"/>
              </w:rPr>
              <w:t>,8</w:t>
            </w:r>
          </w:p>
        </w:tc>
        <w:tc>
          <w:tcPr>
            <w:tcW w:w="1279" w:type="dxa"/>
            <w:tcBorders>
              <w:bottom w:val="single" w:sz="4" w:space="0" w:color="BFBFBF" w:themeColor="background1" w:themeShade="BF"/>
            </w:tcBorders>
            <w:shd w:val="clear" w:color="auto" w:fill="7F7F7F" w:themeFill="text1" w:themeFillTint="80"/>
            <w:noWrap/>
            <w:vAlign w:val="center"/>
          </w:tcPr>
          <w:p w14:paraId="4884EA6B" w14:textId="1D42EC77" w:rsidR="00F34E43" w:rsidRPr="0005780E" w:rsidRDefault="00F34E43" w:rsidP="0005780E">
            <w:pPr>
              <w:spacing w:after="0" w:line="240" w:lineRule="auto"/>
              <w:jc w:val="right"/>
              <w:rPr>
                <w:b/>
                <w:bCs/>
                <w:color w:val="FFFFFF" w:themeColor="background1"/>
                <w:sz w:val="18"/>
                <w:szCs w:val="18"/>
              </w:rPr>
            </w:pPr>
            <w:r w:rsidRPr="0005780E">
              <w:rPr>
                <w:b/>
                <w:bCs/>
                <w:color w:val="FFFFFF" w:themeColor="background1"/>
                <w:sz w:val="18"/>
                <w:szCs w:val="18"/>
              </w:rPr>
              <w:t>1.</w:t>
            </w:r>
            <w:r w:rsidR="5324D677" w:rsidRPr="0005780E">
              <w:rPr>
                <w:b/>
                <w:bCs/>
                <w:color w:val="FFFFFF" w:themeColor="background1"/>
                <w:sz w:val="18"/>
                <w:szCs w:val="18"/>
              </w:rPr>
              <w:t>009,0</w:t>
            </w:r>
          </w:p>
        </w:tc>
        <w:tc>
          <w:tcPr>
            <w:tcW w:w="1275" w:type="dxa"/>
            <w:tcBorders>
              <w:bottom w:val="single" w:sz="4" w:space="0" w:color="BFBFBF" w:themeColor="background1" w:themeShade="BF"/>
            </w:tcBorders>
            <w:shd w:val="clear" w:color="auto" w:fill="7F7F7F" w:themeFill="text1" w:themeFillTint="80"/>
            <w:noWrap/>
            <w:vAlign w:val="center"/>
          </w:tcPr>
          <w:p w14:paraId="2E21DC8B" w14:textId="118792D0" w:rsidR="00F34E43" w:rsidRPr="0005780E" w:rsidRDefault="00F34E43" w:rsidP="0005780E">
            <w:pPr>
              <w:spacing w:after="0" w:line="240" w:lineRule="auto"/>
              <w:jc w:val="right"/>
              <w:rPr>
                <w:b/>
                <w:bCs/>
                <w:color w:val="FFFFFF" w:themeColor="background1"/>
                <w:sz w:val="18"/>
                <w:szCs w:val="18"/>
              </w:rPr>
            </w:pPr>
            <w:r w:rsidRPr="0005780E">
              <w:rPr>
                <w:b/>
                <w:bCs/>
                <w:color w:val="FFFFFF" w:themeColor="background1"/>
                <w:sz w:val="18"/>
                <w:szCs w:val="18"/>
              </w:rPr>
              <w:t>1.</w:t>
            </w:r>
            <w:r w:rsidR="3877ACAC" w:rsidRPr="0005780E">
              <w:rPr>
                <w:b/>
                <w:bCs/>
                <w:color w:val="FFFFFF" w:themeColor="background1"/>
                <w:sz w:val="18"/>
                <w:szCs w:val="18"/>
              </w:rPr>
              <w:t>039,0</w:t>
            </w:r>
          </w:p>
        </w:tc>
        <w:tc>
          <w:tcPr>
            <w:tcW w:w="1276" w:type="dxa"/>
            <w:tcBorders>
              <w:bottom w:val="single" w:sz="4" w:space="0" w:color="BFBFBF" w:themeColor="background1" w:themeShade="BF"/>
            </w:tcBorders>
            <w:shd w:val="clear" w:color="auto" w:fill="7F7F7F" w:themeFill="text1" w:themeFillTint="80"/>
            <w:noWrap/>
            <w:vAlign w:val="center"/>
          </w:tcPr>
          <w:p w14:paraId="641699E2" w14:textId="29E8C27F" w:rsidR="00F34E43" w:rsidRPr="0005780E" w:rsidRDefault="00F34E43" w:rsidP="0005780E">
            <w:pPr>
              <w:spacing w:after="0" w:line="240" w:lineRule="auto"/>
              <w:jc w:val="right"/>
              <w:rPr>
                <w:b/>
                <w:bCs/>
                <w:color w:val="FFFFFF" w:themeColor="background1"/>
                <w:sz w:val="18"/>
                <w:szCs w:val="18"/>
              </w:rPr>
            </w:pPr>
            <w:r w:rsidRPr="0005780E">
              <w:rPr>
                <w:b/>
                <w:bCs/>
                <w:color w:val="FFFFFF" w:themeColor="background1"/>
                <w:sz w:val="18"/>
                <w:szCs w:val="18"/>
              </w:rPr>
              <w:t>1.</w:t>
            </w:r>
            <w:r w:rsidR="0A0BC074" w:rsidRPr="0005780E">
              <w:rPr>
                <w:b/>
                <w:bCs/>
                <w:color w:val="FFFFFF" w:themeColor="background1"/>
                <w:sz w:val="18"/>
                <w:szCs w:val="18"/>
              </w:rPr>
              <w:t>070,6</w:t>
            </w:r>
          </w:p>
        </w:tc>
        <w:tc>
          <w:tcPr>
            <w:tcW w:w="1276" w:type="dxa"/>
            <w:tcBorders>
              <w:bottom w:val="single" w:sz="4" w:space="0" w:color="BFBFBF" w:themeColor="background1" w:themeShade="BF"/>
            </w:tcBorders>
            <w:shd w:val="clear" w:color="auto" w:fill="7F7F7F" w:themeFill="text1" w:themeFillTint="80"/>
            <w:noWrap/>
            <w:vAlign w:val="center"/>
          </w:tcPr>
          <w:p w14:paraId="521A67B0" w14:textId="00F3B757" w:rsidR="00F34E43" w:rsidRPr="0005780E" w:rsidRDefault="00F34E43" w:rsidP="0005780E">
            <w:pPr>
              <w:spacing w:after="0" w:line="240" w:lineRule="auto"/>
              <w:jc w:val="right"/>
              <w:rPr>
                <w:b/>
                <w:bCs/>
                <w:color w:val="FFFFFF" w:themeColor="background1"/>
                <w:sz w:val="18"/>
                <w:szCs w:val="18"/>
              </w:rPr>
            </w:pPr>
            <w:r w:rsidRPr="0005780E">
              <w:rPr>
                <w:b/>
                <w:bCs/>
                <w:color w:val="FFFFFF" w:themeColor="background1"/>
                <w:sz w:val="18"/>
                <w:szCs w:val="18"/>
              </w:rPr>
              <w:t>1.</w:t>
            </w:r>
            <w:r w:rsidR="13CAD86B" w:rsidRPr="0005780E">
              <w:rPr>
                <w:b/>
                <w:bCs/>
                <w:color w:val="FFFFFF" w:themeColor="background1"/>
                <w:sz w:val="18"/>
                <w:szCs w:val="18"/>
              </w:rPr>
              <w:t>140</w:t>
            </w:r>
            <w:r w:rsidRPr="0005780E">
              <w:rPr>
                <w:b/>
                <w:bCs/>
                <w:color w:val="FFFFFF" w:themeColor="background1"/>
                <w:sz w:val="18"/>
                <w:szCs w:val="18"/>
              </w:rPr>
              <w:t>,4</w:t>
            </w:r>
          </w:p>
        </w:tc>
      </w:tr>
      <w:tr w:rsidR="00F34E43" w:rsidRPr="00DF3365" w14:paraId="1FF30B70" w14:textId="77777777" w:rsidTr="00BC7907">
        <w:trPr>
          <w:trHeight w:val="20"/>
          <w:jc w:val="center"/>
        </w:trPr>
        <w:tc>
          <w:tcPr>
            <w:tcW w:w="7225" w:type="dxa"/>
            <w:gridSpan w:val="6"/>
            <w:tcBorders>
              <w:left w:val="nil"/>
              <w:bottom w:val="nil"/>
              <w:right w:val="nil"/>
            </w:tcBorders>
            <w:shd w:val="clear" w:color="auto" w:fill="auto"/>
            <w:noWrap/>
            <w:vAlign w:val="center"/>
          </w:tcPr>
          <w:p w14:paraId="393A34B3" w14:textId="77777777" w:rsidR="00F34E43" w:rsidRPr="0071532E" w:rsidRDefault="00F34E43" w:rsidP="00F34E43">
            <w:pPr>
              <w:spacing w:after="0" w:line="240" w:lineRule="auto"/>
              <w:jc w:val="both"/>
              <w:rPr>
                <w:i/>
                <w:w w:val="105"/>
                <w:sz w:val="16"/>
                <w:szCs w:val="16"/>
              </w:rPr>
            </w:pPr>
            <w:r w:rsidRPr="0071532E">
              <w:rPr>
                <w:b/>
                <w:i/>
                <w:w w:val="105"/>
                <w:sz w:val="16"/>
                <w:szCs w:val="16"/>
              </w:rPr>
              <w:t>Fonte</w:t>
            </w:r>
            <w:r w:rsidRPr="0071532E">
              <w:rPr>
                <w:i/>
                <w:w w:val="105"/>
                <w:sz w:val="16"/>
                <w:szCs w:val="16"/>
              </w:rPr>
              <w:t>: Bancos Administradores dos Fundos Constitucionais.</w:t>
            </w:r>
          </w:p>
          <w:p w14:paraId="1ED9ADF3" w14:textId="09048448" w:rsidR="00F34E43" w:rsidRPr="00F34E43" w:rsidRDefault="00F34E43" w:rsidP="00505B15">
            <w:pPr>
              <w:spacing w:after="0" w:line="240" w:lineRule="auto"/>
              <w:rPr>
                <w:b/>
                <w:sz w:val="18"/>
                <w:szCs w:val="18"/>
              </w:rPr>
            </w:pPr>
            <w:r w:rsidRPr="0071532E">
              <w:rPr>
                <w:b/>
                <w:i/>
                <w:w w:val="105"/>
                <w:sz w:val="16"/>
                <w:szCs w:val="16"/>
              </w:rPr>
              <w:t>Elaboração</w:t>
            </w:r>
            <w:r w:rsidRPr="0071532E">
              <w:rPr>
                <w:i/>
                <w:w w:val="105"/>
                <w:sz w:val="16"/>
                <w:szCs w:val="16"/>
              </w:rPr>
              <w:t>: STN/ME.</w:t>
            </w:r>
          </w:p>
        </w:tc>
      </w:tr>
    </w:tbl>
    <w:p w14:paraId="36473ABB" w14:textId="77777777" w:rsidR="000D17A6" w:rsidRPr="0022645B" w:rsidRDefault="000D17A6" w:rsidP="00564C75">
      <w:pPr>
        <w:pStyle w:val="Corpodetexto"/>
        <w:spacing w:line="240" w:lineRule="auto"/>
        <w:jc w:val="both"/>
        <w:rPr>
          <w:w w:val="105"/>
          <w:sz w:val="24"/>
          <w:szCs w:val="24"/>
        </w:rPr>
      </w:pPr>
    </w:p>
    <w:p w14:paraId="0451E54E" w14:textId="2A4EAA13" w:rsidR="00173803" w:rsidRDefault="00173803" w:rsidP="0067574A">
      <w:pPr>
        <w:spacing w:after="120" w:line="240" w:lineRule="auto"/>
        <w:ind w:firstLine="1418"/>
        <w:jc w:val="both"/>
        <w:rPr>
          <w:w w:val="105"/>
          <w:sz w:val="24"/>
          <w:szCs w:val="24"/>
        </w:rPr>
      </w:pPr>
      <w:r w:rsidRPr="009B04B3">
        <w:rPr>
          <w:w w:val="105"/>
          <w:sz w:val="24"/>
          <w:szCs w:val="24"/>
        </w:rPr>
        <w:t>Por outro lado, os créditos baixados como prejuízo e registrados em contas de compensação podem ser futuramente recuperados, mesmo que em pequena fração. Estes créditos, que outrora geraram impacto fiscal negativo no momento da provisão, poderão afetar positivamente o resultado primário na eventualidade de recuperação.</w:t>
      </w:r>
      <w:r w:rsidR="00BC47FD" w:rsidRPr="009B04B3">
        <w:rPr>
          <w:w w:val="105"/>
          <w:sz w:val="24"/>
          <w:szCs w:val="24"/>
        </w:rPr>
        <w:t xml:space="preserve"> </w:t>
      </w:r>
      <w:r w:rsidRPr="009B04B3">
        <w:rPr>
          <w:w w:val="105"/>
          <w:sz w:val="24"/>
          <w:szCs w:val="24"/>
        </w:rPr>
        <w:t xml:space="preserve">Com base nos balanços de </w:t>
      </w:r>
      <w:r w:rsidR="00BC47FD" w:rsidRPr="009B04B3">
        <w:rPr>
          <w:w w:val="105"/>
          <w:sz w:val="24"/>
          <w:szCs w:val="24"/>
        </w:rPr>
        <w:t>31/12/20</w:t>
      </w:r>
      <w:r w:rsidR="12631BA6" w:rsidRPr="009B04B3">
        <w:rPr>
          <w:w w:val="105"/>
          <w:sz w:val="24"/>
          <w:szCs w:val="24"/>
        </w:rPr>
        <w:t>20</w:t>
      </w:r>
      <w:r w:rsidRPr="009B04B3">
        <w:rPr>
          <w:w w:val="105"/>
          <w:sz w:val="24"/>
          <w:szCs w:val="24"/>
        </w:rPr>
        <w:t xml:space="preserve">, para o FCO, o FNE e o FNO, os valores baixados como </w:t>
      </w:r>
      <w:proofErr w:type="gramStart"/>
      <w:r w:rsidRPr="009B04B3">
        <w:rPr>
          <w:w w:val="105"/>
          <w:sz w:val="24"/>
          <w:szCs w:val="24"/>
        </w:rPr>
        <w:t>prejuízo relativos</w:t>
      </w:r>
      <w:proofErr w:type="gramEnd"/>
      <w:r w:rsidRPr="009B04B3">
        <w:rPr>
          <w:w w:val="105"/>
          <w:sz w:val="24"/>
          <w:szCs w:val="24"/>
        </w:rPr>
        <w:t xml:space="preserve"> a operações com risco dos fundos foram de R$ </w:t>
      </w:r>
      <w:r w:rsidR="16EAECD0" w:rsidRPr="009B04B3">
        <w:rPr>
          <w:w w:val="105"/>
          <w:sz w:val="24"/>
          <w:szCs w:val="24"/>
        </w:rPr>
        <w:t>691</w:t>
      </w:r>
      <w:r w:rsidR="00BC47FD" w:rsidRPr="009B04B3">
        <w:rPr>
          <w:w w:val="105"/>
          <w:sz w:val="24"/>
          <w:szCs w:val="24"/>
        </w:rPr>
        <w:t>,</w:t>
      </w:r>
      <w:r w:rsidR="65DCA8AC" w:rsidRPr="009B04B3">
        <w:rPr>
          <w:w w:val="105"/>
          <w:sz w:val="24"/>
          <w:szCs w:val="24"/>
        </w:rPr>
        <w:t>6</w:t>
      </w:r>
      <w:r w:rsidRPr="009B04B3">
        <w:rPr>
          <w:w w:val="105"/>
          <w:sz w:val="24"/>
          <w:szCs w:val="24"/>
        </w:rPr>
        <w:t xml:space="preserve"> milhões para o FCO, R$ </w:t>
      </w:r>
      <w:r w:rsidR="00BC47FD" w:rsidRPr="009B04B3">
        <w:rPr>
          <w:w w:val="105"/>
          <w:sz w:val="24"/>
          <w:szCs w:val="24"/>
        </w:rPr>
        <w:t>10.</w:t>
      </w:r>
      <w:r w:rsidR="069E5322" w:rsidRPr="009B04B3">
        <w:rPr>
          <w:w w:val="105"/>
          <w:sz w:val="24"/>
          <w:szCs w:val="24"/>
        </w:rPr>
        <w:t>806</w:t>
      </w:r>
      <w:r w:rsidRPr="009B04B3">
        <w:rPr>
          <w:w w:val="105"/>
          <w:sz w:val="24"/>
          <w:szCs w:val="24"/>
        </w:rPr>
        <w:t>,</w:t>
      </w:r>
      <w:r w:rsidR="0D618EAA" w:rsidRPr="009B04B3">
        <w:rPr>
          <w:w w:val="105"/>
          <w:sz w:val="24"/>
          <w:szCs w:val="24"/>
        </w:rPr>
        <w:t>6</w:t>
      </w:r>
      <w:r w:rsidRPr="009B04B3">
        <w:rPr>
          <w:w w:val="105"/>
          <w:sz w:val="24"/>
          <w:szCs w:val="24"/>
        </w:rPr>
        <w:t xml:space="preserve"> milhões para o FNE e R$ 3.</w:t>
      </w:r>
      <w:r w:rsidR="21661FCB" w:rsidRPr="009B04B3">
        <w:rPr>
          <w:w w:val="105"/>
          <w:sz w:val="24"/>
          <w:szCs w:val="24"/>
        </w:rPr>
        <w:t>963</w:t>
      </w:r>
      <w:r w:rsidR="00BC47FD" w:rsidRPr="009B04B3">
        <w:rPr>
          <w:w w:val="105"/>
          <w:sz w:val="24"/>
          <w:szCs w:val="24"/>
        </w:rPr>
        <w:t>,</w:t>
      </w:r>
      <w:r w:rsidR="7958A142" w:rsidRPr="009B04B3">
        <w:rPr>
          <w:w w:val="105"/>
          <w:sz w:val="24"/>
          <w:szCs w:val="24"/>
        </w:rPr>
        <w:t>4</w:t>
      </w:r>
      <w:r w:rsidRPr="009B04B3">
        <w:rPr>
          <w:w w:val="105"/>
          <w:sz w:val="24"/>
          <w:szCs w:val="24"/>
        </w:rPr>
        <w:t xml:space="preserve"> milhões para o FNO, totalizando R$ </w:t>
      </w:r>
      <w:r w:rsidR="00BC47FD" w:rsidRPr="009B04B3">
        <w:rPr>
          <w:w w:val="105"/>
          <w:sz w:val="24"/>
          <w:szCs w:val="24"/>
        </w:rPr>
        <w:t>1</w:t>
      </w:r>
      <w:r w:rsidR="3CA36E16" w:rsidRPr="009B04B3">
        <w:rPr>
          <w:w w:val="105"/>
          <w:sz w:val="24"/>
          <w:szCs w:val="24"/>
        </w:rPr>
        <w:t>5</w:t>
      </w:r>
      <w:r w:rsidR="00BC47FD" w:rsidRPr="009B04B3">
        <w:rPr>
          <w:w w:val="105"/>
          <w:sz w:val="24"/>
          <w:szCs w:val="24"/>
        </w:rPr>
        <w:t>.</w:t>
      </w:r>
      <w:r w:rsidR="7FB33EBB" w:rsidRPr="009B04B3">
        <w:rPr>
          <w:w w:val="105"/>
          <w:sz w:val="24"/>
          <w:szCs w:val="24"/>
        </w:rPr>
        <w:t>46</w:t>
      </w:r>
      <w:r w:rsidR="00BC47FD" w:rsidRPr="009B04B3">
        <w:rPr>
          <w:w w:val="105"/>
          <w:sz w:val="24"/>
          <w:szCs w:val="24"/>
        </w:rPr>
        <w:t>1,</w:t>
      </w:r>
      <w:r w:rsidR="544A5846" w:rsidRPr="009B04B3">
        <w:rPr>
          <w:w w:val="105"/>
          <w:sz w:val="24"/>
          <w:szCs w:val="24"/>
        </w:rPr>
        <w:t>6</w:t>
      </w:r>
      <w:r w:rsidRPr="009B04B3">
        <w:rPr>
          <w:w w:val="105"/>
          <w:sz w:val="24"/>
          <w:szCs w:val="24"/>
        </w:rPr>
        <w:t xml:space="preserve"> milhões</w:t>
      </w:r>
      <w:r w:rsidR="00232665" w:rsidRPr="009B04B3">
        <w:rPr>
          <w:w w:val="105"/>
          <w:sz w:val="24"/>
          <w:szCs w:val="24"/>
        </w:rPr>
        <w:t xml:space="preserve">, conforme </w:t>
      </w:r>
      <w:r w:rsidR="00232665" w:rsidRPr="009B04B3">
        <w:rPr>
          <w:w w:val="105"/>
          <w:sz w:val="24"/>
          <w:szCs w:val="24"/>
        </w:rPr>
        <w:fldChar w:fldCharType="begin"/>
      </w:r>
      <w:r w:rsidR="00232665" w:rsidRPr="009B04B3">
        <w:rPr>
          <w:w w:val="105"/>
          <w:sz w:val="24"/>
          <w:szCs w:val="24"/>
        </w:rPr>
        <w:instrText xml:space="preserve"> REF _Ref5635865 \h </w:instrText>
      </w:r>
      <w:r w:rsidR="00D939D2" w:rsidRPr="009B04B3">
        <w:rPr>
          <w:w w:val="105"/>
          <w:sz w:val="24"/>
          <w:szCs w:val="24"/>
        </w:rPr>
        <w:instrText xml:space="preserve"> \* MERGEFORMAT </w:instrText>
      </w:r>
      <w:r w:rsidR="00232665" w:rsidRPr="009B04B3">
        <w:rPr>
          <w:w w:val="105"/>
          <w:sz w:val="24"/>
          <w:szCs w:val="24"/>
        </w:rPr>
      </w:r>
      <w:r w:rsidR="00232665" w:rsidRPr="009B04B3">
        <w:rPr>
          <w:w w:val="105"/>
          <w:sz w:val="24"/>
          <w:szCs w:val="24"/>
        </w:rPr>
        <w:fldChar w:fldCharType="separate"/>
      </w:r>
      <w:r w:rsidR="00304F5F" w:rsidRPr="00304F5F">
        <w:rPr>
          <w:sz w:val="24"/>
          <w:szCs w:val="24"/>
        </w:rPr>
        <w:t>Tabela 32</w:t>
      </w:r>
      <w:r w:rsidR="00232665" w:rsidRPr="009B04B3">
        <w:rPr>
          <w:w w:val="105"/>
          <w:sz w:val="24"/>
          <w:szCs w:val="24"/>
        </w:rPr>
        <w:fldChar w:fldCharType="end"/>
      </w:r>
      <w:r w:rsidR="00232665" w:rsidRPr="009B04B3">
        <w:rPr>
          <w:w w:val="105"/>
          <w:sz w:val="24"/>
          <w:szCs w:val="24"/>
        </w:rPr>
        <w:t>.</w:t>
      </w:r>
    </w:p>
    <w:p w14:paraId="757CAFA8" w14:textId="4C7794E4" w:rsidR="000D17A6" w:rsidRPr="0022645B" w:rsidRDefault="000D17A6" w:rsidP="00F23CF8">
      <w:pPr>
        <w:pStyle w:val="Legenda"/>
        <w:spacing w:before="240" w:after="120"/>
        <w:jc w:val="center"/>
        <w:rPr>
          <w:rFonts w:asciiTheme="minorHAnsi" w:hAnsiTheme="minorHAnsi"/>
          <w:i w:val="0"/>
          <w:color w:val="auto"/>
          <w:sz w:val="22"/>
          <w:szCs w:val="22"/>
        </w:rPr>
      </w:pPr>
      <w:bookmarkStart w:id="290" w:name="_Ref5635865"/>
      <w:bookmarkStart w:id="291" w:name="_Toc5027599"/>
      <w:bookmarkStart w:id="292" w:name="_Toc69121378"/>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32</w:t>
      </w:r>
      <w:r w:rsidRPr="0022645B">
        <w:rPr>
          <w:rFonts w:asciiTheme="minorHAnsi" w:hAnsiTheme="minorHAnsi"/>
          <w:i w:val="0"/>
          <w:color w:val="auto"/>
          <w:sz w:val="22"/>
          <w:szCs w:val="22"/>
        </w:rPr>
        <w:fldChar w:fldCharType="end"/>
      </w:r>
      <w:bookmarkEnd w:id="290"/>
      <w:r w:rsidR="00F5349E">
        <w:rPr>
          <w:rFonts w:asciiTheme="minorHAnsi" w:hAnsiTheme="minorHAnsi"/>
          <w:i w:val="0"/>
          <w:color w:val="auto"/>
          <w:sz w:val="22"/>
          <w:szCs w:val="22"/>
        </w:rPr>
        <w:t xml:space="preserve"> -</w:t>
      </w:r>
      <w:r w:rsidR="00564C75" w:rsidRPr="0022645B">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Recuperação </w:t>
      </w:r>
      <w:r w:rsidR="00B52043" w:rsidRPr="0022645B">
        <w:rPr>
          <w:rFonts w:asciiTheme="minorHAnsi" w:hAnsiTheme="minorHAnsi"/>
          <w:i w:val="0"/>
          <w:color w:val="auto"/>
          <w:sz w:val="22"/>
          <w:szCs w:val="22"/>
        </w:rPr>
        <w:t>e e</w:t>
      </w:r>
      <w:r w:rsidR="00995702" w:rsidRPr="0022645B">
        <w:rPr>
          <w:rFonts w:asciiTheme="minorHAnsi" w:hAnsiTheme="minorHAnsi"/>
          <w:i w:val="0"/>
          <w:color w:val="auto"/>
          <w:sz w:val="22"/>
          <w:szCs w:val="22"/>
        </w:rPr>
        <w:t>stoque de créditos</w:t>
      </w:r>
      <w:r w:rsidRPr="0022645B">
        <w:rPr>
          <w:rFonts w:asciiTheme="minorHAnsi" w:hAnsiTheme="minorHAnsi"/>
          <w:i w:val="0"/>
          <w:color w:val="auto"/>
          <w:sz w:val="22"/>
          <w:szCs w:val="22"/>
        </w:rPr>
        <w:t xml:space="preserve"> baixados como prejuízo</w:t>
      </w:r>
      <w:bookmarkEnd w:id="291"/>
      <w:r w:rsidR="0030015E" w:rsidRPr="0030015E">
        <w:rPr>
          <w:rFonts w:asciiTheme="minorHAnsi" w:hAnsiTheme="minorHAnsi"/>
          <w:i w:val="0"/>
          <w:color w:val="auto"/>
          <w:sz w:val="22"/>
          <w:szCs w:val="22"/>
        </w:rPr>
        <w:t xml:space="preserve"> até </w:t>
      </w:r>
      <w:r w:rsidR="0030015E" w:rsidRPr="60566972">
        <w:rPr>
          <w:rFonts w:asciiTheme="minorHAnsi" w:hAnsiTheme="minorHAnsi"/>
          <w:i w:val="0"/>
          <w:iCs w:val="0"/>
          <w:color w:val="auto"/>
          <w:sz w:val="22"/>
          <w:szCs w:val="22"/>
        </w:rPr>
        <w:t>20</w:t>
      </w:r>
      <w:r w:rsidR="53C566D2" w:rsidRPr="60566972">
        <w:rPr>
          <w:rFonts w:asciiTheme="minorHAnsi" w:hAnsiTheme="minorHAnsi"/>
          <w:i w:val="0"/>
          <w:iCs w:val="0"/>
          <w:color w:val="auto"/>
          <w:sz w:val="22"/>
          <w:szCs w:val="22"/>
        </w:rPr>
        <w:t>20</w:t>
      </w:r>
      <w:bookmarkEnd w:id="292"/>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011"/>
        <w:gridCol w:w="2311"/>
        <w:gridCol w:w="2106"/>
        <w:gridCol w:w="2386"/>
      </w:tblGrid>
      <w:tr w:rsidR="00466C0E" w:rsidRPr="00B7152E" w14:paraId="7D92A85F" w14:textId="77777777" w:rsidTr="00582466">
        <w:trPr>
          <w:trHeight w:val="20"/>
          <w:tblHeader/>
          <w:jc w:val="center"/>
        </w:trPr>
        <w:tc>
          <w:tcPr>
            <w:tcW w:w="0" w:type="auto"/>
            <w:gridSpan w:val="4"/>
            <w:tcBorders>
              <w:top w:val="nil"/>
              <w:left w:val="nil"/>
              <w:bottom w:val="single" w:sz="4" w:space="0" w:color="BFBFBF" w:themeColor="background1" w:themeShade="BF"/>
              <w:right w:val="nil"/>
            </w:tcBorders>
            <w:shd w:val="clear" w:color="auto" w:fill="auto"/>
            <w:vAlign w:val="center"/>
          </w:tcPr>
          <w:p w14:paraId="4B6BB1D9" w14:textId="77777777" w:rsidR="00466C0E" w:rsidRPr="0071532E" w:rsidRDefault="00466C0E" w:rsidP="00466C0E">
            <w:pPr>
              <w:spacing w:after="0" w:line="240" w:lineRule="auto"/>
              <w:jc w:val="right"/>
              <w:rPr>
                <w:b/>
                <w:i/>
                <w:color w:val="000000"/>
                <w:sz w:val="16"/>
                <w:szCs w:val="16"/>
              </w:rPr>
            </w:pPr>
            <w:r w:rsidRPr="0071532E">
              <w:rPr>
                <w:i/>
                <w:sz w:val="16"/>
                <w:szCs w:val="16"/>
              </w:rPr>
              <w:t>Em R$ milhões</w:t>
            </w:r>
          </w:p>
        </w:tc>
      </w:tr>
      <w:tr w:rsidR="000D17A6" w:rsidRPr="00946DAB" w14:paraId="326ABDA7" w14:textId="77777777" w:rsidTr="00582466">
        <w:trPr>
          <w:trHeight w:val="20"/>
          <w:tblHeader/>
          <w:jc w:val="center"/>
        </w:trPr>
        <w:tc>
          <w:tcPr>
            <w:tcW w:w="0" w:type="auto"/>
            <w:tcBorders>
              <w:top w:val="single" w:sz="4" w:space="0" w:color="BFBFBF" w:themeColor="background1" w:themeShade="BF"/>
            </w:tcBorders>
            <w:shd w:val="clear" w:color="auto" w:fill="404040" w:themeFill="text1" w:themeFillTint="BF"/>
            <w:vAlign w:val="center"/>
            <w:hideMark/>
          </w:tcPr>
          <w:p w14:paraId="7E523CD8" w14:textId="77777777" w:rsidR="000D17A6" w:rsidRPr="005B2FFE" w:rsidRDefault="00837D8F" w:rsidP="00954554">
            <w:pPr>
              <w:spacing w:after="0" w:line="240" w:lineRule="auto"/>
              <w:jc w:val="center"/>
              <w:rPr>
                <w:b/>
                <w:bCs/>
                <w:color w:val="FFFFFF" w:themeColor="background1"/>
                <w:sz w:val="20"/>
                <w:szCs w:val="20"/>
              </w:rPr>
            </w:pPr>
            <w:r w:rsidRPr="005B2FFE">
              <w:rPr>
                <w:b/>
                <w:bCs/>
                <w:color w:val="FFFFFF" w:themeColor="background1"/>
                <w:sz w:val="20"/>
                <w:szCs w:val="20"/>
              </w:rPr>
              <w:t>Fundos</w:t>
            </w:r>
          </w:p>
        </w:tc>
        <w:tc>
          <w:tcPr>
            <w:tcW w:w="0" w:type="auto"/>
            <w:tcBorders>
              <w:top w:val="single" w:sz="4" w:space="0" w:color="BFBFBF" w:themeColor="background1" w:themeShade="BF"/>
            </w:tcBorders>
            <w:shd w:val="clear" w:color="auto" w:fill="404040" w:themeFill="text1" w:themeFillTint="BF"/>
            <w:vAlign w:val="center"/>
            <w:hideMark/>
          </w:tcPr>
          <w:p w14:paraId="6050B0F1" w14:textId="77777777" w:rsidR="003447CC" w:rsidRPr="005B2FFE" w:rsidRDefault="000D17A6" w:rsidP="00837D8F">
            <w:pPr>
              <w:spacing w:after="0" w:line="240" w:lineRule="auto"/>
              <w:jc w:val="center"/>
              <w:rPr>
                <w:b/>
                <w:bCs/>
                <w:color w:val="FFFFFF" w:themeColor="background1"/>
                <w:sz w:val="20"/>
                <w:szCs w:val="20"/>
              </w:rPr>
            </w:pPr>
            <w:r w:rsidRPr="005B2FFE">
              <w:rPr>
                <w:b/>
                <w:bCs/>
                <w:color w:val="FFFFFF" w:themeColor="background1"/>
                <w:sz w:val="20"/>
                <w:szCs w:val="20"/>
              </w:rPr>
              <w:t>Recuperação de créditos</w:t>
            </w:r>
          </w:p>
          <w:p w14:paraId="57A139D0" w14:textId="68DFCBEE" w:rsidR="003447CC" w:rsidRPr="005B2FFE" w:rsidRDefault="000D17A6" w:rsidP="00837D8F">
            <w:pPr>
              <w:spacing w:after="0" w:line="240" w:lineRule="auto"/>
              <w:jc w:val="center"/>
              <w:rPr>
                <w:b/>
                <w:bCs/>
                <w:color w:val="FFFFFF" w:themeColor="background1"/>
                <w:sz w:val="20"/>
                <w:szCs w:val="20"/>
              </w:rPr>
            </w:pPr>
            <w:proofErr w:type="gramStart"/>
            <w:r w:rsidRPr="005B2FFE">
              <w:rPr>
                <w:b/>
                <w:bCs/>
                <w:color w:val="FFFFFF" w:themeColor="background1"/>
                <w:sz w:val="20"/>
                <w:szCs w:val="20"/>
              </w:rPr>
              <w:t>baixados</w:t>
            </w:r>
            <w:proofErr w:type="gramEnd"/>
            <w:r w:rsidRPr="005B2FFE">
              <w:rPr>
                <w:b/>
                <w:bCs/>
                <w:color w:val="FFFFFF" w:themeColor="background1"/>
                <w:sz w:val="20"/>
                <w:szCs w:val="20"/>
              </w:rPr>
              <w:t xml:space="preserve"> como prejuízo</w:t>
            </w:r>
          </w:p>
          <w:p w14:paraId="33F51FE2" w14:textId="5F33D034" w:rsidR="000D17A6" w:rsidRPr="005B2FFE" w:rsidRDefault="000D17A6" w:rsidP="00837D8F">
            <w:pPr>
              <w:spacing w:after="0" w:line="240" w:lineRule="auto"/>
              <w:jc w:val="center"/>
              <w:rPr>
                <w:rFonts w:eastAsia="Times New Roman" w:cs="Times New Roman"/>
                <w:b/>
                <w:bCs/>
                <w:color w:val="FFFFFF" w:themeColor="background1"/>
                <w:sz w:val="20"/>
                <w:szCs w:val="20"/>
              </w:rPr>
            </w:pPr>
            <w:r w:rsidRPr="005B2FFE">
              <w:rPr>
                <w:b/>
                <w:bCs/>
                <w:color w:val="FFFFFF" w:themeColor="background1"/>
                <w:sz w:val="20"/>
                <w:szCs w:val="20"/>
              </w:rPr>
              <w:t>(A)</w:t>
            </w:r>
          </w:p>
        </w:tc>
        <w:tc>
          <w:tcPr>
            <w:tcW w:w="0" w:type="auto"/>
            <w:tcBorders>
              <w:top w:val="single" w:sz="4" w:space="0" w:color="BFBFBF" w:themeColor="background1" w:themeShade="BF"/>
            </w:tcBorders>
            <w:shd w:val="clear" w:color="auto" w:fill="404040" w:themeFill="text1" w:themeFillTint="BF"/>
            <w:vAlign w:val="center"/>
            <w:hideMark/>
          </w:tcPr>
          <w:p w14:paraId="6297DDE9" w14:textId="77777777" w:rsidR="00AE7AB7" w:rsidRPr="005B2FFE" w:rsidRDefault="000D17A6" w:rsidP="00837D8F">
            <w:pPr>
              <w:spacing w:after="0" w:line="240" w:lineRule="auto"/>
              <w:jc w:val="center"/>
              <w:rPr>
                <w:b/>
                <w:bCs/>
                <w:color w:val="FFFFFF" w:themeColor="background1"/>
                <w:sz w:val="20"/>
                <w:szCs w:val="20"/>
              </w:rPr>
            </w:pPr>
            <w:r w:rsidRPr="005B2FFE">
              <w:rPr>
                <w:b/>
                <w:bCs/>
                <w:color w:val="FFFFFF" w:themeColor="background1"/>
                <w:sz w:val="20"/>
                <w:szCs w:val="20"/>
              </w:rPr>
              <w:t>Estoque de créditos</w:t>
            </w:r>
          </w:p>
          <w:p w14:paraId="01AE6968" w14:textId="19B18053" w:rsidR="00AE7AB7" w:rsidRPr="005B2FFE" w:rsidRDefault="000D17A6" w:rsidP="00837D8F">
            <w:pPr>
              <w:spacing w:after="0" w:line="240" w:lineRule="auto"/>
              <w:jc w:val="center"/>
              <w:rPr>
                <w:b/>
                <w:bCs/>
                <w:color w:val="FFFFFF" w:themeColor="background1"/>
                <w:sz w:val="20"/>
                <w:szCs w:val="20"/>
              </w:rPr>
            </w:pPr>
            <w:proofErr w:type="gramStart"/>
            <w:r w:rsidRPr="005B2FFE">
              <w:rPr>
                <w:b/>
                <w:bCs/>
                <w:color w:val="FFFFFF" w:themeColor="background1"/>
                <w:sz w:val="20"/>
                <w:szCs w:val="20"/>
              </w:rPr>
              <w:t>baixados</w:t>
            </w:r>
            <w:proofErr w:type="gramEnd"/>
            <w:r w:rsidRPr="005B2FFE">
              <w:rPr>
                <w:b/>
                <w:bCs/>
                <w:color w:val="FFFFFF" w:themeColor="background1"/>
                <w:sz w:val="20"/>
                <w:szCs w:val="20"/>
              </w:rPr>
              <w:t xml:space="preserve"> como prejuízo</w:t>
            </w:r>
          </w:p>
          <w:p w14:paraId="5DD4ECDA" w14:textId="050EF07A" w:rsidR="000D17A6" w:rsidRPr="005B2FFE" w:rsidRDefault="000D17A6" w:rsidP="00837D8F">
            <w:pPr>
              <w:spacing w:after="0" w:line="240" w:lineRule="auto"/>
              <w:jc w:val="center"/>
              <w:rPr>
                <w:b/>
                <w:bCs/>
                <w:color w:val="FFFFFF" w:themeColor="background1"/>
                <w:sz w:val="20"/>
                <w:szCs w:val="20"/>
              </w:rPr>
            </w:pPr>
            <w:r w:rsidRPr="005B2FFE">
              <w:rPr>
                <w:b/>
                <w:bCs/>
                <w:color w:val="FFFFFF" w:themeColor="background1"/>
                <w:sz w:val="20"/>
                <w:szCs w:val="20"/>
              </w:rPr>
              <w:t>(B)</w:t>
            </w:r>
          </w:p>
        </w:tc>
        <w:tc>
          <w:tcPr>
            <w:tcW w:w="0" w:type="auto"/>
            <w:tcBorders>
              <w:top w:val="single" w:sz="4" w:space="0" w:color="BFBFBF" w:themeColor="background1" w:themeShade="BF"/>
            </w:tcBorders>
            <w:shd w:val="clear" w:color="auto" w:fill="404040" w:themeFill="text1" w:themeFillTint="BF"/>
            <w:vAlign w:val="center"/>
            <w:hideMark/>
          </w:tcPr>
          <w:p w14:paraId="12F0B3EE" w14:textId="77777777" w:rsidR="00AE7AB7" w:rsidRPr="005B2FFE" w:rsidRDefault="000D17A6" w:rsidP="00837D8F">
            <w:pPr>
              <w:spacing w:after="0" w:line="240" w:lineRule="auto"/>
              <w:jc w:val="center"/>
              <w:rPr>
                <w:b/>
                <w:bCs/>
                <w:color w:val="FFFFFF" w:themeColor="background1"/>
                <w:sz w:val="20"/>
                <w:szCs w:val="20"/>
              </w:rPr>
            </w:pPr>
            <w:r w:rsidRPr="005B2FFE">
              <w:rPr>
                <w:b/>
                <w:bCs/>
                <w:color w:val="FFFFFF" w:themeColor="background1"/>
                <w:sz w:val="20"/>
                <w:szCs w:val="20"/>
              </w:rPr>
              <w:t>Quociente de recuperação</w:t>
            </w:r>
          </w:p>
          <w:p w14:paraId="4C8F5989" w14:textId="6111DB17" w:rsidR="000D17A6" w:rsidRPr="005B2FFE" w:rsidRDefault="000D17A6" w:rsidP="00837D8F">
            <w:pPr>
              <w:spacing w:after="0" w:line="240" w:lineRule="auto"/>
              <w:jc w:val="center"/>
              <w:rPr>
                <w:b/>
                <w:bCs/>
                <w:color w:val="FFFFFF" w:themeColor="background1"/>
                <w:sz w:val="20"/>
                <w:szCs w:val="20"/>
              </w:rPr>
            </w:pPr>
            <w:r w:rsidRPr="005B2FFE">
              <w:rPr>
                <w:b/>
                <w:bCs/>
                <w:color w:val="FFFFFF" w:themeColor="background1"/>
                <w:sz w:val="20"/>
                <w:szCs w:val="20"/>
              </w:rPr>
              <w:t>(A/B)</w:t>
            </w:r>
          </w:p>
        </w:tc>
      </w:tr>
      <w:tr w:rsidR="000D17A6" w:rsidRPr="00946DAB" w14:paraId="37DBE460" w14:textId="77777777" w:rsidTr="005B2FFE">
        <w:trPr>
          <w:trHeight w:val="20"/>
          <w:jc w:val="center"/>
        </w:trPr>
        <w:tc>
          <w:tcPr>
            <w:tcW w:w="0" w:type="auto"/>
            <w:shd w:val="clear" w:color="auto" w:fill="auto"/>
            <w:noWrap/>
            <w:vAlign w:val="center"/>
            <w:hideMark/>
          </w:tcPr>
          <w:p w14:paraId="43FA8430" w14:textId="77777777" w:rsidR="000D17A6" w:rsidRPr="00946DAB" w:rsidRDefault="000D17A6" w:rsidP="00837D8F">
            <w:pPr>
              <w:spacing w:after="0" w:line="240" w:lineRule="auto"/>
              <w:jc w:val="center"/>
              <w:rPr>
                <w:color w:val="000000"/>
                <w:sz w:val="18"/>
                <w:szCs w:val="18"/>
              </w:rPr>
            </w:pPr>
            <w:r w:rsidRPr="00946DAB">
              <w:rPr>
                <w:color w:val="000000"/>
                <w:sz w:val="18"/>
                <w:szCs w:val="18"/>
              </w:rPr>
              <w:t>FCO</w:t>
            </w:r>
          </w:p>
        </w:tc>
        <w:tc>
          <w:tcPr>
            <w:tcW w:w="0" w:type="auto"/>
            <w:shd w:val="clear" w:color="auto" w:fill="auto"/>
            <w:noWrap/>
            <w:vAlign w:val="center"/>
            <w:hideMark/>
          </w:tcPr>
          <w:p w14:paraId="7CADFB14" w14:textId="0EE03015" w:rsidR="000D17A6" w:rsidRPr="00946DAB" w:rsidRDefault="0030015E" w:rsidP="005B2FFE">
            <w:pPr>
              <w:spacing w:after="0" w:line="240" w:lineRule="auto"/>
              <w:jc w:val="right"/>
              <w:rPr>
                <w:color w:val="000000"/>
                <w:sz w:val="18"/>
                <w:szCs w:val="18"/>
              </w:rPr>
            </w:pPr>
            <w:r w:rsidRPr="00946DAB">
              <w:rPr>
                <w:color w:val="000000"/>
                <w:sz w:val="18"/>
                <w:szCs w:val="18"/>
              </w:rPr>
              <w:t>1,3</w:t>
            </w:r>
          </w:p>
        </w:tc>
        <w:tc>
          <w:tcPr>
            <w:tcW w:w="0" w:type="auto"/>
            <w:shd w:val="clear" w:color="auto" w:fill="auto"/>
            <w:noWrap/>
            <w:vAlign w:val="center"/>
            <w:hideMark/>
          </w:tcPr>
          <w:p w14:paraId="39861FB5" w14:textId="2403FA1C" w:rsidR="000D17A6" w:rsidRPr="00946DAB" w:rsidRDefault="2AFC4150" w:rsidP="005B2FFE">
            <w:pPr>
              <w:spacing w:after="0" w:line="240" w:lineRule="auto"/>
              <w:jc w:val="right"/>
              <w:rPr>
                <w:color w:val="000000"/>
                <w:sz w:val="18"/>
                <w:szCs w:val="18"/>
              </w:rPr>
            </w:pPr>
            <w:r w:rsidRPr="60566972">
              <w:rPr>
                <w:color w:val="000000" w:themeColor="text1"/>
                <w:sz w:val="18"/>
                <w:szCs w:val="18"/>
              </w:rPr>
              <w:t>691</w:t>
            </w:r>
            <w:r w:rsidR="000D17A6" w:rsidRPr="60566972">
              <w:rPr>
                <w:color w:val="000000" w:themeColor="text1"/>
                <w:sz w:val="18"/>
                <w:szCs w:val="18"/>
              </w:rPr>
              <w:t>,</w:t>
            </w:r>
            <w:r w:rsidR="7FE60E92" w:rsidRPr="60566972">
              <w:rPr>
                <w:color w:val="000000" w:themeColor="text1"/>
                <w:sz w:val="18"/>
                <w:szCs w:val="18"/>
              </w:rPr>
              <w:t>6</w:t>
            </w:r>
          </w:p>
        </w:tc>
        <w:tc>
          <w:tcPr>
            <w:tcW w:w="0" w:type="auto"/>
            <w:shd w:val="clear" w:color="auto" w:fill="auto"/>
            <w:noWrap/>
            <w:vAlign w:val="center"/>
            <w:hideMark/>
          </w:tcPr>
          <w:p w14:paraId="697B3CE4" w14:textId="09D98378" w:rsidR="000D17A6" w:rsidRPr="00946DAB" w:rsidRDefault="000D17A6" w:rsidP="005B2FFE">
            <w:pPr>
              <w:spacing w:after="0" w:line="240" w:lineRule="auto"/>
              <w:jc w:val="right"/>
              <w:rPr>
                <w:color w:val="000000"/>
                <w:sz w:val="18"/>
                <w:szCs w:val="18"/>
              </w:rPr>
            </w:pPr>
            <w:r w:rsidRPr="60566972">
              <w:rPr>
                <w:color w:val="000000" w:themeColor="text1"/>
                <w:sz w:val="18"/>
                <w:szCs w:val="18"/>
              </w:rPr>
              <w:t>0,</w:t>
            </w:r>
            <w:r w:rsidR="08DEB759" w:rsidRPr="60566972">
              <w:rPr>
                <w:color w:val="000000" w:themeColor="text1"/>
                <w:sz w:val="18"/>
                <w:szCs w:val="18"/>
              </w:rPr>
              <w:t>19</w:t>
            </w:r>
            <w:r w:rsidRPr="60566972">
              <w:rPr>
                <w:color w:val="000000" w:themeColor="text1"/>
                <w:sz w:val="18"/>
                <w:szCs w:val="18"/>
              </w:rPr>
              <w:t>%</w:t>
            </w:r>
          </w:p>
        </w:tc>
      </w:tr>
      <w:tr w:rsidR="000D17A6" w:rsidRPr="00946DAB" w14:paraId="216273B6" w14:textId="77777777" w:rsidTr="00382247">
        <w:trPr>
          <w:trHeight w:val="20"/>
          <w:jc w:val="center"/>
        </w:trPr>
        <w:tc>
          <w:tcPr>
            <w:tcW w:w="0" w:type="auto"/>
            <w:shd w:val="clear" w:color="auto" w:fill="F2F2F2" w:themeFill="background1" w:themeFillShade="F2"/>
            <w:noWrap/>
            <w:vAlign w:val="center"/>
            <w:hideMark/>
          </w:tcPr>
          <w:p w14:paraId="09D4FFC9" w14:textId="77777777" w:rsidR="000D17A6" w:rsidRPr="00946DAB" w:rsidRDefault="000D17A6" w:rsidP="00837D8F">
            <w:pPr>
              <w:spacing w:after="0" w:line="240" w:lineRule="auto"/>
              <w:jc w:val="center"/>
              <w:rPr>
                <w:color w:val="000000"/>
                <w:sz w:val="18"/>
                <w:szCs w:val="18"/>
              </w:rPr>
            </w:pPr>
            <w:r w:rsidRPr="00946DAB">
              <w:rPr>
                <w:color w:val="000000"/>
                <w:sz w:val="18"/>
                <w:szCs w:val="18"/>
              </w:rPr>
              <w:t>FNE</w:t>
            </w:r>
          </w:p>
        </w:tc>
        <w:tc>
          <w:tcPr>
            <w:tcW w:w="0" w:type="auto"/>
            <w:shd w:val="clear" w:color="auto" w:fill="F2F2F2" w:themeFill="background1" w:themeFillShade="F2"/>
            <w:noWrap/>
            <w:vAlign w:val="center"/>
            <w:hideMark/>
          </w:tcPr>
          <w:p w14:paraId="4B656B61" w14:textId="245A4309" w:rsidR="000D17A6" w:rsidRPr="00946DAB" w:rsidRDefault="3317D96B" w:rsidP="005B2FFE">
            <w:pPr>
              <w:spacing w:after="0" w:line="240" w:lineRule="auto"/>
              <w:jc w:val="right"/>
              <w:rPr>
                <w:color w:val="000000"/>
                <w:sz w:val="18"/>
                <w:szCs w:val="18"/>
              </w:rPr>
            </w:pPr>
            <w:r w:rsidRPr="60566972">
              <w:rPr>
                <w:color w:val="000000" w:themeColor="text1"/>
                <w:sz w:val="18"/>
                <w:szCs w:val="18"/>
              </w:rPr>
              <w:t>122</w:t>
            </w:r>
            <w:r w:rsidR="000D17A6" w:rsidRPr="60566972">
              <w:rPr>
                <w:color w:val="000000" w:themeColor="text1"/>
                <w:sz w:val="18"/>
                <w:szCs w:val="18"/>
              </w:rPr>
              <w:t>,</w:t>
            </w:r>
            <w:r w:rsidR="1237FE28" w:rsidRPr="60566972">
              <w:rPr>
                <w:color w:val="000000" w:themeColor="text1"/>
                <w:sz w:val="18"/>
                <w:szCs w:val="18"/>
              </w:rPr>
              <w:t>5</w:t>
            </w:r>
          </w:p>
        </w:tc>
        <w:tc>
          <w:tcPr>
            <w:tcW w:w="0" w:type="auto"/>
            <w:shd w:val="clear" w:color="auto" w:fill="F2F2F2" w:themeFill="background1" w:themeFillShade="F2"/>
            <w:noWrap/>
            <w:vAlign w:val="center"/>
            <w:hideMark/>
          </w:tcPr>
          <w:p w14:paraId="0CD54C45" w14:textId="0B997760" w:rsidR="000D17A6" w:rsidRPr="00946DAB" w:rsidRDefault="0030015E" w:rsidP="005B2FFE">
            <w:pPr>
              <w:spacing w:after="0" w:line="240" w:lineRule="auto"/>
              <w:jc w:val="right"/>
              <w:rPr>
                <w:color w:val="000000"/>
                <w:sz w:val="18"/>
                <w:szCs w:val="18"/>
              </w:rPr>
            </w:pPr>
            <w:r w:rsidRPr="60566972">
              <w:rPr>
                <w:color w:val="000000" w:themeColor="text1"/>
                <w:sz w:val="18"/>
                <w:szCs w:val="18"/>
              </w:rPr>
              <w:t>10</w:t>
            </w:r>
            <w:r w:rsidR="000D17A6" w:rsidRPr="60566972">
              <w:rPr>
                <w:color w:val="000000" w:themeColor="text1"/>
                <w:sz w:val="18"/>
                <w:szCs w:val="18"/>
              </w:rPr>
              <w:t>.</w:t>
            </w:r>
            <w:r w:rsidR="5B7C76FE" w:rsidRPr="60566972">
              <w:rPr>
                <w:color w:val="000000" w:themeColor="text1"/>
                <w:sz w:val="18"/>
                <w:szCs w:val="18"/>
              </w:rPr>
              <w:t>806</w:t>
            </w:r>
            <w:r w:rsidR="000D17A6" w:rsidRPr="60566972">
              <w:rPr>
                <w:color w:val="000000" w:themeColor="text1"/>
                <w:sz w:val="18"/>
                <w:szCs w:val="18"/>
              </w:rPr>
              <w:t>,</w:t>
            </w:r>
            <w:r w:rsidR="38A76039" w:rsidRPr="60566972">
              <w:rPr>
                <w:color w:val="000000" w:themeColor="text1"/>
                <w:sz w:val="18"/>
                <w:szCs w:val="18"/>
              </w:rPr>
              <w:t>6</w:t>
            </w:r>
          </w:p>
        </w:tc>
        <w:tc>
          <w:tcPr>
            <w:tcW w:w="0" w:type="auto"/>
            <w:shd w:val="clear" w:color="auto" w:fill="F2F2F2" w:themeFill="background1" w:themeFillShade="F2"/>
            <w:noWrap/>
            <w:vAlign w:val="center"/>
            <w:hideMark/>
          </w:tcPr>
          <w:p w14:paraId="6DDBB959" w14:textId="7CB55839" w:rsidR="000D17A6" w:rsidRPr="00946DAB" w:rsidRDefault="673F9E91" w:rsidP="005B2FFE">
            <w:pPr>
              <w:spacing w:after="0" w:line="240" w:lineRule="auto"/>
              <w:jc w:val="right"/>
              <w:rPr>
                <w:color w:val="000000"/>
                <w:sz w:val="18"/>
                <w:szCs w:val="18"/>
              </w:rPr>
            </w:pPr>
            <w:r w:rsidRPr="60566972">
              <w:rPr>
                <w:color w:val="000000" w:themeColor="text1"/>
                <w:sz w:val="18"/>
                <w:szCs w:val="18"/>
              </w:rPr>
              <w:t>1,13%</w:t>
            </w:r>
          </w:p>
        </w:tc>
      </w:tr>
      <w:tr w:rsidR="000D17A6" w:rsidRPr="00946DAB" w14:paraId="5BC779F5" w14:textId="77777777" w:rsidTr="005B2FFE">
        <w:trPr>
          <w:trHeight w:val="20"/>
          <w:jc w:val="center"/>
        </w:trPr>
        <w:tc>
          <w:tcPr>
            <w:tcW w:w="0" w:type="auto"/>
            <w:tcBorders>
              <w:bottom w:val="single" w:sz="4" w:space="0" w:color="BFBFBF" w:themeColor="background1" w:themeShade="BF"/>
            </w:tcBorders>
            <w:shd w:val="clear" w:color="auto" w:fill="auto"/>
            <w:noWrap/>
            <w:vAlign w:val="center"/>
            <w:hideMark/>
          </w:tcPr>
          <w:p w14:paraId="58FDC1A4" w14:textId="77777777" w:rsidR="000D17A6" w:rsidRPr="00946DAB" w:rsidRDefault="000D17A6" w:rsidP="00837D8F">
            <w:pPr>
              <w:spacing w:after="0" w:line="240" w:lineRule="auto"/>
              <w:jc w:val="center"/>
              <w:rPr>
                <w:color w:val="000000"/>
                <w:sz w:val="18"/>
                <w:szCs w:val="18"/>
              </w:rPr>
            </w:pPr>
            <w:r w:rsidRPr="00946DAB">
              <w:rPr>
                <w:color w:val="000000"/>
                <w:sz w:val="18"/>
                <w:szCs w:val="18"/>
              </w:rPr>
              <w:t>FNO</w:t>
            </w:r>
          </w:p>
        </w:tc>
        <w:tc>
          <w:tcPr>
            <w:tcW w:w="0" w:type="auto"/>
            <w:tcBorders>
              <w:bottom w:val="single" w:sz="4" w:space="0" w:color="BFBFBF" w:themeColor="background1" w:themeShade="BF"/>
            </w:tcBorders>
            <w:shd w:val="clear" w:color="auto" w:fill="auto"/>
            <w:noWrap/>
            <w:vAlign w:val="center"/>
            <w:hideMark/>
          </w:tcPr>
          <w:p w14:paraId="19FA9715" w14:textId="5D53138E" w:rsidR="000D17A6" w:rsidRPr="00946DAB" w:rsidRDefault="61CC6A3D" w:rsidP="005B2FFE">
            <w:pPr>
              <w:spacing w:after="0" w:line="240" w:lineRule="auto"/>
              <w:jc w:val="right"/>
              <w:rPr>
                <w:color w:val="000000"/>
                <w:sz w:val="18"/>
                <w:szCs w:val="18"/>
              </w:rPr>
            </w:pPr>
            <w:r w:rsidRPr="60566972">
              <w:rPr>
                <w:color w:val="000000" w:themeColor="text1"/>
                <w:sz w:val="18"/>
                <w:szCs w:val="18"/>
              </w:rPr>
              <w:t>81</w:t>
            </w:r>
            <w:r w:rsidR="000D17A6" w:rsidRPr="60566972">
              <w:rPr>
                <w:color w:val="000000" w:themeColor="text1"/>
                <w:sz w:val="18"/>
                <w:szCs w:val="18"/>
              </w:rPr>
              <w:t>,</w:t>
            </w:r>
            <w:r w:rsidR="02ACE5D8" w:rsidRPr="60566972">
              <w:rPr>
                <w:color w:val="000000" w:themeColor="text1"/>
                <w:sz w:val="18"/>
                <w:szCs w:val="18"/>
              </w:rPr>
              <w:t>0</w:t>
            </w:r>
          </w:p>
        </w:tc>
        <w:tc>
          <w:tcPr>
            <w:tcW w:w="0" w:type="auto"/>
            <w:tcBorders>
              <w:bottom w:val="single" w:sz="4" w:space="0" w:color="BFBFBF" w:themeColor="background1" w:themeShade="BF"/>
            </w:tcBorders>
            <w:shd w:val="clear" w:color="auto" w:fill="auto"/>
            <w:noWrap/>
            <w:vAlign w:val="center"/>
            <w:hideMark/>
          </w:tcPr>
          <w:p w14:paraId="3D82C6B0" w14:textId="091811E1" w:rsidR="000D17A6" w:rsidRPr="00946DAB" w:rsidRDefault="000D17A6" w:rsidP="005B2FFE">
            <w:pPr>
              <w:spacing w:after="0" w:line="240" w:lineRule="auto"/>
              <w:jc w:val="right"/>
              <w:rPr>
                <w:color w:val="000000"/>
                <w:sz w:val="18"/>
                <w:szCs w:val="18"/>
              </w:rPr>
            </w:pPr>
            <w:r w:rsidRPr="60566972">
              <w:rPr>
                <w:color w:val="000000" w:themeColor="text1"/>
                <w:sz w:val="18"/>
                <w:szCs w:val="18"/>
              </w:rPr>
              <w:t>3.</w:t>
            </w:r>
            <w:r w:rsidR="59C9E890" w:rsidRPr="60566972">
              <w:rPr>
                <w:color w:val="000000" w:themeColor="text1"/>
                <w:sz w:val="18"/>
                <w:szCs w:val="18"/>
              </w:rPr>
              <w:t>963</w:t>
            </w:r>
            <w:r w:rsidRPr="60566972">
              <w:rPr>
                <w:color w:val="000000" w:themeColor="text1"/>
                <w:sz w:val="18"/>
                <w:szCs w:val="18"/>
              </w:rPr>
              <w:t>,</w:t>
            </w:r>
            <w:r w:rsidR="35ED678F" w:rsidRPr="60566972">
              <w:rPr>
                <w:color w:val="000000" w:themeColor="text1"/>
                <w:sz w:val="18"/>
                <w:szCs w:val="18"/>
              </w:rPr>
              <w:t>4</w:t>
            </w:r>
          </w:p>
        </w:tc>
        <w:tc>
          <w:tcPr>
            <w:tcW w:w="0" w:type="auto"/>
            <w:tcBorders>
              <w:bottom w:val="single" w:sz="4" w:space="0" w:color="BFBFBF" w:themeColor="background1" w:themeShade="BF"/>
            </w:tcBorders>
            <w:shd w:val="clear" w:color="auto" w:fill="auto"/>
            <w:noWrap/>
            <w:vAlign w:val="center"/>
            <w:hideMark/>
          </w:tcPr>
          <w:p w14:paraId="5D0D2168" w14:textId="5F46DC13" w:rsidR="000D17A6" w:rsidRPr="00946DAB" w:rsidRDefault="4B1C764E" w:rsidP="005B2FFE">
            <w:pPr>
              <w:spacing w:after="0" w:line="240" w:lineRule="auto"/>
              <w:jc w:val="right"/>
              <w:rPr>
                <w:color w:val="000000"/>
                <w:sz w:val="18"/>
                <w:szCs w:val="18"/>
              </w:rPr>
            </w:pPr>
            <w:r w:rsidRPr="60566972">
              <w:rPr>
                <w:color w:val="000000" w:themeColor="text1"/>
                <w:sz w:val="18"/>
                <w:szCs w:val="18"/>
              </w:rPr>
              <w:t>2,04%</w:t>
            </w:r>
          </w:p>
        </w:tc>
      </w:tr>
      <w:tr w:rsidR="00466C0E" w:rsidRPr="00946DAB" w14:paraId="52F28D4A" w14:textId="77777777" w:rsidTr="005B2FFE">
        <w:trPr>
          <w:trHeight w:val="20"/>
          <w:jc w:val="center"/>
        </w:trPr>
        <w:tc>
          <w:tcPr>
            <w:tcW w:w="0" w:type="auto"/>
            <w:tcBorders>
              <w:bottom w:val="single" w:sz="4" w:space="0" w:color="BFBFBF" w:themeColor="background1" w:themeShade="BF"/>
            </w:tcBorders>
            <w:shd w:val="clear" w:color="auto" w:fill="7F7F7F" w:themeFill="text1" w:themeFillTint="80"/>
            <w:noWrap/>
            <w:vAlign w:val="center"/>
            <w:hideMark/>
          </w:tcPr>
          <w:p w14:paraId="0E9E8A6B" w14:textId="77777777" w:rsidR="00466C0E" w:rsidRPr="005B2FFE" w:rsidRDefault="00466C0E" w:rsidP="001173BB">
            <w:pPr>
              <w:spacing w:after="0" w:line="240" w:lineRule="auto"/>
              <w:jc w:val="center"/>
              <w:rPr>
                <w:b/>
                <w:bCs/>
                <w:color w:val="FFFFFF" w:themeColor="background1"/>
                <w:sz w:val="18"/>
                <w:szCs w:val="18"/>
              </w:rPr>
            </w:pPr>
            <w:r w:rsidRPr="005B2FFE">
              <w:rPr>
                <w:b/>
                <w:bCs/>
                <w:color w:val="FFFFFF" w:themeColor="background1"/>
                <w:sz w:val="18"/>
                <w:szCs w:val="18"/>
              </w:rPr>
              <w:t>Total</w:t>
            </w:r>
          </w:p>
        </w:tc>
        <w:tc>
          <w:tcPr>
            <w:tcW w:w="0" w:type="auto"/>
            <w:tcBorders>
              <w:bottom w:val="single" w:sz="4" w:space="0" w:color="BFBFBF" w:themeColor="background1" w:themeShade="BF"/>
            </w:tcBorders>
            <w:shd w:val="clear" w:color="auto" w:fill="7F7F7F" w:themeFill="text1" w:themeFillTint="80"/>
            <w:noWrap/>
            <w:vAlign w:val="center"/>
            <w:hideMark/>
          </w:tcPr>
          <w:p w14:paraId="7330D940" w14:textId="5893AE38" w:rsidR="00466C0E" w:rsidRPr="005B2FFE" w:rsidRDefault="4DC3F790" w:rsidP="005B2FFE">
            <w:pPr>
              <w:spacing w:after="0" w:line="240" w:lineRule="auto"/>
              <w:jc w:val="right"/>
              <w:rPr>
                <w:b/>
                <w:bCs/>
                <w:color w:val="FFFFFF" w:themeColor="background1"/>
                <w:sz w:val="18"/>
                <w:szCs w:val="18"/>
              </w:rPr>
            </w:pPr>
            <w:r w:rsidRPr="005B2FFE">
              <w:rPr>
                <w:b/>
                <w:bCs/>
                <w:color w:val="FFFFFF" w:themeColor="background1"/>
                <w:sz w:val="18"/>
                <w:szCs w:val="18"/>
              </w:rPr>
              <w:t>204</w:t>
            </w:r>
            <w:r w:rsidR="00466C0E" w:rsidRPr="005B2FFE">
              <w:rPr>
                <w:b/>
                <w:bCs/>
                <w:color w:val="FFFFFF" w:themeColor="background1"/>
                <w:sz w:val="18"/>
                <w:szCs w:val="18"/>
              </w:rPr>
              <w:t>,</w:t>
            </w:r>
            <w:r w:rsidR="0030015E" w:rsidRPr="005B2FFE">
              <w:rPr>
                <w:b/>
                <w:bCs/>
                <w:color w:val="FFFFFF" w:themeColor="background1"/>
                <w:sz w:val="18"/>
                <w:szCs w:val="18"/>
              </w:rPr>
              <w:t>8</w:t>
            </w:r>
          </w:p>
        </w:tc>
        <w:tc>
          <w:tcPr>
            <w:tcW w:w="0" w:type="auto"/>
            <w:tcBorders>
              <w:bottom w:val="single" w:sz="4" w:space="0" w:color="BFBFBF" w:themeColor="background1" w:themeShade="BF"/>
            </w:tcBorders>
            <w:shd w:val="clear" w:color="auto" w:fill="7F7F7F" w:themeFill="text1" w:themeFillTint="80"/>
            <w:noWrap/>
            <w:vAlign w:val="center"/>
            <w:hideMark/>
          </w:tcPr>
          <w:p w14:paraId="340B56CD" w14:textId="5EC842D5" w:rsidR="00466C0E" w:rsidRPr="005B2FFE" w:rsidRDefault="7C26F408" w:rsidP="005B2FFE">
            <w:pPr>
              <w:spacing w:after="0" w:line="240" w:lineRule="auto"/>
              <w:jc w:val="right"/>
              <w:rPr>
                <w:b/>
                <w:bCs/>
                <w:color w:val="FFFFFF" w:themeColor="background1"/>
                <w:sz w:val="18"/>
                <w:szCs w:val="18"/>
              </w:rPr>
            </w:pPr>
            <w:r w:rsidRPr="005B2FFE">
              <w:rPr>
                <w:b/>
                <w:bCs/>
                <w:color w:val="FFFFFF" w:themeColor="background1"/>
                <w:sz w:val="18"/>
                <w:szCs w:val="18"/>
              </w:rPr>
              <w:t>15.461,6</w:t>
            </w:r>
          </w:p>
        </w:tc>
        <w:tc>
          <w:tcPr>
            <w:tcW w:w="0" w:type="auto"/>
            <w:tcBorders>
              <w:bottom w:val="single" w:sz="4" w:space="0" w:color="BFBFBF" w:themeColor="background1" w:themeShade="BF"/>
            </w:tcBorders>
            <w:shd w:val="clear" w:color="auto" w:fill="7F7F7F" w:themeFill="text1" w:themeFillTint="80"/>
            <w:noWrap/>
            <w:vAlign w:val="center"/>
            <w:hideMark/>
          </w:tcPr>
          <w:p w14:paraId="320DB557" w14:textId="4CC2C80B" w:rsidR="00466C0E" w:rsidRPr="005B2FFE" w:rsidRDefault="22347C53" w:rsidP="005B2FFE">
            <w:pPr>
              <w:spacing w:after="0" w:line="240" w:lineRule="auto"/>
              <w:jc w:val="right"/>
              <w:rPr>
                <w:b/>
                <w:bCs/>
                <w:color w:val="FFFFFF" w:themeColor="background1"/>
                <w:sz w:val="18"/>
                <w:szCs w:val="18"/>
              </w:rPr>
            </w:pPr>
            <w:r w:rsidRPr="005B2FFE">
              <w:rPr>
                <w:b/>
                <w:bCs/>
                <w:color w:val="FFFFFF" w:themeColor="background1"/>
                <w:sz w:val="18"/>
                <w:szCs w:val="18"/>
              </w:rPr>
              <w:t>1,32%</w:t>
            </w:r>
          </w:p>
        </w:tc>
      </w:tr>
      <w:tr w:rsidR="00466C0E" w:rsidRPr="00B7152E" w14:paraId="6C3CB32B" w14:textId="77777777" w:rsidTr="003447CC">
        <w:trPr>
          <w:trHeight w:val="20"/>
          <w:jc w:val="center"/>
        </w:trPr>
        <w:tc>
          <w:tcPr>
            <w:tcW w:w="0" w:type="auto"/>
            <w:gridSpan w:val="4"/>
            <w:tcBorders>
              <w:top w:val="single" w:sz="4" w:space="0" w:color="BFBFBF" w:themeColor="background1" w:themeShade="BF"/>
              <w:left w:val="nil"/>
              <w:bottom w:val="nil"/>
              <w:right w:val="nil"/>
            </w:tcBorders>
            <w:noWrap/>
            <w:vAlign w:val="center"/>
          </w:tcPr>
          <w:p w14:paraId="3E23430C" w14:textId="3622BCC1" w:rsidR="00466C0E" w:rsidRPr="0071532E" w:rsidRDefault="00466C0E" w:rsidP="00466C0E">
            <w:pPr>
              <w:pStyle w:val="Corpodetexto"/>
              <w:spacing w:after="0" w:line="240" w:lineRule="auto"/>
              <w:jc w:val="both"/>
              <w:rPr>
                <w:i/>
                <w:w w:val="105"/>
                <w:sz w:val="16"/>
                <w:szCs w:val="16"/>
              </w:rPr>
            </w:pPr>
            <w:r w:rsidRPr="0071532E">
              <w:rPr>
                <w:b/>
                <w:i/>
                <w:w w:val="105"/>
                <w:sz w:val="16"/>
                <w:szCs w:val="16"/>
              </w:rPr>
              <w:t>Fonte</w:t>
            </w:r>
            <w:r w:rsidRPr="0071532E">
              <w:rPr>
                <w:i/>
                <w:w w:val="105"/>
                <w:sz w:val="16"/>
                <w:szCs w:val="16"/>
              </w:rPr>
              <w:t>: Balanços Patrimoniais dos Fundos Constitucionais e informações enviadas pelos bancos administradores.</w:t>
            </w:r>
          </w:p>
          <w:p w14:paraId="69D0042A" w14:textId="77777777" w:rsidR="00466C0E" w:rsidRPr="00B7152E" w:rsidRDefault="00466C0E" w:rsidP="00466C0E">
            <w:pPr>
              <w:pStyle w:val="Corpodetexto"/>
              <w:spacing w:after="0" w:line="240" w:lineRule="auto"/>
              <w:jc w:val="both"/>
              <w:rPr>
                <w:i/>
                <w:color w:val="000000"/>
                <w:sz w:val="16"/>
                <w:szCs w:val="16"/>
              </w:rPr>
            </w:pPr>
            <w:r w:rsidRPr="0071532E">
              <w:rPr>
                <w:b/>
                <w:i/>
                <w:w w:val="105"/>
                <w:sz w:val="16"/>
                <w:szCs w:val="16"/>
              </w:rPr>
              <w:t>Elaboração</w:t>
            </w:r>
            <w:r w:rsidRPr="0071532E">
              <w:rPr>
                <w:i/>
                <w:w w:val="105"/>
                <w:sz w:val="16"/>
                <w:szCs w:val="16"/>
              </w:rPr>
              <w:t>: STN/ME.</w:t>
            </w:r>
          </w:p>
        </w:tc>
      </w:tr>
    </w:tbl>
    <w:p w14:paraId="6FB278BF" w14:textId="77777777" w:rsidR="000043F9" w:rsidRPr="0022645B" w:rsidRDefault="000043F9" w:rsidP="0004109D">
      <w:pPr>
        <w:spacing w:after="120" w:line="240" w:lineRule="auto"/>
        <w:jc w:val="both"/>
        <w:rPr>
          <w:w w:val="105"/>
          <w:sz w:val="24"/>
          <w:szCs w:val="24"/>
        </w:rPr>
      </w:pPr>
    </w:p>
    <w:p w14:paraId="2CCF289B" w14:textId="304DB555" w:rsidR="000D17A6" w:rsidRDefault="002550FE" w:rsidP="000D17A6">
      <w:pPr>
        <w:spacing w:after="120" w:line="240" w:lineRule="auto"/>
        <w:ind w:firstLine="1418"/>
        <w:jc w:val="both"/>
        <w:rPr>
          <w:w w:val="105"/>
          <w:sz w:val="24"/>
          <w:szCs w:val="24"/>
        </w:rPr>
      </w:pPr>
      <w:r w:rsidRPr="009B04B3">
        <w:rPr>
          <w:w w:val="105"/>
          <w:sz w:val="24"/>
          <w:szCs w:val="24"/>
        </w:rPr>
        <w:t xml:space="preserve">O impacto </w:t>
      </w:r>
      <w:r w:rsidR="000E5FF7" w:rsidRPr="009B04B3">
        <w:rPr>
          <w:w w:val="105"/>
          <w:sz w:val="24"/>
          <w:szCs w:val="24"/>
        </w:rPr>
        <w:t>dessas operações</w:t>
      </w:r>
      <w:r w:rsidRPr="009B04B3">
        <w:rPr>
          <w:w w:val="105"/>
          <w:sz w:val="24"/>
          <w:szCs w:val="24"/>
        </w:rPr>
        <w:t xml:space="preserve"> nas estatísticas fiscais</w:t>
      </w:r>
      <w:proofErr w:type="gramStart"/>
      <w:r w:rsidRPr="009B04B3">
        <w:rPr>
          <w:w w:val="105"/>
          <w:sz w:val="24"/>
          <w:szCs w:val="24"/>
        </w:rPr>
        <w:t>, seja</w:t>
      </w:r>
      <w:proofErr w:type="gramEnd"/>
      <w:r w:rsidRPr="009B04B3">
        <w:rPr>
          <w:w w:val="105"/>
          <w:sz w:val="24"/>
          <w:szCs w:val="24"/>
        </w:rPr>
        <w:t xml:space="preserve"> de provisão ou de recuperação de créditos, se dá na rubrica de resultado dos fundos constitucionais e afeta o resultado primário do Governo Central.</w:t>
      </w:r>
    </w:p>
    <w:p w14:paraId="303255B2" w14:textId="77777777" w:rsidR="00032EC9" w:rsidRDefault="00032EC9" w:rsidP="000D17A6">
      <w:pPr>
        <w:spacing w:after="120" w:line="240" w:lineRule="auto"/>
        <w:ind w:firstLine="1418"/>
        <w:jc w:val="both"/>
        <w:rPr>
          <w:w w:val="105"/>
          <w:sz w:val="24"/>
          <w:szCs w:val="24"/>
        </w:rPr>
      </w:pPr>
    </w:p>
    <w:p w14:paraId="463AD32C" w14:textId="3B31BA0F" w:rsidR="000D17A6" w:rsidRPr="009B04B3" w:rsidRDefault="000D17A6" w:rsidP="00A205A5">
      <w:pPr>
        <w:pStyle w:val="Ttulo3"/>
        <w:keepNext w:val="0"/>
        <w:numPr>
          <w:ilvl w:val="2"/>
          <w:numId w:val="36"/>
        </w:numPr>
        <w:spacing w:before="240" w:after="120"/>
        <w:ind w:left="720" w:hanging="720"/>
        <w:rPr>
          <w:rFonts w:asciiTheme="minorHAnsi" w:hAnsiTheme="minorHAnsi"/>
          <w:b/>
          <w:smallCaps w:val="0"/>
        </w:rPr>
      </w:pPr>
      <w:bookmarkStart w:id="293" w:name="_Toc5012242"/>
      <w:bookmarkStart w:id="294" w:name="_Toc5030488"/>
      <w:bookmarkStart w:id="295" w:name="_Toc5180287"/>
      <w:bookmarkStart w:id="296" w:name="_Toc67317999"/>
      <w:bookmarkStart w:id="297" w:name="_Toc67929653"/>
      <w:bookmarkStart w:id="298" w:name="_Toc69121232"/>
      <w:r w:rsidRPr="009B04B3">
        <w:rPr>
          <w:rFonts w:asciiTheme="minorHAnsi" w:hAnsiTheme="minorHAnsi"/>
          <w:b/>
          <w:smallCaps w:val="0"/>
        </w:rPr>
        <w:t>Seguro de Crédito à Exportação</w:t>
      </w:r>
      <w:r w:rsidR="002D5719" w:rsidRPr="009B04B3">
        <w:rPr>
          <w:rFonts w:asciiTheme="minorHAnsi" w:hAnsiTheme="minorHAnsi"/>
          <w:b/>
          <w:smallCaps w:val="0"/>
        </w:rPr>
        <w:t xml:space="preserve"> - </w:t>
      </w:r>
      <w:r w:rsidRPr="009B04B3">
        <w:rPr>
          <w:rFonts w:asciiTheme="minorHAnsi" w:hAnsiTheme="minorHAnsi"/>
          <w:b/>
          <w:smallCaps w:val="0"/>
        </w:rPr>
        <w:t>Fundo de Garantia à Exportação</w:t>
      </w:r>
      <w:bookmarkEnd w:id="293"/>
      <w:bookmarkEnd w:id="294"/>
      <w:bookmarkEnd w:id="295"/>
      <w:bookmarkEnd w:id="296"/>
      <w:bookmarkEnd w:id="297"/>
      <w:bookmarkEnd w:id="298"/>
    </w:p>
    <w:p w14:paraId="22BA3B7A" w14:textId="7219B474" w:rsidR="00E271E4" w:rsidRDefault="00046667" w:rsidP="00734B79">
      <w:pPr>
        <w:spacing w:after="120" w:line="240" w:lineRule="auto"/>
        <w:ind w:firstLine="1418"/>
        <w:jc w:val="both"/>
        <w:rPr>
          <w:sz w:val="24"/>
          <w:szCs w:val="24"/>
        </w:rPr>
      </w:pPr>
      <w:r w:rsidRPr="48AA3F6C">
        <w:rPr>
          <w:sz w:val="24"/>
          <w:szCs w:val="24"/>
        </w:rPr>
        <w:t xml:space="preserve">O Seguro de Crédito à Exportação (SCE) é a cobertura da União para </w:t>
      </w:r>
      <w:r w:rsidR="11D4A85A" w:rsidRPr="48AA3F6C">
        <w:rPr>
          <w:sz w:val="24"/>
          <w:szCs w:val="24"/>
        </w:rPr>
        <w:t>as</w:t>
      </w:r>
      <w:r w:rsidRPr="48AA3F6C">
        <w:rPr>
          <w:sz w:val="24"/>
          <w:szCs w:val="24"/>
        </w:rPr>
        <w:t xml:space="preserve"> exportações nacionais</w:t>
      </w:r>
      <w:r w:rsidR="11D4A85A" w:rsidRPr="48AA3F6C">
        <w:rPr>
          <w:sz w:val="24"/>
          <w:szCs w:val="24"/>
        </w:rPr>
        <w:t xml:space="preserve"> contra</w:t>
      </w:r>
      <w:r w:rsidRPr="48AA3F6C">
        <w:rPr>
          <w:sz w:val="24"/>
          <w:szCs w:val="24"/>
        </w:rPr>
        <w:t xml:space="preserve"> riscos comerciais, políticos e extraordinários, com lastro no Fundo de Garantia à Exportação (FGE). </w:t>
      </w:r>
      <w:r w:rsidR="11D4A85A" w:rsidRPr="48AA3F6C">
        <w:rPr>
          <w:sz w:val="24"/>
          <w:szCs w:val="24"/>
        </w:rPr>
        <w:t>O SCE</w:t>
      </w:r>
      <w:r w:rsidRPr="48AA3F6C">
        <w:rPr>
          <w:sz w:val="24"/>
          <w:szCs w:val="24"/>
        </w:rPr>
        <w:t xml:space="preserve"> pode cobrir financiamento concedido por qualquer banco, público ou privado, brasileiro ou estrangeiro, a exportações brasileiras, sem restrições de bens ou serviços ou quanto ao país do importador. </w:t>
      </w:r>
      <w:r w:rsidR="11D4A85A" w:rsidRPr="48AA3F6C">
        <w:rPr>
          <w:sz w:val="24"/>
          <w:szCs w:val="24"/>
        </w:rPr>
        <w:t>O SCE</w:t>
      </w:r>
      <w:r w:rsidRPr="48AA3F6C">
        <w:rPr>
          <w:sz w:val="24"/>
          <w:szCs w:val="24"/>
        </w:rPr>
        <w:t xml:space="preserve"> não cobre gastos locais (por exemplo, bens adquiridos no exterior), mesmo que relacionados à exportação brasileira. </w:t>
      </w:r>
      <w:r w:rsidR="11D4A85A" w:rsidRPr="48AA3F6C">
        <w:rPr>
          <w:sz w:val="24"/>
          <w:szCs w:val="24"/>
        </w:rPr>
        <w:t>Não</w:t>
      </w:r>
      <w:r w:rsidRPr="48AA3F6C">
        <w:rPr>
          <w:sz w:val="24"/>
          <w:szCs w:val="24"/>
        </w:rPr>
        <w:t xml:space="preserve"> há exigência de conteúdo mínimo nacional.</w:t>
      </w:r>
    </w:p>
    <w:p w14:paraId="00DA09EA" w14:textId="7C05EBF2" w:rsidR="00BC0898" w:rsidRPr="00BC0898" w:rsidRDefault="00E271E4" w:rsidP="00BC0898">
      <w:pPr>
        <w:spacing w:after="120" w:line="240" w:lineRule="auto"/>
        <w:ind w:firstLine="1418"/>
        <w:jc w:val="both"/>
        <w:rPr>
          <w:rFonts w:eastAsiaTheme="minorEastAsia"/>
          <w:color w:val="000000" w:themeColor="text1"/>
          <w:sz w:val="24"/>
          <w:szCs w:val="24"/>
        </w:rPr>
      </w:pPr>
      <w:r w:rsidRPr="48AA3F6C">
        <w:rPr>
          <w:rFonts w:eastAsiaTheme="minorEastAsia"/>
          <w:color w:val="000000" w:themeColor="text1"/>
          <w:sz w:val="24"/>
          <w:szCs w:val="24"/>
        </w:rPr>
        <w:t xml:space="preserve">A garantia da União para operações de crédito à exportação cobre: a) riscos comerciais para prazos de financiamento superiores a </w:t>
      </w:r>
      <w:proofErr w:type="gramStart"/>
      <w:r w:rsidRPr="48AA3F6C">
        <w:rPr>
          <w:rFonts w:eastAsiaTheme="minorEastAsia"/>
          <w:color w:val="000000" w:themeColor="text1"/>
          <w:sz w:val="24"/>
          <w:szCs w:val="24"/>
        </w:rPr>
        <w:t>2</w:t>
      </w:r>
      <w:proofErr w:type="gramEnd"/>
      <w:r w:rsidRPr="48AA3F6C">
        <w:rPr>
          <w:rFonts w:eastAsiaTheme="minorEastAsia"/>
          <w:color w:val="000000" w:themeColor="text1"/>
          <w:sz w:val="24"/>
          <w:szCs w:val="24"/>
        </w:rPr>
        <w:t xml:space="preserve"> anos; b) riscos políticos e extraordinários para qualquer prazo de financiamento; c) riscos comerciais, políticos e extraordinários para micro, pequenas e médias empresas (MPME) em operações de até 2 anos (este tipo de operação está suspenso, no momento); e d) risco de adiantamento de recursos e de performance para o setor de defesa e para produtos agrícolas beneficiados por cotas tarifárias para mercados preferenciais.</w:t>
      </w:r>
    </w:p>
    <w:p w14:paraId="21702B3E" w14:textId="3F6EBAE3" w:rsidR="00D62881" w:rsidRPr="00D62881" w:rsidRDefault="00C26025" w:rsidP="00D62881">
      <w:pPr>
        <w:spacing w:after="120" w:line="240" w:lineRule="auto"/>
        <w:ind w:firstLine="1418"/>
        <w:jc w:val="both"/>
        <w:rPr>
          <w:rFonts w:eastAsiaTheme="minorEastAsia"/>
          <w:color w:val="000000" w:themeColor="text1"/>
          <w:sz w:val="24"/>
          <w:szCs w:val="24"/>
        </w:rPr>
      </w:pPr>
      <w:r>
        <w:rPr>
          <w:rFonts w:eastAsiaTheme="minorEastAsia"/>
          <w:color w:val="000000" w:themeColor="text1"/>
          <w:sz w:val="24"/>
          <w:szCs w:val="24"/>
        </w:rPr>
        <w:lastRenderedPageBreak/>
        <w:t xml:space="preserve">As principais informações atuariais do FGE são apresentadas a seguir, com destaque para </w:t>
      </w:r>
      <w:r w:rsidR="00D206FC">
        <w:rPr>
          <w:rFonts w:eastAsiaTheme="minorEastAsia"/>
          <w:color w:val="000000" w:themeColor="text1"/>
          <w:sz w:val="24"/>
          <w:szCs w:val="24"/>
        </w:rPr>
        <w:t>os valores de</w:t>
      </w:r>
      <w:r w:rsidR="00186843">
        <w:rPr>
          <w:rFonts w:eastAsiaTheme="minorEastAsia"/>
          <w:color w:val="000000" w:themeColor="text1"/>
          <w:sz w:val="24"/>
          <w:szCs w:val="24"/>
        </w:rPr>
        <w:t xml:space="preserve"> exposição total do fundo, </w:t>
      </w:r>
      <w:r w:rsidR="00D206FC">
        <w:rPr>
          <w:rFonts w:eastAsiaTheme="minorEastAsia"/>
          <w:color w:val="000000" w:themeColor="text1"/>
          <w:sz w:val="24"/>
          <w:szCs w:val="24"/>
        </w:rPr>
        <w:t>que totalizam</w:t>
      </w:r>
      <w:r w:rsidR="00186843">
        <w:rPr>
          <w:rFonts w:eastAsiaTheme="minorEastAsia"/>
          <w:color w:val="000000" w:themeColor="text1"/>
          <w:sz w:val="24"/>
          <w:szCs w:val="24"/>
        </w:rPr>
        <w:t xml:space="preserve"> </w:t>
      </w:r>
      <w:bookmarkStart w:id="299" w:name="_Hlk68712608"/>
      <w:r w:rsidR="00D206FC">
        <w:rPr>
          <w:rFonts w:eastAsiaTheme="minorEastAsia"/>
          <w:color w:val="000000" w:themeColor="text1"/>
          <w:sz w:val="24"/>
          <w:szCs w:val="24"/>
        </w:rPr>
        <w:t>US$ 7.259.427.527,16</w:t>
      </w:r>
      <w:bookmarkEnd w:id="299"/>
      <w:r w:rsidR="00D206FC">
        <w:rPr>
          <w:rFonts w:eastAsiaTheme="minorEastAsia"/>
          <w:color w:val="000000" w:themeColor="text1"/>
          <w:sz w:val="24"/>
          <w:szCs w:val="24"/>
        </w:rPr>
        <w:t xml:space="preserve"> (posição de dez/2020):</w:t>
      </w:r>
    </w:p>
    <w:p w14:paraId="3098E2C5" w14:textId="57A98C66" w:rsidR="00D62881" w:rsidRDefault="0072327A" w:rsidP="000518FE">
      <w:pPr>
        <w:pStyle w:val="TabelaARF"/>
        <w:jc w:val="center"/>
        <w:rPr>
          <w:color w:val="000000" w:themeColor="text1"/>
        </w:rPr>
      </w:pPr>
      <w:bookmarkStart w:id="300" w:name="_Toc69121379"/>
      <w:r w:rsidRPr="000518FE">
        <w:rPr>
          <w:color w:val="000000" w:themeColor="text1"/>
        </w:rPr>
        <w:t xml:space="preserve">Tabela </w:t>
      </w:r>
      <w:r w:rsidRPr="000518FE">
        <w:rPr>
          <w:color w:val="000000" w:themeColor="text1"/>
        </w:rPr>
        <w:fldChar w:fldCharType="begin"/>
      </w:r>
      <w:r w:rsidRPr="000518FE">
        <w:rPr>
          <w:color w:val="000000" w:themeColor="text1"/>
        </w:rPr>
        <w:instrText xml:space="preserve"> SEQ Tabela \* ARABIC </w:instrText>
      </w:r>
      <w:r w:rsidRPr="000518FE">
        <w:rPr>
          <w:color w:val="000000" w:themeColor="text1"/>
        </w:rPr>
        <w:fldChar w:fldCharType="separate"/>
      </w:r>
      <w:r w:rsidR="00304F5F">
        <w:rPr>
          <w:noProof/>
          <w:color w:val="000000" w:themeColor="text1"/>
        </w:rPr>
        <w:t>33</w:t>
      </w:r>
      <w:r w:rsidRPr="000518FE">
        <w:rPr>
          <w:color w:val="000000" w:themeColor="text1"/>
        </w:rPr>
        <w:fldChar w:fldCharType="end"/>
      </w:r>
      <w:r w:rsidRPr="000518FE">
        <w:rPr>
          <w:color w:val="000000" w:themeColor="text1"/>
        </w:rPr>
        <w:t xml:space="preserve"> - Indicadores de Solvência do FGE em Dezembro/2020</w:t>
      </w:r>
      <w:bookmarkEnd w:id="300"/>
    </w:p>
    <w:p w14:paraId="25064849" w14:textId="77777777" w:rsidR="000518FE" w:rsidRPr="000518FE" w:rsidRDefault="000518FE" w:rsidP="000518FE">
      <w:pPr>
        <w:pStyle w:val="TabelaARF"/>
        <w:rPr>
          <w:rFonts w:eastAsiaTheme="minorEastAsia"/>
          <w:color w:val="000000" w:themeColor="text1"/>
          <w:sz w:val="24"/>
        </w:rPr>
      </w:pPr>
    </w:p>
    <w:tbl>
      <w:tblPr>
        <w:tblW w:w="9953" w:type="dxa"/>
        <w:tblInd w:w="-38" w:type="dxa"/>
        <w:tblLayout w:type="fixed"/>
        <w:tblCellMar>
          <w:left w:w="70" w:type="dxa"/>
          <w:right w:w="70" w:type="dxa"/>
        </w:tblCellMar>
        <w:tblLook w:val="0000" w:firstRow="0" w:lastRow="0" w:firstColumn="0" w:lastColumn="0" w:noHBand="0" w:noVBand="0"/>
      </w:tblPr>
      <w:tblGrid>
        <w:gridCol w:w="4566"/>
        <w:gridCol w:w="993"/>
        <w:gridCol w:w="1842"/>
        <w:gridCol w:w="1701"/>
        <w:gridCol w:w="851"/>
      </w:tblGrid>
      <w:tr w:rsidR="002A2EA8" w14:paraId="0E14A0B2" w14:textId="77777777" w:rsidTr="00226306">
        <w:trPr>
          <w:trHeight w:val="300"/>
        </w:trPr>
        <w:tc>
          <w:tcPr>
            <w:tcW w:w="4566" w:type="dxa"/>
            <w:tcBorders>
              <w:top w:val="single" w:sz="6" w:space="0" w:color="000000"/>
              <w:left w:val="single" w:sz="6" w:space="0" w:color="000000"/>
              <w:bottom w:val="single" w:sz="6" w:space="0" w:color="000000"/>
              <w:right w:val="nil"/>
            </w:tcBorders>
            <w:shd w:val="clear" w:color="auto" w:fill="404040" w:themeFill="text1" w:themeFillTint="BF"/>
          </w:tcPr>
          <w:p w14:paraId="00439232" w14:textId="77777777" w:rsidR="002A2EA8" w:rsidRPr="00434DC0" w:rsidRDefault="002A2EA8">
            <w:pPr>
              <w:autoSpaceDE w:val="0"/>
              <w:autoSpaceDN w:val="0"/>
              <w:adjustRightInd w:val="0"/>
              <w:spacing w:after="0" w:line="240" w:lineRule="auto"/>
              <w:rPr>
                <w:rFonts w:ascii="Calibri" w:hAnsi="Calibri" w:cs="Calibri"/>
                <w:b/>
                <w:color w:val="FFFFFF"/>
                <w:sz w:val="20"/>
                <w:szCs w:val="20"/>
              </w:rPr>
            </w:pPr>
            <w:r w:rsidRPr="00434DC0">
              <w:rPr>
                <w:rFonts w:ascii="Calibri" w:hAnsi="Calibri" w:cs="Calibri"/>
                <w:b/>
                <w:color w:val="FFFFFF"/>
                <w:sz w:val="20"/>
                <w:szCs w:val="20"/>
              </w:rPr>
              <w:t>Indicadores de Solvência do FGE</w:t>
            </w:r>
          </w:p>
        </w:tc>
        <w:tc>
          <w:tcPr>
            <w:tcW w:w="993" w:type="dxa"/>
            <w:tcBorders>
              <w:top w:val="single" w:sz="6" w:space="0" w:color="000000"/>
              <w:left w:val="nil"/>
              <w:bottom w:val="single" w:sz="6" w:space="0" w:color="000000"/>
              <w:right w:val="nil"/>
            </w:tcBorders>
            <w:shd w:val="clear" w:color="auto" w:fill="404040" w:themeFill="text1" w:themeFillTint="BF"/>
          </w:tcPr>
          <w:p w14:paraId="3B4C4B86" w14:textId="6187DF52" w:rsidR="002A2EA8" w:rsidRPr="00434DC0" w:rsidRDefault="002A2EA8">
            <w:pPr>
              <w:autoSpaceDE w:val="0"/>
              <w:autoSpaceDN w:val="0"/>
              <w:adjustRightInd w:val="0"/>
              <w:spacing w:after="0" w:line="240" w:lineRule="auto"/>
              <w:rPr>
                <w:rFonts w:ascii="Calibri" w:hAnsi="Calibri" w:cs="Calibri"/>
                <w:b/>
                <w:color w:val="FFFFFF"/>
                <w:sz w:val="20"/>
                <w:szCs w:val="20"/>
              </w:rPr>
            </w:pPr>
          </w:p>
        </w:tc>
        <w:tc>
          <w:tcPr>
            <w:tcW w:w="1842" w:type="dxa"/>
            <w:tcBorders>
              <w:top w:val="single" w:sz="6" w:space="0" w:color="000000"/>
              <w:left w:val="nil"/>
              <w:bottom w:val="single" w:sz="6" w:space="0" w:color="000000"/>
              <w:right w:val="nil"/>
            </w:tcBorders>
            <w:shd w:val="clear" w:color="auto" w:fill="404040" w:themeFill="text1" w:themeFillTint="BF"/>
          </w:tcPr>
          <w:p w14:paraId="78FA38D5" w14:textId="77777777" w:rsidR="002A2EA8" w:rsidRPr="00434DC0" w:rsidRDefault="002A2EA8" w:rsidP="006F6F22">
            <w:pPr>
              <w:autoSpaceDE w:val="0"/>
              <w:autoSpaceDN w:val="0"/>
              <w:adjustRightInd w:val="0"/>
              <w:spacing w:after="0" w:line="240" w:lineRule="auto"/>
              <w:jc w:val="right"/>
              <w:rPr>
                <w:rFonts w:ascii="Calibri" w:hAnsi="Calibri" w:cs="Calibri"/>
                <w:b/>
                <w:color w:val="FFFFFF"/>
                <w:sz w:val="20"/>
                <w:szCs w:val="20"/>
              </w:rPr>
            </w:pPr>
            <w:proofErr w:type="gramStart"/>
            <w:r w:rsidRPr="00434DC0">
              <w:rPr>
                <w:rFonts w:ascii="Calibri" w:hAnsi="Calibri" w:cs="Calibri"/>
                <w:b/>
                <w:color w:val="FFFFFF"/>
                <w:sz w:val="20"/>
                <w:szCs w:val="20"/>
              </w:rPr>
              <w:t>dez</w:t>
            </w:r>
            <w:proofErr w:type="gramEnd"/>
            <w:r w:rsidRPr="00434DC0">
              <w:rPr>
                <w:rFonts w:ascii="Calibri" w:hAnsi="Calibri" w:cs="Calibri"/>
                <w:b/>
                <w:color w:val="FFFFFF"/>
                <w:sz w:val="20"/>
                <w:szCs w:val="20"/>
              </w:rPr>
              <w:t>/20</w:t>
            </w:r>
          </w:p>
        </w:tc>
        <w:tc>
          <w:tcPr>
            <w:tcW w:w="1701" w:type="dxa"/>
            <w:tcBorders>
              <w:top w:val="single" w:sz="6" w:space="0" w:color="000000"/>
              <w:left w:val="nil"/>
              <w:bottom w:val="single" w:sz="6" w:space="0" w:color="000000"/>
              <w:right w:val="nil"/>
            </w:tcBorders>
            <w:shd w:val="clear" w:color="auto" w:fill="404040" w:themeFill="text1" w:themeFillTint="BF"/>
          </w:tcPr>
          <w:p w14:paraId="326333D9" w14:textId="77777777" w:rsidR="002A2EA8" w:rsidRPr="00434DC0" w:rsidRDefault="002A2EA8" w:rsidP="006F6F22">
            <w:pPr>
              <w:autoSpaceDE w:val="0"/>
              <w:autoSpaceDN w:val="0"/>
              <w:adjustRightInd w:val="0"/>
              <w:spacing w:after="0" w:line="240" w:lineRule="auto"/>
              <w:jc w:val="right"/>
              <w:rPr>
                <w:rFonts w:ascii="Calibri" w:hAnsi="Calibri" w:cs="Calibri"/>
                <w:b/>
                <w:color w:val="FFFFFF"/>
                <w:sz w:val="20"/>
                <w:szCs w:val="20"/>
              </w:rPr>
            </w:pPr>
            <w:proofErr w:type="spellStart"/>
            <w:proofErr w:type="gramStart"/>
            <w:r w:rsidRPr="00434DC0">
              <w:rPr>
                <w:rFonts w:ascii="Calibri" w:hAnsi="Calibri" w:cs="Calibri"/>
                <w:b/>
                <w:color w:val="FFFFFF"/>
                <w:sz w:val="20"/>
                <w:szCs w:val="20"/>
              </w:rPr>
              <w:t>nov</w:t>
            </w:r>
            <w:proofErr w:type="spellEnd"/>
            <w:proofErr w:type="gramEnd"/>
            <w:r w:rsidRPr="00434DC0">
              <w:rPr>
                <w:rFonts w:ascii="Calibri" w:hAnsi="Calibri" w:cs="Calibri"/>
                <w:b/>
                <w:color w:val="FFFFFF"/>
                <w:sz w:val="20"/>
                <w:szCs w:val="20"/>
              </w:rPr>
              <w:t>/20</w:t>
            </w:r>
          </w:p>
        </w:tc>
        <w:tc>
          <w:tcPr>
            <w:tcW w:w="851" w:type="dxa"/>
            <w:tcBorders>
              <w:top w:val="single" w:sz="6" w:space="0" w:color="000000"/>
              <w:left w:val="nil"/>
              <w:bottom w:val="single" w:sz="6" w:space="0" w:color="000000"/>
              <w:right w:val="single" w:sz="6" w:space="0" w:color="000000"/>
            </w:tcBorders>
            <w:shd w:val="clear" w:color="auto" w:fill="404040" w:themeFill="text1" w:themeFillTint="BF"/>
          </w:tcPr>
          <w:p w14:paraId="22C8D809" w14:textId="77777777" w:rsidR="002A2EA8" w:rsidRPr="00434DC0" w:rsidRDefault="002A2EA8" w:rsidP="006F6F22">
            <w:pPr>
              <w:autoSpaceDE w:val="0"/>
              <w:autoSpaceDN w:val="0"/>
              <w:adjustRightInd w:val="0"/>
              <w:spacing w:after="0" w:line="240" w:lineRule="auto"/>
              <w:jc w:val="right"/>
              <w:rPr>
                <w:rFonts w:ascii="Calibri" w:hAnsi="Calibri" w:cs="Calibri"/>
                <w:b/>
                <w:color w:val="FFFFFF"/>
                <w:sz w:val="20"/>
                <w:szCs w:val="20"/>
              </w:rPr>
            </w:pPr>
            <w:r w:rsidRPr="00434DC0">
              <w:rPr>
                <w:rFonts w:ascii="Cambria Math" w:hAnsi="Cambria Math" w:cs="Cambria Math"/>
                <w:b/>
                <w:color w:val="FFFFFF"/>
                <w:sz w:val="20"/>
                <w:szCs w:val="20"/>
              </w:rPr>
              <w:t>△</w:t>
            </w:r>
            <w:r w:rsidRPr="00434DC0">
              <w:rPr>
                <w:rFonts w:ascii="Calibri" w:hAnsi="Calibri" w:cs="Calibri"/>
                <w:b/>
                <w:color w:val="FFFFFF"/>
                <w:sz w:val="20"/>
                <w:szCs w:val="20"/>
              </w:rPr>
              <w:t>%</w:t>
            </w:r>
          </w:p>
        </w:tc>
      </w:tr>
      <w:tr w:rsidR="002A2EA8" w14:paraId="266C9267" w14:textId="77777777" w:rsidTr="00226306">
        <w:trPr>
          <w:trHeight w:val="300"/>
        </w:trPr>
        <w:tc>
          <w:tcPr>
            <w:tcW w:w="4566" w:type="dxa"/>
            <w:tcBorders>
              <w:top w:val="single" w:sz="6" w:space="0" w:color="000000"/>
              <w:left w:val="single" w:sz="6" w:space="0" w:color="000000"/>
              <w:bottom w:val="single" w:sz="6" w:space="0" w:color="000000"/>
              <w:right w:val="nil"/>
            </w:tcBorders>
            <w:shd w:val="clear" w:color="auto" w:fill="F2F2F2" w:themeFill="background1" w:themeFillShade="F2"/>
          </w:tcPr>
          <w:p w14:paraId="486594D2"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Patrimônio Líquido do FGE (Contábil) (R$)</w:t>
            </w:r>
          </w:p>
        </w:tc>
        <w:tc>
          <w:tcPr>
            <w:tcW w:w="993" w:type="dxa"/>
            <w:tcBorders>
              <w:top w:val="single" w:sz="6" w:space="0" w:color="000000"/>
              <w:left w:val="nil"/>
              <w:bottom w:val="single" w:sz="6" w:space="0" w:color="000000"/>
              <w:right w:val="nil"/>
            </w:tcBorders>
            <w:shd w:val="clear" w:color="auto" w:fill="F2F2F2" w:themeFill="background1" w:themeFillShade="F2"/>
          </w:tcPr>
          <w:p w14:paraId="7C0B130D"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p>
        </w:tc>
        <w:tc>
          <w:tcPr>
            <w:tcW w:w="1842" w:type="dxa"/>
            <w:tcBorders>
              <w:top w:val="single" w:sz="6" w:space="0" w:color="000000"/>
              <w:left w:val="nil"/>
              <w:bottom w:val="single" w:sz="6" w:space="0" w:color="000000"/>
              <w:right w:val="nil"/>
            </w:tcBorders>
            <w:shd w:val="clear" w:color="auto" w:fill="F2F2F2" w:themeFill="background1" w:themeFillShade="F2"/>
          </w:tcPr>
          <w:p w14:paraId="4FE6E6F6"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35.215.479.222 </w:t>
            </w:r>
          </w:p>
        </w:tc>
        <w:tc>
          <w:tcPr>
            <w:tcW w:w="1701" w:type="dxa"/>
            <w:tcBorders>
              <w:top w:val="single" w:sz="6" w:space="0" w:color="000000"/>
              <w:left w:val="nil"/>
              <w:bottom w:val="single" w:sz="6" w:space="0" w:color="000000"/>
              <w:right w:val="nil"/>
            </w:tcBorders>
            <w:shd w:val="clear" w:color="auto" w:fill="F2F2F2" w:themeFill="background1" w:themeFillShade="F2"/>
          </w:tcPr>
          <w:p w14:paraId="68375457"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34.838.236.471 </w:t>
            </w:r>
          </w:p>
        </w:tc>
        <w:tc>
          <w:tcPr>
            <w:tcW w:w="851" w:type="dxa"/>
            <w:tcBorders>
              <w:top w:val="single" w:sz="6" w:space="0" w:color="000000"/>
              <w:left w:val="nil"/>
              <w:bottom w:val="single" w:sz="6" w:space="0" w:color="000000"/>
              <w:right w:val="single" w:sz="6" w:space="0" w:color="000000"/>
            </w:tcBorders>
            <w:shd w:val="clear" w:color="auto" w:fill="F2F2F2" w:themeFill="background1" w:themeFillShade="F2"/>
          </w:tcPr>
          <w:p w14:paraId="2DAB79CE" w14:textId="77777777" w:rsidR="002A2EA8" w:rsidRPr="00434DC0" w:rsidRDefault="002A2EA8">
            <w:pPr>
              <w:autoSpaceDE w:val="0"/>
              <w:autoSpaceDN w:val="0"/>
              <w:adjustRightInd w:val="0"/>
              <w:spacing w:after="0" w:line="240" w:lineRule="auto"/>
              <w:jc w:val="center"/>
              <w:rPr>
                <w:rFonts w:ascii="Calibri" w:hAnsi="Calibri" w:cs="Calibri"/>
                <w:color w:val="000000"/>
                <w:sz w:val="18"/>
                <w:szCs w:val="18"/>
              </w:rPr>
            </w:pPr>
            <w:r w:rsidRPr="00434DC0">
              <w:rPr>
                <w:rFonts w:ascii="Calibri" w:hAnsi="Calibri" w:cs="Calibri"/>
                <w:color w:val="000000"/>
                <w:sz w:val="18"/>
                <w:szCs w:val="18"/>
              </w:rPr>
              <w:t>1,1%</w:t>
            </w:r>
          </w:p>
        </w:tc>
      </w:tr>
      <w:tr w:rsidR="002A2EA8" w14:paraId="4EEC55EB" w14:textId="77777777" w:rsidTr="006F6F22">
        <w:trPr>
          <w:trHeight w:val="300"/>
        </w:trPr>
        <w:tc>
          <w:tcPr>
            <w:tcW w:w="4566" w:type="dxa"/>
            <w:tcBorders>
              <w:top w:val="single" w:sz="6" w:space="0" w:color="000000"/>
              <w:left w:val="single" w:sz="6" w:space="0" w:color="000000"/>
              <w:bottom w:val="single" w:sz="6" w:space="0" w:color="000000"/>
              <w:right w:val="nil"/>
            </w:tcBorders>
          </w:tcPr>
          <w:p w14:paraId="2E394698"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Taxa de Câmbio (R$/US$)</w:t>
            </w:r>
            <w:proofErr w:type="gramStart"/>
            <w:r w:rsidRPr="00434DC0">
              <w:rPr>
                <w:rFonts w:ascii="Calibri" w:hAnsi="Calibri" w:cs="Calibri"/>
                <w:color w:val="000000"/>
                <w:sz w:val="18"/>
                <w:szCs w:val="18"/>
                <w:vertAlign w:val="superscript"/>
              </w:rPr>
              <w:t>1</w:t>
            </w:r>
            <w:proofErr w:type="gramEnd"/>
          </w:p>
        </w:tc>
        <w:tc>
          <w:tcPr>
            <w:tcW w:w="993" w:type="dxa"/>
            <w:tcBorders>
              <w:top w:val="single" w:sz="6" w:space="0" w:color="000000"/>
              <w:left w:val="nil"/>
              <w:bottom w:val="single" w:sz="6" w:space="0" w:color="000000"/>
              <w:right w:val="nil"/>
            </w:tcBorders>
          </w:tcPr>
          <w:p w14:paraId="66561281"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p>
        </w:tc>
        <w:tc>
          <w:tcPr>
            <w:tcW w:w="1842" w:type="dxa"/>
            <w:tcBorders>
              <w:top w:val="single" w:sz="6" w:space="0" w:color="000000"/>
              <w:left w:val="nil"/>
              <w:bottom w:val="single" w:sz="6" w:space="0" w:color="000000"/>
              <w:right w:val="nil"/>
            </w:tcBorders>
          </w:tcPr>
          <w:p w14:paraId="0F10BE2D"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R$                     5,1967 </w:t>
            </w:r>
          </w:p>
        </w:tc>
        <w:tc>
          <w:tcPr>
            <w:tcW w:w="1701" w:type="dxa"/>
            <w:tcBorders>
              <w:top w:val="single" w:sz="6" w:space="0" w:color="000000"/>
              <w:left w:val="nil"/>
              <w:bottom w:val="single" w:sz="6" w:space="0" w:color="000000"/>
              <w:right w:val="nil"/>
            </w:tcBorders>
          </w:tcPr>
          <w:p w14:paraId="105C79A0"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R$                5,3317 </w:t>
            </w:r>
          </w:p>
        </w:tc>
        <w:tc>
          <w:tcPr>
            <w:tcW w:w="851" w:type="dxa"/>
            <w:tcBorders>
              <w:top w:val="single" w:sz="6" w:space="0" w:color="000000"/>
              <w:left w:val="nil"/>
              <w:bottom w:val="single" w:sz="6" w:space="0" w:color="000000"/>
              <w:right w:val="single" w:sz="6" w:space="0" w:color="000000"/>
            </w:tcBorders>
          </w:tcPr>
          <w:p w14:paraId="46B2A838" w14:textId="77777777" w:rsidR="002A2EA8" w:rsidRPr="00434DC0" w:rsidRDefault="002A2EA8">
            <w:pPr>
              <w:autoSpaceDE w:val="0"/>
              <w:autoSpaceDN w:val="0"/>
              <w:adjustRightInd w:val="0"/>
              <w:spacing w:after="0" w:line="240" w:lineRule="auto"/>
              <w:jc w:val="center"/>
              <w:rPr>
                <w:rFonts w:ascii="Calibri" w:hAnsi="Calibri" w:cs="Calibri"/>
                <w:color w:val="FF0000"/>
                <w:sz w:val="18"/>
                <w:szCs w:val="18"/>
              </w:rPr>
            </w:pPr>
            <w:r w:rsidRPr="00434DC0">
              <w:rPr>
                <w:rFonts w:ascii="Calibri" w:hAnsi="Calibri" w:cs="Calibri"/>
                <w:color w:val="FF0000"/>
                <w:sz w:val="18"/>
                <w:szCs w:val="18"/>
              </w:rPr>
              <w:t>-2,5%</w:t>
            </w:r>
          </w:p>
        </w:tc>
      </w:tr>
      <w:tr w:rsidR="002A2EA8" w14:paraId="17E9870E" w14:textId="77777777" w:rsidTr="00226306">
        <w:trPr>
          <w:trHeight w:val="300"/>
        </w:trPr>
        <w:tc>
          <w:tcPr>
            <w:tcW w:w="4566" w:type="dxa"/>
            <w:tcBorders>
              <w:top w:val="single" w:sz="6" w:space="0" w:color="000000"/>
              <w:left w:val="single" w:sz="6" w:space="0" w:color="000000"/>
              <w:bottom w:val="single" w:sz="6" w:space="0" w:color="000000"/>
              <w:right w:val="nil"/>
            </w:tcBorders>
            <w:shd w:val="clear" w:color="auto" w:fill="F2F2F2" w:themeFill="background1" w:themeFillShade="F2"/>
          </w:tcPr>
          <w:p w14:paraId="5BA8EF96"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Patrimônio Líquido do FGE (Contábil) (US$)</w:t>
            </w:r>
          </w:p>
        </w:tc>
        <w:tc>
          <w:tcPr>
            <w:tcW w:w="993" w:type="dxa"/>
            <w:tcBorders>
              <w:top w:val="single" w:sz="6" w:space="0" w:color="000000"/>
              <w:left w:val="nil"/>
              <w:bottom w:val="single" w:sz="6" w:space="0" w:color="000000"/>
              <w:right w:val="nil"/>
            </w:tcBorders>
            <w:shd w:val="clear" w:color="auto" w:fill="F2F2F2" w:themeFill="background1" w:themeFillShade="F2"/>
          </w:tcPr>
          <w:p w14:paraId="7AFC37D0"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p>
        </w:tc>
        <w:tc>
          <w:tcPr>
            <w:tcW w:w="1842" w:type="dxa"/>
            <w:tcBorders>
              <w:top w:val="single" w:sz="6" w:space="0" w:color="000000"/>
              <w:left w:val="nil"/>
              <w:bottom w:val="single" w:sz="6" w:space="0" w:color="000000"/>
              <w:right w:val="nil"/>
            </w:tcBorders>
            <w:shd w:val="clear" w:color="auto" w:fill="F2F2F2" w:themeFill="background1" w:themeFillShade="F2"/>
          </w:tcPr>
          <w:p w14:paraId="38F61D1A"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6.776.508.019 </w:t>
            </w:r>
          </w:p>
        </w:tc>
        <w:tc>
          <w:tcPr>
            <w:tcW w:w="1701" w:type="dxa"/>
            <w:tcBorders>
              <w:top w:val="single" w:sz="6" w:space="0" w:color="000000"/>
              <w:left w:val="nil"/>
              <w:bottom w:val="single" w:sz="6" w:space="0" w:color="000000"/>
              <w:right w:val="nil"/>
            </w:tcBorders>
            <w:shd w:val="clear" w:color="auto" w:fill="F2F2F2" w:themeFill="background1" w:themeFillShade="F2"/>
          </w:tcPr>
          <w:p w14:paraId="54C72FB5"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6.534.170.428 </w:t>
            </w:r>
          </w:p>
        </w:tc>
        <w:tc>
          <w:tcPr>
            <w:tcW w:w="851" w:type="dxa"/>
            <w:tcBorders>
              <w:top w:val="single" w:sz="6" w:space="0" w:color="000000"/>
              <w:left w:val="nil"/>
              <w:bottom w:val="single" w:sz="6" w:space="0" w:color="000000"/>
              <w:right w:val="single" w:sz="6" w:space="0" w:color="000000"/>
            </w:tcBorders>
            <w:shd w:val="clear" w:color="auto" w:fill="F2F2F2" w:themeFill="background1" w:themeFillShade="F2"/>
          </w:tcPr>
          <w:p w14:paraId="787E149B" w14:textId="77777777" w:rsidR="002A2EA8" w:rsidRPr="00434DC0" w:rsidRDefault="002A2EA8">
            <w:pPr>
              <w:autoSpaceDE w:val="0"/>
              <w:autoSpaceDN w:val="0"/>
              <w:adjustRightInd w:val="0"/>
              <w:spacing w:after="0" w:line="240" w:lineRule="auto"/>
              <w:jc w:val="center"/>
              <w:rPr>
                <w:rFonts w:ascii="Calibri" w:hAnsi="Calibri" w:cs="Calibri"/>
                <w:color w:val="000000"/>
                <w:sz w:val="18"/>
                <w:szCs w:val="18"/>
              </w:rPr>
            </w:pPr>
            <w:r w:rsidRPr="00434DC0">
              <w:rPr>
                <w:rFonts w:ascii="Calibri" w:hAnsi="Calibri" w:cs="Calibri"/>
                <w:color w:val="000000"/>
                <w:sz w:val="18"/>
                <w:szCs w:val="18"/>
              </w:rPr>
              <w:t>3,7%</w:t>
            </w:r>
          </w:p>
        </w:tc>
      </w:tr>
      <w:tr w:rsidR="002A2EA8" w14:paraId="6E1DA78D" w14:textId="77777777" w:rsidTr="006F6F22">
        <w:trPr>
          <w:trHeight w:val="300"/>
        </w:trPr>
        <w:tc>
          <w:tcPr>
            <w:tcW w:w="4566" w:type="dxa"/>
            <w:tcBorders>
              <w:top w:val="single" w:sz="6" w:space="0" w:color="000000"/>
              <w:left w:val="single" w:sz="6" w:space="0" w:color="000000"/>
              <w:bottom w:val="single" w:sz="6" w:space="0" w:color="000000"/>
              <w:right w:val="nil"/>
            </w:tcBorders>
          </w:tcPr>
          <w:p w14:paraId="74EEEA97"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PPNG (Provisão de Prêmios Não Ganhos) (US$)</w:t>
            </w:r>
          </w:p>
        </w:tc>
        <w:tc>
          <w:tcPr>
            <w:tcW w:w="993" w:type="dxa"/>
            <w:tcBorders>
              <w:top w:val="single" w:sz="6" w:space="0" w:color="000000"/>
              <w:left w:val="nil"/>
              <w:bottom w:val="single" w:sz="6" w:space="0" w:color="000000"/>
              <w:right w:val="nil"/>
            </w:tcBorders>
          </w:tcPr>
          <w:p w14:paraId="0CAAA024"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p>
        </w:tc>
        <w:tc>
          <w:tcPr>
            <w:tcW w:w="1842" w:type="dxa"/>
            <w:tcBorders>
              <w:top w:val="single" w:sz="6" w:space="0" w:color="000000"/>
              <w:left w:val="nil"/>
              <w:bottom w:val="single" w:sz="6" w:space="0" w:color="000000"/>
              <w:right w:val="nil"/>
            </w:tcBorders>
          </w:tcPr>
          <w:p w14:paraId="08CE2D2B"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575.040.299 </w:t>
            </w:r>
          </w:p>
        </w:tc>
        <w:tc>
          <w:tcPr>
            <w:tcW w:w="1701" w:type="dxa"/>
            <w:tcBorders>
              <w:top w:val="single" w:sz="6" w:space="0" w:color="000000"/>
              <w:left w:val="nil"/>
              <w:bottom w:val="single" w:sz="6" w:space="0" w:color="000000"/>
              <w:right w:val="nil"/>
            </w:tcBorders>
          </w:tcPr>
          <w:p w14:paraId="68A784EA"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581.372.609 </w:t>
            </w:r>
          </w:p>
        </w:tc>
        <w:tc>
          <w:tcPr>
            <w:tcW w:w="851" w:type="dxa"/>
            <w:tcBorders>
              <w:top w:val="single" w:sz="6" w:space="0" w:color="000000"/>
              <w:left w:val="nil"/>
              <w:bottom w:val="single" w:sz="6" w:space="0" w:color="000000"/>
              <w:right w:val="single" w:sz="6" w:space="0" w:color="000000"/>
            </w:tcBorders>
          </w:tcPr>
          <w:p w14:paraId="7DA2EAFB" w14:textId="77777777" w:rsidR="002A2EA8" w:rsidRPr="00434DC0" w:rsidRDefault="002A2EA8">
            <w:pPr>
              <w:autoSpaceDE w:val="0"/>
              <w:autoSpaceDN w:val="0"/>
              <w:adjustRightInd w:val="0"/>
              <w:spacing w:after="0" w:line="240" w:lineRule="auto"/>
              <w:jc w:val="center"/>
              <w:rPr>
                <w:rFonts w:ascii="Calibri" w:hAnsi="Calibri" w:cs="Calibri"/>
                <w:color w:val="FF0000"/>
                <w:sz w:val="18"/>
                <w:szCs w:val="18"/>
              </w:rPr>
            </w:pPr>
            <w:r w:rsidRPr="00434DC0">
              <w:rPr>
                <w:rFonts w:ascii="Calibri" w:hAnsi="Calibri" w:cs="Calibri"/>
                <w:color w:val="FF0000"/>
                <w:sz w:val="18"/>
                <w:szCs w:val="18"/>
              </w:rPr>
              <w:t>-1,1%</w:t>
            </w:r>
          </w:p>
        </w:tc>
      </w:tr>
      <w:tr w:rsidR="002A2EA8" w14:paraId="4BD51771" w14:textId="77777777" w:rsidTr="00226306">
        <w:trPr>
          <w:trHeight w:val="300"/>
        </w:trPr>
        <w:tc>
          <w:tcPr>
            <w:tcW w:w="4566" w:type="dxa"/>
            <w:tcBorders>
              <w:top w:val="single" w:sz="6" w:space="0" w:color="000000"/>
              <w:left w:val="single" w:sz="6" w:space="0" w:color="000000"/>
              <w:bottom w:val="single" w:sz="6" w:space="0" w:color="000000"/>
              <w:right w:val="nil"/>
            </w:tcBorders>
            <w:shd w:val="clear" w:color="auto" w:fill="F2F2F2" w:themeFill="background1" w:themeFillShade="F2"/>
          </w:tcPr>
          <w:p w14:paraId="02B1BC8B"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 xml:space="preserve">Alavancagem Máxima </w:t>
            </w:r>
            <w:proofErr w:type="gramStart"/>
            <w:r w:rsidRPr="00434DC0">
              <w:rPr>
                <w:rFonts w:ascii="Calibri" w:hAnsi="Calibri" w:cs="Calibri"/>
                <w:color w:val="000000"/>
                <w:sz w:val="18"/>
                <w:szCs w:val="18"/>
                <w:vertAlign w:val="superscript"/>
              </w:rPr>
              <w:t>2</w:t>
            </w:r>
            <w:proofErr w:type="gramEnd"/>
          </w:p>
        </w:tc>
        <w:tc>
          <w:tcPr>
            <w:tcW w:w="993" w:type="dxa"/>
            <w:tcBorders>
              <w:top w:val="single" w:sz="6" w:space="0" w:color="000000"/>
              <w:left w:val="nil"/>
              <w:bottom w:val="single" w:sz="6" w:space="0" w:color="000000"/>
              <w:right w:val="nil"/>
            </w:tcBorders>
            <w:shd w:val="clear" w:color="auto" w:fill="F2F2F2" w:themeFill="background1" w:themeFillShade="F2"/>
          </w:tcPr>
          <w:p w14:paraId="779ADEC2"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p>
        </w:tc>
        <w:tc>
          <w:tcPr>
            <w:tcW w:w="1842" w:type="dxa"/>
            <w:tcBorders>
              <w:top w:val="single" w:sz="6" w:space="0" w:color="000000"/>
              <w:left w:val="nil"/>
              <w:bottom w:val="single" w:sz="6" w:space="0" w:color="000000"/>
              <w:right w:val="nil"/>
            </w:tcBorders>
            <w:shd w:val="clear" w:color="auto" w:fill="F2F2F2" w:themeFill="background1" w:themeFillShade="F2"/>
          </w:tcPr>
          <w:p w14:paraId="0B60B683"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9,09 </w:t>
            </w:r>
          </w:p>
        </w:tc>
        <w:tc>
          <w:tcPr>
            <w:tcW w:w="1701" w:type="dxa"/>
            <w:tcBorders>
              <w:top w:val="single" w:sz="6" w:space="0" w:color="000000"/>
              <w:left w:val="nil"/>
              <w:bottom w:val="single" w:sz="6" w:space="0" w:color="000000"/>
              <w:right w:val="nil"/>
            </w:tcBorders>
            <w:shd w:val="clear" w:color="auto" w:fill="F2F2F2" w:themeFill="background1" w:themeFillShade="F2"/>
          </w:tcPr>
          <w:p w14:paraId="184677B7"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9,09 </w:t>
            </w:r>
          </w:p>
        </w:tc>
        <w:tc>
          <w:tcPr>
            <w:tcW w:w="851" w:type="dxa"/>
            <w:tcBorders>
              <w:top w:val="single" w:sz="6" w:space="0" w:color="000000"/>
              <w:left w:val="nil"/>
              <w:bottom w:val="single" w:sz="6" w:space="0" w:color="000000"/>
              <w:right w:val="single" w:sz="6" w:space="0" w:color="000000"/>
            </w:tcBorders>
            <w:shd w:val="clear" w:color="auto" w:fill="F2F2F2" w:themeFill="background1" w:themeFillShade="F2"/>
          </w:tcPr>
          <w:p w14:paraId="626B5CD4" w14:textId="77777777" w:rsidR="002A2EA8" w:rsidRPr="00434DC0" w:rsidRDefault="002A2EA8">
            <w:pPr>
              <w:autoSpaceDE w:val="0"/>
              <w:autoSpaceDN w:val="0"/>
              <w:adjustRightInd w:val="0"/>
              <w:spacing w:after="0" w:line="240" w:lineRule="auto"/>
              <w:jc w:val="center"/>
              <w:rPr>
                <w:rFonts w:ascii="Calibri" w:hAnsi="Calibri" w:cs="Calibri"/>
                <w:color w:val="000000"/>
                <w:sz w:val="18"/>
                <w:szCs w:val="18"/>
              </w:rPr>
            </w:pPr>
            <w:r w:rsidRPr="00434DC0">
              <w:rPr>
                <w:rFonts w:ascii="Calibri" w:hAnsi="Calibri" w:cs="Calibri"/>
                <w:color w:val="000000"/>
                <w:sz w:val="18"/>
                <w:szCs w:val="18"/>
              </w:rPr>
              <w:t>0,0%</w:t>
            </w:r>
          </w:p>
        </w:tc>
      </w:tr>
      <w:tr w:rsidR="002A2EA8" w14:paraId="19D821BC" w14:textId="77777777" w:rsidTr="006F6F22">
        <w:trPr>
          <w:trHeight w:val="300"/>
        </w:trPr>
        <w:tc>
          <w:tcPr>
            <w:tcW w:w="4566" w:type="dxa"/>
            <w:tcBorders>
              <w:top w:val="single" w:sz="6" w:space="0" w:color="000000"/>
              <w:left w:val="single" w:sz="6" w:space="0" w:color="000000"/>
              <w:bottom w:val="single" w:sz="6" w:space="0" w:color="000000"/>
              <w:right w:val="nil"/>
            </w:tcBorders>
          </w:tcPr>
          <w:p w14:paraId="48F12F81"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Exposição vigente total (Cobertura Total Anual) (US$)</w:t>
            </w:r>
          </w:p>
        </w:tc>
        <w:tc>
          <w:tcPr>
            <w:tcW w:w="993" w:type="dxa"/>
            <w:tcBorders>
              <w:top w:val="single" w:sz="6" w:space="0" w:color="000000"/>
              <w:left w:val="nil"/>
              <w:bottom w:val="single" w:sz="6" w:space="0" w:color="000000"/>
              <w:right w:val="nil"/>
            </w:tcBorders>
          </w:tcPr>
          <w:p w14:paraId="67B83F74"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(1)</w:t>
            </w:r>
          </w:p>
        </w:tc>
        <w:tc>
          <w:tcPr>
            <w:tcW w:w="1842" w:type="dxa"/>
            <w:tcBorders>
              <w:top w:val="single" w:sz="6" w:space="0" w:color="000000"/>
              <w:left w:val="nil"/>
              <w:bottom w:val="single" w:sz="6" w:space="0" w:color="000000"/>
              <w:right w:val="nil"/>
            </w:tcBorders>
          </w:tcPr>
          <w:p w14:paraId="22672BF2"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7.259.427.527 </w:t>
            </w:r>
          </w:p>
        </w:tc>
        <w:tc>
          <w:tcPr>
            <w:tcW w:w="1701" w:type="dxa"/>
            <w:tcBorders>
              <w:top w:val="single" w:sz="6" w:space="0" w:color="000000"/>
              <w:left w:val="nil"/>
              <w:bottom w:val="single" w:sz="6" w:space="0" w:color="000000"/>
              <w:right w:val="nil"/>
            </w:tcBorders>
          </w:tcPr>
          <w:p w14:paraId="6B0D9E7B"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 xml:space="preserve">         7.721.214.580 </w:t>
            </w:r>
          </w:p>
        </w:tc>
        <w:tc>
          <w:tcPr>
            <w:tcW w:w="851" w:type="dxa"/>
            <w:tcBorders>
              <w:top w:val="single" w:sz="6" w:space="0" w:color="000000"/>
              <w:left w:val="nil"/>
              <w:bottom w:val="single" w:sz="6" w:space="0" w:color="000000"/>
              <w:right w:val="single" w:sz="6" w:space="0" w:color="000000"/>
            </w:tcBorders>
          </w:tcPr>
          <w:p w14:paraId="0485BE09" w14:textId="77777777" w:rsidR="002A2EA8" w:rsidRPr="00434DC0" w:rsidRDefault="002A2EA8">
            <w:pPr>
              <w:autoSpaceDE w:val="0"/>
              <w:autoSpaceDN w:val="0"/>
              <w:adjustRightInd w:val="0"/>
              <w:spacing w:after="0" w:line="240" w:lineRule="auto"/>
              <w:jc w:val="center"/>
              <w:rPr>
                <w:rFonts w:ascii="Calibri" w:hAnsi="Calibri" w:cs="Calibri"/>
                <w:color w:val="FF0000"/>
                <w:sz w:val="18"/>
                <w:szCs w:val="18"/>
              </w:rPr>
            </w:pPr>
            <w:r w:rsidRPr="00434DC0">
              <w:rPr>
                <w:rFonts w:ascii="Calibri" w:hAnsi="Calibri" w:cs="Calibri"/>
                <w:color w:val="FF0000"/>
                <w:sz w:val="18"/>
                <w:szCs w:val="18"/>
              </w:rPr>
              <w:t>-6,0%</w:t>
            </w:r>
          </w:p>
        </w:tc>
      </w:tr>
      <w:tr w:rsidR="002A2EA8" w14:paraId="5A992BF0" w14:textId="77777777" w:rsidTr="00226306">
        <w:trPr>
          <w:trHeight w:val="300"/>
        </w:trPr>
        <w:tc>
          <w:tcPr>
            <w:tcW w:w="4566" w:type="dxa"/>
            <w:tcBorders>
              <w:top w:val="single" w:sz="6" w:space="0" w:color="000000"/>
              <w:left w:val="single" w:sz="6" w:space="0" w:color="000000"/>
              <w:bottom w:val="single" w:sz="6" w:space="0" w:color="000000"/>
              <w:right w:val="nil"/>
            </w:tcBorders>
            <w:shd w:val="clear" w:color="auto" w:fill="F2F2F2" w:themeFill="background1" w:themeFillShade="F2"/>
          </w:tcPr>
          <w:p w14:paraId="1392E132"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Capital Requerido (K%)</w:t>
            </w:r>
          </w:p>
        </w:tc>
        <w:tc>
          <w:tcPr>
            <w:tcW w:w="993" w:type="dxa"/>
            <w:tcBorders>
              <w:top w:val="single" w:sz="6" w:space="0" w:color="000000"/>
              <w:left w:val="nil"/>
              <w:bottom w:val="single" w:sz="6" w:space="0" w:color="000000"/>
              <w:right w:val="nil"/>
            </w:tcBorders>
            <w:shd w:val="clear" w:color="auto" w:fill="F2F2F2" w:themeFill="background1" w:themeFillShade="F2"/>
          </w:tcPr>
          <w:p w14:paraId="04D601FA"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(2)</w:t>
            </w:r>
          </w:p>
        </w:tc>
        <w:tc>
          <w:tcPr>
            <w:tcW w:w="1842" w:type="dxa"/>
            <w:tcBorders>
              <w:top w:val="single" w:sz="6" w:space="0" w:color="000000"/>
              <w:left w:val="nil"/>
              <w:bottom w:val="single" w:sz="6" w:space="0" w:color="000000"/>
              <w:right w:val="nil"/>
            </w:tcBorders>
            <w:shd w:val="clear" w:color="auto" w:fill="F2F2F2" w:themeFill="background1" w:themeFillShade="F2"/>
          </w:tcPr>
          <w:p w14:paraId="211679E3"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11,00%</w:t>
            </w:r>
          </w:p>
        </w:tc>
        <w:tc>
          <w:tcPr>
            <w:tcW w:w="1701" w:type="dxa"/>
            <w:tcBorders>
              <w:top w:val="single" w:sz="6" w:space="0" w:color="000000"/>
              <w:left w:val="nil"/>
              <w:bottom w:val="single" w:sz="6" w:space="0" w:color="000000"/>
              <w:right w:val="nil"/>
            </w:tcBorders>
            <w:shd w:val="clear" w:color="auto" w:fill="F2F2F2" w:themeFill="background1" w:themeFillShade="F2"/>
          </w:tcPr>
          <w:p w14:paraId="764EB76D" w14:textId="77777777" w:rsidR="002A2EA8" w:rsidRPr="00434DC0" w:rsidRDefault="002A2EA8">
            <w:pPr>
              <w:autoSpaceDE w:val="0"/>
              <w:autoSpaceDN w:val="0"/>
              <w:adjustRightInd w:val="0"/>
              <w:spacing w:after="0" w:line="240" w:lineRule="auto"/>
              <w:jc w:val="right"/>
              <w:rPr>
                <w:rFonts w:ascii="Calibri" w:hAnsi="Calibri" w:cs="Calibri"/>
                <w:color w:val="000000"/>
                <w:sz w:val="18"/>
                <w:szCs w:val="18"/>
              </w:rPr>
            </w:pPr>
            <w:r w:rsidRPr="00434DC0">
              <w:rPr>
                <w:rFonts w:ascii="Calibri" w:hAnsi="Calibri" w:cs="Calibri"/>
                <w:color w:val="000000"/>
                <w:sz w:val="18"/>
                <w:szCs w:val="18"/>
              </w:rPr>
              <w:t>11,01%</w:t>
            </w:r>
          </w:p>
        </w:tc>
        <w:tc>
          <w:tcPr>
            <w:tcW w:w="851" w:type="dxa"/>
            <w:tcBorders>
              <w:top w:val="single" w:sz="6" w:space="0" w:color="000000"/>
              <w:left w:val="nil"/>
              <w:bottom w:val="single" w:sz="6" w:space="0" w:color="000000"/>
              <w:right w:val="single" w:sz="6" w:space="0" w:color="000000"/>
            </w:tcBorders>
            <w:shd w:val="clear" w:color="auto" w:fill="F2F2F2" w:themeFill="background1" w:themeFillShade="F2"/>
          </w:tcPr>
          <w:p w14:paraId="44DFD91E" w14:textId="77777777" w:rsidR="002A2EA8" w:rsidRPr="00434DC0" w:rsidRDefault="002A2EA8">
            <w:pPr>
              <w:autoSpaceDE w:val="0"/>
              <w:autoSpaceDN w:val="0"/>
              <w:adjustRightInd w:val="0"/>
              <w:spacing w:after="0" w:line="240" w:lineRule="auto"/>
              <w:jc w:val="center"/>
              <w:rPr>
                <w:rFonts w:ascii="Calibri" w:hAnsi="Calibri" w:cs="Calibri"/>
                <w:color w:val="FF0000"/>
                <w:sz w:val="18"/>
                <w:szCs w:val="18"/>
              </w:rPr>
            </w:pPr>
            <w:r w:rsidRPr="00434DC0">
              <w:rPr>
                <w:rFonts w:ascii="Calibri" w:hAnsi="Calibri" w:cs="Calibri"/>
                <w:color w:val="FF0000"/>
                <w:sz w:val="18"/>
                <w:szCs w:val="18"/>
              </w:rPr>
              <w:t>-0,1%</w:t>
            </w:r>
          </w:p>
        </w:tc>
      </w:tr>
      <w:tr w:rsidR="002A2EA8" w14:paraId="4F310BFF" w14:textId="77777777" w:rsidTr="006F6F22">
        <w:trPr>
          <w:trHeight w:val="300"/>
        </w:trPr>
        <w:tc>
          <w:tcPr>
            <w:tcW w:w="4566" w:type="dxa"/>
            <w:tcBorders>
              <w:top w:val="single" w:sz="6" w:space="0" w:color="000000"/>
              <w:left w:val="single" w:sz="6" w:space="0" w:color="000000"/>
              <w:bottom w:val="single" w:sz="6" w:space="0" w:color="000000"/>
              <w:right w:val="nil"/>
            </w:tcBorders>
          </w:tcPr>
          <w:p w14:paraId="41378070" w14:textId="77777777" w:rsidR="002A2EA8" w:rsidRPr="00434DC0" w:rsidRDefault="002A2EA8">
            <w:pPr>
              <w:autoSpaceDE w:val="0"/>
              <w:autoSpaceDN w:val="0"/>
              <w:adjustRightInd w:val="0"/>
              <w:spacing w:after="0" w:line="240" w:lineRule="auto"/>
              <w:rPr>
                <w:rFonts w:ascii="Calibri" w:hAnsi="Calibri" w:cs="Calibri"/>
                <w:b/>
                <w:color w:val="000000"/>
                <w:sz w:val="18"/>
                <w:szCs w:val="18"/>
              </w:rPr>
            </w:pPr>
            <w:r w:rsidRPr="00434DC0">
              <w:rPr>
                <w:rFonts w:ascii="Calibri" w:hAnsi="Calibri" w:cs="Calibri"/>
                <w:b/>
                <w:color w:val="000000"/>
                <w:sz w:val="18"/>
                <w:szCs w:val="18"/>
              </w:rPr>
              <w:t>Margem de Solvência (Patrimônio Líquido Exigido - PLE) (US$)</w:t>
            </w:r>
          </w:p>
        </w:tc>
        <w:tc>
          <w:tcPr>
            <w:tcW w:w="993" w:type="dxa"/>
            <w:tcBorders>
              <w:top w:val="single" w:sz="6" w:space="0" w:color="000000"/>
              <w:left w:val="nil"/>
              <w:bottom w:val="single" w:sz="6" w:space="0" w:color="000000"/>
              <w:right w:val="nil"/>
            </w:tcBorders>
          </w:tcPr>
          <w:p w14:paraId="094711E5" w14:textId="77777777"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(3</w:t>
            </w:r>
            <w:proofErr w:type="gramStart"/>
            <w:r w:rsidRPr="00434DC0">
              <w:rPr>
                <w:rFonts w:ascii="Calibri" w:hAnsi="Calibri" w:cs="Calibri"/>
                <w:color w:val="000000"/>
                <w:sz w:val="18"/>
                <w:szCs w:val="18"/>
              </w:rPr>
              <w:t>)</w:t>
            </w:r>
            <w:proofErr w:type="gramEnd"/>
            <w:r w:rsidRPr="00434DC0">
              <w:rPr>
                <w:rFonts w:ascii="Calibri" w:hAnsi="Calibri" w:cs="Calibri"/>
                <w:color w:val="000000"/>
                <w:sz w:val="18"/>
                <w:szCs w:val="18"/>
              </w:rPr>
              <w:t>=(1)*(2)</w:t>
            </w:r>
          </w:p>
        </w:tc>
        <w:tc>
          <w:tcPr>
            <w:tcW w:w="1842" w:type="dxa"/>
            <w:tcBorders>
              <w:top w:val="single" w:sz="6" w:space="0" w:color="000000"/>
              <w:left w:val="nil"/>
              <w:bottom w:val="single" w:sz="6" w:space="0" w:color="000000"/>
              <w:right w:val="nil"/>
            </w:tcBorders>
          </w:tcPr>
          <w:p w14:paraId="0686436E" w14:textId="77777777" w:rsidR="002A2EA8" w:rsidRPr="00434DC0" w:rsidRDefault="002A2EA8">
            <w:pPr>
              <w:autoSpaceDE w:val="0"/>
              <w:autoSpaceDN w:val="0"/>
              <w:adjustRightInd w:val="0"/>
              <w:spacing w:after="0" w:line="240" w:lineRule="auto"/>
              <w:jc w:val="right"/>
              <w:rPr>
                <w:rFonts w:ascii="Calibri" w:hAnsi="Calibri" w:cs="Calibri"/>
                <w:b/>
                <w:color w:val="000000"/>
                <w:sz w:val="18"/>
                <w:szCs w:val="18"/>
              </w:rPr>
            </w:pPr>
            <w:r w:rsidRPr="00434DC0">
              <w:rPr>
                <w:rFonts w:ascii="Calibri" w:hAnsi="Calibri" w:cs="Calibri"/>
                <w:b/>
                <w:color w:val="000000"/>
                <w:sz w:val="18"/>
                <w:szCs w:val="18"/>
              </w:rPr>
              <w:t xml:space="preserve">                  798.220.394 </w:t>
            </w:r>
          </w:p>
        </w:tc>
        <w:tc>
          <w:tcPr>
            <w:tcW w:w="1701" w:type="dxa"/>
            <w:tcBorders>
              <w:top w:val="single" w:sz="6" w:space="0" w:color="000000"/>
              <w:left w:val="nil"/>
              <w:bottom w:val="single" w:sz="6" w:space="0" w:color="000000"/>
              <w:right w:val="nil"/>
            </w:tcBorders>
          </w:tcPr>
          <w:p w14:paraId="67D58024" w14:textId="77777777" w:rsidR="002A2EA8" w:rsidRPr="00434DC0" w:rsidRDefault="002A2EA8">
            <w:pPr>
              <w:autoSpaceDE w:val="0"/>
              <w:autoSpaceDN w:val="0"/>
              <w:adjustRightInd w:val="0"/>
              <w:spacing w:after="0" w:line="240" w:lineRule="auto"/>
              <w:jc w:val="right"/>
              <w:rPr>
                <w:rFonts w:ascii="Calibri" w:hAnsi="Calibri" w:cs="Calibri"/>
                <w:b/>
                <w:color w:val="000000"/>
                <w:sz w:val="18"/>
                <w:szCs w:val="18"/>
              </w:rPr>
            </w:pPr>
            <w:r w:rsidRPr="00434DC0">
              <w:rPr>
                <w:rFonts w:ascii="Calibri" w:hAnsi="Calibri" w:cs="Calibri"/>
                <w:b/>
                <w:color w:val="000000"/>
                <w:sz w:val="18"/>
                <w:szCs w:val="18"/>
              </w:rPr>
              <w:t xml:space="preserve">            849.828.457 </w:t>
            </w:r>
          </w:p>
        </w:tc>
        <w:tc>
          <w:tcPr>
            <w:tcW w:w="851" w:type="dxa"/>
            <w:tcBorders>
              <w:top w:val="single" w:sz="6" w:space="0" w:color="000000"/>
              <w:left w:val="nil"/>
              <w:bottom w:val="single" w:sz="6" w:space="0" w:color="000000"/>
              <w:right w:val="single" w:sz="6" w:space="0" w:color="000000"/>
            </w:tcBorders>
          </w:tcPr>
          <w:p w14:paraId="04A1D33A" w14:textId="77777777" w:rsidR="002A2EA8" w:rsidRPr="00434DC0" w:rsidRDefault="002A2EA8">
            <w:pPr>
              <w:autoSpaceDE w:val="0"/>
              <w:autoSpaceDN w:val="0"/>
              <w:adjustRightInd w:val="0"/>
              <w:spacing w:after="0" w:line="240" w:lineRule="auto"/>
              <w:jc w:val="center"/>
              <w:rPr>
                <w:rFonts w:ascii="Calibri" w:hAnsi="Calibri" w:cs="Calibri"/>
                <w:color w:val="FF0000"/>
                <w:sz w:val="18"/>
                <w:szCs w:val="18"/>
              </w:rPr>
            </w:pPr>
            <w:r w:rsidRPr="00434DC0">
              <w:rPr>
                <w:rFonts w:ascii="Calibri" w:hAnsi="Calibri" w:cs="Calibri"/>
                <w:color w:val="FF0000"/>
                <w:sz w:val="18"/>
                <w:szCs w:val="18"/>
              </w:rPr>
              <w:t>-6,1%</w:t>
            </w:r>
          </w:p>
        </w:tc>
      </w:tr>
      <w:tr w:rsidR="002A2EA8" w14:paraId="333769D9" w14:textId="77777777" w:rsidTr="00226306">
        <w:trPr>
          <w:trHeight w:val="300"/>
        </w:trPr>
        <w:tc>
          <w:tcPr>
            <w:tcW w:w="4566" w:type="dxa"/>
            <w:tcBorders>
              <w:top w:val="single" w:sz="6" w:space="0" w:color="000000"/>
              <w:left w:val="single" w:sz="6" w:space="0" w:color="000000"/>
              <w:bottom w:val="single" w:sz="6" w:space="0" w:color="000000"/>
              <w:right w:val="nil"/>
            </w:tcBorders>
            <w:shd w:val="clear" w:color="auto" w:fill="F2F2F2" w:themeFill="background1" w:themeFillShade="F2"/>
          </w:tcPr>
          <w:p w14:paraId="27A60AC2" w14:textId="77777777" w:rsidR="002A2EA8" w:rsidRPr="00434DC0" w:rsidRDefault="002A2EA8">
            <w:pPr>
              <w:autoSpaceDE w:val="0"/>
              <w:autoSpaceDN w:val="0"/>
              <w:adjustRightInd w:val="0"/>
              <w:spacing w:after="0" w:line="240" w:lineRule="auto"/>
              <w:rPr>
                <w:rFonts w:ascii="Calibri" w:hAnsi="Calibri" w:cs="Calibri"/>
                <w:b/>
                <w:color w:val="000000"/>
                <w:sz w:val="18"/>
                <w:szCs w:val="18"/>
              </w:rPr>
            </w:pPr>
            <w:proofErr w:type="gramStart"/>
            <w:r w:rsidRPr="00434DC0">
              <w:rPr>
                <w:rFonts w:ascii="Calibri" w:hAnsi="Calibri" w:cs="Calibri"/>
                <w:b/>
                <w:color w:val="000000"/>
                <w:sz w:val="18"/>
                <w:szCs w:val="18"/>
              </w:rPr>
              <w:t>Alavancagem</w:t>
            </w:r>
            <w:proofErr w:type="gramEnd"/>
            <w:r w:rsidRPr="00434DC0">
              <w:rPr>
                <w:rFonts w:ascii="Calibri" w:hAnsi="Calibri" w:cs="Calibri"/>
                <w:b/>
                <w:color w:val="000000"/>
                <w:sz w:val="18"/>
                <w:szCs w:val="18"/>
              </w:rPr>
              <w:t xml:space="preserve"> Vigente</w:t>
            </w:r>
          </w:p>
        </w:tc>
        <w:tc>
          <w:tcPr>
            <w:tcW w:w="993" w:type="dxa"/>
            <w:tcBorders>
              <w:top w:val="single" w:sz="6" w:space="0" w:color="000000"/>
              <w:left w:val="nil"/>
              <w:bottom w:val="single" w:sz="6" w:space="0" w:color="000000"/>
              <w:right w:val="nil"/>
            </w:tcBorders>
            <w:shd w:val="clear" w:color="auto" w:fill="F2F2F2" w:themeFill="background1" w:themeFillShade="F2"/>
          </w:tcPr>
          <w:p w14:paraId="27F77524" w14:textId="06ABC3BA" w:rsidR="002A2EA8" w:rsidRPr="00434DC0" w:rsidRDefault="002A2EA8">
            <w:pPr>
              <w:autoSpaceDE w:val="0"/>
              <w:autoSpaceDN w:val="0"/>
              <w:adjustRightInd w:val="0"/>
              <w:spacing w:after="0" w:line="240" w:lineRule="auto"/>
              <w:rPr>
                <w:rFonts w:ascii="Calibri" w:hAnsi="Calibri" w:cs="Calibri"/>
                <w:color w:val="000000"/>
                <w:sz w:val="18"/>
                <w:szCs w:val="18"/>
              </w:rPr>
            </w:pPr>
            <w:r w:rsidRPr="00434DC0">
              <w:rPr>
                <w:rFonts w:ascii="Calibri" w:hAnsi="Calibri" w:cs="Calibri"/>
                <w:color w:val="000000"/>
                <w:sz w:val="18"/>
                <w:szCs w:val="18"/>
              </w:rPr>
              <w:t>(4</w:t>
            </w:r>
            <w:proofErr w:type="gramStart"/>
            <w:r w:rsidRPr="00434DC0">
              <w:rPr>
                <w:rFonts w:ascii="Calibri" w:hAnsi="Calibri" w:cs="Calibri"/>
                <w:color w:val="000000"/>
                <w:sz w:val="18"/>
                <w:szCs w:val="18"/>
              </w:rPr>
              <w:t>)</w:t>
            </w:r>
            <w:proofErr w:type="gramEnd"/>
            <w:r w:rsidRPr="00434DC0">
              <w:rPr>
                <w:rFonts w:ascii="Calibri" w:hAnsi="Calibri" w:cs="Calibri"/>
                <w:color w:val="000000"/>
                <w:sz w:val="18"/>
                <w:szCs w:val="18"/>
              </w:rPr>
              <w:t>=(2)</w:t>
            </w:r>
            <w:r w:rsidR="00434DC0" w:rsidRPr="00434DC0">
              <w:rPr>
                <w:rFonts w:ascii="Calibri" w:hAnsi="Calibri" w:cs="Calibri"/>
                <w:color w:val="000000"/>
                <w:sz w:val="18"/>
                <w:szCs w:val="18"/>
                <w:vertAlign w:val="superscript"/>
              </w:rPr>
              <w:t>-</w:t>
            </w:r>
            <w:r w:rsidRPr="00434DC0">
              <w:rPr>
                <w:rFonts w:ascii="Calibri" w:hAnsi="Calibri" w:cs="Calibri"/>
                <w:color w:val="000000"/>
                <w:sz w:val="18"/>
                <w:szCs w:val="18"/>
                <w:vertAlign w:val="superscript"/>
              </w:rPr>
              <w:t>1</w:t>
            </w:r>
          </w:p>
        </w:tc>
        <w:tc>
          <w:tcPr>
            <w:tcW w:w="1842" w:type="dxa"/>
            <w:tcBorders>
              <w:top w:val="single" w:sz="6" w:space="0" w:color="000000"/>
              <w:left w:val="nil"/>
              <w:bottom w:val="single" w:sz="6" w:space="0" w:color="000000"/>
              <w:right w:val="nil"/>
            </w:tcBorders>
            <w:shd w:val="clear" w:color="auto" w:fill="F2F2F2" w:themeFill="background1" w:themeFillShade="F2"/>
          </w:tcPr>
          <w:p w14:paraId="5B55B68D" w14:textId="77777777" w:rsidR="002A2EA8" w:rsidRPr="00434DC0" w:rsidRDefault="002A2EA8">
            <w:pPr>
              <w:autoSpaceDE w:val="0"/>
              <w:autoSpaceDN w:val="0"/>
              <w:adjustRightInd w:val="0"/>
              <w:spacing w:after="0" w:line="240" w:lineRule="auto"/>
              <w:jc w:val="right"/>
              <w:rPr>
                <w:rFonts w:ascii="Calibri" w:hAnsi="Calibri" w:cs="Calibri"/>
                <w:b/>
                <w:color w:val="000000"/>
                <w:sz w:val="18"/>
                <w:szCs w:val="18"/>
              </w:rPr>
            </w:pPr>
            <w:r w:rsidRPr="00434DC0">
              <w:rPr>
                <w:rFonts w:ascii="Calibri" w:hAnsi="Calibri" w:cs="Calibri"/>
                <w:b/>
                <w:color w:val="000000"/>
                <w:sz w:val="18"/>
                <w:szCs w:val="18"/>
              </w:rPr>
              <w:t>9,09</w:t>
            </w:r>
          </w:p>
        </w:tc>
        <w:tc>
          <w:tcPr>
            <w:tcW w:w="1701" w:type="dxa"/>
            <w:tcBorders>
              <w:top w:val="single" w:sz="6" w:space="0" w:color="000000"/>
              <w:left w:val="nil"/>
              <w:bottom w:val="single" w:sz="6" w:space="0" w:color="000000"/>
              <w:right w:val="nil"/>
            </w:tcBorders>
            <w:shd w:val="clear" w:color="auto" w:fill="F2F2F2" w:themeFill="background1" w:themeFillShade="F2"/>
          </w:tcPr>
          <w:p w14:paraId="02491C36" w14:textId="77777777" w:rsidR="002A2EA8" w:rsidRPr="00434DC0" w:rsidRDefault="002A2EA8">
            <w:pPr>
              <w:autoSpaceDE w:val="0"/>
              <w:autoSpaceDN w:val="0"/>
              <w:adjustRightInd w:val="0"/>
              <w:spacing w:after="0" w:line="240" w:lineRule="auto"/>
              <w:jc w:val="right"/>
              <w:rPr>
                <w:rFonts w:ascii="Calibri" w:hAnsi="Calibri" w:cs="Calibri"/>
                <w:b/>
                <w:color w:val="000000"/>
                <w:sz w:val="18"/>
                <w:szCs w:val="18"/>
              </w:rPr>
            </w:pPr>
            <w:r w:rsidRPr="00434DC0">
              <w:rPr>
                <w:rFonts w:ascii="Calibri" w:hAnsi="Calibri" w:cs="Calibri"/>
                <w:b/>
                <w:color w:val="000000"/>
                <w:sz w:val="18"/>
                <w:szCs w:val="18"/>
              </w:rPr>
              <w:t>9,09</w:t>
            </w:r>
          </w:p>
        </w:tc>
        <w:tc>
          <w:tcPr>
            <w:tcW w:w="851" w:type="dxa"/>
            <w:tcBorders>
              <w:top w:val="single" w:sz="6" w:space="0" w:color="000000"/>
              <w:left w:val="nil"/>
              <w:bottom w:val="single" w:sz="6" w:space="0" w:color="000000"/>
              <w:right w:val="single" w:sz="6" w:space="0" w:color="000000"/>
            </w:tcBorders>
            <w:shd w:val="clear" w:color="auto" w:fill="F2F2F2" w:themeFill="background1" w:themeFillShade="F2"/>
          </w:tcPr>
          <w:p w14:paraId="49CC070D" w14:textId="77777777" w:rsidR="002A2EA8" w:rsidRPr="00434DC0" w:rsidRDefault="002A2EA8">
            <w:pPr>
              <w:autoSpaceDE w:val="0"/>
              <w:autoSpaceDN w:val="0"/>
              <w:adjustRightInd w:val="0"/>
              <w:spacing w:after="0" w:line="240" w:lineRule="auto"/>
              <w:jc w:val="center"/>
              <w:rPr>
                <w:rFonts w:ascii="Calibri" w:hAnsi="Calibri" w:cs="Calibri"/>
                <w:color w:val="000000"/>
                <w:sz w:val="18"/>
                <w:szCs w:val="18"/>
              </w:rPr>
            </w:pPr>
            <w:r w:rsidRPr="00434DC0">
              <w:rPr>
                <w:rFonts w:ascii="Calibri" w:hAnsi="Calibri" w:cs="Calibri"/>
                <w:color w:val="000000"/>
                <w:sz w:val="18"/>
                <w:szCs w:val="18"/>
              </w:rPr>
              <w:t>0,1%</w:t>
            </w:r>
          </w:p>
        </w:tc>
      </w:tr>
    </w:tbl>
    <w:p w14:paraId="434F7244" w14:textId="32E48451" w:rsidR="00B25FAD" w:rsidRPr="001E2515" w:rsidRDefault="001E2515" w:rsidP="00FB3C4C">
      <w:pPr>
        <w:spacing w:after="0" w:line="240" w:lineRule="auto"/>
        <w:jc w:val="both"/>
        <w:rPr>
          <w:rFonts w:eastAsiaTheme="minorEastAsia"/>
          <w:i/>
          <w:color w:val="000000" w:themeColor="text1"/>
          <w:sz w:val="16"/>
          <w:szCs w:val="16"/>
        </w:rPr>
      </w:pPr>
      <w:r w:rsidRPr="001E2515">
        <w:rPr>
          <w:rFonts w:eastAsiaTheme="minorEastAsia"/>
          <w:i/>
          <w:iCs/>
          <w:color w:val="000000" w:themeColor="text1"/>
          <w:sz w:val="16"/>
          <w:szCs w:val="16"/>
        </w:rPr>
        <w:t xml:space="preserve">1-Cotação </w:t>
      </w:r>
      <w:proofErr w:type="spellStart"/>
      <w:r w:rsidRPr="001E2515">
        <w:rPr>
          <w:rFonts w:eastAsiaTheme="minorEastAsia"/>
          <w:i/>
          <w:iCs/>
          <w:color w:val="000000" w:themeColor="text1"/>
          <w:sz w:val="16"/>
          <w:szCs w:val="16"/>
        </w:rPr>
        <w:t>Ptax</w:t>
      </w:r>
      <w:proofErr w:type="spellEnd"/>
      <w:r w:rsidRPr="001E2515">
        <w:rPr>
          <w:rFonts w:eastAsiaTheme="minorEastAsia"/>
          <w:i/>
          <w:iCs/>
          <w:color w:val="000000" w:themeColor="text1"/>
          <w:sz w:val="16"/>
          <w:szCs w:val="16"/>
        </w:rPr>
        <w:t xml:space="preserve"> do último dia útil do mês para venda. </w:t>
      </w:r>
      <w:proofErr w:type="spellStart"/>
      <w:r w:rsidRPr="001E2515">
        <w:rPr>
          <w:rFonts w:eastAsiaTheme="minorEastAsia"/>
          <w:i/>
          <w:iCs/>
          <w:color w:val="000000" w:themeColor="text1"/>
          <w:sz w:val="16"/>
          <w:szCs w:val="16"/>
        </w:rPr>
        <w:t>Ptax</w:t>
      </w:r>
      <w:proofErr w:type="spellEnd"/>
      <w:r w:rsidRPr="001E2515">
        <w:rPr>
          <w:rFonts w:eastAsiaTheme="minorEastAsia"/>
          <w:i/>
          <w:iCs/>
          <w:color w:val="000000" w:themeColor="text1"/>
          <w:sz w:val="16"/>
          <w:szCs w:val="16"/>
        </w:rPr>
        <w:t>=taxa média ponderada dos negócios realizados no mercado interbancário de câmbio com liquidação em dois dias úteis, calculada pelo Banco Central do Brasil, conforme Comunicado nº 6.815/99.</w:t>
      </w:r>
    </w:p>
    <w:p w14:paraId="4DC6E453" w14:textId="39F45115" w:rsidR="00AF53C5" w:rsidRPr="00AF53C5" w:rsidRDefault="001E2515" w:rsidP="00FB3C4C">
      <w:pPr>
        <w:spacing w:after="0" w:line="240" w:lineRule="auto"/>
        <w:jc w:val="both"/>
        <w:rPr>
          <w:rFonts w:eastAsiaTheme="minorEastAsia"/>
          <w:i/>
          <w:iCs/>
          <w:color w:val="000000" w:themeColor="text1"/>
          <w:sz w:val="16"/>
          <w:szCs w:val="16"/>
        </w:rPr>
      </w:pPr>
      <w:r w:rsidRPr="001E2515">
        <w:rPr>
          <w:rFonts w:eastAsiaTheme="minorEastAsia"/>
          <w:i/>
          <w:iCs/>
          <w:color w:val="000000" w:themeColor="text1"/>
          <w:sz w:val="16"/>
          <w:szCs w:val="16"/>
        </w:rPr>
        <w:t>2-</w:t>
      </w:r>
      <w:proofErr w:type="gramStart"/>
      <w:r w:rsidRPr="001E2515">
        <w:rPr>
          <w:rFonts w:eastAsiaTheme="minorEastAsia"/>
          <w:i/>
          <w:iCs/>
          <w:color w:val="000000" w:themeColor="text1"/>
          <w:sz w:val="16"/>
          <w:szCs w:val="16"/>
        </w:rPr>
        <w:t>Alavancagem</w:t>
      </w:r>
      <w:proofErr w:type="gramEnd"/>
      <w:r w:rsidRPr="001E2515">
        <w:rPr>
          <w:rFonts w:eastAsiaTheme="minorEastAsia"/>
          <w:i/>
          <w:iCs/>
          <w:color w:val="000000" w:themeColor="text1"/>
          <w:sz w:val="16"/>
          <w:szCs w:val="16"/>
        </w:rPr>
        <w:t xml:space="preserve"> máxima de 9,09x (capital </w:t>
      </w:r>
      <w:proofErr w:type="spellStart"/>
      <w:r w:rsidRPr="001E2515">
        <w:rPr>
          <w:rFonts w:eastAsiaTheme="minorEastAsia"/>
          <w:i/>
          <w:iCs/>
          <w:color w:val="000000" w:themeColor="text1"/>
          <w:sz w:val="16"/>
          <w:szCs w:val="16"/>
        </w:rPr>
        <w:t>ratio</w:t>
      </w:r>
      <w:proofErr w:type="spellEnd"/>
      <w:r w:rsidRPr="001E2515">
        <w:rPr>
          <w:rFonts w:eastAsiaTheme="minorEastAsia"/>
          <w:i/>
          <w:iCs/>
          <w:color w:val="000000" w:themeColor="text1"/>
          <w:sz w:val="16"/>
          <w:szCs w:val="16"/>
        </w:rPr>
        <w:t xml:space="preserve"> de 11%)</w:t>
      </w:r>
    </w:p>
    <w:p w14:paraId="24BC302C" w14:textId="41C1B32F" w:rsidR="00FB3C4C" w:rsidRPr="001E2515" w:rsidRDefault="00FB3C4C" w:rsidP="00FB3C4C">
      <w:pPr>
        <w:spacing w:after="0" w:line="240" w:lineRule="auto"/>
        <w:jc w:val="both"/>
        <w:rPr>
          <w:rFonts w:eastAsiaTheme="minorEastAsia"/>
          <w:i/>
          <w:iCs/>
          <w:color w:val="000000" w:themeColor="text1"/>
          <w:sz w:val="16"/>
          <w:szCs w:val="16"/>
        </w:rPr>
      </w:pPr>
      <w:r w:rsidRPr="00FB3C4C">
        <w:rPr>
          <w:rFonts w:eastAsiaTheme="minorEastAsia"/>
          <w:b/>
          <w:bCs/>
          <w:i/>
          <w:iCs/>
          <w:color w:val="000000" w:themeColor="text1"/>
          <w:sz w:val="16"/>
          <w:szCs w:val="16"/>
        </w:rPr>
        <w:t>Fonte e elaboração:</w:t>
      </w:r>
      <w:r w:rsidRPr="00FB3C4C">
        <w:rPr>
          <w:rFonts w:eastAsiaTheme="minorEastAsia"/>
          <w:i/>
          <w:iCs/>
          <w:color w:val="000000" w:themeColor="text1"/>
          <w:sz w:val="16"/>
          <w:szCs w:val="16"/>
        </w:rPr>
        <w:t xml:space="preserve"> Camex/ME.</w:t>
      </w:r>
    </w:p>
    <w:p w14:paraId="78EFE479" w14:textId="77777777" w:rsidR="00544987" w:rsidRPr="009B04B3" w:rsidRDefault="00544987" w:rsidP="006763AE">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Riscos fiscais mapeados relacionados a operações do FGE</w:t>
      </w:r>
    </w:p>
    <w:p w14:paraId="1C12240D" w14:textId="7F9C3A0B" w:rsidR="00F74E69" w:rsidRPr="009B04B3" w:rsidRDefault="00D84742" w:rsidP="0078338D">
      <w:pPr>
        <w:spacing w:after="120" w:line="240" w:lineRule="auto"/>
        <w:ind w:firstLine="1418"/>
        <w:jc w:val="both"/>
        <w:rPr>
          <w:w w:val="105"/>
          <w:sz w:val="24"/>
          <w:szCs w:val="24"/>
        </w:rPr>
      </w:pPr>
      <w:r w:rsidRPr="00D84742">
        <w:rPr>
          <w:w w:val="105"/>
          <w:sz w:val="24"/>
          <w:szCs w:val="24"/>
        </w:rPr>
        <w:t>Com relação aos riscos fiscais mapeados relacionados às operações do FGE, embora haja sustentabilidade atuarial e provisionamento de liquidez adequado do Fundo, seu limite operacional se dá por meio de sua capacidade de indenização e, por conseguinte, pela dotação orçamentária consignada</w:t>
      </w:r>
      <w:r w:rsidR="559F527D" w:rsidRPr="00D84742">
        <w:rPr>
          <w:w w:val="105"/>
          <w:sz w:val="24"/>
          <w:szCs w:val="24"/>
        </w:rPr>
        <w:t xml:space="preserve"> </w:t>
      </w:r>
      <w:r w:rsidR="559F527D" w:rsidRPr="48AA3F6C">
        <w:rPr>
          <w:rFonts w:eastAsiaTheme="minorEastAsia"/>
          <w:color w:val="000000" w:themeColor="text1"/>
          <w:sz w:val="24"/>
          <w:szCs w:val="24"/>
        </w:rPr>
        <w:t>e pela programação financeira do Ministério da Economia</w:t>
      </w:r>
      <w:r w:rsidR="559F527D" w:rsidRPr="48AA3F6C">
        <w:rPr>
          <w:rFonts w:ascii="Times New Roman" w:eastAsia="Times New Roman" w:hAnsi="Times New Roman" w:cs="Times New Roman"/>
          <w:color w:val="000000" w:themeColor="text1"/>
          <w:sz w:val="24"/>
          <w:szCs w:val="24"/>
        </w:rPr>
        <w:t>.</w:t>
      </w:r>
      <w:r w:rsidRPr="00D84742">
        <w:rPr>
          <w:w w:val="105"/>
          <w:sz w:val="24"/>
          <w:szCs w:val="24"/>
        </w:rPr>
        <w:t xml:space="preserve"> Dessa forma, a incerteza na obtenção da dotação orçamentária necessária à operação do SCE/FGE gera risco ao pagamento de garantias.</w:t>
      </w:r>
    </w:p>
    <w:p w14:paraId="3BA42268" w14:textId="0795E22A" w:rsidR="00544987" w:rsidRPr="009B04B3" w:rsidRDefault="00544987" w:rsidP="0078338D">
      <w:pPr>
        <w:spacing w:after="120" w:line="240" w:lineRule="auto"/>
        <w:ind w:firstLine="1418"/>
        <w:jc w:val="both"/>
        <w:rPr>
          <w:w w:val="105"/>
          <w:sz w:val="24"/>
          <w:szCs w:val="24"/>
        </w:rPr>
      </w:pPr>
      <w:r w:rsidRPr="009B04B3">
        <w:rPr>
          <w:w w:val="105"/>
          <w:sz w:val="24"/>
          <w:szCs w:val="24"/>
        </w:rPr>
        <w:t>Isso ocorre porque se trata de fundo especial de natureza contábil, nos termos do art. 71, §1º, do Decreto nº 93.872/1986, constituído por disponibilidades financeiras evidenciadas em registros contábeis, destinadas a atender a saques efetuados diretamente contra o caixa do Tesouro Nacional. Os recursos da arrecadação de prêmios e seu patrimônio, portanto, destinam-se à Conta Única do Tesouro, e, sem autorização orçamentária, não podem ser livremente utilizados para eventual honra de garantias ou dispêndio com outras atividades necessárias à operação do Fundo, como a contratação de advogados para a recuperação de créditos e a devolução de prêmios. Segundo o art. 72 do decreto já mencionado, a “aplicação de receitas vinculadas a fundos especiais far-se-á através de dotação consignada na Lei de Orçamento ou em crédito adicional.</w:t>
      </w:r>
      <w:proofErr w:type="gramStart"/>
      <w:r w:rsidRPr="009B04B3">
        <w:rPr>
          <w:w w:val="105"/>
          <w:sz w:val="24"/>
          <w:szCs w:val="24"/>
        </w:rPr>
        <w:t>”</w:t>
      </w:r>
      <w:proofErr w:type="gramEnd"/>
    </w:p>
    <w:p w14:paraId="22C8C86C" w14:textId="23186898" w:rsidR="00544987" w:rsidRPr="009B04B3" w:rsidRDefault="00544987" w:rsidP="0078338D">
      <w:pPr>
        <w:spacing w:after="120" w:line="240" w:lineRule="auto"/>
        <w:ind w:firstLine="1418"/>
        <w:jc w:val="both"/>
        <w:rPr>
          <w:w w:val="105"/>
          <w:sz w:val="24"/>
          <w:szCs w:val="24"/>
        </w:rPr>
      </w:pPr>
      <w:r w:rsidRPr="009B04B3">
        <w:rPr>
          <w:w w:val="105"/>
          <w:sz w:val="24"/>
          <w:szCs w:val="24"/>
        </w:rPr>
        <w:t>No que tange à natureza das despesas do FGE, estas se enquadram na categoria das</w:t>
      </w:r>
      <w:r w:rsidR="00EC4E7A" w:rsidRPr="009B04B3">
        <w:rPr>
          <w:w w:val="105"/>
          <w:sz w:val="24"/>
          <w:szCs w:val="24"/>
        </w:rPr>
        <w:t xml:space="preserve"> despesas</w:t>
      </w:r>
      <w:r w:rsidRPr="009B04B3">
        <w:rPr>
          <w:w w:val="105"/>
          <w:sz w:val="24"/>
          <w:szCs w:val="24"/>
        </w:rPr>
        <w:t xml:space="preserve"> discricionárias e, no caso de limitações de empenho e movimentação financeira para cumprimento da meta fiscal, no transcorrer da execução orçamentária, há impactos em tal categoria de despesa, de acordo com o que estabelece o art. 9º da LRF.</w:t>
      </w:r>
    </w:p>
    <w:p w14:paraId="0BBDAC82" w14:textId="0530E252" w:rsidR="00544987" w:rsidRPr="009B04B3" w:rsidRDefault="00711E86" w:rsidP="0078338D">
      <w:pPr>
        <w:spacing w:after="120" w:line="240" w:lineRule="auto"/>
        <w:ind w:firstLine="1418"/>
        <w:jc w:val="both"/>
        <w:rPr>
          <w:w w:val="105"/>
          <w:sz w:val="24"/>
          <w:szCs w:val="24"/>
        </w:rPr>
      </w:pPr>
      <w:r w:rsidRPr="009B04B3">
        <w:rPr>
          <w:w w:val="105"/>
          <w:sz w:val="24"/>
          <w:szCs w:val="24"/>
        </w:rPr>
        <w:t>Há ainda o risco cambia</w:t>
      </w:r>
      <w:r w:rsidR="00267BF8" w:rsidRPr="009B04B3">
        <w:rPr>
          <w:w w:val="105"/>
          <w:sz w:val="24"/>
          <w:szCs w:val="24"/>
        </w:rPr>
        <w:t>l</w:t>
      </w:r>
      <w:r w:rsidRPr="009B04B3">
        <w:rPr>
          <w:w w:val="105"/>
          <w:sz w:val="24"/>
          <w:szCs w:val="24"/>
        </w:rPr>
        <w:t xml:space="preserve"> associado às operações do FGE,</w:t>
      </w:r>
      <w:r w:rsidR="00D365CE" w:rsidRPr="009B04B3">
        <w:rPr>
          <w:w w:val="105"/>
          <w:sz w:val="24"/>
          <w:szCs w:val="24"/>
        </w:rPr>
        <w:t xml:space="preserve"> </w:t>
      </w:r>
      <w:r w:rsidRPr="009B04B3">
        <w:rPr>
          <w:w w:val="105"/>
          <w:sz w:val="24"/>
          <w:szCs w:val="24"/>
        </w:rPr>
        <w:t>uma vez que as suas</w:t>
      </w:r>
      <w:r w:rsidR="00544987" w:rsidRPr="009B04B3">
        <w:rPr>
          <w:w w:val="105"/>
          <w:sz w:val="24"/>
          <w:szCs w:val="24"/>
        </w:rPr>
        <w:t xml:space="preserve"> despesas com indenizações são </w:t>
      </w:r>
      <w:r w:rsidRPr="009B04B3">
        <w:rPr>
          <w:w w:val="105"/>
          <w:sz w:val="24"/>
          <w:szCs w:val="24"/>
        </w:rPr>
        <w:t>l</w:t>
      </w:r>
      <w:r w:rsidR="00544987" w:rsidRPr="009B04B3">
        <w:rPr>
          <w:w w:val="105"/>
          <w:sz w:val="24"/>
          <w:szCs w:val="24"/>
        </w:rPr>
        <w:t>astreadas</w:t>
      </w:r>
      <w:r w:rsidR="00576337" w:rsidRPr="009B04B3">
        <w:rPr>
          <w:w w:val="105"/>
          <w:sz w:val="24"/>
          <w:szCs w:val="24"/>
        </w:rPr>
        <w:t xml:space="preserve"> quase em sua totalida</w:t>
      </w:r>
      <w:r w:rsidR="00267BF8" w:rsidRPr="009B04B3">
        <w:rPr>
          <w:w w:val="105"/>
          <w:sz w:val="24"/>
          <w:szCs w:val="24"/>
        </w:rPr>
        <w:t>de</w:t>
      </w:r>
      <w:r w:rsidR="00544987" w:rsidRPr="009B04B3">
        <w:rPr>
          <w:w w:val="105"/>
          <w:sz w:val="24"/>
          <w:szCs w:val="24"/>
        </w:rPr>
        <w:t xml:space="preserve"> em dólar</w:t>
      </w:r>
      <w:r w:rsidR="00267BF8" w:rsidRPr="009B04B3">
        <w:rPr>
          <w:w w:val="105"/>
          <w:sz w:val="24"/>
          <w:szCs w:val="24"/>
        </w:rPr>
        <w:t xml:space="preserve">, enquanto </w:t>
      </w:r>
      <w:r w:rsidR="00544987" w:rsidRPr="009B04B3">
        <w:rPr>
          <w:w w:val="105"/>
          <w:sz w:val="24"/>
          <w:szCs w:val="24"/>
        </w:rPr>
        <w:t xml:space="preserve">o orçamento é estabelecido em moeda nacional. A variação cambial entre o momento </w:t>
      </w:r>
      <w:r w:rsidR="00E16905" w:rsidRPr="009B04B3">
        <w:rPr>
          <w:w w:val="105"/>
          <w:sz w:val="24"/>
          <w:szCs w:val="24"/>
        </w:rPr>
        <w:t>da elaboração do</w:t>
      </w:r>
      <w:r w:rsidR="00544987" w:rsidRPr="009B04B3">
        <w:rPr>
          <w:w w:val="105"/>
          <w:sz w:val="24"/>
          <w:szCs w:val="24"/>
        </w:rPr>
        <w:t xml:space="preserve"> orçamento para um exercício até o momento do pagamento da indenização gera </w:t>
      </w:r>
      <w:r w:rsidR="00544987" w:rsidRPr="009B04B3">
        <w:rPr>
          <w:w w:val="105"/>
          <w:sz w:val="24"/>
          <w:szCs w:val="24"/>
        </w:rPr>
        <w:lastRenderedPageBreak/>
        <w:t xml:space="preserve">incerteza quanto à adequação </w:t>
      </w:r>
      <w:r w:rsidR="00E16905" w:rsidRPr="009B04B3">
        <w:rPr>
          <w:w w:val="105"/>
          <w:sz w:val="24"/>
          <w:szCs w:val="24"/>
        </w:rPr>
        <w:t>orçamentária</w:t>
      </w:r>
      <w:r w:rsidR="00544987" w:rsidRPr="009B04B3">
        <w:rPr>
          <w:w w:val="105"/>
          <w:sz w:val="24"/>
          <w:szCs w:val="24"/>
        </w:rPr>
        <w:t xml:space="preserve"> do Fundo. Ressalta-se que o período entre </w:t>
      </w:r>
      <w:r w:rsidR="00E20CA1" w:rsidRPr="009B04B3">
        <w:rPr>
          <w:w w:val="105"/>
          <w:sz w:val="24"/>
          <w:szCs w:val="24"/>
        </w:rPr>
        <w:t>a elaboração</w:t>
      </w:r>
      <w:r w:rsidR="00544987" w:rsidRPr="009B04B3">
        <w:rPr>
          <w:w w:val="105"/>
          <w:sz w:val="24"/>
          <w:szCs w:val="24"/>
        </w:rPr>
        <w:t xml:space="preserve"> do orçamento e o efetivo pagamento de indenização pode durar até dois anos.</w:t>
      </w:r>
    </w:p>
    <w:p w14:paraId="068F9F78" w14:textId="77777777" w:rsidR="00544987" w:rsidRPr="009B04B3" w:rsidRDefault="00544987" w:rsidP="00A34A82">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Possíveis consequências de insuficiência de orçamento do FGE</w:t>
      </w:r>
    </w:p>
    <w:p w14:paraId="4EE56076" w14:textId="3446D3F8" w:rsidR="00544987" w:rsidRPr="009B04B3" w:rsidRDefault="00544987" w:rsidP="00760015">
      <w:pPr>
        <w:spacing w:after="120" w:line="240" w:lineRule="auto"/>
        <w:ind w:firstLine="1418"/>
        <w:jc w:val="both"/>
        <w:rPr>
          <w:w w:val="105"/>
          <w:sz w:val="24"/>
          <w:szCs w:val="24"/>
        </w:rPr>
      </w:pPr>
      <w:r w:rsidRPr="009B04B3">
        <w:rPr>
          <w:w w:val="105"/>
          <w:sz w:val="24"/>
          <w:szCs w:val="24"/>
        </w:rPr>
        <w:t>No caso de insuficiência de orçamento do FGE e na hipótese de a União não honrar sua obrigação em um contrato, o Garantido poderá procurar a execução da dívida via processo judicial e a União terá que pagar juros de mora em razão do atraso. No entanto, as consequências do não pagamento das obrigações do SCE/FGE têm abrangência mais ampla.</w:t>
      </w:r>
    </w:p>
    <w:p w14:paraId="50B26C9A" w14:textId="79B6284E" w:rsidR="00544987" w:rsidRPr="009B04B3" w:rsidRDefault="00544987" w:rsidP="00760015">
      <w:pPr>
        <w:spacing w:after="120" w:line="240" w:lineRule="auto"/>
        <w:ind w:firstLine="1418"/>
        <w:jc w:val="both"/>
        <w:rPr>
          <w:w w:val="105"/>
          <w:sz w:val="24"/>
          <w:szCs w:val="24"/>
        </w:rPr>
      </w:pPr>
      <w:proofErr w:type="gramStart"/>
      <w:r w:rsidRPr="009B04B3">
        <w:rPr>
          <w:w w:val="105"/>
          <w:sz w:val="24"/>
          <w:szCs w:val="24"/>
        </w:rPr>
        <w:t>Cerca de 97</w:t>
      </w:r>
      <w:proofErr w:type="gramEnd"/>
      <w:r w:rsidRPr="009B04B3">
        <w:rPr>
          <w:w w:val="105"/>
          <w:sz w:val="24"/>
          <w:szCs w:val="24"/>
        </w:rPr>
        <w:t xml:space="preserve">% das indenizações dos sinistros </w:t>
      </w:r>
      <w:r w:rsidR="23938514" w:rsidRPr="009B04B3">
        <w:rPr>
          <w:w w:val="105"/>
          <w:sz w:val="24"/>
          <w:szCs w:val="24"/>
        </w:rPr>
        <w:t>presentes na carteira do FGE</w:t>
      </w:r>
      <w:r w:rsidRPr="009B04B3">
        <w:rPr>
          <w:w w:val="105"/>
          <w:sz w:val="24"/>
          <w:szCs w:val="24"/>
        </w:rPr>
        <w:t xml:space="preserve"> têm como beneficiário o BNDES. A inadimplência com esse Garantido pode configurar operação de crédito com instituição financeira controlada pela União, prática vedada pela </w:t>
      </w:r>
      <w:r w:rsidR="25622B65" w:rsidRPr="009B04B3">
        <w:rPr>
          <w:w w:val="105"/>
          <w:sz w:val="24"/>
          <w:szCs w:val="24"/>
        </w:rPr>
        <w:t>LRF</w:t>
      </w:r>
      <w:r w:rsidRPr="009B04B3">
        <w:rPr>
          <w:w w:val="105"/>
          <w:sz w:val="24"/>
          <w:szCs w:val="24"/>
        </w:rPr>
        <w:t xml:space="preserve"> (</w:t>
      </w:r>
      <w:r w:rsidR="492225CB" w:rsidRPr="009B04B3">
        <w:rPr>
          <w:w w:val="105"/>
          <w:sz w:val="24"/>
          <w:szCs w:val="24"/>
        </w:rPr>
        <w:t>LC</w:t>
      </w:r>
      <w:r w:rsidRPr="009B04B3">
        <w:rPr>
          <w:w w:val="105"/>
          <w:sz w:val="24"/>
          <w:szCs w:val="24"/>
        </w:rPr>
        <w:t xml:space="preserve"> nº 101</w:t>
      </w:r>
      <w:r w:rsidR="620C13FF" w:rsidRPr="009B04B3">
        <w:rPr>
          <w:w w:val="105"/>
          <w:sz w:val="24"/>
          <w:szCs w:val="24"/>
        </w:rPr>
        <w:t>/2000</w:t>
      </w:r>
      <w:r w:rsidRPr="009B04B3">
        <w:rPr>
          <w:w w:val="105"/>
          <w:sz w:val="24"/>
          <w:szCs w:val="24"/>
        </w:rPr>
        <w:t>).</w:t>
      </w:r>
    </w:p>
    <w:p w14:paraId="67FD32B3" w14:textId="0636D480" w:rsidR="00544987" w:rsidRPr="009B04B3" w:rsidRDefault="00544987" w:rsidP="00760015">
      <w:pPr>
        <w:spacing w:after="120" w:line="240" w:lineRule="auto"/>
        <w:ind w:firstLine="1418"/>
        <w:jc w:val="both"/>
        <w:rPr>
          <w:w w:val="105"/>
          <w:sz w:val="24"/>
          <w:szCs w:val="24"/>
        </w:rPr>
      </w:pPr>
      <w:r w:rsidRPr="009B04B3">
        <w:rPr>
          <w:w w:val="105"/>
          <w:sz w:val="24"/>
          <w:szCs w:val="24"/>
        </w:rPr>
        <w:t xml:space="preserve">Por outro lado, caso o Garantido seja uma instituição financeira internacional, existe a possibilidade de declaração do </w:t>
      </w:r>
      <w:r w:rsidRPr="00A54988">
        <w:rPr>
          <w:i/>
          <w:w w:val="105"/>
          <w:sz w:val="24"/>
          <w:szCs w:val="24"/>
        </w:rPr>
        <w:t>Cross-Default</w:t>
      </w:r>
      <w:r w:rsidRPr="009B04B3">
        <w:rPr>
          <w:w w:val="105"/>
          <w:sz w:val="24"/>
          <w:szCs w:val="24"/>
        </w:rPr>
        <w:t xml:space="preserve"> (inadimplência cruzada) do Brasil, que vincula contratos de dívida não relacionados, implicando possibilidade de declaração do </w:t>
      </w:r>
      <w:r w:rsidRPr="00A54988">
        <w:rPr>
          <w:i/>
          <w:w w:val="105"/>
          <w:sz w:val="24"/>
          <w:szCs w:val="24"/>
        </w:rPr>
        <w:t>default</w:t>
      </w:r>
      <w:r w:rsidRPr="009B04B3">
        <w:rPr>
          <w:w w:val="105"/>
          <w:sz w:val="24"/>
          <w:szCs w:val="24"/>
        </w:rPr>
        <w:t xml:space="preserve"> do Brasil em todos os contratos em que o país figura como devedor. Essa situação poderia trazer consequências sobre a confiança no Governo e na economia nacional como um todo.</w:t>
      </w:r>
    </w:p>
    <w:p w14:paraId="778EE64C" w14:textId="731ED417" w:rsidR="00544987" w:rsidRPr="009B04B3" w:rsidRDefault="00764910" w:rsidP="00A34A82">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M</w:t>
      </w:r>
      <w:r w:rsidR="00544987" w:rsidRPr="009B04B3">
        <w:rPr>
          <w:rFonts w:asciiTheme="minorHAnsi" w:hAnsiTheme="minorHAnsi"/>
        </w:rPr>
        <w:t xml:space="preserve">ensuração dos impactos </w:t>
      </w:r>
      <w:r w:rsidR="006677E4" w:rsidRPr="009B04B3">
        <w:rPr>
          <w:rFonts w:asciiTheme="minorHAnsi" w:hAnsiTheme="minorHAnsi"/>
        </w:rPr>
        <w:t>d</w:t>
      </w:r>
      <w:r w:rsidR="00265624" w:rsidRPr="009B04B3">
        <w:rPr>
          <w:rFonts w:asciiTheme="minorHAnsi" w:hAnsiTheme="minorHAnsi"/>
        </w:rPr>
        <w:t>a manutenção do</w:t>
      </w:r>
      <w:r w:rsidR="006677E4" w:rsidRPr="009B04B3">
        <w:rPr>
          <w:rFonts w:asciiTheme="minorHAnsi" w:hAnsiTheme="minorHAnsi"/>
        </w:rPr>
        <w:t xml:space="preserve"> SCE - FGE</w:t>
      </w:r>
    </w:p>
    <w:p w14:paraId="18F23CD0" w14:textId="2B9626A3" w:rsidR="009D6C1C" w:rsidRDefault="00544987" w:rsidP="00712DB2">
      <w:pPr>
        <w:spacing w:before="240" w:after="120" w:line="240" w:lineRule="auto"/>
        <w:ind w:firstLine="1416"/>
        <w:jc w:val="both"/>
        <w:rPr>
          <w:w w:val="105"/>
          <w:sz w:val="24"/>
          <w:szCs w:val="24"/>
        </w:rPr>
      </w:pPr>
      <w:r w:rsidRPr="009B04B3">
        <w:rPr>
          <w:w w:val="105"/>
          <w:sz w:val="24"/>
          <w:szCs w:val="24"/>
        </w:rPr>
        <w:t xml:space="preserve">A estimativa do impacto nas contas públicas da manutenção do </w:t>
      </w:r>
      <w:r w:rsidR="233C422A" w:rsidRPr="009B04B3">
        <w:rPr>
          <w:w w:val="105"/>
          <w:sz w:val="24"/>
          <w:szCs w:val="24"/>
        </w:rPr>
        <w:t>SCE</w:t>
      </w:r>
      <w:r w:rsidRPr="009B04B3">
        <w:rPr>
          <w:w w:val="105"/>
          <w:sz w:val="24"/>
          <w:szCs w:val="24"/>
        </w:rPr>
        <w:t xml:space="preserve">, com lastro no </w:t>
      </w:r>
      <w:r w:rsidR="19F15A78" w:rsidRPr="009B04B3">
        <w:rPr>
          <w:w w:val="105"/>
          <w:sz w:val="24"/>
          <w:szCs w:val="24"/>
        </w:rPr>
        <w:t>FGE</w:t>
      </w:r>
      <w:r w:rsidRPr="009B04B3">
        <w:rPr>
          <w:w w:val="105"/>
          <w:sz w:val="24"/>
          <w:szCs w:val="24"/>
        </w:rPr>
        <w:t>, no exercício atual e nos três subsequentes é apresentad</w:t>
      </w:r>
      <w:r w:rsidR="00332B96" w:rsidRPr="009B04B3">
        <w:rPr>
          <w:w w:val="105"/>
          <w:sz w:val="24"/>
          <w:szCs w:val="24"/>
        </w:rPr>
        <w:t>o</w:t>
      </w:r>
      <w:r w:rsidRPr="009B04B3">
        <w:rPr>
          <w:w w:val="105"/>
          <w:sz w:val="24"/>
          <w:szCs w:val="24"/>
        </w:rPr>
        <w:t xml:space="preserve"> na </w:t>
      </w:r>
      <w:r w:rsidR="00712DB2" w:rsidRPr="00712DB2">
        <w:rPr>
          <w:w w:val="105"/>
          <w:sz w:val="24"/>
          <w:szCs w:val="24"/>
        </w:rPr>
        <w:fldChar w:fldCharType="begin"/>
      </w:r>
      <w:r w:rsidR="00712DB2" w:rsidRPr="00712DB2">
        <w:rPr>
          <w:w w:val="105"/>
          <w:sz w:val="24"/>
          <w:szCs w:val="24"/>
        </w:rPr>
        <w:instrText xml:space="preserve"> REF _Ref35269964 \h  \* MERGEFORMAT </w:instrText>
      </w:r>
      <w:r w:rsidR="00712DB2" w:rsidRPr="00712DB2">
        <w:rPr>
          <w:w w:val="105"/>
          <w:sz w:val="24"/>
          <w:szCs w:val="24"/>
        </w:rPr>
      </w:r>
      <w:r w:rsidR="00712DB2" w:rsidRPr="00712DB2">
        <w:rPr>
          <w:w w:val="105"/>
          <w:sz w:val="24"/>
          <w:szCs w:val="24"/>
        </w:rPr>
        <w:fldChar w:fldCharType="separate"/>
      </w:r>
      <w:r w:rsidR="00304F5F" w:rsidRPr="00304F5F">
        <w:rPr>
          <w:sz w:val="24"/>
          <w:szCs w:val="24"/>
        </w:rPr>
        <w:t xml:space="preserve">Tabela </w:t>
      </w:r>
      <w:r w:rsidR="00304F5F" w:rsidRPr="00304F5F">
        <w:rPr>
          <w:noProof/>
          <w:sz w:val="24"/>
          <w:szCs w:val="24"/>
        </w:rPr>
        <w:t>34</w:t>
      </w:r>
      <w:r w:rsidR="00712DB2" w:rsidRPr="00712DB2">
        <w:rPr>
          <w:w w:val="105"/>
          <w:sz w:val="24"/>
          <w:szCs w:val="24"/>
        </w:rPr>
        <w:fldChar w:fldCharType="end"/>
      </w:r>
      <w:r w:rsidR="00712DB2" w:rsidRPr="00712DB2">
        <w:rPr>
          <w:w w:val="105"/>
          <w:sz w:val="24"/>
          <w:szCs w:val="24"/>
        </w:rPr>
        <w:t>.</w:t>
      </w:r>
    </w:p>
    <w:p w14:paraId="254C6A9B" w14:textId="7066F8E5" w:rsidR="0078231A" w:rsidRPr="0078231A" w:rsidRDefault="0078231A" w:rsidP="00007D1A">
      <w:pPr>
        <w:pStyle w:val="Legenda"/>
        <w:spacing w:before="240" w:after="120"/>
        <w:ind w:left="1134" w:right="1134"/>
        <w:jc w:val="center"/>
        <w:rPr>
          <w:rFonts w:asciiTheme="minorHAnsi" w:hAnsiTheme="minorHAnsi"/>
          <w:i w:val="0"/>
          <w:color w:val="auto"/>
          <w:sz w:val="22"/>
          <w:szCs w:val="22"/>
        </w:rPr>
      </w:pPr>
      <w:bookmarkStart w:id="301" w:name="_Ref35269964"/>
      <w:bookmarkStart w:id="302" w:name="_Ref35269868"/>
      <w:bookmarkStart w:id="303" w:name="_Toc69121380"/>
      <w:r w:rsidRPr="0078231A">
        <w:rPr>
          <w:rFonts w:asciiTheme="minorHAnsi" w:hAnsiTheme="minorHAnsi"/>
          <w:i w:val="0"/>
          <w:color w:val="auto"/>
          <w:sz w:val="22"/>
          <w:szCs w:val="22"/>
        </w:rPr>
        <w:t xml:space="preserve">Tabela </w:t>
      </w:r>
      <w:r w:rsidRPr="0078231A">
        <w:rPr>
          <w:rFonts w:asciiTheme="minorHAnsi" w:hAnsiTheme="minorHAnsi"/>
          <w:i w:val="0"/>
          <w:color w:val="auto"/>
          <w:sz w:val="22"/>
          <w:szCs w:val="22"/>
        </w:rPr>
        <w:fldChar w:fldCharType="begin"/>
      </w:r>
      <w:r w:rsidRPr="0078231A">
        <w:rPr>
          <w:rFonts w:asciiTheme="minorHAnsi" w:hAnsiTheme="minorHAnsi"/>
          <w:i w:val="0"/>
          <w:color w:val="auto"/>
          <w:sz w:val="22"/>
          <w:szCs w:val="22"/>
        </w:rPr>
        <w:instrText xml:space="preserve"> SEQ Tabela \* ARABIC </w:instrText>
      </w:r>
      <w:r w:rsidRPr="0078231A">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34</w:t>
      </w:r>
      <w:r w:rsidRPr="0078231A">
        <w:rPr>
          <w:rFonts w:asciiTheme="minorHAnsi" w:hAnsiTheme="minorHAnsi"/>
          <w:i w:val="0"/>
          <w:color w:val="auto"/>
          <w:sz w:val="22"/>
          <w:szCs w:val="22"/>
        </w:rPr>
        <w:fldChar w:fldCharType="end"/>
      </w:r>
      <w:bookmarkEnd w:id="301"/>
      <w:r w:rsidRPr="0078231A">
        <w:rPr>
          <w:rFonts w:asciiTheme="minorHAnsi" w:hAnsiTheme="minorHAnsi"/>
          <w:i w:val="0"/>
          <w:color w:val="auto"/>
          <w:sz w:val="22"/>
          <w:szCs w:val="22"/>
        </w:rPr>
        <w:t xml:space="preserve"> - </w:t>
      </w:r>
      <w:proofErr w:type="gramStart"/>
      <w:r w:rsidRPr="0078231A">
        <w:rPr>
          <w:rFonts w:asciiTheme="minorHAnsi" w:hAnsiTheme="minorHAnsi"/>
          <w:i w:val="0"/>
          <w:color w:val="auto"/>
          <w:sz w:val="22"/>
          <w:szCs w:val="22"/>
        </w:rPr>
        <w:t>Estimativa de impacto da manutenção do Seguro de Crédito</w:t>
      </w:r>
      <w:proofErr w:type="gramEnd"/>
      <w:r w:rsidRPr="0078231A">
        <w:rPr>
          <w:rFonts w:asciiTheme="minorHAnsi" w:hAnsiTheme="minorHAnsi"/>
          <w:i w:val="0"/>
          <w:color w:val="auto"/>
          <w:sz w:val="22"/>
          <w:szCs w:val="22"/>
        </w:rPr>
        <w:t xml:space="preserve"> à Exportação</w:t>
      </w:r>
      <w:bookmarkEnd w:id="302"/>
      <w:bookmarkEnd w:id="303"/>
    </w:p>
    <w:tbl>
      <w:tblPr>
        <w:tblStyle w:val="Tabelacomgrade"/>
        <w:tblW w:w="0" w:type="auto"/>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99"/>
        <w:gridCol w:w="1335"/>
        <w:gridCol w:w="1335"/>
        <w:gridCol w:w="1335"/>
        <w:gridCol w:w="1335"/>
      </w:tblGrid>
      <w:tr w:rsidR="00120896" w:rsidRPr="006C1A06" w14:paraId="2412A98E" w14:textId="77777777" w:rsidTr="00B269D5">
        <w:trPr>
          <w:trHeight w:val="20"/>
          <w:tblHeader/>
          <w:jc w:val="center"/>
        </w:trPr>
        <w:tc>
          <w:tcPr>
            <w:tcW w:w="0" w:type="auto"/>
            <w:gridSpan w:val="5"/>
            <w:tcBorders>
              <w:top w:val="nil"/>
              <w:left w:val="nil"/>
              <w:bottom w:val="single" w:sz="4" w:space="0" w:color="BFBFBF" w:themeColor="background1" w:themeShade="BF"/>
              <w:right w:val="nil"/>
            </w:tcBorders>
            <w:shd w:val="clear" w:color="auto" w:fill="FFFFFF" w:themeFill="background1"/>
            <w:vAlign w:val="center"/>
          </w:tcPr>
          <w:p w14:paraId="00B1122B" w14:textId="5CC93C22" w:rsidR="00120896" w:rsidRPr="00934900" w:rsidRDefault="00120896" w:rsidP="006C1A06">
            <w:pPr>
              <w:autoSpaceDE w:val="0"/>
              <w:autoSpaceDN w:val="0"/>
              <w:adjustRightInd w:val="0"/>
              <w:jc w:val="right"/>
              <w:rPr>
                <w:b/>
                <w:color w:val="FFFFFF" w:themeColor="background1"/>
                <w:sz w:val="16"/>
                <w:szCs w:val="16"/>
              </w:rPr>
            </w:pPr>
            <w:r w:rsidRPr="00934900">
              <w:rPr>
                <w:i/>
                <w:sz w:val="16"/>
                <w:szCs w:val="16"/>
              </w:rPr>
              <w:t>Em milhões (R$/US$)</w:t>
            </w:r>
          </w:p>
        </w:tc>
      </w:tr>
      <w:tr w:rsidR="00302381" w:rsidRPr="00B269D5" w14:paraId="477081BB" w14:textId="77777777" w:rsidTr="00B269D5">
        <w:trPr>
          <w:trHeight w:val="20"/>
          <w:tblHeader/>
          <w:jc w:val="center"/>
        </w:trPr>
        <w:tc>
          <w:tcPr>
            <w:tcW w:w="0" w:type="auto"/>
            <w:tcBorders>
              <w:top w:val="single" w:sz="4" w:space="0" w:color="BFBFBF" w:themeColor="background1" w:themeShade="BF"/>
            </w:tcBorders>
            <w:shd w:val="clear" w:color="auto" w:fill="404040" w:themeFill="text1" w:themeFillTint="BF"/>
            <w:vAlign w:val="center"/>
          </w:tcPr>
          <w:p w14:paraId="4B1607FC" w14:textId="4DDB8965" w:rsidR="00302381" w:rsidRPr="00B269D5" w:rsidRDefault="00302381" w:rsidP="00E96A5F">
            <w:pPr>
              <w:autoSpaceDE w:val="0"/>
              <w:autoSpaceDN w:val="0"/>
              <w:adjustRightInd w:val="0"/>
              <w:jc w:val="center"/>
              <w:rPr>
                <w:b/>
                <w:bCs/>
                <w:color w:val="FFFFFF" w:themeColor="background1"/>
                <w:sz w:val="20"/>
                <w:szCs w:val="20"/>
              </w:rPr>
            </w:pPr>
          </w:p>
        </w:tc>
        <w:tc>
          <w:tcPr>
            <w:tcW w:w="0" w:type="auto"/>
            <w:tcBorders>
              <w:top w:val="single" w:sz="4" w:space="0" w:color="BFBFBF" w:themeColor="background1" w:themeShade="BF"/>
            </w:tcBorders>
            <w:shd w:val="clear" w:color="auto" w:fill="404040" w:themeFill="text1" w:themeFillTint="BF"/>
            <w:vAlign w:val="center"/>
          </w:tcPr>
          <w:p w14:paraId="273D211F" w14:textId="5B94EDF9" w:rsidR="00302381" w:rsidRPr="00B269D5" w:rsidRDefault="78B38340" w:rsidP="00E96A5F">
            <w:pPr>
              <w:autoSpaceDE w:val="0"/>
              <w:autoSpaceDN w:val="0"/>
              <w:adjustRightInd w:val="0"/>
              <w:jc w:val="center"/>
              <w:rPr>
                <w:b/>
                <w:bCs/>
                <w:color w:val="FFFFFF" w:themeColor="background1"/>
                <w:sz w:val="20"/>
                <w:szCs w:val="20"/>
              </w:rPr>
            </w:pPr>
            <w:r w:rsidRPr="00B269D5">
              <w:rPr>
                <w:b/>
                <w:bCs/>
                <w:color w:val="FFFFFF" w:themeColor="background1"/>
                <w:sz w:val="20"/>
                <w:szCs w:val="20"/>
              </w:rPr>
              <w:t>202</w:t>
            </w:r>
            <w:r w:rsidR="1241B3F1" w:rsidRPr="00B269D5">
              <w:rPr>
                <w:b/>
                <w:bCs/>
                <w:color w:val="FFFFFF" w:themeColor="background1"/>
                <w:sz w:val="20"/>
                <w:szCs w:val="20"/>
              </w:rPr>
              <w:t>1</w:t>
            </w:r>
          </w:p>
        </w:tc>
        <w:tc>
          <w:tcPr>
            <w:tcW w:w="0" w:type="auto"/>
            <w:tcBorders>
              <w:top w:val="single" w:sz="4" w:space="0" w:color="BFBFBF" w:themeColor="background1" w:themeShade="BF"/>
            </w:tcBorders>
            <w:shd w:val="clear" w:color="auto" w:fill="404040" w:themeFill="text1" w:themeFillTint="BF"/>
            <w:vAlign w:val="center"/>
          </w:tcPr>
          <w:p w14:paraId="6F2C5C2E" w14:textId="5DC2AB4C" w:rsidR="00302381" w:rsidRPr="00B269D5" w:rsidRDefault="78B38340" w:rsidP="00E96A5F">
            <w:pPr>
              <w:autoSpaceDE w:val="0"/>
              <w:autoSpaceDN w:val="0"/>
              <w:adjustRightInd w:val="0"/>
              <w:jc w:val="center"/>
              <w:rPr>
                <w:b/>
                <w:bCs/>
                <w:color w:val="FFFFFF" w:themeColor="background1"/>
                <w:sz w:val="20"/>
                <w:szCs w:val="20"/>
              </w:rPr>
            </w:pPr>
            <w:r w:rsidRPr="00B269D5">
              <w:rPr>
                <w:b/>
                <w:bCs/>
                <w:color w:val="FFFFFF" w:themeColor="background1"/>
                <w:sz w:val="20"/>
                <w:szCs w:val="20"/>
              </w:rPr>
              <w:t>202</w:t>
            </w:r>
            <w:r w:rsidR="1B05853E" w:rsidRPr="00B269D5">
              <w:rPr>
                <w:b/>
                <w:bCs/>
                <w:color w:val="FFFFFF" w:themeColor="background1"/>
                <w:sz w:val="20"/>
                <w:szCs w:val="20"/>
              </w:rPr>
              <w:t>2</w:t>
            </w:r>
          </w:p>
        </w:tc>
        <w:tc>
          <w:tcPr>
            <w:tcW w:w="0" w:type="auto"/>
            <w:tcBorders>
              <w:top w:val="single" w:sz="4" w:space="0" w:color="BFBFBF" w:themeColor="background1" w:themeShade="BF"/>
            </w:tcBorders>
            <w:shd w:val="clear" w:color="auto" w:fill="404040" w:themeFill="text1" w:themeFillTint="BF"/>
            <w:vAlign w:val="center"/>
          </w:tcPr>
          <w:p w14:paraId="13D93A37" w14:textId="7B673CCB" w:rsidR="00302381" w:rsidRPr="00B269D5" w:rsidRDefault="78B38340" w:rsidP="00E96A5F">
            <w:pPr>
              <w:autoSpaceDE w:val="0"/>
              <w:autoSpaceDN w:val="0"/>
              <w:adjustRightInd w:val="0"/>
              <w:jc w:val="center"/>
              <w:rPr>
                <w:b/>
                <w:bCs/>
                <w:color w:val="FFFFFF" w:themeColor="background1"/>
                <w:sz w:val="20"/>
                <w:szCs w:val="20"/>
              </w:rPr>
            </w:pPr>
            <w:r w:rsidRPr="00B269D5">
              <w:rPr>
                <w:b/>
                <w:bCs/>
                <w:color w:val="FFFFFF" w:themeColor="background1"/>
                <w:sz w:val="20"/>
                <w:szCs w:val="20"/>
              </w:rPr>
              <w:t>202</w:t>
            </w:r>
            <w:r w:rsidR="18A15FD9" w:rsidRPr="00B269D5">
              <w:rPr>
                <w:b/>
                <w:bCs/>
                <w:color w:val="FFFFFF" w:themeColor="background1"/>
                <w:sz w:val="20"/>
                <w:szCs w:val="20"/>
              </w:rPr>
              <w:t>3</w:t>
            </w:r>
          </w:p>
        </w:tc>
        <w:tc>
          <w:tcPr>
            <w:tcW w:w="0" w:type="auto"/>
            <w:tcBorders>
              <w:top w:val="single" w:sz="4" w:space="0" w:color="BFBFBF" w:themeColor="background1" w:themeShade="BF"/>
            </w:tcBorders>
            <w:shd w:val="clear" w:color="auto" w:fill="404040" w:themeFill="text1" w:themeFillTint="BF"/>
            <w:vAlign w:val="center"/>
          </w:tcPr>
          <w:p w14:paraId="0F9AF9DE" w14:textId="022643DE" w:rsidR="00302381" w:rsidRPr="00B269D5" w:rsidRDefault="78B38340" w:rsidP="00E96A5F">
            <w:pPr>
              <w:autoSpaceDE w:val="0"/>
              <w:autoSpaceDN w:val="0"/>
              <w:adjustRightInd w:val="0"/>
              <w:jc w:val="center"/>
              <w:rPr>
                <w:b/>
                <w:bCs/>
                <w:color w:val="FFFFFF" w:themeColor="background1"/>
                <w:sz w:val="20"/>
                <w:szCs w:val="20"/>
              </w:rPr>
            </w:pPr>
            <w:r w:rsidRPr="00B269D5">
              <w:rPr>
                <w:b/>
                <w:bCs/>
                <w:color w:val="FFFFFF" w:themeColor="background1"/>
                <w:sz w:val="20"/>
                <w:szCs w:val="20"/>
              </w:rPr>
              <w:t>202</w:t>
            </w:r>
            <w:r w:rsidR="6E3F93E8" w:rsidRPr="00B269D5">
              <w:rPr>
                <w:b/>
                <w:bCs/>
                <w:color w:val="FFFFFF" w:themeColor="background1"/>
                <w:sz w:val="20"/>
                <w:szCs w:val="20"/>
              </w:rPr>
              <w:t>4</w:t>
            </w:r>
          </w:p>
        </w:tc>
      </w:tr>
      <w:tr w:rsidR="00302381" w:rsidRPr="0070544F" w14:paraId="3FA83915" w14:textId="77777777" w:rsidTr="00B269D5">
        <w:trPr>
          <w:trHeight w:val="465"/>
          <w:jc w:val="center"/>
        </w:trPr>
        <w:tc>
          <w:tcPr>
            <w:tcW w:w="0" w:type="auto"/>
            <w:shd w:val="clear" w:color="auto" w:fill="F2F2F2" w:themeFill="background1" w:themeFillShade="F2"/>
            <w:vAlign w:val="center"/>
          </w:tcPr>
          <w:p w14:paraId="47C7FE53" w14:textId="2D12A19E" w:rsidR="00302381" w:rsidRPr="003C55BE" w:rsidRDefault="09CB1CFB" w:rsidP="008E69B8">
            <w:pPr>
              <w:autoSpaceDE w:val="0"/>
              <w:autoSpaceDN w:val="0"/>
              <w:adjustRightInd w:val="0"/>
              <w:rPr>
                <w:rFonts w:eastAsiaTheme="minorEastAsia"/>
                <w:color w:val="000000" w:themeColor="text1"/>
                <w:sz w:val="20"/>
                <w:szCs w:val="20"/>
              </w:rPr>
            </w:pPr>
            <w:r w:rsidRPr="48AA3F6C">
              <w:rPr>
                <w:rFonts w:eastAsiaTheme="minorEastAsia"/>
                <w:color w:val="000000" w:themeColor="text1"/>
                <w:sz w:val="20"/>
                <w:szCs w:val="20"/>
              </w:rPr>
              <w:t>Valores cobertos vincendos (US$)</w:t>
            </w:r>
          </w:p>
        </w:tc>
        <w:tc>
          <w:tcPr>
            <w:tcW w:w="0" w:type="auto"/>
            <w:shd w:val="clear" w:color="auto" w:fill="F2F2F2" w:themeFill="background1" w:themeFillShade="F2"/>
            <w:vAlign w:val="center"/>
          </w:tcPr>
          <w:p w14:paraId="5E749EC0" w14:textId="1D9153F9" w:rsidR="00302381" w:rsidRPr="003C55BE" w:rsidRDefault="09CB1CFB" w:rsidP="008E69B8">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1.004</w:t>
            </w:r>
            <w:r w:rsidR="009204C3">
              <w:rPr>
                <w:rFonts w:eastAsiaTheme="minorEastAsia"/>
                <w:color w:val="000000" w:themeColor="text1"/>
                <w:sz w:val="18"/>
                <w:szCs w:val="18"/>
              </w:rPr>
              <w:t>,6</w:t>
            </w:r>
          </w:p>
        </w:tc>
        <w:tc>
          <w:tcPr>
            <w:tcW w:w="0" w:type="auto"/>
            <w:shd w:val="clear" w:color="auto" w:fill="F2F2F2" w:themeFill="background1" w:themeFillShade="F2"/>
            <w:vAlign w:val="center"/>
          </w:tcPr>
          <w:p w14:paraId="4E599DC3" w14:textId="3DE310D7" w:rsidR="00302381" w:rsidRPr="003C55BE" w:rsidRDefault="09CB1CFB" w:rsidP="008E69B8">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925</w:t>
            </w:r>
            <w:r w:rsidR="009204C3">
              <w:rPr>
                <w:rFonts w:eastAsiaTheme="minorEastAsia"/>
                <w:color w:val="000000" w:themeColor="text1"/>
                <w:sz w:val="18"/>
                <w:szCs w:val="18"/>
              </w:rPr>
              <w:t>,</w:t>
            </w:r>
            <w:r w:rsidRPr="48AA3F6C">
              <w:rPr>
                <w:rFonts w:eastAsiaTheme="minorEastAsia"/>
                <w:color w:val="000000" w:themeColor="text1"/>
                <w:sz w:val="18"/>
                <w:szCs w:val="18"/>
              </w:rPr>
              <w:t>4</w:t>
            </w:r>
          </w:p>
        </w:tc>
        <w:tc>
          <w:tcPr>
            <w:tcW w:w="0" w:type="auto"/>
            <w:shd w:val="clear" w:color="auto" w:fill="F2F2F2" w:themeFill="background1" w:themeFillShade="F2"/>
            <w:vAlign w:val="center"/>
          </w:tcPr>
          <w:p w14:paraId="0BF2CAC3" w14:textId="230A1682" w:rsidR="00302381" w:rsidRPr="003C55BE" w:rsidRDefault="09CB1CFB" w:rsidP="008E69B8">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748</w:t>
            </w:r>
            <w:r w:rsidR="009204C3">
              <w:rPr>
                <w:rFonts w:eastAsiaTheme="minorEastAsia"/>
                <w:color w:val="000000" w:themeColor="text1"/>
                <w:sz w:val="18"/>
                <w:szCs w:val="18"/>
              </w:rPr>
              <w:t>,5</w:t>
            </w:r>
          </w:p>
        </w:tc>
        <w:tc>
          <w:tcPr>
            <w:tcW w:w="0" w:type="auto"/>
            <w:shd w:val="clear" w:color="auto" w:fill="F2F2F2" w:themeFill="background1" w:themeFillShade="F2"/>
            <w:vAlign w:val="center"/>
          </w:tcPr>
          <w:p w14:paraId="0821567B" w14:textId="2C4F9E1E" w:rsidR="00302381" w:rsidRPr="003C55BE" w:rsidRDefault="09CB1CFB" w:rsidP="008E69B8">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545</w:t>
            </w:r>
            <w:r w:rsidR="007B0DE9">
              <w:rPr>
                <w:rFonts w:eastAsiaTheme="minorEastAsia"/>
                <w:color w:val="000000" w:themeColor="text1"/>
                <w:sz w:val="18"/>
                <w:szCs w:val="18"/>
              </w:rPr>
              <w:t>,</w:t>
            </w:r>
            <w:r w:rsidRPr="48AA3F6C">
              <w:rPr>
                <w:rFonts w:eastAsiaTheme="minorEastAsia"/>
                <w:color w:val="000000" w:themeColor="text1"/>
                <w:sz w:val="18"/>
                <w:szCs w:val="18"/>
              </w:rPr>
              <w:t>0</w:t>
            </w:r>
          </w:p>
        </w:tc>
      </w:tr>
      <w:tr w:rsidR="00302381" w:rsidRPr="0070544F" w14:paraId="2BE6F0FA" w14:textId="77777777" w:rsidTr="00B269D5">
        <w:trPr>
          <w:trHeight w:val="20"/>
          <w:jc w:val="center"/>
        </w:trPr>
        <w:tc>
          <w:tcPr>
            <w:tcW w:w="0" w:type="auto"/>
            <w:vAlign w:val="center"/>
          </w:tcPr>
          <w:p w14:paraId="33A2A124" w14:textId="1CD62784" w:rsidR="00302381" w:rsidRPr="003C55BE" w:rsidRDefault="09CB1CFB" w:rsidP="008E69B8">
            <w:pPr>
              <w:autoSpaceDE w:val="0"/>
              <w:autoSpaceDN w:val="0"/>
              <w:adjustRightInd w:val="0"/>
              <w:rPr>
                <w:rFonts w:eastAsiaTheme="minorEastAsia"/>
                <w:color w:val="000000" w:themeColor="text1"/>
                <w:sz w:val="20"/>
                <w:szCs w:val="20"/>
              </w:rPr>
            </w:pPr>
            <w:r w:rsidRPr="48AA3F6C">
              <w:rPr>
                <w:rFonts w:eastAsiaTheme="minorEastAsia"/>
                <w:color w:val="000000" w:themeColor="text1"/>
                <w:sz w:val="20"/>
                <w:szCs w:val="20"/>
              </w:rPr>
              <w:t>Valores cobertos vincendos (R$</w:t>
            </w:r>
            <w:proofErr w:type="gramStart"/>
            <w:r w:rsidRPr="48AA3F6C">
              <w:rPr>
                <w:rFonts w:eastAsiaTheme="minorEastAsia"/>
                <w:color w:val="000000" w:themeColor="text1"/>
                <w:sz w:val="20"/>
                <w:szCs w:val="20"/>
              </w:rPr>
              <w:t>)</w:t>
            </w:r>
            <w:r w:rsidR="00972BBC" w:rsidRPr="00972BBC">
              <w:rPr>
                <w:rFonts w:eastAsiaTheme="minorEastAsia"/>
                <w:color w:val="000000" w:themeColor="text1"/>
                <w:sz w:val="20"/>
                <w:szCs w:val="20"/>
                <w:vertAlign w:val="superscript"/>
              </w:rPr>
              <w:t>(</w:t>
            </w:r>
            <w:proofErr w:type="gramEnd"/>
            <w:r w:rsidR="00972BBC" w:rsidRPr="00972BBC">
              <w:rPr>
                <w:rFonts w:eastAsiaTheme="minorEastAsia"/>
                <w:color w:val="000000" w:themeColor="text1"/>
                <w:sz w:val="20"/>
                <w:szCs w:val="20"/>
                <w:vertAlign w:val="superscript"/>
              </w:rPr>
              <w:t>1)</w:t>
            </w:r>
          </w:p>
        </w:tc>
        <w:tc>
          <w:tcPr>
            <w:tcW w:w="0" w:type="auto"/>
            <w:vAlign w:val="center"/>
          </w:tcPr>
          <w:p w14:paraId="010CA9A4" w14:textId="35B793CC" w:rsidR="00302381" w:rsidRPr="003C55BE" w:rsidRDefault="09CB1CFB" w:rsidP="008E69B8">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5.609</w:t>
            </w:r>
            <w:r w:rsidR="009204C3">
              <w:rPr>
                <w:rFonts w:eastAsiaTheme="minorEastAsia"/>
                <w:color w:val="000000" w:themeColor="text1"/>
                <w:sz w:val="18"/>
                <w:szCs w:val="18"/>
              </w:rPr>
              <w:t>,</w:t>
            </w:r>
            <w:r w:rsidRPr="48AA3F6C">
              <w:rPr>
                <w:rFonts w:eastAsiaTheme="minorEastAsia"/>
                <w:color w:val="000000" w:themeColor="text1"/>
                <w:sz w:val="18"/>
                <w:szCs w:val="18"/>
              </w:rPr>
              <w:t>9</w:t>
            </w:r>
          </w:p>
        </w:tc>
        <w:tc>
          <w:tcPr>
            <w:tcW w:w="0" w:type="auto"/>
          </w:tcPr>
          <w:p w14:paraId="3FC8AA11" w14:textId="622255F0" w:rsidR="00302381" w:rsidRPr="003C55BE" w:rsidRDefault="09CB1CFB" w:rsidP="009204C3">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4.654</w:t>
            </w:r>
            <w:r w:rsidR="009204C3">
              <w:rPr>
                <w:rFonts w:eastAsiaTheme="minorEastAsia"/>
                <w:color w:val="000000" w:themeColor="text1"/>
                <w:sz w:val="18"/>
                <w:szCs w:val="18"/>
              </w:rPr>
              <w:t>,</w:t>
            </w:r>
            <w:r w:rsidRPr="48AA3F6C">
              <w:rPr>
                <w:rFonts w:eastAsiaTheme="minorEastAsia"/>
                <w:color w:val="000000" w:themeColor="text1"/>
                <w:sz w:val="18"/>
                <w:szCs w:val="18"/>
              </w:rPr>
              <w:t>8</w:t>
            </w:r>
          </w:p>
        </w:tc>
        <w:tc>
          <w:tcPr>
            <w:tcW w:w="0" w:type="auto"/>
            <w:vAlign w:val="center"/>
          </w:tcPr>
          <w:p w14:paraId="469FCCBB" w14:textId="382AB7F2" w:rsidR="00302381" w:rsidRPr="003C55BE" w:rsidRDefault="09CB1CFB" w:rsidP="008E69B8">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3.742</w:t>
            </w:r>
            <w:r w:rsidR="009204C3">
              <w:rPr>
                <w:rFonts w:eastAsiaTheme="minorEastAsia"/>
                <w:color w:val="000000" w:themeColor="text1"/>
                <w:sz w:val="18"/>
                <w:szCs w:val="18"/>
              </w:rPr>
              <w:t>,4</w:t>
            </w:r>
          </w:p>
        </w:tc>
        <w:tc>
          <w:tcPr>
            <w:tcW w:w="0" w:type="auto"/>
            <w:vAlign w:val="center"/>
          </w:tcPr>
          <w:p w14:paraId="2CAC1B88" w14:textId="66824647" w:rsidR="00302381" w:rsidRPr="003C55BE" w:rsidRDefault="09CB1CFB" w:rsidP="008E69B8">
            <w:pPr>
              <w:autoSpaceDE w:val="0"/>
              <w:autoSpaceDN w:val="0"/>
              <w:adjustRightInd w:val="0"/>
              <w:jc w:val="right"/>
              <w:rPr>
                <w:rFonts w:eastAsiaTheme="minorEastAsia"/>
                <w:color w:val="000000" w:themeColor="text1"/>
                <w:sz w:val="18"/>
                <w:szCs w:val="18"/>
              </w:rPr>
            </w:pPr>
            <w:r w:rsidRPr="48AA3F6C">
              <w:rPr>
                <w:rFonts w:eastAsiaTheme="minorEastAsia"/>
                <w:color w:val="000000" w:themeColor="text1"/>
                <w:sz w:val="18"/>
                <w:szCs w:val="18"/>
              </w:rPr>
              <w:t>2.725</w:t>
            </w:r>
            <w:r w:rsidR="007B0DE9">
              <w:rPr>
                <w:rFonts w:eastAsiaTheme="minorEastAsia"/>
                <w:color w:val="000000" w:themeColor="text1"/>
                <w:sz w:val="18"/>
                <w:szCs w:val="18"/>
              </w:rPr>
              <w:t>,</w:t>
            </w:r>
            <w:r w:rsidRPr="48AA3F6C">
              <w:rPr>
                <w:rFonts w:eastAsiaTheme="minorEastAsia"/>
                <w:color w:val="000000" w:themeColor="text1"/>
                <w:sz w:val="18"/>
                <w:szCs w:val="18"/>
              </w:rPr>
              <w:t>0</w:t>
            </w:r>
          </w:p>
        </w:tc>
      </w:tr>
      <w:tr w:rsidR="00C205DF" w:rsidRPr="006C312A" w14:paraId="5A48652C" w14:textId="77777777" w:rsidTr="00C205DF">
        <w:trPr>
          <w:trHeight w:val="20"/>
          <w:jc w:val="center"/>
        </w:trPr>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03C019" w14:textId="0FD4DF2C" w:rsidR="000C235B" w:rsidRPr="006C312A" w:rsidRDefault="09CB1CFB" w:rsidP="008E69B8">
            <w:pPr>
              <w:autoSpaceDE w:val="0"/>
              <w:autoSpaceDN w:val="0"/>
              <w:adjustRightInd w:val="0"/>
              <w:rPr>
                <w:rFonts w:eastAsiaTheme="minorEastAsia"/>
                <w:sz w:val="20"/>
                <w:szCs w:val="20"/>
              </w:rPr>
            </w:pPr>
            <w:r w:rsidRPr="006C312A">
              <w:rPr>
                <w:rFonts w:eastAsiaTheme="minorEastAsia"/>
                <w:sz w:val="20"/>
                <w:szCs w:val="20"/>
              </w:rPr>
              <w:t>Estimativa de pagamentos do FGE (R$</w:t>
            </w:r>
            <w:proofErr w:type="gramStart"/>
            <w:r w:rsidRPr="006C312A">
              <w:rPr>
                <w:rFonts w:eastAsiaTheme="minorEastAsia"/>
                <w:sz w:val="20"/>
                <w:szCs w:val="20"/>
              </w:rPr>
              <w:t>)</w:t>
            </w:r>
            <w:r w:rsidR="00972BBC" w:rsidRPr="006C312A">
              <w:rPr>
                <w:rFonts w:eastAsiaTheme="minorEastAsia"/>
                <w:sz w:val="20"/>
                <w:szCs w:val="20"/>
                <w:vertAlign w:val="superscript"/>
              </w:rPr>
              <w:t>(</w:t>
            </w:r>
            <w:proofErr w:type="gramEnd"/>
            <w:r w:rsidR="00972BBC" w:rsidRPr="006C312A">
              <w:rPr>
                <w:rFonts w:eastAsiaTheme="minorEastAsia"/>
                <w:sz w:val="20"/>
                <w:szCs w:val="20"/>
                <w:vertAlign w:val="superscript"/>
              </w:rPr>
              <w:t>2)</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ED406B" w14:textId="1338012A" w:rsidR="000C235B" w:rsidRPr="006C312A" w:rsidRDefault="09CB1CFB" w:rsidP="008E69B8">
            <w:pPr>
              <w:autoSpaceDE w:val="0"/>
              <w:autoSpaceDN w:val="0"/>
              <w:adjustRightInd w:val="0"/>
              <w:jc w:val="right"/>
              <w:rPr>
                <w:rFonts w:eastAsiaTheme="minorEastAsia"/>
                <w:sz w:val="18"/>
                <w:szCs w:val="18"/>
              </w:rPr>
            </w:pPr>
            <w:r w:rsidRPr="006C312A">
              <w:rPr>
                <w:rFonts w:eastAsiaTheme="minorEastAsia"/>
                <w:sz w:val="18"/>
                <w:szCs w:val="18"/>
              </w:rPr>
              <w:t>1.544</w:t>
            </w:r>
            <w:r w:rsidR="009204C3" w:rsidRPr="006C312A">
              <w:rPr>
                <w:rFonts w:eastAsiaTheme="minorEastAsia"/>
                <w:sz w:val="18"/>
                <w:szCs w:val="18"/>
              </w:rPr>
              <w:t>,1</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6F86EED" w14:textId="64414CC7" w:rsidR="000C235B" w:rsidRPr="006C312A" w:rsidRDefault="09CB1CFB" w:rsidP="00B269D5">
            <w:pPr>
              <w:autoSpaceDE w:val="0"/>
              <w:autoSpaceDN w:val="0"/>
              <w:adjustRightInd w:val="0"/>
              <w:jc w:val="right"/>
              <w:rPr>
                <w:rFonts w:eastAsiaTheme="minorEastAsia"/>
                <w:sz w:val="18"/>
                <w:szCs w:val="18"/>
              </w:rPr>
            </w:pPr>
            <w:r w:rsidRPr="006C312A">
              <w:rPr>
                <w:rFonts w:eastAsiaTheme="minorEastAsia"/>
                <w:sz w:val="18"/>
                <w:szCs w:val="18"/>
              </w:rPr>
              <w:t>1.281</w:t>
            </w:r>
            <w:r w:rsidR="009204C3" w:rsidRPr="006C312A">
              <w:rPr>
                <w:rFonts w:eastAsiaTheme="minorEastAsia"/>
                <w:sz w:val="18"/>
                <w:szCs w:val="18"/>
              </w:rPr>
              <w:t>,</w:t>
            </w:r>
            <w:r w:rsidRPr="006C312A">
              <w:rPr>
                <w:rFonts w:eastAsiaTheme="minorEastAsia"/>
                <w:sz w:val="18"/>
                <w:szCs w:val="18"/>
              </w:rPr>
              <w:t>2</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619E02" w14:textId="45A0824A" w:rsidR="000C235B" w:rsidRPr="006C312A" w:rsidRDefault="09CB1CFB" w:rsidP="008E69B8">
            <w:pPr>
              <w:autoSpaceDE w:val="0"/>
              <w:autoSpaceDN w:val="0"/>
              <w:adjustRightInd w:val="0"/>
              <w:jc w:val="right"/>
              <w:rPr>
                <w:rFonts w:eastAsiaTheme="minorEastAsia"/>
                <w:sz w:val="18"/>
                <w:szCs w:val="18"/>
              </w:rPr>
            </w:pPr>
            <w:r w:rsidRPr="006C312A">
              <w:rPr>
                <w:rFonts w:eastAsiaTheme="minorEastAsia"/>
                <w:sz w:val="18"/>
                <w:szCs w:val="18"/>
              </w:rPr>
              <w:t>1.241</w:t>
            </w:r>
            <w:r w:rsidR="009204C3" w:rsidRPr="006C312A">
              <w:rPr>
                <w:rFonts w:eastAsiaTheme="minorEastAsia"/>
                <w:sz w:val="18"/>
                <w:szCs w:val="18"/>
              </w:rPr>
              <w:t>,</w:t>
            </w:r>
            <w:r w:rsidRPr="006C312A">
              <w:rPr>
                <w:rFonts w:eastAsiaTheme="minorEastAsia"/>
                <w:sz w:val="18"/>
                <w:szCs w:val="18"/>
              </w:rPr>
              <w:t>4</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899B58" w14:textId="7DF15991" w:rsidR="000C235B" w:rsidRPr="006C312A" w:rsidRDefault="09CB1CFB" w:rsidP="008E69B8">
            <w:pPr>
              <w:autoSpaceDE w:val="0"/>
              <w:autoSpaceDN w:val="0"/>
              <w:adjustRightInd w:val="0"/>
              <w:jc w:val="right"/>
              <w:rPr>
                <w:rFonts w:eastAsiaTheme="minorEastAsia"/>
                <w:sz w:val="18"/>
                <w:szCs w:val="18"/>
              </w:rPr>
            </w:pPr>
            <w:r w:rsidRPr="006C312A">
              <w:rPr>
                <w:rFonts w:eastAsiaTheme="minorEastAsia"/>
                <w:sz w:val="18"/>
                <w:szCs w:val="18"/>
              </w:rPr>
              <w:t>1.124</w:t>
            </w:r>
            <w:r w:rsidR="001A1C56" w:rsidRPr="006C312A">
              <w:rPr>
                <w:rFonts w:eastAsiaTheme="minorEastAsia"/>
                <w:sz w:val="18"/>
                <w:szCs w:val="18"/>
              </w:rPr>
              <w:t>,</w:t>
            </w:r>
            <w:r w:rsidRPr="006C312A">
              <w:rPr>
                <w:rFonts w:eastAsiaTheme="minorEastAsia"/>
                <w:sz w:val="18"/>
                <w:szCs w:val="18"/>
              </w:rPr>
              <w:t>3</w:t>
            </w:r>
          </w:p>
        </w:tc>
      </w:tr>
      <w:tr w:rsidR="000C235B" w:rsidRPr="004C11BA" w14:paraId="00EF7F52" w14:textId="77777777" w:rsidTr="00B269D5">
        <w:trPr>
          <w:trHeight w:val="20"/>
          <w:jc w:val="center"/>
        </w:trPr>
        <w:tc>
          <w:tcPr>
            <w:tcW w:w="0" w:type="auto"/>
            <w:gridSpan w:val="5"/>
            <w:tcBorders>
              <w:top w:val="single" w:sz="4" w:space="0" w:color="BFBFBF" w:themeColor="background1" w:themeShade="BF"/>
              <w:left w:val="nil"/>
              <w:bottom w:val="nil"/>
              <w:right w:val="nil"/>
            </w:tcBorders>
          </w:tcPr>
          <w:p w14:paraId="584BD989" w14:textId="7B1593C0" w:rsidR="00B31CA3" w:rsidRPr="00934900" w:rsidRDefault="387E9168" w:rsidP="7B03A1CE">
            <w:pPr>
              <w:rPr>
                <w:rFonts w:ascii="Times New Roman" w:eastAsia="Times New Roman" w:hAnsi="Times New Roman" w:cs="Times New Roman"/>
                <w:color w:val="000000" w:themeColor="text1"/>
              </w:rPr>
            </w:pPr>
            <w:proofErr w:type="gramStart"/>
            <w:r w:rsidRPr="7B03A1CE">
              <w:rPr>
                <w:i/>
                <w:iCs/>
                <w:w w:val="105"/>
                <w:sz w:val="16"/>
                <w:szCs w:val="16"/>
                <w:vertAlign w:val="superscript"/>
              </w:rPr>
              <w:t>1</w:t>
            </w:r>
            <w:proofErr w:type="gramEnd"/>
            <w:r w:rsidRPr="7B03A1CE">
              <w:rPr>
                <w:i/>
                <w:iCs/>
                <w:w w:val="105"/>
                <w:sz w:val="16"/>
                <w:szCs w:val="16"/>
              </w:rPr>
              <w:t xml:space="preserve"> </w:t>
            </w:r>
            <w:r w:rsidR="55FE0966" w:rsidRPr="4CBA81C0">
              <w:rPr>
                <w:i/>
                <w:iCs/>
                <w:w w:val="105"/>
                <w:sz w:val="16"/>
                <w:szCs w:val="16"/>
              </w:rPr>
              <w:t xml:space="preserve">Para o ano de 2021, </w:t>
            </w:r>
            <w:r w:rsidR="01ECE686" w:rsidRPr="4CBA81C0">
              <w:rPr>
                <w:i/>
                <w:iCs/>
                <w:w w:val="105"/>
                <w:sz w:val="16"/>
                <w:szCs w:val="16"/>
              </w:rPr>
              <w:t>t</w:t>
            </w:r>
            <w:r w:rsidR="1D78699B" w:rsidRPr="4CBA81C0">
              <w:rPr>
                <w:i/>
                <w:iCs/>
                <w:w w:val="105"/>
                <w:sz w:val="16"/>
                <w:szCs w:val="16"/>
              </w:rPr>
              <w:t>axa</w:t>
            </w:r>
            <w:r w:rsidR="1D78699B" w:rsidRPr="7B03A1CE">
              <w:rPr>
                <w:i/>
                <w:iCs/>
                <w:w w:val="105"/>
                <w:sz w:val="16"/>
                <w:szCs w:val="16"/>
              </w:rPr>
              <w:t xml:space="preserve"> </w:t>
            </w:r>
            <w:proofErr w:type="spellStart"/>
            <w:r w:rsidR="1D78699B" w:rsidRPr="7B03A1CE">
              <w:rPr>
                <w:i/>
                <w:iCs/>
                <w:w w:val="105"/>
                <w:sz w:val="16"/>
                <w:szCs w:val="16"/>
              </w:rPr>
              <w:t>Ptax</w:t>
            </w:r>
            <w:proofErr w:type="spellEnd"/>
            <w:r w:rsidR="1D78699B" w:rsidRPr="7B03A1CE">
              <w:rPr>
                <w:i/>
                <w:iCs/>
                <w:w w:val="105"/>
                <w:sz w:val="16"/>
                <w:szCs w:val="16"/>
              </w:rPr>
              <w:t xml:space="preserve"> do dia </w:t>
            </w:r>
            <w:r w:rsidR="2C88A994" w:rsidRPr="7B03A1CE">
              <w:rPr>
                <w:i/>
                <w:iCs/>
                <w:w w:val="105"/>
                <w:sz w:val="16"/>
                <w:szCs w:val="16"/>
              </w:rPr>
              <w:t>1</w:t>
            </w:r>
            <w:r w:rsidR="1D78699B" w:rsidRPr="7B03A1CE">
              <w:rPr>
                <w:i/>
                <w:iCs/>
                <w:w w:val="105"/>
                <w:sz w:val="16"/>
                <w:szCs w:val="16"/>
              </w:rPr>
              <w:t>/3/202</w:t>
            </w:r>
            <w:r w:rsidR="331B49A0" w:rsidRPr="7B03A1CE">
              <w:rPr>
                <w:i/>
                <w:iCs/>
                <w:w w:val="105"/>
                <w:sz w:val="16"/>
                <w:szCs w:val="16"/>
              </w:rPr>
              <w:t>1</w:t>
            </w:r>
            <w:r w:rsidR="331B49A0" w:rsidRPr="583B6DBB">
              <w:rPr>
                <w:i/>
                <w:iCs/>
                <w:w w:val="105"/>
                <w:sz w:val="16"/>
                <w:szCs w:val="16"/>
              </w:rPr>
              <w:t>.</w:t>
            </w:r>
            <w:r w:rsidR="734ED786" w:rsidRPr="583B6DBB">
              <w:rPr>
                <w:i/>
                <w:iCs/>
                <w:w w:val="105"/>
                <w:sz w:val="16"/>
                <w:szCs w:val="16"/>
              </w:rPr>
              <w:t>Taxas de Câmbio utilizadas:</w:t>
            </w:r>
            <w:r w:rsidR="734ED786" w:rsidRPr="00A54988">
              <w:rPr>
                <w:i/>
                <w:sz w:val="16"/>
                <w:szCs w:val="16"/>
              </w:rPr>
              <w:t xml:space="preserve"> 5,03 para 2022 e 5,00 para 2023, 2024 e 2025, obtidas no Boletim Focus de 26/02/2021 - Taxa de câmbio de fim de período</w:t>
            </w:r>
          </w:p>
          <w:p w14:paraId="58D8BBE3" w14:textId="12876B51" w:rsidR="00B31CA3" w:rsidRPr="00934900" w:rsidRDefault="331B49A0" w:rsidP="7B03A1CE">
            <w:pPr>
              <w:rPr>
                <w:rFonts w:ascii="Times New Roman" w:eastAsia="Times New Roman" w:hAnsi="Times New Roman" w:cs="Times New Roman"/>
                <w:color w:val="000000" w:themeColor="text1"/>
                <w:w w:val="105"/>
              </w:rPr>
            </w:pPr>
            <w:proofErr w:type="gramStart"/>
            <w:r w:rsidRPr="7B03A1CE">
              <w:rPr>
                <w:i/>
                <w:iCs/>
                <w:sz w:val="16"/>
                <w:szCs w:val="16"/>
                <w:vertAlign w:val="superscript"/>
              </w:rPr>
              <w:t>2</w:t>
            </w:r>
            <w:proofErr w:type="gramEnd"/>
            <w:r w:rsidRPr="7B03A1CE">
              <w:rPr>
                <w:i/>
                <w:iCs/>
                <w:sz w:val="14"/>
                <w:szCs w:val="14"/>
              </w:rPr>
              <w:t xml:space="preserve"> </w:t>
            </w:r>
            <w:r w:rsidRPr="7B03A1CE">
              <w:rPr>
                <w:i/>
                <w:iCs/>
                <w:sz w:val="16"/>
                <w:szCs w:val="16"/>
              </w:rPr>
              <w:t>O valor de 2021 foi obtido a partir do somatório das parcelas vincendas no período cobertas pelos Certificados de Garantia de Cobertura de Seguro de Crédito à Exportação que se encontram sinistrados. Para os demais anos, foi feita estimativa a partir do valor obtido para 2021.</w:t>
            </w:r>
          </w:p>
          <w:p w14:paraId="16A2DC70" w14:textId="4E4BA7DE" w:rsidR="000C235B" w:rsidRPr="004C11BA" w:rsidRDefault="000C235B" w:rsidP="00BB1D46">
            <w:pPr>
              <w:rPr>
                <w:i/>
                <w:iCs/>
                <w:sz w:val="16"/>
                <w:szCs w:val="16"/>
              </w:rPr>
            </w:pPr>
            <w:r w:rsidRPr="00934900">
              <w:rPr>
                <w:b/>
                <w:bCs/>
                <w:i/>
                <w:iCs/>
                <w:w w:val="105"/>
                <w:sz w:val="16"/>
                <w:szCs w:val="16"/>
              </w:rPr>
              <w:t>Fonte e elaboração</w:t>
            </w:r>
            <w:r w:rsidRPr="00934900">
              <w:rPr>
                <w:i/>
                <w:iCs/>
                <w:w w:val="105"/>
                <w:sz w:val="16"/>
                <w:szCs w:val="16"/>
              </w:rPr>
              <w:t xml:space="preserve">: </w:t>
            </w:r>
            <w:r w:rsidR="00C71599" w:rsidRPr="00934900">
              <w:rPr>
                <w:i/>
                <w:iCs/>
                <w:w w:val="105"/>
                <w:sz w:val="16"/>
                <w:szCs w:val="16"/>
              </w:rPr>
              <w:t>Camex/ME</w:t>
            </w:r>
            <w:r w:rsidR="00B31CA3" w:rsidRPr="00934900">
              <w:rPr>
                <w:i/>
                <w:iCs/>
                <w:w w:val="105"/>
                <w:sz w:val="16"/>
                <w:szCs w:val="16"/>
              </w:rPr>
              <w:t>.</w:t>
            </w:r>
          </w:p>
        </w:tc>
      </w:tr>
    </w:tbl>
    <w:p w14:paraId="0321CC5B" w14:textId="77777777" w:rsidR="00E67A32" w:rsidRDefault="00E67A32" w:rsidP="005236C5">
      <w:pPr>
        <w:spacing w:after="120" w:line="240" w:lineRule="auto"/>
        <w:ind w:firstLine="1416"/>
        <w:jc w:val="both"/>
        <w:rPr>
          <w:w w:val="105"/>
          <w:sz w:val="24"/>
          <w:szCs w:val="24"/>
        </w:rPr>
      </w:pPr>
    </w:p>
    <w:p w14:paraId="5647FE4B" w14:textId="241C94C7" w:rsidR="005236C5" w:rsidRPr="009B04B3" w:rsidRDefault="002E14EA" w:rsidP="005236C5">
      <w:pPr>
        <w:spacing w:after="120" w:line="240" w:lineRule="auto"/>
        <w:ind w:firstLine="1416"/>
        <w:jc w:val="both"/>
        <w:rPr>
          <w:w w:val="105"/>
          <w:sz w:val="24"/>
          <w:szCs w:val="24"/>
        </w:rPr>
      </w:pPr>
      <w:r>
        <w:rPr>
          <w:w w:val="105"/>
          <w:sz w:val="24"/>
          <w:szCs w:val="24"/>
        </w:rPr>
        <w:t>C</w:t>
      </w:r>
      <w:r w:rsidR="005236C5" w:rsidRPr="009B04B3">
        <w:rPr>
          <w:w w:val="105"/>
          <w:sz w:val="24"/>
          <w:szCs w:val="24"/>
        </w:rPr>
        <w:t xml:space="preserve">om a ampliação das operações sinistradas nos anos recentes, a sustentabilidade do modelo </w:t>
      </w:r>
      <w:r w:rsidR="00FB5580" w:rsidRPr="009B04B3">
        <w:rPr>
          <w:w w:val="105"/>
          <w:sz w:val="24"/>
          <w:szCs w:val="24"/>
        </w:rPr>
        <w:t>apresenta</w:t>
      </w:r>
      <w:r w:rsidR="005236C5" w:rsidRPr="009B04B3">
        <w:rPr>
          <w:w w:val="105"/>
          <w:sz w:val="24"/>
          <w:szCs w:val="24"/>
        </w:rPr>
        <w:t xml:space="preserve"> riscos relevantes para a União. De maneira a não agravar esse cenário, e com base na autorização concedida pela Resolução GECEX/CAMEX n</w:t>
      </w:r>
      <w:r w:rsidR="00327D18">
        <w:rPr>
          <w:w w:val="105"/>
          <w:sz w:val="24"/>
          <w:szCs w:val="24"/>
        </w:rPr>
        <w:t>º</w:t>
      </w:r>
      <w:r w:rsidR="005236C5" w:rsidRPr="009B04B3">
        <w:rPr>
          <w:w w:val="105"/>
          <w:sz w:val="24"/>
          <w:szCs w:val="24"/>
        </w:rPr>
        <w:t xml:space="preserve"> 12</w:t>
      </w:r>
      <w:r w:rsidR="00327D18">
        <w:rPr>
          <w:w w:val="105"/>
          <w:sz w:val="24"/>
          <w:szCs w:val="24"/>
        </w:rPr>
        <w:t>,</w:t>
      </w:r>
      <w:r w:rsidR="005236C5" w:rsidRPr="009B04B3">
        <w:rPr>
          <w:w w:val="105"/>
          <w:sz w:val="24"/>
          <w:szCs w:val="24"/>
        </w:rPr>
        <w:t xml:space="preserve"> de 30 de janeiro de 2020, está </w:t>
      </w:r>
      <w:r w:rsidR="36464E31" w:rsidRPr="009B04B3">
        <w:rPr>
          <w:w w:val="105"/>
          <w:sz w:val="24"/>
          <w:szCs w:val="24"/>
        </w:rPr>
        <w:t>em processo de elabora</w:t>
      </w:r>
      <w:r w:rsidR="6872D16B" w:rsidRPr="009B04B3">
        <w:rPr>
          <w:w w:val="105"/>
          <w:sz w:val="24"/>
          <w:szCs w:val="24"/>
        </w:rPr>
        <w:t>ção</w:t>
      </w:r>
      <w:r w:rsidR="00C8104F" w:rsidRPr="009B04B3">
        <w:rPr>
          <w:w w:val="105"/>
          <w:sz w:val="24"/>
          <w:szCs w:val="24"/>
        </w:rPr>
        <w:t xml:space="preserve"> </w:t>
      </w:r>
      <w:r w:rsidR="005236C5" w:rsidRPr="009B04B3">
        <w:rPr>
          <w:w w:val="105"/>
          <w:sz w:val="24"/>
          <w:szCs w:val="24"/>
        </w:rPr>
        <w:t xml:space="preserve">um novo modelo de concessão do </w:t>
      </w:r>
      <w:r w:rsidR="6464AD7C" w:rsidRPr="009B04B3">
        <w:rPr>
          <w:w w:val="105"/>
          <w:sz w:val="24"/>
          <w:szCs w:val="24"/>
        </w:rPr>
        <w:t>SCE</w:t>
      </w:r>
      <w:r w:rsidR="005236C5" w:rsidRPr="009B04B3">
        <w:rPr>
          <w:w w:val="105"/>
          <w:sz w:val="24"/>
          <w:szCs w:val="24"/>
        </w:rPr>
        <w:t>, observando as premissas abaixo:</w:t>
      </w:r>
    </w:p>
    <w:p w14:paraId="22F35CB6" w14:textId="70D5F60B" w:rsidR="005236C5" w:rsidRPr="009B04B3" w:rsidRDefault="005236C5" w:rsidP="00507970">
      <w:pPr>
        <w:pStyle w:val="PargrafodaLista"/>
        <w:numPr>
          <w:ilvl w:val="0"/>
          <w:numId w:val="23"/>
        </w:numPr>
        <w:spacing w:after="120" w:line="240" w:lineRule="auto"/>
        <w:ind w:left="1775" w:hanging="357"/>
        <w:jc w:val="both"/>
        <w:rPr>
          <w:rFonts w:cs="Times New Roman"/>
          <w:sz w:val="24"/>
          <w:szCs w:val="24"/>
          <w:lang w:eastAsia="pt-BR"/>
        </w:rPr>
      </w:pPr>
      <w:r w:rsidRPr="009B04B3">
        <w:rPr>
          <w:rFonts w:cs="Times New Roman"/>
          <w:sz w:val="24"/>
          <w:szCs w:val="24"/>
          <w:lang w:eastAsia="pt-BR"/>
        </w:rPr>
        <w:t xml:space="preserve">Revisão regulatória dos atos administrativos e normativos, legais e </w:t>
      </w:r>
      <w:proofErr w:type="spellStart"/>
      <w:r w:rsidRPr="009B04B3">
        <w:rPr>
          <w:rFonts w:cs="Times New Roman"/>
          <w:sz w:val="24"/>
          <w:szCs w:val="24"/>
          <w:lang w:eastAsia="pt-BR"/>
        </w:rPr>
        <w:t>infralegais</w:t>
      </w:r>
      <w:proofErr w:type="spellEnd"/>
      <w:r w:rsidRPr="009B04B3">
        <w:rPr>
          <w:rFonts w:cs="Times New Roman"/>
          <w:sz w:val="24"/>
          <w:szCs w:val="24"/>
          <w:lang w:eastAsia="pt-BR"/>
        </w:rPr>
        <w:t>, referentes a</w:t>
      </w:r>
      <w:r w:rsidR="00C813A5" w:rsidRPr="009B04B3">
        <w:rPr>
          <w:rFonts w:cs="Times New Roman"/>
          <w:sz w:val="24"/>
          <w:szCs w:val="24"/>
          <w:lang w:eastAsia="pt-BR"/>
        </w:rPr>
        <w:t>o</w:t>
      </w:r>
      <w:r w:rsidRPr="009B04B3">
        <w:rPr>
          <w:rFonts w:cs="Times New Roman"/>
          <w:sz w:val="24"/>
          <w:szCs w:val="24"/>
          <w:lang w:eastAsia="pt-BR"/>
        </w:rPr>
        <w:t xml:space="preserve"> SCE, ao Programa de Financiamento às Exportações (PROEX) e ao FGE;</w:t>
      </w:r>
    </w:p>
    <w:p w14:paraId="6D38874F" w14:textId="4BF3C2F4" w:rsidR="005236C5" w:rsidRPr="009B04B3" w:rsidRDefault="005236C5" w:rsidP="00507970">
      <w:pPr>
        <w:pStyle w:val="PargrafodaLista"/>
        <w:numPr>
          <w:ilvl w:val="0"/>
          <w:numId w:val="23"/>
        </w:numPr>
        <w:spacing w:after="120" w:line="240" w:lineRule="auto"/>
        <w:ind w:left="1775" w:hanging="357"/>
        <w:jc w:val="both"/>
        <w:rPr>
          <w:rFonts w:cs="Times New Roman"/>
          <w:sz w:val="24"/>
          <w:szCs w:val="24"/>
          <w:lang w:eastAsia="pt-BR"/>
        </w:rPr>
      </w:pPr>
      <w:r w:rsidRPr="009B04B3">
        <w:rPr>
          <w:rFonts w:cs="Times New Roman"/>
          <w:sz w:val="24"/>
          <w:szCs w:val="24"/>
          <w:lang w:eastAsia="pt-BR"/>
        </w:rPr>
        <w:t>Promoção do alinhamento técnico e normativo da União às melhores práticas internacionais;</w:t>
      </w:r>
    </w:p>
    <w:p w14:paraId="2CABCFB2" w14:textId="54472CD9" w:rsidR="005236C5" w:rsidRPr="009B04B3" w:rsidRDefault="005236C5" w:rsidP="00507970">
      <w:pPr>
        <w:pStyle w:val="PargrafodaLista"/>
        <w:numPr>
          <w:ilvl w:val="0"/>
          <w:numId w:val="23"/>
        </w:numPr>
        <w:spacing w:after="120" w:line="240" w:lineRule="auto"/>
        <w:ind w:left="1775" w:hanging="357"/>
        <w:jc w:val="both"/>
        <w:rPr>
          <w:rFonts w:cs="Times New Roman"/>
          <w:sz w:val="24"/>
          <w:szCs w:val="24"/>
          <w:lang w:eastAsia="pt-BR"/>
        </w:rPr>
      </w:pPr>
      <w:r w:rsidRPr="009B04B3">
        <w:rPr>
          <w:rFonts w:cs="Times New Roman"/>
          <w:sz w:val="24"/>
          <w:szCs w:val="24"/>
          <w:lang w:eastAsia="pt-BR"/>
        </w:rPr>
        <w:t xml:space="preserve">Aprimoramento dos mecanismos de governança, transparência, controle, gestão de riscos, conformidade e integridade; </w:t>
      </w:r>
      <w:proofErr w:type="gramStart"/>
      <w:r w:rsidRPr="009B04B3">
        <w:rPr>
          <w:rFonts w:cs="Times New Roman"/>
          <w:sz w:val="24"/>
          <w:szCs w:val="24"/>
          <w:lang w:eastAsia="pt-BR"/>
        </w:rPr>
        <w:t>e</w:t>
      </w:r>
      <w:proofErr w:type="gramEnd"/>
    </w:p>
    <w:p w14:paraId="564BAC04" w14:textId="26E6A328" w:rsidR="005236C5" w:rsidRPr="009B04B3" w:rsidRDefault="005236C5" w:rsidP="00507970">
      <w:pPr>
        <w:pStyle w:val="PargrafodaLista"/>
        <w:numPr>
          <w:ilvl w:val="0"/>
          <w:numId w:val="23"/>
        </w:numPr>
        <w:spacing w:after="120" w:line="240" w:lineRule="auto"/>
        <w:ind w:left="1775" w:hanging="357"/>
        <w:jc w:val="both"/>
        <w:rPr>
          <w:rFonts w:cs="Times New Roman"/>
          <w:sz w:val="24"/>
          <w:szCs w:val="24"/>
          <w:lang w:eastAsia="pt-BR"/>
        </w:rPr>
      </w:pPr>
      <w:r w:rsidRPr="009B04B3">
        <w:rPr>
          <w:rFonts w:cs="Times New Roman"/>
          <w:sz w:val="24"/>
          <w:szCs w:val="24"/>
          <w:lang w:eastAsia="pt-BR"/>
        </w:rPr>
        <w:lastRenderedPageBreak/>
        <w:t>Ampliação da eficiência da utilização dos recursos públicos, buscando reduzir a dependência orçamentária do sistema e ampliar a participação do setor privado, tendo em conta os princípios de sustentabilidade financeira, equilíbrio atuarial de longo prazo, qualidade do gasto público e prestação de contas.</w:t>
      </w:r>
    </w:p>
    <w:p w14:paraId="3D37ECC8" w14:textId="0A27E7E1" w:rsidR="00E16D0A" w:rsidRDefault="00E16D0A" w:rsidP="20BA7AA0">
      <w:pPr>
        <w:spacing w:after="120" w:line="240" w:lineRule="auto"/>
        <w:ind w:firstLine="1416"/>
        <w:jc w:val="both"/>
        <w:rPr>
          <w:sz w:val="24"/>
          <w:szCs w:val="24"/>
        </w:rPr>
      </w:pPr>
      <w:r w:rsidRPr="20BA7AA0">
        <w:rPr>
          <w:sz w:val="24"/>
          <w:szCs w:val="24"/>
        </w:rPr>
        <w:t>Destaca-se</w:t>
      </w:r>
      <w:r w:rsidR="00FA2843" w:rsidRPr="20BA7AA0">
        <w:rPr>
          <w:sz w:val="24"/>
          <w:szCs w:val="24"/>
        </w:rPr>
        <w:t>,</w:t>
      </w:r>
      <w:r w:rsidRPr="20BA7AA0">
        <w:rPr>
          <w:sz w:val="24"/>
          <w:szCs w:val="24"/>
        </w:rPr>
        <w:t xml:space="preserve"> por fim</w:t>
      </w:r>
      <w:r w:rsidR="00FA2843" w:rsidRPr="20BA7AA0">
        <w:rPr>
          <w:sz w:val="24"/>
          <w:szCs w:val="24"/>
        </w:rPr>
        <w:t>,</w:t>
      </w:r>
      <w:r w:rsidRPr="20BA7AA0">
        <w:rPr>
          <w:sz w:val="24"/>
          <w:szCs w:val="24"/>
        </w:rPr>
        <w:t xml:space="preserve"> </w:t>
      </w:r>
      <w:r w:rsidR="02439CB9" w:rsidRPr="20BA7AA0">
        <w:rPr>
          <w:sz w:val="24"/>
          <w:szCs w:val="24"/>
        </w:rPr>
        <w:t>em relação aos valores já provisionados no BGU ou na LOA referentes aos riscos fiscais mapeados e mensurados, para o ano de 2021</w:t>
      </w:r>
      <w:r w:rsidR="4C7423EA" w:rsidRPr="20BA7AA0">
        <w:rPr>
          <w:sz w:val="24"/>
          <w:szCs w:val="24"/>
        </w:rPr>
        <w:t xml:space="preserve">, o FGE conta com dotação de R$ 950.099.037. O valor é insuficiente para os pagamentos previstos para o Fundo neste exercício, estimados em R$ 1.544.087.720,27 (Dólar PTAX de </w:t>
      </w:r>
      <w:r w:rsidR="007E7E99">
        <w:rPr>
          <w:sz w:val="24"/>
          <w:szCs w:val="24"/>
        </w:rPr>
        <w:t>01/03/2021</w:t>
      </w:r>
      <w:r w:rsidR="4C7423EA" w:rsidRPr="20BA7AA0">
        <w:rPr>
          <w:sz w:val="24"/>
          <w:szCs w:val="24"/>
        </w:rPr>
        <w:t>). Destaca-se que as despesas estimadas abrangem apenas as operações que já se encontram sinistradas. Ou seja, para que a União não fique inadimplente com nenhum garantido em uma operação já sinistrada, o FGE precisa de uma suplementação de R$ 593.988.683,27, e a Subsecretaria de Financiamento ao Comércio Exterior está fazendo as tratativas necessárias para a obtenção da dotação adicional necessária.</w:t>
      </w:r>
    </w:p>
    <w:p w14:paraId="5E761030" w14:textId="77777777" w:rsidR="00E67A32" w:rsidRDefault="00E67A32" w:rsidP="20BA7AA0">
      <w:pPr>
        <w:spacing w:after="120" w:line="240" w:lineRule="auto"/>
        <w:ind w:firstLine="1416"/>
        <w:jc w:val="both"/>
        <w:rPr>
          <w:sz w:val="24"/>
          <w:szCs w:val="24"/>
        </w:rPr>
      </w:pPr>
    </w:p>
    <w:p w14:paraId="582318E2" w14:textId="111FDF59" w:rsidR="0036721F" w:rsidRPr="009B04B3" w:rsidRDefault="00221C03" w:rsidP="00A205A5">
      <w:pPr>
        <w:pStyle w:val="Ttulo3"/>
        <w:keepNext w:val="0"/>
        <w:numPr>
          <w:ilvl w:val="2"/>
          <w:numId w:val="36"/>
        </w:numPr>
        <w:spacing w:before="240" w:after="120"/>
        <w:ind w:left="720" w:hanging="720"/>
        <w:rPr>
          <w:rFonts w:asciiTheme="minorHAnsi" w:hAnsiTheme="minorHAnsi"/>
          <w:b/>
          <w:smallCaps w:val="0"/>
        </w:rPr>
      </w:pPr>
      <w:bookmarkStart w:id="304" w:name="_Toc67318000"/>
      <w:bookmarkStart w:id="305" w:name="_Toc67929654"/>
      <w:bookmarkStart w:id="306" w:name="_Toc69121233"/>
      <w:r>
        <w:rPr>
          <w:rFonts w:asciiTheme="minorHAnsi" w:hAnsiTheme="minorHAnsi"/>
          <w:b/>
          <w:smallCaps w:val="0"/>
        </w:rPr>
        <w:t>Fundos Garantidores</w:t>
      </w:r>
      <w:bookmarkEnd w:id="304"/>
      <w:bookmarkEnd w:id="305"/>
      <w:bookmarkEnd w:id="306"/>
    </w:p>
    <w:p w14:paraId="4B144382" w14:textId="17616359" w:rsidR="00E050BC" w:rsidRPr="00E050BC" w:rsidRDefault="00E050BC" w:rsidP="00E050BC">
      <w:pPr>
        <w:spacing w:after="120" w:line="240" w:lineRule="auto"/>
        <w:ind w:firstLine="1416"/>
        <w:jc w:val="both"/>
        <w:rPr>
          <w:w w:val="105"/>
          <w:sz w:val="24"/>
          <w:szCs w:val="24"/>
        </w:rPr>
      </w:pPr>
      <w:r w:rsidRPr="00E050BC">
        <w:rPr>
          <w:w w:val="105"/>
          <w:sz w:val="24"/>
          <w:szCs w:val="24"/>
        </w:rPr>
        <w:t xml:space="preserve">Os </w:t>
      </w:r>
      <w:r w:rsidR="00E448EC">
        <w:rPr>
          <w:w w:val="105"/>
          <w:sz w:val="24"/>
          <w:szCs w:val="24"/>
        </w:rPr>
        <w:t>F</w:t>
      </w:r>
      <w:r w:rsidRPr="00E050BC">
        <w:rPr>
          <w:w w:val="105"/>
          <w:sz w:val="24"/>
          <w:szCs w:val="24"/>
        </w:rPr>
        <w:t xml:space="preserve">undos </w:t>
      </w:r>
      <w:r w:rsidR="00E448EC">
        <w:rPr>
          <w:w w:val="105"/>
          <w:sz w:val="24"/>
          <w:szCs w:val="24"/>
        </w:rPr>
        <w:t>G</w:t>
      </w:r>
      <w:r w:rsidRPr="00E050BC">
        <w:rPr>
          <w:w w:val="105"/>
          <w:sz w:val="24"/>
          <w:szCs w:val="24"/>
        </w:rPr>
        <w:t>arantidores</w:t>
      </w:r>
      <w:r w:rsidR="00205D8D">
        <w:rPr>
          <w:w w:val="105"/>
          <w:sz w:val="24"/>
          <w:szCs w:val="24"/>
        </w:rPr>
        <w:t xml:space="preserve"> tratados neste </w:t>
      </w:r>
      <w:r w:rsidR="00FD1DF8">
        <w:rPr>
          <w:w w:val="105"/>
          <w:sz w:val="24"/>
          <w:szCs w:val="24"/>
        </w:rPr>
        <w:t>Anexo de Riscos Fiscais</w:t>
      </w:r>
      <w:r w:rsidRPr="00E050BC">
        <w:rPr>
          <w:w w:val="105"/>
          <w:sz w:val="24"/>
          <w:szCs w:val="24"/>
        </w:rPr>
        <w:t xml:space="preserve"> possuem natureza privada e patrimônio próprio separado do patrimônio dos cotistas, estando sujeitos a direitos e obrigações próprios. O patrimônio dos fundos é formado pelo</w:t>
      </w:r>
      <w:r w:rsidR="007603E2">
        <w:rPr>
          <w:w w:val="105"/>
          <w:sz w:val="24"/>
          <w:szCs w:val="24"/>
        </w:rPr>
        <w:t>s</w:t>
      </w:r>
      <w:r w:rsidRPr="00E050BC">
        <w:rPr>
          <w:w w:val="105"/>
          <w:sz w:val="24"/>
          <w:szCs w:val="24"/>
        </w:rPr>
        <w:t xml:space="preserve"> aporte</w:t>
      </w:r>
      <w:r w:rsidR="007603E2">
        <w:rPr>
          <w:w w:val="105"/>
          <w:sz w:val="24"/>
          <w:szCs w:val="24"/>
        </w:rPr>
        <w:t>s</w:t>
      </w:r>
      <w:r w:rsidRPr="00E050BC">
        <w:rPr>
          <w:w w:val="105"/>
          <w:sz w:val="24"/>
          <w:szCs w:val="24"/>
        </w:rPr>
        <w:t xml:space="preserve"> de bens e direitos realizado</w:t>
      </w:r>
      <w:r w:rsidR="007603E2">
        <w:rPr>
          <w:w w:val="105"/>
          <w:sz w:val="24"/>
          <w:szCs w:val="24"/>
        </w:rPr>
        <w:t>s</w:t>
      </w:r>
      <w:r w:rsidRPr="00E050BC">
        <w:rPr>
          <w:w w:val="105"/>
          <w:sz w:val="24"/>
          <w:szCs w:val="24"/>
        </w:rPr>
        <w:t xml:space="preserve"> pelos cotistas, por meio da integralização de cotas</w:t>
      </w:r>
      <w:r w:rsidR="00840175">
        <w:rPr>
          <w:w w:val="105"/>
          <w:sz w:val="24"/>
          <w:szCs w:val="24"/>
        </w:rPr>
        <w:t>,</w:t>
      </w:r>
      <w:r w:rsidRPr="00E050BC">
        <w:rPr>
          <w:w w:val="105"/>
          <w:sz w:val="24"/>
          <w:szCs w:val="24"/>
        </w:rPr>
        <w:t xml:space="preserve"> e pelos rendimentos obtidos com sua administração.</w:t>
      </w:r>
    </w:p>
    <w:p w14:paraId="47FEA11C" w14:textId="636EB0C9" w:rsidR="0036721F" w:rsidRDefault="00E050BC" w:rsidP="00E050BC">
      <w:pPr>
        <w:spacing w:after="120" w:line="240" w:lineRule="auto"/>
        <w:ind w:firstLine="1416"/>
        <w:jc w:val="both"/>
        <w:rPr>
          <w:w w:val="105"/>
          <w:sz w:val="24"/>
          <w:szCs w:val="24"/>
        </w:rPr>
      </w:pPr>
      <w:r w:rsidRPr="00E050BC">
        <w:rPr>
          <w:w w:val="105"/>
          <w:sz w:val="24"/>
          <w:szCs w:val="24"/>
        </w:rPr>
        <w:t>A União pode ser cotista única ou participar dos fundos juntamente com outros cotistas. Os fundos são normalmente administrados por instituição financeira federal ou empresa pública, que o representa judicial e extrajudicialmente, recebendo remuneração pelos serviços.</w:t>
      </w:r>
    </w:p>
    <w:p w14:paraId="340162B0" w14:textId="568B38AC" w:rsidR="0036721F" w:rsidRDefault="00C61524" w:rsidP="005236C5">
      <w:pPr>
        <w:spacing w:after="120" w:line="240" w:lineRule="auto"/>
        <w:ind w:firstLine="1416"/>
        <w:jc w:val="both"/>
        <w:rPr>
          <w:w w:val="105"/>
          <w:sz w:val="24"/>
          <w:szCs w:val="24"/>
        </w:rPr>
      </w:pPr>
      <w:r w:rsidRPr="00C61524">
        <w:rPr>
          <w:w w:val="105"/>
          <w:sz w:val="24"/>
          <w:szCs w:val="24"/>
        </w:rPr>
        <w:t>Atualmente, a União participa como cotista dos seguintes fundos garantidores privados:</w:t>
      </w:r>
    </w:p>
    <w:p w14:paraId="43063A2C" w14:textId="5FBDDE9C" w:rsidR="00E529F1" w:rsidRPr="000A0198" w:rsidRDefault="00E529F1" w:rsidP="000A0198">
      <w:pPr>
        <w:pStyle w:val="PargrafodaLista"/>
        <w:numPr>
          <w:ilvl w:val="0"/>
          <w:numId w:val="49"/>
        </w:numPr>
        <w:spacing w:after="120" w:line="240" w:lineRule="auto"/>
        <w:ind w:left="1775" w:hanging="357"/>
        <w:jc w:val="both"/>
        <w:rPr>
          <w:rFonts w:cs="Times New Roman"/>
          <w:sz w:val="24"/>
          <w:szCs w:val="24"/>
          <w:lang w:eastAsia="pt-BR"/>
        </w:rPr>
      </w:pPr>
      <w:r w:rsidRPr="000A0198">
        <w:rPr>
          <w:rFonts w:cs="Times New Roman"/>
          <w:sz w:val="24"/>
          <w:szCs w:val="24"/>
          <w:lang w:eastAsia="pt-BR"/>
        </w:rPr>
        <w:t xml:space="preserve">Fundo de Garantia para a Construção Naval </w:t>
      </w:r>
      <w:r w:rsidR="00C939FD" w:rsidRPr="000A0198">
        <w:rPr>
          <w:rFonts w:cs="Times New Roman"/>
          <w:sz w:val="24"/>
          <w:szCs w:val="24"/>
          <w:lang w:eastAsia="pt-BR"/>
        </w:rPr>
        <w:t>(</w:t>
      </w:r>
      <w:r w:rsidRPr="000A0198">
        <w:rPr>
          <w:rFonts w:cs="Times New Roman"/>
          <w:sz w:val="24"/>
          <w:szCs w:val="24"/>
          <w:lang w:eastAsia="pt-BR"/>
        </w:rPr>
        <w:t>FGCN</w:t>
      </w:r>
      <w:r w:rsidR="00C939FD" w:rsidRPr="000A0198">
        <w:rPr>
          <w:rFonts w:cs="Times New Roman"/>
          <w:sz w:val="24"/>
          <w:szCs w:val="24"/>
          <w:lang w:eastAsia="pt-BR"/>
        </w:rPr>
        <w:t>)</w:t>
      </w:r>
      <w:r w:rsidRPr="000A0198">
        <w:rPr>
          <w:rFonts w:cs="Times New Roman"/>
          <w:sz w:val="24"/>
          <w:szCs w:val="24"/>
          <w:lang w:eastAsia="pt-BR"/>
        </w:rPr>
        <w:t xml:space="preserve">: tem por finalidade garantir o risco de crédito das operações de financiamento à construção ou à produção de embarcações e o risco decorrente de </w:t>
      </w:r>
      <w:proofErr w:type="gramStart"/>
      <w:r w:rsidRPr="000A0198">
        <w:rPr>
          <w:rFonts w:cs="Times New Roman"/>
          <w:sz w:val="24"/>
          <w:szCs w:val="24"/>
          <w:lang w:eastAsia="pt-BR"/>
        </w:rPr>
        <w:t>performance</w:t>
      </w:r>
      <w:proofErr w:type="gramEnd"/>
      <w:r w:rsidRPr="000A0198">
        <w:rPr>
          <w:rFonts w:cs="Times New Roman"/>
          <w:sz w:val="24"/>
          <w:szCs w:val="24"/>
          <w:lang w:eastAsia="pt-BR"/>
        </w:rPr>
        <w:t xml:space="preserve"> de estaleiro brasileiro;</w:t>
      </w:r>
    </w:p>
    <w:p w14:paraId="60F28F83" w14:textId="1211F186" w:rsidR="00E529F1" w:rsidRPr="000A0198" w:rsidRDefault="00E529F1" w:rsidP="000A0198">
      <w:pPr>
        <w:pStyle w:val="PargrafodaLista"/>
        <w:numPr>
          <w:ilvl w:val="0"/>
          <w:numId w:val="49"/>
        </w:numPr>
        <w:spacing w:after="120" w:line="240" w:lineRule="auto"/>
        <w:ind w:left="1775" w:hanging="357"/>
        <w:jc w:val="both"/>
        <w:rPr>
          <w:rFonts w:cs="Times New Roman"/>
          <w:sz w:val="24"/>
          <w:szCs w:val="24"/>
          <w:lang w:eastAsia="pt-BR"/>
        </w:rPr>
      </w:pPr>
      <w:r w:rsidRPr="000A0198">
        <w:rPr>
          <w:rFonts w:cs="Times New Roman"/>
          <w:sz w:val="24"/>
          <w:szCs w:val="24"/>
          <w:lang w:eastAsia="pt-BR"/>
        </w:rPr>
        <w:t xml:space="preserve">Fundo Garantidor da Habitação Popular </w:t>
      </w:r>
      <w:r w:rsidR="00663C3B" w:rsidRPr="000A0198">
        <w:rPr>
          <w:rFonts w:cs="Times New Roman"/>
          <w:sz w:val="24"/>
          <w:szCs w:val="24"/>
          <w:lang w:eastAsia="pt-BR"/>
        </w:rPr>
        <w:t>(</w:t>
      </w:r>
      <w:proofErr w:type="spellStart"/>
      <w:proofErr w:type="gramStart"/>
      <w:r w:rsidRPr="000A0198">
        <w:rPr>
          <w:rFonts w:cs="Times New Roman"/>
          <w:sz w:val="24"/>
          <w:szCs w:val="24"/>
          <w:lang w:eastAsia="pt-BR"/>
        </w:rPr>
        <w:t>FGHab</w:t>
      </w:r>
      <w:proofErr w:type="spellEnd"/>
      <w:proofErr w:type="gramEnd"/>
      <w:r w:rsidR="00663C3B" w:rsidRPr="000A0198">
        <w:rPr>
          <w:rFonts w:cs="Times New Roman"/>
          <w:sz w:val="24"/>
          <w:szCs w:val="24"/>
          <w:lang w:eastAsia="pt-BR"/>
        </w:rPr>
        <w:t>)</w:t>
      </w:r>
      <w:r w:rsidRPr="000A0198">
        <w:rPr>
          <w:rFonts w:cs="Times New Roman"/>
          <w:sz w:val="24"/>
          <w:szCs w:val="24"/>
          <w:lang w:eastAsia="pt-BR"/>
        </w:rPr>
        <w:t>: visa prestar garantias a contratos de financiamento habitacional firmados no âmbito do Programa Minha Casa Minha Vida (PMCMV), quando da ocorrência dos eventos de Morte e Invalidez Permanente (MIP), Danos Físicos ao Imóvel (DFI) e Redução Temporária da Capacidade de Pagamento (RTCP)/desemprego;</w:t>
      </w:r>
    </w:p>
    <w:p w14:paraId="54787326" w14:textId="132D180F" w:rsidR="00E529F1" w:rsidRPr="000A0198" w:rsidRDefault="00E529F1" w:rsidP="000A0198">
      <w:pPr>
        <w:pStyle w:val="PargrafodaLista"/>
        <w:numPr>
          <w:ilvl w:val="0"/>
          <w:numId w:val="49"/>
        </w:numPr>
        <w:spacing w:after="120" w:line="240" w:lineRule="auto"/>
        <w:ind w:left="1775" w:hanging="357"/>
        <w:jc w:val="both"/>
        <w:rPr>
          <w:rFonts w:cs="Times New Roman"/>
          <w:sz w:val="24"/>
          <w:szCs w:val="24"/>
          <w:lang w:eastAsia="pt-BR"/>
        </w:rPr>
      </w:pPr>
      <w:r w:rsidRPr="000A0198">
        <w:rPr>
          <w:rFonts w:cs="Times New Roman"/>
          <w:sz w:val="24"/>
          <w:szCs w:val="24"/>
          <w:lang w:eastAsia="pt-BR"/>
        </w:rPr>
        <w:t xml:space="preserve">Fundo Garantidor de Infraestrutura </w:t>
      </w:r>
      <w:r w:rsidR="00034FD3" w:rsidRPr="000A0198">
        <w:rPr>
          <w:rFonts w:cs="Times New Roman"/>
          <w:sz w:val="24"/>
          <w:szCs w:val="24"/>
          <w:lang w:eastAsia="pt-BR"/>
        </w:rPr>
        <w:t>(</w:t>
      </w:r>
      <w:r w:rsidRPr="000A0198">
        <w:rPr>
          <w:rFonts w:cs="Times New Roman"/>
          <w:sz w:val="24"/>
          <w:szCs w:val="24"/>
          <w:lang w:eastAsia="pt-BR"/>
        </w:rPr>
        <w:t>FGIE</w:t>
      </w:r>
      <w:r w:rsidR="00034FD3" w:rsidRPr="000A0198">
        <w:rPr>
          <w:rFonts w:cs="Times New Roman"/>
          <w:sz w:val="24"/>
          <w:szCs w:val="24"/>
          <w:lang w:eastAsia="pt-BR"/>
        </w:rPr>
        <w:t>)</w:t>
      </w:r>
      <w:r w:rsidRPr="000A0198">
        <w:rPr>
          <w:rFonts w:cs="Times New Roman"/>
          <w:sz w:val="24"/>
          <w:szCs w:val="24"/>
          <w:lang w:eastAsia="pt-BR"/>
        </w:rPr>
        <w:t xml:space="preserve">: objetiva prestar cobertura de riscos para operações de infraestrutura descritas no §7º, do art. 33, da Lei 12.712/2012; </w:t>
      </w:r>
    </w:p>
    <w:p w14:paraId="2BE65B7D" w14:textId="159A8282" w:rsidR="00E529F1" w:rsidRPr="000A0198" w:rsidRDefault="00E529F1" w:rsidP="000A0198">
      <w:pPr>
        <w:pStyle w:val="PargrafodaLista"/>
        <w:numPr>
          <w:ilvl w:val="0"/>
          <w:numId w:val="49"/>
        </w:numPr>
        <w:spacing w:after="120" w:line="240" w:lineRule="auto"/>
        <w:ind w:left="1775" w:hanging="357"/>
        <w:jc w:val="both"/>
        <w:rPr>
          <w:rFonts w:cs="Times New Roman"/>
          <w:sz w:val="24"/>
          <w:szCs w:val="24"/>
          <w:lang w:eastAsia="pt-BR"/>
        </w:rPr>
      </w:pPr>
      <w:r w:rsidRPr="000A0198">
        <w:rPr>
          <w:rFonts w:cs="Times New Roman"/>
          <w:sz w:val="24"/>
          <w:szCs w:val="24"/>
          <w:lang w:eastAsia="pt-BR"/>
        </w:rPr>
        <w:t xml:space="preserve">Fundo de Garantia de Operações de Crédito Educativo </w:t>
      </w:r>
      <w:r w:rsidR="00FE68AD" w:rsidRPr="000A0198">
        <w:rPr>
          <w:rFonts w:cs="Times New Roman"/>
          <w:sz w:val="24"/>
          <w:szCs w:val="24"/>
          <w:lang w:eastAsia="pt-BR"/>
        </w:rPr>
        <w:t>(</w:t>
      </w:r>
      <w:r w:rsidRPr="000A0198">
        <w:rPr>
          <w:rFonts w:cs="Times New Roman"/>
          <w:sz w:val="24"/>
          <w:szCs w:val="24"/>
          <w:lang w:eastAsia="pt-BR"/>
        </w:rPr>
        <w:t>FGEDUC</w:t>
      </w:r>
      <w:r w:rsidR="00FE68AD" w:rsidRPr="000A0198">
        <w:rPr>
          <w:rFonts w:cs="Times New Roman"/>
          <w:sz w:val="24"/>
          <w:szCs w:val="24"/>
          <w:lang w:eastAsia="pt-BR"/>
        </w:rPr>
        <w:t>)</w:t>
      </w:r>
      <w:r w:rsidRPr="000A0198">
        <w:rPr>
          <w:rFonts w:cs="Times New Roman"/>
          <w:sz w:val="24"/>
          <w:szCs w:val="24"/>
          <w:lang w:eastAsia="pt-BR"/>
        </w:rPr>
        <w:t xml:space="preserve">: tem por finalidade garantir o risco em operações de crédito educativo, no âmbito do Fundo de Financiamento ao Estudante do Ensino Superior (Fies) até o final de 2017; </w:t>
      </w:r>
    </w:p>
    <w:p w14:paraId="3F50865A" w14:textId="67701CF6" w:rsidR="00E529F1" w:rsidRPr="000A0198" w:rsidRDefault="00E529F1" w:rsidP="000A0198">
      <w:pPr>
        <w:pStyle w:val="PargrafodaLista"/>
        <w:numPr>
          <w:ilvl w:val="0"/>
          <w:numId w:val="49"/>
        </w:numPr>
        <w:spacing w:after="120" w:line="240" w:lineRule="auto"/>
        <w:ind w:left="1775" w:hanging="357"/>
        <w:jc w:val="both"/>
        <w:rPr>
          <w:rFonts w:cs="Times New Roman"/>
          <w:sz w:val="24"/>
          <w:szCs w:val="24"/>
          <w:lang w:eastAsia="pt-BR"/>
        </w:rPr>
      </w:pPr>
      <w:r w:rsidRPr="000A0198">
        <w:rPr>
          <w:rFonts w:cs="Times New Roman"/>
          <w:sz w:val="24"/>
          <w:szCs w:val="24"/>
          <w:lang w:eastAsia="pt-BR"/>
        </w:rPr>
        <w:t xml:space="preserve">Fundo Garantidor do Fundo de Financiamento Estudantil </w:t>
      </w:r>
      <w:r w:rsidR="00B82A0E" w:rsidRPr="000A0198">
        <w:rPr>
          <w:rFonts w:cs="Times New Roman"/>
          <w:sz w:val="24"/>
          <w:szCs w:val="24"/>
          <w:lang w:eastAsia="pt-BR"/>
        </w:rPr>
        <w:t>(F</w:t>
      </w:r>
      <w:r w:rsidRPr="000A0198">
        <w:rPr>
          <w:rFonts w:cs="Times New Roman"/>
          <w:sz w:val="24"/>
          <w:szCs w:val="24"/>
          <w:lang w:eastAsia="pt-BR"/>
        </w:rPr>
        <w:t>G-</w:t>
      </w:r>
      <w:proofErr w:type="gramStart"/>
      <w:r w:rsidRPr="000A0198">
        <w:rPr>
          <w:rFonts w:cs="Times New Roman"/>
          <w:sz w:val="24"/>
          <w:szCs w:val="24"/>
          <w:lang w:eastAsia="pt-BR"/>
        </w:rPr>
        <w:t>Fies</w:t>
      </w:r>
      <w:proofErr w:type="gramEnd"/>
      <w:r w:rsidR="00B82A0E" w:rsidRPr="000A0198">
        <w:rPr>
          <w:rFonts w:cs="Times New Roman"/>
          <w:sz w:val="24"/>
          <w:szCs w:val="24"/>
          <w:lang w:eastAsia="pt-BR"/>
        </w:rPr>
        <w:t>)</w:t>
      </w:r>
      <w:r w:rsidRPr="000A0198">
        <w:rPr>
          <w:rFonts w:cs="Times New Roman"/>
          <w:sz w:val="24"/>
          <w:szCs w:val="24"/>
          <w:lang w:eastAsia="pt-BR"/>
        </w:rPr>
        <w:t>: sua finalidade é garantir o crédito do financiamento a estudantes no âmbito do Fies a partir do primeiro semestre de 2018;</w:t>
      </w:r>
    </w:p>
    <w:p w14:paraId="0F3F1087" w14:textId="73A52DF5" w:rsidR="00E529F1" w:rsidRPr="000A0198" w:rsidRDefault="00E529F1" w:rsidP="000A0198">
      <w:pPr>
        <w:pStyle w:val="PargrafodaLista"/>
        <w:numPr>
          <w:ilvl w:val="0"/>
          <w:numId w:val="49"/>
        </w:numPr>
        <w:spacing w:after="120" w:line="240" w:lineRule="auto"/>
        <w:ind w:left="1775" w:hanging="357"/>
        <w:jc w:val="both"/>
        <w:rPr>
          <w:rFonts w:cs="Times New Roman"/>
          <w:sz w:val="24"/>
          <w:szCs w:val="24"/>
          <w:lang w:eastAsia="pt-BR"/>
        </w:rPr>
      </w:pPr>
      <w:r w:rsidRPr="000A0198">
        <w:rPr>
          <w:rFonts w:cs="Times New Roman"/>
          <w:sz w:val="24"/>
          <w:szCs w:val="24"/>
          <w:lang w:eastAsia="pt-BR"/>
        </w:rPr>
        <w:t xml:space="preserve">Fundo Garantidor para Investimentos </w:t>
      </w:r>
      <w:r w:rsidR="0085766C" w:rsidRPr="000A0198">
        <w:rPr>
          <w:rFonts w:cs="Times New Roman"/>
          <w:sz w:val="24"/>
          <w:szCs w:val="24"/>
          <w:lang w:eastAsia="pt-BR"/>
        </w:rPr>
        <w:t>(</w:t>
      </w:r>
      <w:r w:rsidRPr="000A0198">
        <w:rPr>
          <w:rFonts w:cs="Times New Roman"/>
          <w:sz w:val="24"/>
          <w:szCs w:val="24"/>
          <w:lang w:eastAsia="pt-BR"/>
        </w:rPr>
        <w:t>FGI</w:t>
      </w:r>
      <w:r w:rsidR="0085766C" w:rsidRPr="000A0198">
        <w:rPr>
          <w:rFonts w:cs="Times New Roman"/>
          <w:sz w:val="24"/>
          <w:szCs w:val="24"/>
          <w:lang w:eastAsia="pt-BR"/>
        </w:rPr>
        <w:t>)</w:t>
      </w:r>
      <w:r w:rsidRPr="000A0198">
        <w:rPr>
          <w:rFonts w:cs="Times New Roman"/>
          <w:sz w:val="24"/>
          <w:szCs w:val="24"/>
          <w:lang w:eastAsia="pt-BR"/>
        </w:rPr>
        <w:t xml:space="preserve">: tem a finalidade de garantir </w:t>
      </w:r>
      <w:proofErr w:type="gramStart"/>
      <w:r w:rsidRPr="000A0198">
        <w:rPr>
          <w:rFonts w:cs="Times New Roman"/>
          <w:sz w:val="24"/>
          <w:szCs w:val="24"/>
          <w:lang w:eastAsia="pt-BR"/>
        </w:rPr>
        <w:t>financiamentos para micro, pequenas</w:t>
      </w:r>
      <w:proofErr w:type="gramEnd"/>
      <w:r w:rsidRPr="000A0198">
        <w:rPr>
          <w:rFonts w:cs="Times New Roman"/>
          <w:sz w:val="24"/>
          <w:szCs w:val="24"/>
          <w:lang w:eastAsia="pt-BR"/>
        </w:rPr>
        <w:t xml:space="preserve"> e médias empresas para a aquisição de bens de capital;</w:t>
      </w:r>
    </w:p>
    <w:p w14:paraId="069AEE99" w14:textId="567A0228" w:rsidR="00EB7F1A" w:rsidRPr="000A0198" w:rsidRDefault="00E529F1" w:rsidP="000A0198">
      <w:pPr>
        <w:pStyle w:val="PargrafodaLista"/>
        <w:numPr>
          <w:ilvl w:val="0"/>
          <w:numId w:val="49"/>
        </w:numPr>
        <w:spacing w:after="120" w:line="240" w:lineRule="auto"/>
        <w:ind w:left="1775" w:hanging="357"/>
        <w:jc w:val="both"/>
        <w:rPr>
          <w:rFonts w:cs="Times New Roman"/>
          <w:sz w:val="24"/>
          <w:szCs w:val="24"/>
          <w:lang w:eastAsia="pt-BR"/>
        </w:rPr>
      </w:pPr>
      <w:r w:rsidRPr="000A0198">
        <w:rPr>
          <w:rFonts w:cs="Times New Roman"/>
          <w:sz w:val="24"/>
          <w:szCs w:val="24"/>
          <w:lang w:eastAsia="pt-BR"/>
        </w:rPr>
        <w:lastRenderedPageBreak/>
        <w:t xml:space="preserve">Fundo de Garantia de Operações </w:t>
      </w:r>
      <w:r w:rsidR="00364B5B" w:rsidRPr="000A0198">
        <w:rPr>
          <w:rFonts w:cs="Times New Roman"/>
          <w:sz w:val="24"/>
          <w:szCs w:val="24"/>
          <w:lang w:eastAsia="pt-BR"/>
        </w:rPr>
        <w:t>(</w:t>
      </w:r>
      <w:r w:rsidRPr="000A0198">
        <w:rPr>
          <w:rFonts w:cs="Times New Roman"/>
          <w:sz w:val="24"/>
          <w:szCs w:val="24"/>
          <w:lang w:eastAsia="pt-BR"/>
        </w:rPr>
        <w:t>FGO</w:t>
      </w:r>
      <w:r w:rsidR="00364B5B" w:rsidRPr="000A0198">
        <w:rPr>
          <w:rFonts w:cs="Times New Roman"/>
          <w:sz w:val="24"/>
          <w:szCs w:val="24"/>
          <w:lang w:eastAsia="pt-BR"/>
        </w:rPr>
        <w:t>)</w:t>
      </w:r>
      <w:r w:rsidRPr="000A0198">
        <w:rPr>
          <w:rFonts w:cs="Times New Roman"/>
          <w:sz w:val="24"/>
          <w:szCs w:val="24"/>
          <w:lang w:eastAsia="pt-BR"/>
        </w:rPr>
        <w:t>: objetiva prestar garantias para financiamentos para micro, pequenas e médias empresas para capital de giro e investimentos.</w:t>
      </w:r>
    </w:p>
    <w:p w14:paraId="37993335" w14:textId="48195E75" w:rsidR="00EB7F1A" w:rsidRDefault="00601087" w:rsidP="005236C5">
      <w:pPr>
        <w:spacing w:after="120" w:line="240" w:lineRule="auto"/>
        <w:ind w:firstLine="1416"/>
        <w:jc w:val="both"/>
        <w:rPr>
          <w:w w:val="105"/>
          <w:sz w:val="24"/>
          <w:szCs w:val="24"/>
        </w:rPr>
      </w:pPr>
      <w:r w:rsidRPr="00601087">
        <w:rPr>
          <w:w w:val="105"/>
          <w:sz w:val="24"/>
          <w:szCs w:val="24"/>
        </w:rPr>
        <w:t>Conforme pode ser observado n</w:t>
      </w:r>
      <w:r w:rsidR="007B37EC">
        <w:rPr>
          <w:w w:val="105"/>
          <w:sz w:val="24"/>
          <w:szCs w:val="24"/>
        </w:rPr>
        <w:t xml:space="preserve">a </w:t>
      </w:r>
      <w:r w:rsidR="007B37EC">
        <w:rPr>
          <w:w w:val="105"/>
          <w:sz w:val="24"/>
          <w:szCs w:val="24"/>
        </w:rPr>
        <w:fldChar w:fldCharType="begin"/>
      </w:r>
      <w:r w:rsidR="007B37EC">
        <w:rPr>
          <w:w w:val="105"/>
          <w:sz w:val="24"/>
          <w:szCs w:val="24"/>
        </w:rPr>
        <w:instrText xml:space="preserve"> REF _Ref36820187 \h  \* MERGEFORMAT </w:instrText>
      </w:r>
      <w:r w:rsidR="007B37EC">
        <w:rPr>
          <w:w w:val="105"/>
          <w:sz w:val="24"/>
          <w:szCs w:val="24"/>
        </w:rPr>
      </w:r>
      <w:r w:rsidR="007B37EC">
        <w:rPr>
          <w:w w:val="105"/>
          <w:sz w:val="24"/>
          <w:szCs w:val="24"/>
        </w:rPr>
        <w:fldChar w:fldCharType="separate"/>
      </w:r>
      <w:r w:rsidR="00304F5F" w:rsidRPr="00304F5F">
        <w:rPr>
          <w:w w:val="105"/>
          <w:sz w:val="24"/>
          <w:szCs w:val="24"/>
        </w:rPr>
        <w:t>Tabela 35</w:t>
      </w:r>
      <w:r w:rsidR="007B37EC">
        <w:rPr>
          <w:w w:val="105"/>
          <w:sz w:val="24"/>
          <w:szCs w:val="24"/>
        </w:rPr>
        <w:fldChar w:fldCharType="end"/>
      </w:r>
      <w:r w:rsidRPr="00601087">
        <w:rPr>
          <w:w w:val="105"/>
          <w:sz w:val="24"/>
          <w:szCs w:val="24"/>
        </w:rPr>
        <w:t xml:space="preserve">, </w:t>
      </w:r>
      <w:r w:rsidR="00CF011E">
        <w:rPr>
          <w:w w:val="105"/>
          <w:sz w:val="24"/>
          <w:szCs w:val="24"/>
        </w:rPr>
        <w:t>ao final de</w:t>
      </w:r>
      <w:r w:rsidRPr="00601087">
        <w:rPr>
          <w:w w:val="105"/>
          <w:sz w:val="24"/>
          <w:szCs w:val="24"/>
        </w:rPr>
        <w:t xml:space="preserve"> dezembro de 20</w:t>
      </w:r>
      <w:r w:rsidR="0022104F">
        <w:rPr>
          <w:w w:val="105"/>
          <w:sz w:val="24"/>
          <w:szCs w:val="24"/>
        </w:rPr>
        <w:t>20</w:t>
      </w:r>
      <w:r w:rsidRPr="00601087">
        <w:rPr>
          <w:w w:val="105"/>
          <w:sz w:val="24"/>
          <w:szCs w:val="24"/>
        </w:rPr>
        <w:t xml:space="preserve"> a União possuía </w:t>
      </w:r>
      <w:r w:rsidRPr="009F6F36">
        <w:rPr>
          <w:w w:val="105"/>
          <w:sz w:val="24"/>
          <w:szCs w:val="24"/>
        </w:rPr>
        <w:t xml:space="preserve">R$ </w:t>
      </w:r>
      <w:r w:rsidR="00DC32F9" w:rsidRPr="00DC32F9">
        <w:rPr>
          <w:w w:val="105"/>
          <w:sz w:val="24"/>
          <w:szCs w:val="24"/>
        </w:rPr>
        <w:t>6</w:t>
      </w:r>
      <w:r w:rsidR="003F7A90">
        <w:rPr>
          <w:w w:val="105"/>
          <w:sz w:val="24"/>
          <w:szCs w:val="24"/>
        </w:rPr>
        <w:t>9</w:t>
      </w:r>
      <w:r w:rsidR="00DC32F9" w:rsidRPr="00DC32F9">
        <w:rPr>
          <w:w w:val="105"/>
          <w:sz w:val="24"/>
          <w:szCs w:val="24"/>
        </w:rPr>
        <w:t>,</w:t>
      </w:r>
      <w:r w:rsidR="00CF011E">
        <w:rPr>
          <w:w w:val="105"/>
          <w:sz w:val="24"/>
          <w:szCs w:val="24"/>
        </w:rPr>
        <w:t>2</w:t>
      </w:r>
      <w:r w:rsidRPr="00DC32F9">
        <w:rPr>
          <w:w w:val="105"/>
          <w:sz w:val="24"/>
          <w:szCs w:val="24"/>
        </w:rPr>
        <w:t xml:space="preserve"> bilhões</w:t>
      </w:r>
      <w:r w:rsidRPr="009F6F36">
        <w:rPr>
          <w:w w:val="105"/>
          <w:sz w:val="24"/>
          <w:szCs w:val="24"/>
        </w:rPr>
        <w:t xml:space="preserve"> de participação em cotas nos fundos garantidores privados listados acima.</w:t>
      </w:r>
    </w:p>
    <w:p w14:paraId="26AFB1E2" w14:textId="479CDFA4" w:rsidR="009713AE" w:rsidRPr="009713AE" w:rsidRDefault="009713AE" w:rsidP="009713AE">
      <w:pPr>
        <w:pStyle w:val="Legenda"/>
        <w:spacing w:before="240" w:after="120"/>
        <w:ind w:left="1134" w:right="1134"/>
        <w:jc w:val="center"/>
        <w:rPr>
          <w:rFonts w:asciiTheme="minorHAnsi" w:hAnsiTheme="minorHAnsi"/>
          <w:i w:val="0"/>
          <w:color w:val="auto"/>
          <w:sz w:val="22"/>
          <w:szCs w:val="22"/>
        </w:rPr>
      </w:pPr>
      <w:bookmarkStart w:id="307" w:name="_Ref36820187"/>
      <w:bookmarkStart w:id="308" w:name="_Toc69121381"/>
      <w:r w:rsidRPr="009713AE">
        <w:rPr>
          <w:rFonts w:asciiTheme="minorHAnsi" w:hAnsiTheme="minorHAnsi"/>
          <w:i w:val="0"/>
          <w:color w:val="auto"/>
          <w:sz w:val="22"/>
          <w:szCs w:val="22"/>
        </w:rPr>
        <w:t xml:space="preserve">Tabela </w:t>
      </w:r>
      <w:r w:rsidRPr="009713AE">
        <w:rPr>
          <w:rFonts w:asciiTheme="minorHAnsi" w:hAnsiTheme="minorHAnsi"/>
          <w:i w:val="0"/>
          <w:color w:val="auto"/>
          <w:sz w:val="22"/>
          <w:szCs w:val="22"/>
        </w:rPr>
        <w:fldChar w:fldCharType="begin"/>
      </w:r>
      <w:r w:rsidRPr="009713AE">
        <w:rPr>
          <w:rFonts w:asciiTheme="minorHAnsi" w:hAnsiTheme="minorHAnsi"/>
          <w:i w:val="0"/>
          <w:color w:val="auto"/>
          <w:sz w:val="22"/>
          <w:szCs w:val="22"/>
        </w:rPr>
        <w:instrText xml:space="preserve"> SEQ Tabela \* ARABIC </w:instrText>
      </w:r>
      <w:r w:rsidRPr="009713AE">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35</w:t>
      </w:r>
      <w:r w:rsidRPr="009713AE">
        <w:rPr>
          <w:rFonts w:asciiTheme="minorHAnsi" w:hAnsiTheme="minorHAnsi"/>
          <w:i w:val="0"/>
          <w:color w:val="auto"/>
          <w:sz w:val="22"/>
          <w:szCs w:val="22"/>
        </w:rPr>
        <w:fldChar w:fldCharType="end"/>
      </w:r>
      <w:bookmarkEnd w:id="307"/>
      <w:r w:rsidR="006D3C66">
        <w:rPr>
          <w:rFonts w:asciiTheme="minorHAnsi" w:hAnsiTheme="minorHAnsi"/>
          <w:i w:val="0"/>
          <w:color w:val="auto"/>
          <w:sz w:val="22"/>
          <w:szCs w:val="22"/>
        </w:rPr>
        <w:t xml:space="preserve"> </w:t>
      </w:r>
      <w:r w:rsidR="00965744">
        <w:rPr>
          <w:rFonts w:asciiTheme="minorHAnsi" w:hAnsiTheme="minorHAnsi"/>
          <w:i w:val="0"/>
          <w:color w:val="auto"/>
          <w:sz w:val="22"/>
          <w:szCs w:val="22"/>
        </w:rPr>
        <w:t>-</w:t>
      </w:r>
      <w:r w:rsidR="006D3C66">
        <w:rPr>
          <w:rFonts w:asciiTheme="minorHAnsi" w:hAnsiTheme="minorHAnsi"/>
          <w:i w:val="0"/>
          <w:color w:val="auto"/>
          <w:sz w:val="22"/>
          <w:szCs w:val="22"/>
        </w:rPr>
        <w:t xml:space="preserve"> Fundos garantidores com participação da União</w:t>
      </w:r>
      <w:r w:rsidR="00141EDE">
        <w:rPr>
          <w:rFonts w:asciiTheme="minorHAnsi" w:hAnsiTheme="minorHAnsi"/>
          <w:i w:val="0"/>
          <w:color w:val="auto"/>
          <w:sz w:val="22"/>
          <w:szCs w:val="22"/>
        </w:rPr>
        <w:t xml:space="preserve"> – Dezembro 2020</w:t>
      </w:r>
      <w:bookmarkEnd w:id="308"/>
    </w:p>
    <w:tbl>
      <w:tblPr>
        <w:tblW w:w="0" w:type="auto"/>
        <w:jc w:val="center"/>
        <w:tblCellMar>
          <w:left w:w="70" w:type="dxa"/>
          <w:right w:w="70" w:type="dxa"/>
        </w:tblCellMar>
        <w:tblLook w:val="04A0" w:firstRow="1" w:lastRow="0" w:firstColumn="1" w:lastColumn="0" w:noHBand="0" w:noVBand="1"/>
      </w:tblPr>
      <w:tblGrid>
        <w:gridCol w:w="1048"/>
        <w:gridCol w:w="5021"/>
        <w:gridCol w:w="1342"/>
        <w:gridCol w:w="1283"/>
        <w:gridCol w:w="1369"/>
      </w:tblGrid>
      <w:tr w:rsidR="00E603BD" w:rsidRPr="006B6883" w14:paraId="40D3DD68" w14:textId="77777777" w:rsidTr="00A52904">
        <w:trPr>
          <w:trHeight w:val="20"/>
          <w:tblHeader/>
          <w:jc w:val="center"/>
        </w:trPr>
        <w:tc>
          <w:tcPr>
            <w:tcW w:w="0" w:type="auto"/>
            <w:gridSpan w:val="5"/>
            <w:tcBorders>
              <w:bottom w:val="single" w:sz="4" w:space="0" w:color="BFBFBF" w:themeColor="background1" w:themeShade="BF"/>
            </w:tcBorders>
            <w:shd w:val="clear" w:color="auto" w:fill="FFFFFF" w:themeFill="background1"/>
            <w:vAlign w:val="center"/>
          </w:tcPr>
          <w:p w14:paraId="000AFE8B" w14:textId="3637FC97" w:rsidR="00E603BD" w:rsidRPr="0086758B" w:rsidRDefault="00E603BD" w:rsidP="00E603BD">
            <w:pPr>
              <w:spacing w:after="0" w:line="240" w:lineRule="auto"/>
              <w:jc w:val="right"/>
              <w:rPr>
                <w:rFonts w:ascii="Calibri" w:eastAsia="Times New Roman" w:hAnsi="Calibri" w:cs="Calibri"/>
                <w:i/>
                <w:iCs/>
                <w:sz w:val="16"/>
                <w:szCs w:val="16"/>
                <w:lang w:eastAsia="pt-BR"/>
              </w:rPr>
            </w:pPr>
            <w:r w:rsidRPr="0086758B">
              <w:rPr>
                <w:rFonts w:ascii="Calibri" w:eastAsia="Times New Roman" w:hAnsi="Calibri" w:cs="Calibri"/>
                <w:i/>
                <w:iCs/>
                <w:sz w:val="16"/>
                <w:szCs w:val="16"/>
                <w:lang w:eastAsia="pt-BR"/>
              </w:rPr>
              <w:t>Em R$</w:t>
            </w:r>
            <w:r w:rsidR="0086758B" w:rsidRPr="0086758B">
              <w:rPr>
                <w:rFonts w:ascii="Calibri" w:eastAsia="Times New Roman" w:hAnsi="Calibri" w:cs="Calibri"/>
                <w:i/>
                <w:iCs/>
                <w:sz w:val="16"/>
                <w:szCs w:val="16"/>
                <w:lang w:eastAsia="pt-BR"/>
              </w:rPr>
              <w:t xml:space="preserve"> </w:t>
            </w:r>
            <w:r w:rsidR="00720520">
              <w:rPr>
                <w:rFonts w:ascii="Calibri" w:eastAsia="Times New Roman" w:hAnsi="Calibri" w:cs="Calibri"/>
                <w:i/>
                <w:iCs/>
                <w:sz w:val="16"/>
                <w:szCs w:val="16"/>
                <w:lang w:eastAsia="pt-BR"/>
              </w:rPr>
              <w:t>milh</w:t>
            </w:r>
            <w:r w:rsidR="00AF58A8">
              <w:rPr>
                <w:rFonts w:ascii="Calibri" w:eastAsia="Times New Roman" w:hAnsi="Calibri" w:cs="Calibri"/>
                <w:i/>
                <w:iCs/>
                <w:sz w:val="16"/>
                <w:szCs w:val="16"/>
                <w:lang w:eastAsia="pt-BR"/>
              </w:rPr>
              <w:t>ões</w:t>
            </w:r>
          </w:p>
        </w:tc>
      </w:tr>
      <w:tr w:rsidR="00B95481" w:rsidRPr="00965744" w14:paraId="7813F16B" w14:textId="77777777" w:rsidTr="00A52904">
        <w:trPr>
          <w:trHeight w:val="20"/>
          <w:tblHeade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2E483310" w14:textId="77777777" w:rsidR="00A52904" w:rsidRDefault="00B95481" w:rsidP="00B95481">
            <w:pPr>
              <w:spacing w:after="0" w:line="240" w:lineRule="auto"/>
              <w:jc w:val="center"/>
              <w:rPr>
                <w:rFonts w:ascii="Calibri" w:eastAsia="Times New Roman" w:hAnsi="Calibri" w:cs="Calibri"/>
                <w:b/>
                <w:bCs/>
                <w:color w:val="FFFFFF"/>
                <w:sz w:val="20"/>
                <w:szCs w:val="20"/>
                <w:lang w:eastAsia="pt-BR"/>
              </w:rPr>
            </w:pPr>
            <w:r w:rsidRPr="00965744">
              <w:rPr>
                <w:rFonts w:ascii="Calibri" w:eastAsia="Times New Roman" w:hAnsi="Calibri" w:cs="Calibri"/>
                <w:b/>
                <w:bCs/>
                <w:color w:val="FFFFFF"/>
                <w:sz w:val="20"/>
                <w:szCs w:val="20"/>
                <w:lang w:eastAsia="pt-BR"/>
              </w:rPr>
              <w:t>Fundo</w:t>
            </w:r>
          </w:p>
          <w:p w14:paraId="53488C2E" w14:textId="22DBBBDD" w:rsidR="00B95481" w:rsidRPr="00965744" w:rsidRDefault="00B95481" w:rsidP="00B95481">
            <w:pPr>
              <w:spacing w:after="0" w:line="240" w:lineRule="auto"/>
              <w:jc w:val="center"/>
              <w:rPr>
                <w:rFonts w:ascii="Calibri" w:eastAsia="Times New Roman" w:hAnsi="Calibri" w:cs="Calibri"/>
                <w:b/>
                <w:bCs/>
                <w:color w:val="FFFFFF"/>
                <w:sz w:val="20"/>
                <w:szCs w:val="20"/>
                <w:lang w:eastAsia="pt-BR"/>
              </w:rPr>
            </w:pPr>
            <w:r w:rsidRPr="00965744">
              <w:rPr>
                <w:rFonts w:ascii="Calibri" w:eastAsia="Times New Roman" w:hAnsi="Calibri" w:cs="Calibri"/>
                <w:b/>
                <w:bCs/>
                <w:color w:val="FFFFFF"/>
                <w:sz w:val="20"/>
                <w:szCs w:val="20"/>
                <w:lang w:eastAsia="pt-BR"/>
              </w:rPr>
              <w:t>Garantidor</w:t>
            </w:r>
          </w:p>
        </w:tc>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213691B6" w14:textId="5E005392" w:rsidR="00B95481" w:rsidRPr="00965744" w:rsidRDefault="00B95481" w:rsidP="00B95481">
            <w:pPr>
              <w:spacing w:after="0" w:line="240" w:lineRule="auto"/>
              <w:jc w:val="center"/>
              <w:rPr>
                <w:rFonts w:ascii="Calibri" w:eastAsia="Times New Roman" w:hAnsi="Calibri" w:cs="Calibri"/>
                <w:b/>
                <w:bCs/>
                <w:color w:val="FFFFFF"/>
                <w:sz w:val="20"/>
                <w:szCs w:val="20"/>
                <w:lang w:eastAsia="pt-BR"/>
              </w:rPr>
            </w:pPr>
            <w:r w:rsidRPr="00965744">
              <w:rPr>
                <w:rFonts w:ascii="Calibri" w:eastAsia="Times New Roman" w:hAnsi="Calibri" w:cs="Calibri"/>
                <w:b/>
                <w:bCs/>
                <w:color w:val="FFFFFF"/>
                <w:sz w:val="20"/>
                <w:szCs w:val="20"/>
                <w:lang w:eastAsia="pt-BR"/>
              </w:rPr>
              <w:t>Objeto de garantia</w:t>
            </w:r>
          </w:p>
        </w:tc>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580B428" w14:textId="4D92FF40" w:rsidR="00B95481" w:rsidRPr="00965744" w:rsidRDefault="00B95481" w:rsidP="00B95481">
            <w:pPr>
              <w:spacing w:after="0" w:line="240" w:lineRule="auto"/>
              <w:jc w:val="center"/>
              <w:rPr>
                <w:rFonts w:ascii="Calibri" w:eastAsia="Times New Roman" w:hAnsi="Calibri" w:cs="Calibri"/>
                <w:b/>
                <w:bCs/>
                <w:color w:val="FFFFFF"/>
                <w:sz w:val="20"/>
                <w:szCs w:val="20"/>
                <w:lang w:eastAsia="pt-BR"/>
              </w:rPr>
            </w:pPr>
            <w:r w:rsidRPr="00965744">
              <w:rPr>
                <w:rFonts w:ascii="Calibri" w:eastAsia="Times New Roman" w:hAnsi="Calibri" w:cs="Calibri"/>
                <w:b/>
                <w:bCs/>
                <w:color w:val="FFFFFF"/>
                <w:sz w:val="20"/>
                <w:szCs w:val="20"/>
                <w:lang w:eastAsia="pt-BR"/>
              </w:rPr>
              <w:t>Administrador</w:t>
            </w:r>
          </w:p>
        </w:tc>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758C2F7B" w14:textId="1B5713B8" w:rsidR="00B95481" w:rsidRPr="00965744" w:rsidRDefault="00B95481" w:rsidP="00B95481">
            <w:pPr>
              <w:spacing w:after="0" w:line="240" w:lineRule="auto"/>
              <w:jc w:val="center"/>
              <w:rPr>
                <w:rFonts w:ascii="Calibri" w:eastAsia="Times New Roman" w:hAnsi="Calibri" w:cs="Calibri"/>
                <w:b/>
                <w:bCs/>
                <w:color w:val="FFFFFF"/>
                <w:sz w:val="20"/>
                <w:szCs w:val="20"/>
                <w:lang w:eastAsia="pt-BR"/>
              </w:rPr>
            </w:pPr>
            <w:r w:rsidRPr="00965744">
              <w:rPr>
                <w:rFonts w:ascii="Calibri" w:eastAsia="Times New Roman" w:hAnsi="Calibri" w:cs="Calibri"/>
                <w:b/>
                <w:bCs/>
                <w:color w:val="FFFFFF"/>
                <w:sz w:val="20"/>
                <w:szCs w:val="20"/>
                <w:lang w:eastAsia="pt-BR"/>
              </w:rPr>
              <w:t>Valor Cotas da União</w:t>
            </w:r>
          </w:p>
        </w:tc>
        <w:tc>
          <w:tcPr>
            <w:tcW w:w="0" w:type="auto"/>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1E06706E" w14:textId="769C28AC" w:rsidR="00B95481" w:rsidRPr="00965744" w:rsidRDefault="00B95481" w:rsidP="00B95481">
            <w:pPr>
              <w:spacing w:after="0" w:line="240" w:lineRule="auto"/>
              <w:jc w:val="center"/>
              <w:rPr>
                <w:rFonts w:ascii="Calibri" w:eastAsia="Times New Roman" w:hAnsi="Calibri" w:cs="Calibri"/>
                <w:b/>
                <w:bCs/>
                <w:color w:val="FFFFFF"/>
                <w:sz w:val="20"/>
                <w:szCs w:val="20"/>
                <w:lang w:eastAsia="pt-BR"/>
              </w:rPr>
            </w:pPr>
            <w:r w:rsidRPr="00965744">
              <w:rPr>
                <w:rFonts w:ascii="Calibri" w:eastAsia="Times New Roman" w:hAnsi="Calibri" w:cs="Calibri"/>
                <w:b/>
                <w:bCs/>
                <w:color w:val="FFFFFF"/>
                <w:sz w:val="20"/>
                <w:szCs w:val="20"/>
                <w:lang w:eastAsia="pt-BR"/>
              </w:rPr>
              <w:t>Patrimônio Líquido</w:t>
            </w:r>
          </w:p>
        </w:tc>
      </w:tr>
      <w:tr w:rsidR="00AA1A21" w:rsidRPr="006B6883" w14:paraId="4745328A" w14:textId="77777777" w:rsidTr="00A52904">
        <w:trPr>
          <w:trHeight w:val="20"/>
          <w:jc w:val="center"/>
        </w:trPr>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E1C07E" w14:textId="77777777" w:rsidR="007C43FF" w:rsidRPr="006B6883" w:rsidRDefault="007C43FF" w:rsidP="001140C8">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FGI</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61A25D7D" w14:textId="77777777" w:rsidR="007C43FF" w:rsidRPr="006B6883" w:rsidRDefault="007C43FF" w:rsidP="00A52904">
            <w:pPr>
              <w:spacing w:after="0" w:line="240" w:lineRule="auto"/>
              <w:rPr>
                <w:rFonts w:ascii="Calibri" w:eastAsia="Times New Roman" w:hAnsi="Calibri" w:cs="Calibri"/>
                <w:color w:val="000000"/>
                <w:sz w:val="18"/>
                <w:szCs w:val="18"/>
                <w:lang w:eastAsia="pt-BR"/>
              </w:rPr>
            </w:pPr>
            <w:proofErr w:type="gramStart"/>
            <w:r w:rsidRPr="006B6883">
              <w:rPr>
                <w:rFonts w:ascii="Calibri" w:eastAsia="Times New Roman" w:hAnsi="Calibri" w:cs="Calibri"/>
                <w:color w:val="000000"/>
                <w:sz w:val="18"/>
                <w:szCs w:val="18"/>
                <w:lang w:eastAsia="pt-BR"/>
              </w:rPr>
              <w:t>Financiamentos para micro, pequenas</w:t>
            </w:r>
            <w:proofErr w:type="gramEnd"/>
            <w:r w:rsidRPr="006B6883">
              <w:rPr>
                <w:rFonts w:ascii="Calibri" w:eastAsia="Times New Roman" w:hAnsi="Calibri" w:cs="Calibri"/>
                <w:color w:val="000000"/>
                <w:sz w:val="18"/>
                <w:szCs w:val="18"/>
                <w:lang w:eastAsia="pt-BR"/>
              </w:rPr>
              <w:t xml:space="preserve"> e médias empresas para aquisição de bens de capital</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2CE97BB3" w14:textId="77777777" w:rsidR="007C43FF" w:rsidRPr="006B6883" w:rsidRDefault="007C43FF" w:rsidP="001140C8">
            <w:pPr>
              <w:spacing w:after="0" w:line="240" w:lineRule="auto"/>
              <w:jc w:val="center"/>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BNDES</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tcPr>
          <w:p w14:paraId="143B3C1A" w14:textId="10A7C81B" w:rsidR="007C43FF" w:rsidRPr="006B6883" w:rsidRDefault="00951183"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18.811,4</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tcPr>
          <w:p w14:paraId="3F7D5C28" w14:textId="064B5C58" w:rsidR="007C43FF" w:rsidRPr="006B6883" w:rsidRDefault="00951183"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19.073,7</w:t>
            </w:r>
          </w:p>
        </w:tc>
      </w:tr>
      <w:tr w:rsidR="00AA1A21" w:rsidRPr="006B6883" w14:paraId="353440C3" w14:textId="77777777" w:rsidTr="00A52904">
        <w:trPr>
          <w:trHeight w:val="20"/>
          <w:jc w:val="center"/>
        </w:trPr>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4B0A0F7" w14:textId="77777777" w:rsidR="007C43FF" w:rsidRPr="006B6883" w:rsidRDefault="007C43FF" w:rsidP="001140C8">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FGO</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71BEC7C" w14:textId="77777777" w:rsidR="007C43FF" w:rsidRPr="006B6883" w:rsidRDefault="007C43FF" w:rsidP="00A52904">
            <w:pPr>
              <w:spacing w:after="0" w:line="240" w:lineRule="auto"/>
              <w:rPr>
                <w:rFonts w:ascii="Calibri" w:eastAsia="Times New Roman" w:hAnsi="Calibri" w:cs="Calibri"/>
                <w:color w:val="000000"/>
                <w:sz w:val="18"/>
                <w:szCs w:val="18"/>
                <w:lang w:eastAsia="pt-BR"/>
              </w:rPr>
            </w:pPr>
            <w:proofErr w:type="gramStart"/>
            <w:r w:rsidRPr="006B6883">
              <w:rPr>
                <w:rFonts w:ascii="Calibri" w:eastAsia="Times New Roman" w:hAnsi="Calibri" w:cs="Calibri"/>
                <w:color w:val="000000"/>
                <w:sz w:val="18"/>
                <w:szCs w:val="18"/>
                <w:lang w:eastAsia="pt-BR"/>
              </w:rPr>
              <w:t>Financiamentos para micro, pequenas</w:t>
            </w:r>
            <w:proofErr w:type="gramEnd"/>
            <w:r w:rsidRPr="006B6883">
              <w:rPr>
                <w:rFonts w:ascii="Calibri" w:eastAsia="Times New Roman" w:hAnsi="Calibri" w:cs="Calibri"/>
                <w:color w:val="000000"/>
                <w:sz w:val="18"/>
                <w:szCs w:val="18"/>
                <w:lang w:eastAsia="pt-BR"/>
              </w:rPr>
              <w:t xml:space="preserve"> e médias empresas para capital de giro e investimentos</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54C3933" w14:textId="77777777" w:rsidR="007C43FF" w:rsidRPr="006B6883" w:rsidRDefault="007C43FF" w:rsidP="001140C8">
            <w:pPr>
              <w:spacing w:after="0" w:line="240" w:lineRule="auto"/>
              <w:jc w:val="center"/>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BB</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Pr>
          <w:p w14:paraId="283B1F70" w14:textId="62AA39C3" w:rsidR="007C43FF" w:rsidRPr="006B6883" w:rsidRDefault="00951183"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39.420,7</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Pr>
          <w:p w14:paraId="7F31D138" w14:textId="14223CF1" w:rsidR="007C43FF" w:rsidRPr="006B6883" w:rsidRDefault="00951183"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42.492,3</w:t>
            </w:r>
          </w:p>
        </w:tc>
      </w:tr>
      <w:tr w:rsidR="00AA1A21" w:rsidRPr="006B6883" w14:paraId="642ADF4C" w14:textId="77777777" w:rsidTr="00A52904">
        <w:trPr>
          <w:trHeight w:val="20"/>
          <w:jc w:val="center"/>
        </w:trPr>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A55694" w14:textId="1CED9873" w:rsidR="007C43FF" w:rsidRPr="006B6883" w:rsidRDefault="007C43FF" w:rsidP="001140C8">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FGEDUC</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51F72828" w14:textId="77777777" w:rsidR="007C43FF" w:rsidRPr="006B6883" w:rsidRDefault="007C43FF" w:rsidP="00A52904">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 xml:space="preserve">Operações de crédito educativo, no âmbito do Fundo de Financiamento ao Estudante de Ensino Superior - </w:t>
            </w:r>
            <w:proofErr w:type="gramStart"/>
            <w:r w:rsidRPr="006B6883">
              <w:rPr>
                <w:rFonts w:ascii="Calibri" w:eastAsia="Times New Roman" w:hAnsi="Calibri" w:cs="Calibri"/>
                <w:color w:val="000000"/>
                <w:sz w:val="18"/>
                <w:szCs w:val="18"/>
                <w:lang w:eastAsia="pt-BR"/>
              </w:rPr>
              <w:t>Fies</w:t>
            </w:r>
            <w:proofErr w:type="gramEnd"/>
            <w:r w:rsidRPr="006B6883">
              <w:rPr>
                <w:rFonts w:ascii="Calibri" w:eastAsia="Times New Roman" w:hAnsi="Calibri" w:cs="Calibri"/>
                <w:color w:val="000000"/>
                <w:sz w:val="18"/>
                <w:szCs w:val="18"/>
                <w:lang w:eastAsia="pt-BR"/>
              </w:rPr>
              <w:t>, até 2017</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11CC6FCF" w14:textId="77777777" w:rsidR="007C43FF" w:rsidRPr="006B6883" w:rsidRDefault="007C43FF" w:rsidP="001140C8">
            <w:pPr>
              <w:spacing w:after="0" w:line="240" w:lineRule="auto"/>
              <w:jc w:val="center"/>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CAIXA</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tcPr>
          <w:p w14:paraId="6AEA138A" w14:textId="4C78449C" w:rsidR="007C43FF"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6.817,</w:t>
            </w:r>
            <w:r w:rsidR="00B33779">
              <w:rPr>
                <w:rFonts w:ascii="Calibri" w:eastAsia="Times New Roman" w:hAnsi="Calibri" w:cs="Calibri"/>
                <w:color w:val="000000"/>
                <w:sz w:val="18"/>
                <w:szCs w:val="18"/>
                <w:lang w:eastAsia="pt-BR"/>
              </w:rPr>
              <w:t>1</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tcPr>
          <w:p w14:paraId="30FC8FF1" w14:textId="2D3E76BF" w:rsidR="007C43FF"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6.817,</w:t>
            </w:r>
            <w:r w:rsidR="00B33779">
              <w:rPr>
                <w:rFonts w:ascii="Calibri" w:eastAsia="Times New Roman" w:hAnsi="Calibri" w:cs="Calibri"/>
                <w:color w:val="000000"/>
                <w:sz w:val="18"/>
                <w:szCs w:val="18"/>
                <w:lang w:eastAsia="pt-BR"/>
              </w:rPr>
              <w:t>1</w:t>
            </w:r>
          </w:p>
        </w:tc>
      </w:tr>
      <w:tr w:rsidR="00AA1A21" w:rsidRPr="006B6883" w14:paraId="206A1527" w14:textId="77777777" w:rsidTr="00A52904">
        <w:trPr>
          <w:trHeight w:val="20"/>
          <w:jc w:val="center"/>
        </w:trPr>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BC56324" w14:textId="77777777" w:rsidR="007C43FF" w:rsidRPr="006B6883" w:rsidRDefault="007C43FF" w:rsidP="001140C8">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FG-</w:t>
            </w:r>
            <w:proofErr w:type="gramStart"/>
            <w:r w:rsidRPr="006B6883">
              <w:rPr>
                <w:rFonts w:ascii="Calibri" w:eastAsia="Times New Roman" w:hAnsi="Calibri" w:cs="Calibri"/>
                <w:color w:val="000000"/>
                <w:sz w:val="18"/>
                <w:szCs w:val="18"/>
                <w:lang w:eastAsia="pt-BR"/>
              </w:rPr>
              <w:t>Fies</w:t>
            </w:r>
            <w:proofErr w:type="gramEnd"/>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E793192" w14:textId="77777777" w:rsidR="007C43FF" w:rsidRPr="006B6883" w:rsidRDefault="007C43FF" w:rsidP="00A52904">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 xml:space="preserve">Operações de crédito educativo, no âmbito do Fundo de Financiamento ao Estudante de Ensino Superior - </w:t>
            </w:r>
            <w:proofErr w:type="gramStart"/>
            <w:r w:rsidRPr="006B6883">
              <w:rPr>
                <w:rFonts w:ascii="Calibri" w:eastAsia="Times New Roman" w:hAnsi="Calibri" w:cs="Calibri"/>
                <w:color w:val="000000"/>
                <w:sz w:val="18"/>
                <w:szCs w:val="18"/>
                <w:lang w:eastAsia="pt-BR"/>
              </w:rPr>
              <w:t>Fies</w:t>
            </w:r>
            <w:proofErr w:type="gramEnd"/>
            <w:r w:rsidRPr="006B6883">
              <w:rPr>
                <w:rFonts w:ascii="Calibri" w:eastAsia="Times New Roman" w:hAnsi="Calibri" w:cs="Calibri"/>
                <w:color w:val="000000"/>
                <w:sz w:val="18"/>
                <w:szCs w:val="18"/>
                <w:lang w:eastAsia="pt-BR"/>
              </w:rPr>
              <w:t>, a partir de 2018</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6F918B" w14:textId="77777777" w:rsidR="007C43FF" w:rsidRPr="006B6883" w:rsidRDefault="007C43FF" w:rsidP="001140C8">
            <w:pPr>
              <w:spacing w:after="0" w:line="240" w:lineRule="auto"/>
              <w:jc w:val="center"/>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CAIXA</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Pr>
          <w:p w14:paraId="352F63BA" w14:textId="3CECF5B4" w:rsidR="007C43FF"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1.620,8</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Pr>
          <w:p w14:paraId="7611B56D" w14:textId="505E4821" w:rsidR="007C43FF"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2.216,6</w:t>
            </w:r>
          </w:p>
        </w:tc>
      </w:tr>
      <w:tr w:rsidR="00AA1A21" w:rsidRPr="006B6883" w14:paraId="71D491C5" w14:textId="77777777" w:rsidTr="00A52904">
        <w:trPr>
          <w:trHeight w:val="20"/>
          <w:jc w:val="center"/>
        </w:trPr>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BA4B11" w14:textId="61FE3470" w:rsidR="007C43FF" w:rsidRPr="006B6883" w:rsidRDefault="007C43FF" w:rsidP="001140C8">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FGCN</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25DE931C" w14:textId="77777777" w:rsidR="007C43FF" w:rsidRPr="006B6883" w:rsidRDefault="007C43FF" w:rsidP="00A52904">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Financiamento à construção ou à produção de embarcações</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66BE5B08" w14:textId="77777777" w:rsidR="007C43FF" w:rsidRPr="006B6883" w:rsidRDefault="007C43FF" w:rsidP="001140C8">
            <w:pPr>
              <w:spacing w:after="0" w:line="240" w:lineRule="auto"/>
              <w:jc w:val="center"/>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CAIXA</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tcPr>
          <w:p w14:paraId="2FB73526" w14:textId="699ADCD8" w:rsidR="007C43FF"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60,0</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tcPr>
          <w:p w14:paraId="227EB438" w14:textId="60688ECF" w:rsidR="007C43FF"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61,</w:t>
            </w:r>
            <w:r w:rsidR="00B33779">
              <w:rPr>
                <w:rFonts w:ascii="Calibri" w:eastAsia="Times New Roman" w:hAnsi="Calibri" w:cs="Calibri"/>
                <w:color w:val="000000"/>
                <w:sz w:val="18"/>
                <w:szCs w:val="18"/>
                <w:lang w:eastAsia="pt-BR"/>
              </w:rPr>
              <w:t>1</w:t>
            </w:r>
          </w:p>
        </w:tc>
      </w:tr>
      <w:tr w:rsidR="00AA1A21" w:rsidRPr="006B6883" w14:paraId="3E1980D0" w14:textId="77777777" w:rsidTr="00A52904">
        <w:trPr>
          <w:trHeight w:val="20"/>
          <w:jc w:val="center"/>
        </w:trPr>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2E93313" w14:textId="77777777" w:rsidR="007C43FF" w:rsidRPr="006B6883" w:rsidRDefault="007C43FF" w:rsidP="001140C8">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FGIE</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75900CC" w14:textId="77777777" w:rsidR="007C43FF" w:rsidRPr="006B6883" w:rsidRDefault="007C43FF" w:rsidP="00A52904">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Projetos de infraestrutura de grande vulto</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C8061FC" w14:textId="10FA85FF" w:rsidR="007C43FF" w:rsidRPr="006B6883" w:rsidRDefault="00864099" w:rsidP="001140C8">
            <w:pPr>
              <w:spacing w:after="0" w:line="240" w:lineRule="auto"/>
              <w:jc w:val="center"/>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ABGF</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Pr>
          <w:p w14:paraId="243BE328" w14:textId="75173E3B" w:rsidR="00E33A89"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750,1</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Pr>
          <w:p w14:paraId="28862A82" w14:textId="263B8B25" w:rsidR="007C43FF" w:rsidRPr="00CF654D" w:rsidRDefault="00E17EEE" w:rsidP="001140C8">
            <w:pPr>
              <w:spacing w:after="0" w:line="240" w:lineRule="auto"/>
              <w:jc w:val="right"/>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752,2</w:t>
            </w:r>
          </w:p>
        </w:tc>
      </w:tr>
      <w:tr w:rsidR="00AA1A21" w:rsidRPr="006B6883" w14:paraId="43D2AB1B" w14:textId="77777777" w:rsidTr="00A52904">
        <w:trPr>
          <w:trHeight w:val="20"/>
          <w:jc w:val="center"/>
        </w:trPr>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6F7F41" w14:textId="28120B16" w:rsidR="007C43FF" w:rsidRPr="006B6883" w:rsidRDefault="007C43FF" w:rsidP="001140C8">
            <w:pPr>
              <w:spacing w:after="0" w:line="240" w:lineRule="auto"/>
              <w:rPr>
                <w:rFonts w:ascii="Calibri" w:eastAsia="Times New Roman" w:hAnsi="Calibri" w:cs="Calibri"/>
                <w:color w:val="000000"/>
                <w:sz w:val="18"/>
                <w:szCs w:val="18"/>
                <w:lang w:eastAsia="pt-BR"/>
              </w:rPr>
            </w:pPr>
            <w:proofErr w:type="spellStart"/>
            <w:proofErr w:type="gramStart"/>
            <w:r w:rsidRPr="006B6883">
              <w:rPr>
                <w:rFonts w:ascii="Calibri" w:eastAsia="Times New Roman" w:hAnsi="Calibri" w:cs="Calibri"/>
                <w:color w:val="000000"/>
                <w:sz w:val="18"/>
                <w:szCs w:val="18"/>
                <w:lang w:eastAsia="pt-BR"/>
              </w:rPr>
              <w:t>FGHab</w:t>
            </w:r>
            <w:proofErr w:type="spellEnd"/>
            <w:proofErr w:type="gramEnd"/>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1771DCB3" w14:textId="7DED7D26" w:rsidR="007C43FF" w:rsidRPr="006B6883" w:rsidRDefault="007C43FF" w:rsidP="00A52904">
            <w:pPr>
              <w:spacing w:after="0" w:line="240" w:lineRule="auto"/>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Financiamento habitacional no âmbito do Sistema Financeiro de Habitação</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hideMark/>
          </w:tcPr>
          <w:p w14:paraId="062C6AB7" w14:textId="77777777" w:rsidR="007C43FF" w:rsidRPr="006B6883" w:rsidRDefault="007C43FF" w:rsidP="001140C8">
            <w:pPr>
              <w:spacing w:after="0" w:line="240" w:lineRule="auto"/>
              <w:jc w:val="center"/>
              <w:rPr>
                <w:rFonts w:ascii="Calibri" w:eastAsia="Times New Roman" w:hAnsi="Calibri" w:cs="Calibri"/>
                <w:color w:val="000000"/>
                <w:sz w:val="18"/>
                <w:szCs w:val="18"/>
                <w:lang w:eastAsia="pt-BR"/>
              </w:rPr>
            </w:pPr>
            <w:r w:rsidRPr="006B6883">
              <w:rPr>
                <w:rFonts w:ascii="Calibri" w:eastAsia="Times New Roman" w:hAnsi="Calibri" w:cs="Calibri"/>
                <w:color w:val="000000"/>
                <w:sz w:val="18"/>
                <w:szCs w:val="18"/>
                <w:lang w:eastAsia="pt-BR"/>
              </w:rPr>
              <w:t>CAIXA</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hideMark/>
          </w:tcPr>
          <w:p w14:paraId="71069DFB" w14:textId="34596AE7" w:rsidR="002A066E" w:rsidRPr="00CF654D" w:rsidRDefault="005B7EA7" w:rsidP="001140C8">
            <w:pPr>
              <w:spacing w:after="0" w:line="240" w:lineRule="auto"/>
              <w:jc w:val="right"/>
              <w:rPr>
                <w:rFonts w:ascii="Calibri" w:eastAsia="Times New Roman" w:hAnsi="Calibri" w:cs="Calibri"/>
                <w:color w:val="000000"/>
                <w:sz w:val="18"/>
                <w:szCs w:val="18"/>
                <w:lang w:eastAsia="pt-BR"/>
              </w:rPr>
            </w:pPr>
            <w:r w:rsidRPr="3FF348DC">
              <w:rPr>
                <w:rFonts w:ascii="Calibri" w:eastAsia="Times New Roman" w:hAnsi="Calibri" w:cs="Calibri"/>
                <w:color w:val="000000" w:themeColor="text1"/>
                <w:sz w:val="18"/>
                <w:szCs w:val="18"/>
                <w:lang w:eastAsia="pt-BR"/>
              </w:rPr>
              <w:t>1.</w:t>
            </w:r>
            <w:r w:rsidR="00B33779">
              <w:rPr>
                <w:rFonts w:ascii="Calibri" w:eastAsia="Times New Roman" w:hAnsi="Calibri" w:cs="Calibri"/>
                <w:color w:val="000000" w:themeColor="text1"/>
                <w:sz w:val="18"/>
                <w:szCs w:val="18"/>
                <w:lang w:eastAsia="pt-BR"/>
              </w:rPr>
              <w:t>701,5</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auto"/>
            <w:noWrap/>
            <w:hideMark/>
          </w:tcPr>
          <w:p w14:paraId="25E7AC88" w14:textId="581562ED" w:rsidR="007C43FF" w:rsidRPr="00CF654D" w:rsidRDefault="002A066E" w:rsidP="001140C8">
            <w:pPr>
              <w:spacing w:after="0" w:line="240" w:lineRule="auto"/>
              <w:jc w:val="right"/>
              <w:rPr>
                <w:rFonts w:ascii="Calibri" w:eastAsia="Times New Roman" w:hAnsi="Calibri" w:cs="Calibri"/>
                <w:color w:val="000000"/>
                <w:sz w:val="18"/>
                <w:szCs w:val="18"/>
                <w:lang w:eastAsia="pt-BR"/>
              </w:rPr>
            </w:pPr>
            <w:r w:rsidRPr="00CF654D">
              <w:rPr>
                <w:rFonts w:ascii="Calibri" w:eastAsia="Times New Roman" w:hAnsi="Calibri" w:cs="Calibri"/>
                <w:color w:val="000000"/>
                <w:sz w:val="18"/>
                <w:szCs w:val="18"/>
                <w:lang w:eastAsia="pt-BR"/>
              </w:rPr>
              <w:t>2.</w:t>
            </w:r>
            <w:r w:rsidR="00B33779">
              <w:rPr>
                <w:rFonts w:ascii="Calibri" w:eastAsia="Times New Roman" w:hAnsi="Calibri" w:cs="Calibri"/>
                <w:color w:val="000000"/>
                <w:sz w:val="18"/>
                <w:szCs w:val="18"/>
                <w:lang w:eastAsia="pt-BR"/>
              </w:rPr>
              <w:t>833</w:t>
            </w:r>
            <w:r w:rsidRPr="00CF654D">
              <w:rPr>
                <w:rFonts w:ascii="Calibri" w:eastAsia="Times New Roman" w:hAnsi="Calibri" w:cs="Calibri"/>
                <w:color w:val="000000"/>
                <w:sz w:val="18"/>
                <w:szCs w:val="18"/>
                <w:lang w:eastAsia="pt-BR"/>
              </w:rPr>
              <w:t>,</w:t>
            </w:r>
            <w:r w:rsidR="00B33779">
              <w:rPr>
                <w:rFonts w:ascii="Calibri" w:eastAsia="Times New Roman" w:hAnsi="Calibri" w:cs="Calibri"/>
                <w:color w:val="000000"/>
                <w:sz w:val="18"/>
                <w:szCs w:val="18"/>
                <w:lang w:eastAsia="pt-BR"/>
              </w:rPr>
              <w:t>7</w:t>
            </w:r>
          </w:p>
        </w:tc>
      </w:tr>
      <w:tr w:rsidR="00AA1A21" w:rsidRPr="00965744" w14:paraId="04E38461" w14:textId="77777777" w:rsidTr="00A52904">
        <w:trPr>
          <w:trHeight w:val="20"/>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7F7F7F" w:themeFill="text1" w:themeFillTint="80"/>
            <w:vAlign w:val="center"/>
            <w:hideMark/>
          </w:tcPr>
          <w:p w14:paraId="03FB1283" w14:textId="77777777" w:rsidR="007C43FF" w:rsidRPr="00965744" w:rsidRDefault="007C43FF" w:rsidP="00723F01">
            <w:pPr>
              <w:spacing w:after="0" w:line="240" w:lineRule="auto"/>
              <w:rPr>
                <w:rFonts w:ascii="Calibri" w:eastAsia="Times New Roman" w:hAnsi="Calibri" w:cs="Calibri"/>
                <w:b/>
                <w:bCs/>
                <w:color w:val="FFFFFF"/>
                <w:sz w:val="18"/>
                <w:szCs w:val="18"/>
                <w:lang w:eastAsia="pt-BR"/>
              </w:rPr>
            </w:pPr>
            <w:r w:rsidRPr="00965744">
              <w:rPr>
                <w:rFonts w:ascii="Calibri" w:eastAsia="Times New Roman" w:hAnsi="Calibri" w:cs="Calibri"/>
                <w:b/>
                <w:bCs/>
                <w:color w:val="FFFFFF"/>
                <w:sz w:val="18"/>
                <w:szCs w:val="18"/>
                <w:lang w:eastAsia="pt-BR"/>
              </w:rPr>
              <w:t>Total</w:t>
            </w:r>
          </w:p>
        </w:tc>
        <w:tc>
          <w:tcPr>
            <w:tcW w:w="0" w:type="auto"/>
            <w:tcBorders>
              <w:top w:val="single" w:sz="4" w:space="0" w:color="BFBFBF" w:themeColor="background1" w:themeShade="BF"/>
              <w:bottom w:val="single" w:sz="4" w:space="0" w:color="BFBFBF" w:themeColor="background1" w:themeShade="BF"/>
            </w:tcBorders>
            <w:shd w:val="clear" w:color="auto" w:fill="7F7F7F" w:themeFill="text1" w:themeFillTint="80"/>
            <w:vAlign w:val="center"/>
            <w:hideMark/>
          </w:tcPr>
          <w:p w14:paraId="5201EE0D" w14:textId="014071F4" w:rsidR="007C43FF" w:rsidRPr="00965744" w:rsidRDefault="007C43FF" w:rsidP="00723F01">
            <w:pPr>
              <w:spacing w:after="0" w:line="240" w:lineRule="auto"/>
              <w:rPr>
                <w:rFonts w:ascii="Calibri" w:eastAsia="Times New Roman" w:hAnsi="Calibri" w:cs="Calibri"/>
                <w:b/>
                <w:bCs/>
                <w:color w:val="FFFFFF"/>
                <w:sz w:val="18"/>
                <w:szCs w:val="18"/>
                <w:lang w:eastAsia="pt-BR"/>
              </w:rPr>
            </w:pP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14:paraId="2F1646FC" w14:textId="614C8D1C" w:rsidR="007C43FF" w:rsidRPr="00965744" w:rsidRDefault="007C43FF" w:rsidP="00723F01">
            <w:pPr>
              <w:spacing w:after="0" w:line="240" w:lineRule="auto"/>
              <w:rPr>
                <w:rFonts w:ascii="Calibri" w:eastAsia="Times New Roman" w:hAnsi="Calibri" w:cs="Calibri"/>
                <w:b/>
                <w:bCs/>
                <w:color w:val="FFFFFF"/>
                <w:sz w:val="18"/>
                <w:szCs w:val="18"/>
                <w:lang w:eastAsia="pt-BR"/>
              </w:rPr>
            </w:pP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4ADF85C" w14:textId="575F83AD" w:rsidR="007C43FF" w:rsidRPr="00965744" w:rsidRDefault="00352E59" w:rsidP="00723F01">
            <w:pPr>
              <w:spacing w:after="0" w:line="240" w:lineRule="auto"/>
              <w:jc w:val="right"/>
              <w:rPr>
                <w:rFonts w:ascii="Calibri" w:eastAsia="Times New Roman" w:hAnsi="Calibri" w:cs="Calibri"/>
                <w:b/>
                <w:bCs/>
                <w:color w:val="FFFFFF"/>
                <w:sz w:val="18"/>
                <w:szCs w:val="18"/>
                <w:lang w:eastAsia="pt-BR"/>
              </w:rPr>
            </w:pPr>
            <w:r w:rsidRPr="00965744">
              <w:rPr>
                <w:rFonts w:ascii="Calibri" w:eastAsia="Times New Roman" w:hAnsi="Calibri" w:cs="Calibri"/>
                <w:b/>
                <w:bCs/>
                <w:color w:val="FFFFFF"/>
                <w:sz w:val="18"/>
                <w:szCs w:val="18"/>
                <w:lang w:eastAsia="pt-BR"/>
              </w:rPr>
              <w:t>6</w:t>
            </w:r>
            <w:r w:rsidR="00B33779" w:rsidRPr="00965744">
              <w:rPr>
                <w:rFonts w:ascii="Calibri" w:eastAsia="Times New Roman" w:hAnsi="Calibri" w:cs="Calibri"/>
                <w:b/>
                <w:bCs/>
                <w:color w:val="FFFFFF"/>
                <w:sz w:val="18"/>
                <w:szCs w:val="18"/>
                <w:lang w:eastAsia="pt-BR"/>
              </w:rPr>
              <w:t>9.181,7</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11D877D" w14:textId="1D81E275" w:rsidR="007C43FF" w:rsidRPr="00965744" w:rsidRDefault="003E14E2" w:rsidP="00723F01">
            <w:pPr>
              <w:spacing w:after="0" w:line="240" w:lineRule="auto"/>
              <w:jc w:val="right"/>
              <w:rPr>
                <w:rFonts w:ascii="Calibri" w:eastAsia="Times New Roman" w:hAnsi="Calibri" w:cs="Calibri"/>
                <w:b/>
                <w:bCs/>
                <w:color w:val="FFFFFF"/>
                <w:sz w:val="18"/>
                <w:szCs w:val="18"/>
                <w:lang w:eastAsia="pt-BR"/>
              </w:rPr>
            </w:pPr>
            <w:r w:rsidRPr="00965744">
              <w:rPr>
                <w:rFonts w:ascii="Calibri" w:eastAsia="Times New Roman" w:hAnsi="Calibri" w:cs="Calibri"/>
                <w:b/>
                <w:bCs/>
                <w:color w:val="FFFFFF"/>
                <w:sz w:val="18"/>
                <w:szCs w:val="18"/>
                <w:lang w:eastAsia="pt-BR"/>
              </w:rPr>
              <w:t>7</w:t>
            </w:r>
            <w:r w:rsidR="00B33779" w:rsidRPr="00965744">
              <w:rPr>
                <w:rFonts w:ascii="Calibri" w:eastAsia="Times New Roman" w:hAnsi="Calibri" w:cs="Calibri"/>
                <w:b/>
                <w:bCs/>
                <w:color w:val="FFFFFF"/>
                <w:sz w:val="18"/>
                <w:szCs w:val="18"/>
                <w:lang w:eastAsia="pt-BR"/>
              </w:rPr>
              <w:t>4.246,6</w:t>
            </w:r>
          </w:p>
        </w:tc>
      </w:tr>
      <w:tr w:rsidR="00561392" w:rsidRPr="006B6883" w14:paraId="29951159" w14:textId="77777777" w:rsidTr="00A52904">
        <w:trPr>
          <w:trHeight w:val="20"/>
          <w:jc w:val="center"/>
        </w:trPr>
        <w:tc>
          <w:tcPr>
            <w:tcW w:w="0" w:type="auto"/>
            <w:gridSpan w:val="5"/>
            <w:tcBorders>
              <w:top w:val="single" w:sz="4" w:space="0" w:color="BFBFBF" w:themeColor="background1" w:themeShade="BF"/>
            </w:tcBorders>
            <w:shd w:val="clear" w:color="auto" w:fill="FFFFFF" w:themeFill="background1"/>
            <w:vAlign w:val="center"/>
          </w:tcPr>
          <w:p w14:paraId="20B70DB1" w14:textId="69182123" w:rsidR="006C531A" w:rsidRPr="00DA6D42" w:rsidRDefault="00820012" w:rsidP="00DA6D42">
            <w:pPr>
              <w:spacing w:after="0" w:line="240" w:lineRule="auto"/>
              <w:rPr>
                <w:rFonts w:ascii="Calibri" w:eastAsia="Times New Roman" w:hAnsi="Calibri" w:cs="Calibri"/>
                <w:color w:val="FFFFFF"/>
                <w:sz w:val="18"/>
                <w:szCs w:val="18"/>
                <w:lang w:eastAsia="pt-BR"/>
              </w:rPr>
            </w:pPr>
            <w:r w:rsidRPr="00CF654D">
              <w:rPr>
                <w:rFonts w:ascii="Calibri" w:eastAsia="Times New Roman" w:hAnsi="Calibri" w:cs="Calibri"/>
                <w:b/>
                <w:bCs/>
                <w:i/>
                <w:iCs/>
                <w:sz w:val="16"/>
                <w:szCs w:val="16"/>
                <w:lang w:eastAsia="pt-BR"/>
              </w:rPr>
              <w:t>Fonte:</w:t>
            </w:r>
            <w:r w:rsidRPr="00CF654D">
              <w:rPr>
                <w:rFonts w:ascii="Calibri" w:eastAsia="Times New Roman" w:hAnsi="Calibri" w:cs="Calibri"/>
                <w:i/>
                <w:iCs/>
                <w:sz w:val="16"/>
                <w:szCs w:val="16"/>
                <w:lang w:eastAsia="pt-BR"/>
              </w:rPr>
              <w:t xml:space="preserve"> Administradores. </w:t>
            </w:r>
            <w:r w:rsidRPr="00CF654D">
              <w:rPr>
                <w:rFonts w:ascii="Calibri" w:eastAsia="Times New Roman" w:hAnsi="Calibri" w:cs="Calibri"/>
                <w:b/>
                <w:bCs/>
                <w:i/>
                <w:iCs/>
                <w:sz w:val="16"/>
                <w:szCs w:val="16"/>
                <w:lang w:eastAsia="pt-BR"/>
              </w:rPr>
              <w:t>Elaboração:</w:t>
            </w:r>
            <w:r w:rsidRPr="00CF654D">
              <w:rPr>
                <w:rFonts w:ascii="Calibri" w:eastAsia="Times New Roman" w:hAnsi="Calibri" w:cs="Calibri"/>
                <w:i/>
                <w:iCs/>
                <w:sz w:val="16"/>
                <w:szCs w:val="16"/>
                <w:lang w:eastAsia="pt-BR"/>
              </w:rPr>
              <w:t xml:space="preserve"> STN.</w:t>
            </w:r>
          </w:p>
        </w:tc>
      </w:tr>
    </w:tbl>
    <w:p w14:paraId="155BD7A3" w14:textId="77777777" w:rsidR="00EB7F1A" w:rsidRDefault="00EB7F1A" w:rsidP="005236C5">
      <w:pPr>
        <w:spacing w:after="120" w:line="240" w:lineRule="auto"/>
        <w:ind w:firstLine="1416"/>
        <w:jc w:val="both"/>
        <w:rPr>
          <w:w w:val="105"/>
          <w:sz w:val="24"/>
          <w:szCs w:val="24"/>
        </w:rPr>
      </w:pPr>
    </w:p>
    <w:p w14:paraId="03C4B797" w14:textId="77777777" w:rsidR="00E82A8F" w:rsidRPr="00E82A8F" w:rsidRDefault="00E82A8F" w:rsidP="00E82A8F">
      <w:pPr>
        <w:spacing w:after="120" w:line="240" w:lineRule="auto"/>
        <w:ind w:firstLine="1416"/>
        <w:jc w:val="both"/>
        <w:rPr>
          <w:w w:val="105"/>
          <w:sz w:val="24"/>
          <w:szCs w:val="24"/>
        </w:rPr>
      </w:pPr>
      <w:r w:rsidRPr="00E82A8F">
        <w:rPr>
          <w:w w:val="105"/>
          <w:sz w:val="24"/>
          <w:szCs w:val="24"/>
        </w:rPr>
        <w:t xml:space="preserve">Os riscos fiscais relacionados aos fundos garantidores privados estão associados a eventos que possam diminuir o patrimônio líquido dos fundos, reduzindo, em decorrência, os valores das respectivas cotas da União. Eventos de acionamento de garantias concedidas geram a obrigação de pagamento de honras por parte dos fundos e a consequente sub-rogação dos direitos de crédito sobre a parte inadimplida. Caso não se verifique a recuperação dos créditos, incorre-se em situação de perda de recursos da União. Nesse sentido, os montantes expostos a risco correspondem aos valores das cotas da União em cada fundo. </w:t>
      </w:r>
    </w:p>
    <w:p w14:paraId="2CC3C3CB" w14:textId="1A0E1621" w:rsidR="00E82A8F" w:rsidRPr="00E82A8F" w:rsidRDefault="00E82A8F" w:rsidP="00E82A8F">
      <w:pPr>
        <w:spacing w:after="120" w:line="240" w:lineRule="auto"/>
        <w:ind w:firstLine="1416"/>
        <w:jc w:val="both"/>
        <w:rPr>
          <w:w w:val="105"/>
          <w:sz w:val="24"/>
          <w:szCs w:val="24"/>
        </w:rPr>
      </w:pPr>
      <w:r w:rsidRPr="00E82A8F">
        <w:rPr>
          <w:w w:val="105"/>
          <w:sz w:val="24"/>
          <w:szCs w:val="24"/>
        </w:rPr>
        <w:t xml:space="preserve">Do ponto de vista fiscal, o aporte e o resgate em fundos garantidores de recursos da União </w:t>
      </w:r>
      <w:proofErr w:type="gramStart"/>
      <w:r w:rsidRPr="00E82A8F">
        <w:rPr>
          <w:w w:val="105"/>
          <w:sz w:val="24"/>
          <w:szCs w:val="24"/>
        </w:rPr>
        <w:t>implicam,</w:t>
      </w:r>
      <w:proofErr w:type="gramEnd"/>
      <w:r w:rsidRPr="00E82A8F">
        <w:rPr>
          <w:w w:val="105"/>
          <w:sz w:val="24"/>
          <w:szCs w:val="24"/>
        </w:rPr>
        <w:t xml:space="preserve"> respectivamente despesa e receita primárias, sempre que houver saída ou entrada de recursos da Conta Única da União – CTU. Já o pagamento de honras pelos fundos garantidores privados não impacta as receitas ou despesas da União, uma vez que não há fluxo de entrada ou saída de recursos na CTU. As variações observadas nas respectivas cotas da União nos fundos garantidores são registradas no Balanço Geral da União. </w:t>
      </w:r>
    </w:p>
    <w:p w14:paraId="7FFAA78F" w14:textId="12BF9AD6" w:rsidR="00E82A8F" w:rsidRDefault="00E82A8F" w:rsidP="00E82A8F">
      <w:pPr>
        <w:spacing w:after="120" w:line="240" w:lineRule="auto"/>
        <w:ind w:firstLine="1416"/>
        <w:jc w:val="both"/>
        <w:rPr>
          <w:w w:val="105"/>
          <w:sz w:val="24"/>
          <w:szCs w:val="24"/>
        </w:rPr>
      </w:pPr>
      <w:r w:rsidRPr="0059435B">
        <w:rPr>
          <w:w w:val="105"/>
          <w:sz w:val="24"/>
          <w:szCs w:val="24"/>
        </w:rPr>
        <w:t>Cabe destacar o</w:t>
      </w:r>
      <w:r w:rsidR="00DA2BE7">
        <w:rPr>
          <w:w w:val="105"/>
          <w:sz w:val="24"/>
          <w:szCs w:val="24"/>
        </w:rPr>
        <w:t xml:space="preserve"> aumento nos valores aportados pela União</w:t>
      </w:r>
      <w:r w:rsidR="00F96103">
        <w:rPr>
          <w:w w:val="105"/>
          <w:sz w:val="24"/>
          <w:szCs w:val="24"/>
        </w:rPr>
        <w:t xml:space="preserve"> em fundos garantidores no último exercício. </w:t>
      </w:r>
      <w:r w:rsidR="001B3C8A">
        <w:rPr>
          <w:w w:val="105"/>
          <w:sz w:val="24"/>
          <w:szCs w:val="24"/>
        </w:rPr>
        <w:t xml:space="preserve">Durante o ano de 2020, devido à calamidade </w:t>
      </w:r>
      <w:r w:rsidR="00950605">
        <w:rPr>
          <w:w w:val="105"/>
          <w:sz w:val="24"/>
          <w:szCs w:val="24"/>
        </w:rPr>
        <w:t xml:space="preserve">pública decorrente da pandemia da Covid-19, houve a necessidade de </w:t>
      </w:r>
      <w:proofErr w:type="gramStart"/>
      <w:r w:rsidR="00950605">
        <w:rPr>
          <w:w w:val="105"/>
          <w:sz w:val="24"/>
          <w:szCs w:val="24"/>
        </w:rPr>
        <w:t>implementação</w:t>
      </w:r>
      <w:proofErr w:type="gramEnd"/>
      <w:r w:rsidR="00950605">
        <w:rPr>
          <w:w w:val="105"/>
          <w:sz w:val="24"/>
          <w:szCs w:val="24"/>
        </w:rPr>
        <w:t xml:space="preserve"> de medidas destinadas a mitigar os efeitos adversos na economia</w:t>
      </w:r>
      <w:r w:rsidR="00E65A67" w:rsidRPr="0059435B">
        <w:rPr>
          <w:w w:val="105"/>
          <w:sz w:val="24"/>
          <w:szCs w:val="24"/>
        </w:rPr>
        <w:t>.</w:t>
      </w:r>
      <w:r w:rsidR="00950605">
        <w:rPr>
          <w:w w:val="105"/>
          <w:sz w:val="24"/>
          <w:szCs w:val="24"/>
        </w:rPr>
        <w:t xml:space="preserve"> </w:t>
      </w:r>
      <w:r w:rsidR="00DA2BE7">
        <w:rPr>
          <w:w w:val="105"/>
          <w:sz w:val="24"/>
          <w:szCs w:val="24"/>
        </w:rPr>
        <w:t xml:space="preserve">Nesse sentido, </w:t>
      </w:r>
      <w:r w:rsidR="00D27EB4">
        <w:rPr>
          <w:w w:val="105"/>
          <w:sz w:val="24"/>
          <w:szCs w:val="24"/>
        </w:rPr>
        <w:t>foram aportados recursos n</w:t>
      </w:r>
      <w:r w:rsidR="002E150C">
        <w:rPr>
          <w:w w:val="105"/>
          <w:sz w:val="24"/>
          <w:szCs w:val="24"/>
        </w:rPr>
        <w:t xml:space="preserve">o Fundo de Garantia de Operações – FGO e </w:t>
      </w:r>
      <w:r w:rsidR="00D27EB4">
        <w:rPr>
          <w:w w:val="105"/>
          <w:sz w:val="24"/>
          <w:szCs w:val="24"/>
        </w:rPr>
        <w:t>n</w:t>
      </w:r>
      <w:r w:rsidR="002E150C">
        <w:rPr>
          <w:w w:val="105"/>
          <w:sz w:val="24"/>
          <w:szCs w:val="24"/>
        </w:rPr>
        <w:t xml:space="preserve">o Fundo Garantidor para Investimentos – FGI </w:t>
      </w:r>
      <w:r w:rsidR="00D27EB4">
        <w:rPr>
          <w:w w:val="105"/>
          <w:sz w:val="24"/>
          <w:szCs w:val="24"/>
        </w:rPr>
        <w:t>para a concessão de garantias de crédito às microempresas e empresas de pequeno e médio porte</w:t>
      </w:r>
      <w:r w:rsidR="006C4B5B">
        <w:rPr>
          <w:w w:val="105"/>
          <w:sz w:val="24"/>
          <w:szCs w:val="24"/>
        </w:rPr>
        <w:t xml:space="preserve"> durante o período de pandemia. No total, foram aportados</w:t>
      </w:r>
      <w:r w:rsidR="002B725C">
        <w:rPr>
          <w:w w:val="105"/>
          <w:sz w:val="24"/>
          <w:szCs w:val="24"/>
        </w:rPr>
        <w:t xml:space="preserve"> R$ </w:t>
      </w:r>
      <w:r w:rsidR="00383954">
        <w:rPr>
          <w:w w:val="105"/>
          <w:sz w:val="24"/>
          <w:szCs w:val="24"/>
        </w:rPr>
        <w:t>38 bilhões no FGO</w:t>
      </w:r>
      <w:r w:rsidR="002B725C">
        <w:rPr>
          <w:w w:val="105"/>
          <w:sz w:val="24"/>
          <w:szCs w:val="24"/>
        </w:rPr>
        <w:t xml:space="preserve"> e</w:t>
      </w:r>
      <w:r w:rsidR="006C4B5B">
        <w:rPr>
          <w:w w:val="105"/>
          <w:sz w:val="24"/>
          <w:szCs w:val="24"/>
        </w:rPr>
        <w:t xml:space="preserve"> R$ </w:t>
      </w:r>
      <w:r w:rsidR="002B725C">
        <w:rPr>
          <w:w w:val="105"/>
          <w:sz w:val="24"/>
          <w:szCs w:val="24"/>
        </w:rPr>
        <w:t>20 bilhões no FGI.</w:t>
      </w:r>
    </w:p>
    <w:p w14:paraId="6E471571" w14:textId="77777777" w:rsidR="00EB7F1A" w:rsidRPr="009B04B3" w:rsidRDefault="00EB7F1A" w:rsidP="00B131CA">
      <w:pPr>
        <w:spacing w:after="120" w:line="240" w:lineRule="auto"/>
        <w:jc w:val="both"/>
        <w:rPr>
          <w:w w:val="105"/>
          <w:sz w:val="24"/>
          <w:szCs w:val="24"/>
        </w:rPr>
      </w:pPr>
    </w:p>
    <w:p w14:paraId="2B9FBF32" w14:textId="77777777" w:rsidR="00EA236C" w:rsidRPr="0022645B" w:rsidRDefault="00EA236C" w:rsidP="006763AE">
      <w:pPr>
        <w:pStyle w:val="Ttulo2"/>
        <w:keepLines/>
        <w:numPr>
          <w:ilvl w:val="1"/>
          <w:numId w:val="36"/>
        </w:numPr>
        <w:spacing w:after="120"/>
        <w:ind w:left="578" w:hanging="578"/>
        <w:jc w:val="left"/>
        <w:rPr>
          <w:rFonts w:asciiTheme="minorHAnsi" w:hAnsiTheme="minorHAnsi" w:cs="Times New Roman"/>
          <w:color w:val="auto"/>
          <w:sz w:val="24"/>
          <w:szCs w:val="24"/>
        </w:rPr>
      </w:pPr>
      <w:bookmarkStart w:id="309" w:name="_Toc2847409"/>
      <w:bookmarkStart w:id="310" w:name="_Toc5180288"/>
      <w:bookmarkStart w:id="311" w:name="_Toc67318001"/>
      <w:bookmarkStart w:id="312" w:name="_Toc67929655"/>
      <w:bookmarkStart w:id="313" w:name="_Toc69121234"/>
      <w:r w:rsidRPr="0022645B">
        <w:rPr>
          <w:rFonts w:asciiTheme="minorHAnsi" w:hAnsiTheme="minorHAnsi" w:cs="Times New Roman"/>
          <w:color w:val="auto"/>
          <w:sz w:val="24"/>
          <w:szCs w:val="24"/>
        </w:rPr>
        <w:lastRenderedPageBreak/>
        <w:t>RISCOS FISCAIS ASSOCIADOS AOS ATIVOS</w:t>
      </w:r>
      <w:bookmarkEnd w:id="309"/>
      <w:bookmarkEnd w:id="310"/>
      <w:bookmarkEnd w:id="311"/>
      <w:bookmarkEnd w:id="312"/>
      <w:bookmarkEnd w:id="313"/>
    </w:p>
    <w:p w14:paraId="2A76A520" w14:textId="57B4B1EB" w:rsidR="00EA236C" w:rsidRPr="009B04B3" w:rsidRDefault="00EA236C" w:rsidP="00704C72">
      <w:pPr>
        <w:spacing w:after="120" w:line="240" w:lineRule="auto"/>
        <w:ind w:firstLine="1418"/>
        <w:jc w:val="both"/>
        <w:rPr>
          <w:rFonts w:cs="Times New Roman"/>
          <w:sz w:val="24"/>
          <w:szCs w:val="24"/>
          <w:lang w:eastAsia="pt-BR"/>
        </w:rPr>
      </w:pPr>
      <w:r w:rsidRPr="009B04B3">
        <w:rPr>
          <w:rFonts w:cs="Times New Roman"/>
          <w:sz w:val="24"/>
          <w:szCs w:val="24"/>
          <w:lang w:eastAsia="pt-BR"/>
        </w:rPr>
        <w:t xml:space="preserve">Há </w:t>
      </w:r>
      <w:proofErr w:type="gramStart"/>
      <w:r w:rsidRPr="009B04B3">
        <w:rPr>
          <w:rFonts w:cs="Times New Roman"/>
          <w:sz w:val="24"/>
          <w:szCs w:val="24"/>
          <w:lang w:eastAsia="pt-BR"/>
        </w:rPr>
        <w:t>um outro</w:t>
      </w:r>
      <w:proofErr w:type="gramEnd"/>
      <w:r w:rsidRPr="009B04B3">
        <w:rPr>
          <w:rFonts w:cs="Times New Roman"/>
          <w:sz w:val="24"/>
          <w:szCs w:val="24"/>
          <w:lang w:eastAsia="pt-BR"/>
        </w:rPr>
        <w:t xml:space="preserve"> grupo de riscos fiscais, associados aos ativos da União, </w:t>
      </w:r>
      <w:r w:rsidR="00C97A95" w:rsidRPr="009B04B3">
        <w:rPr>
          <w:rFonts w:cs="Times New Roman"/>
          <w:sz w:val="24"/>
          <w:szCs w:val="24"/>
          <w:lang w:eastAsia="pt-BR"/>
        </w:rPr>
        <w:t>cujo</w:t>
      </w:r>
      <w:r w:rsidRPr="009B04B3">
        <w:rPr>
          <w:rFonts w:cs="Times New Roman"/>
          <w:sz w:val="24"/>
          <w:szCs w:val="24"/>
          <w:lang w:eastAsia="pt-BR"/>
        </w:rPr>
        <w:t xml:space="preserve"> risco está em não receber o retorno do ativo ou não o reaver em prazo aceitável (IFI, 2018)</w:t>
      </w:r>
      <w:r w:rsidRPr="009B04B3">
        <w:rPr>
          <w:rStyle w:val="Refdenotaderodap"/>
          <w:rFonts w:eastAsia="Times New Roman" w:cs="Times New Roman"/>
          <w:sz w:val="24"/>
          <w:szCs w:val="24"/>
          <w:lang w:eastAsia="pt-BR"/>
        </w:rPr>
        <w:footnoteReference w:id="15"/>
      </w:r>
      <w:r w:rsidRPr="009B04B3">
        <w:rPr>
          <w:rFonts w:cs="Times New Roman"/>
          <w:sz w:val="24"/>
          <w:szCs w:val="24"/>
          <w:lang w:eastAsia="pt-BR"/>
        </w:rPr>
        <w:t xml:space="preserve">. Nesse contexto, existem os ativos contingentes que são </w:t>
      </w:r>
      <w:r w:rsidR="00466C26" w:rsidRPr="009B04B3">
        <w:rPr>
          <w:rFonts w:cs="Times New Roman"/>
          <w:sz w:val="24"/>
          <w:szCs w:val="24"/>
          <w:lang w:eastAsia="pt-BR"/>
        </w:rPr>
        <w:t xml:space="preserve">possíveis </w:t>
      </w:r>
      <w:r w:rsidRPr="009B04B3">
        <w:rPr>
          <w:rFonts w:cs="Times New Roman"/>
          <w:sz w:val="24"/>
          <w:szCs w:val="24"/>
          <w:lang w:eastAsia="pt-BR"/>
        </w:rPr>
        <w:t xml:space="preserve">direitos </w:t>
      </w:r>
      <w:r w:rsidR="00466C26" w:rsidRPr="009B04B3">
        <w:rPr>
          <w:rFonts w:cs="Times New Roman"/>
          <w:sz w:val="24"/>
          <w:szCs w:val="24"/>
          <w:lang w:eastAsia="pt-BR"/>
        </w:rPr>
        <w:t xml:space="preserve">que são </w:t>
      </w:r>
      <w:r w:rsidRPr="009B04B3">
        <w:rPr>
          <w:rFonts w:cs="Times New Roman"/>
          <w:sz w:val="24"/>
          <w:szCs w:val="24"/>
          <w:lang w:eastAsia="pt-BR"/>
        </w:rPr>
        <w:t>cobrados, judicial ou administrativamente,</w:t>
      </w:r>
      <w:r w:rsidR="00466C26" w:rsidRPr="009B04B3">
        <w:rPr>
          <w:rFonts w:cs="Times New Roman"/>
          <w:sz w:val="24"/>
          <w:szCs w:val="24"/>
          <w:lang w:eastAsia="pt-BR"/>
        </w:rPr>
        <w:t xml:space="preserve"> os quais somente são confirmados após a ocorrência de um evento incerto que não está sob o controle das entidades envolvidas (por exemplo, o julgamento da lide). Esses direitos, quando confirmada a sua exigibilidade, são reconhecidos como ativos e passam a integrar as demonstrações contábeis e, neste caso</w:t>
      </w:r>
      <w:r w:rsidRPr="009B04B3">
        <w:rPr>
          <w:rFonts w:cs="Times New Roman"/>
          <w:sz w:val="24"/>
          <w:szCs w:val="24"/>
          <w:lang w:eastAsia="pt-BR"/>
        </w:rPr>
        <w:t xml:space="preserve"> geram receitas. Os riscos associados aos ativos da União, suas autarquias e fundações, são apresentados e estimados segundo as seguintes categorias:</w:t>
      </w:r>
    </w:p>
    <w:p w14:paraId="24A98CCD" w14:textId="77777777" w:rsidR="00EA236C" w:rsidRPr="009B04B3" w:rsidRDefault="00EA236C" w:rsidP="00A55EE7">
      <w:pPr>
        <w:pStyle w:val="PargrafodaLista"/>
        <w:numPr>
          <w:ilvl w:val="0"/>
          <w:numId w:val="6"/>
        </w:numPr>
        <w:spacing w:after="120" w:line="240" w:lineRule="auto"/>
        <w:ind w:left="1775" w:hanging="357"/>
        <w:jc w:val="both"/>
        <w:rPr>
          <w:rFonts w:cs="Times New Roman"/>
          <w:sz w:val="24"/>
          <w:szCs w:val="24"/>
          <w:lang w:eastAsia="pt-BR"/>
        </w:rPr>
      </w:pPr>
      <w:r w:rsidRPr="009B04B3">
        <w:rPr>
          <w:rFonts w:cs="Times New Roman"/>
          <w:sz w:val="24"/>
          <w:szCs w:val="24"/>
          <w:lang w:eastAsia="pt-BR"/>
        </w:rPr>
        <w:t>Dívida Ativa da União;</w:t>
      </w:r>
    </w:p>
    <w:p w14:paraId="178B5597" w14:textId="017ADC3E" w:rsidR="00EA236C" w:rsidRPr="009B04B3" w:rsidRDefault="00EA236C" w:rsidP="00A55EE7">
      <w:pPr>
        <w:pStyle w:val="PargrafodaLista"/>
        <w:numPr>
          <w:ilvl w:val="0"/>
          <w:numId w:val="6"/>
        </w:numPr>
        <w:spacing w:after="120" w:line="240" w:lineRule="auto"/>
        <w:ind w:left="1775" w:hanging="357"/>
        <w:jc w:val="both"/>
        <w:rPr>
          <w:rFonts w:cs="Times New Roman"/>
          <w:sz w:val="24"/>
          <w:szCs w:val="24"/>
          <w:lang w:eastAsia="pt-BR"/>
        </w:rPr>
      </w:pPr>
      <w:r w:rsidRPr="009B04B3">
        <w:rPr>
          <w:rFonts w:cs="Times New Roman"/>
          <w:sz w:val="24"/>
          <w:szCs w:val="24"/>
          <w:lang w:eastAsia="pt-BR"/>
        </w:rPr>
        <w:t>Depósitos Judiciais</w:t>
      </w:r>
      <w:r w:rsidR="0056099E" w:rsidRPr="009B04B3">
        <w:rPr>
          <w:rFonts w:cs="Times New Roman"/>
          <w:sz w:val="24"/>
          <w:szCs w:val="24"/>
          <w:lang w:eastAsia="pt-BR"/>
        </w:rPr>
        <w:t xml:space="preserve"> da União</w:t>
      </w:r>
      <w:r w:rsidRPr="009B04B3">
        <w:rPr>
          <w:rFonts w:cs="Times New Roman"/>
          <w:sz w:val="24"/>
          <w:szCs w:val="24"/>
          <w:lang w:eastAsia="pt-BR"/>
        </w:rPr>
        <w:t>;</w:t>
      </w:r>
    </w:p>
    <w:p w14:paraId="575F2F69" w14:textId="2DD7B251" w:rsidR="00EA236C" w:rsidRPr="009B04B3" w:rsidRDefault="00EA236C" w:rsidP="00A55EE7">
      <w:pPr>
        <w:pStyle w:val="PargrafodaLista"/>
        <w:numPr>
          <w:ilvl w:val="0"/>
          <w:numId w:val="6"/>
        </w:numPr>
        <w:spacing w:after="120" w:line="240" w:lineRule="auto"/>
        <w:ind w:left="1775" w:hanging="357"/>
        <w:jc w:val="both"/>
        <w:rPr>
          <w:rFonts w:cs="Times New Roman"/>
          <w:sz w:val="24"/>
          <w:szCs w:val="24"/>
          <w:lang w:eastAsia="pt-BR"/>
        </w:rPr>
      </w:pPr>
      <w:r w:rsidRPr="009B04B3">
        <w:rPr>
          <w:rFonts w:cs="Times New Roman"/>
          <w:sz w:val="24"/>
          <w:szCs w:val="24"/>
          <w:lang w:eastAsia="pt-BR"/>
        </w:rPr>
        <w:t>Créditos do Banco Central do Brasil;</w:t>
      </w:r>
      <w:r w:rsidR="00EA62DD" w:rsidRPr="009B04B3">
        <w:rPr>
          <w:rFonts w:cs="Times New Roman"/>
          <w:sz w:val="24"/>
          <w:szCs w:val="24"/>
          <w:lang w:eastAsia="pt-BR"/>
        </w:rPr>
        <w:t xml:space="preserve"> </w:t>
      </w:r>
      <w:proofErr w:type="gramStart"/>
      <w:r w:rsidR="00EA62DD" w:rsidRPr="009B04B3">
        <w:rPr>
          <w:rFonts w:cs="Times New Roman"/>
          <w:sz w:val="24"/>
          <w:szCs w:val="24"/>
          <w:lang w:eastAsia="pt-BR"/>
        </w:rPr>
        <w:t>e</w:t>
      </w:r>
      <w:proofErr w:type="gramEnd"/>
    </w:p>
    <w:p w14:paraId="79AAB9C4" w14:textId="77777777" w:rsidR="00EA236C" w:rsidRPr="009B04B3" w:rsidRDefault="00EA236C" w:rsidP="00A55EE7">
      <w:pPr>
        <w:pStyle w:val="PargrafodaLista"/>
        <w:numPr>
          <w:ilvl w:val="0"/>
          <w:numId w:val="6"/>
        </w:numPr>
        <w:spacing w:after="120" w:line="240" w:lineRule="auto"/>
        <w:ind w:left="1775" w:hanging="357"/>
        <w:jc w:val="both"/>
        <w:rPr>
          <w:rFonts w:cs="Times New Roman"/>
          <w:sz w:val="24"/>
          <w:szCs w:val="24"/>
          <w:lang w:eastAsia="pt-BR"/>
        </w:rPr>
      </w:pPr>
      <w:r w:rsidRPr="009B04B3">
        <w:rPr>
          <w:rFonts w:cs="Times New Roman"/>
          <w:sz w:val="24"/>
          <w:szCs w:val="24"/>
          <w:lang w:eastAsia="pt-BR"/>
        </w:rPr>
        <w:t>Haveres financeiros da União administrados pelo Tesouro Nacional.</w:t>
      </w:r>
    </w:p>
    <w:p w14:paraId="006B9D2A" w14:textId="279F880D" w:rsidR="006B0782" w:rsidRPr="009B04B3" w:rsidRDefault="006B0782" w:rsidP="006B0782">
      <w:pPr>
        <w:spacing w:after="120" w:line="240" w:lineRule="auto"/>
        <w:ind w:firstLine="1418"/>
        <w:jc w:val="both"/>
        <w:rPr>
          <w:w w:val="105"/>
          <w:sz w:val="24"/>
          <w:szCs w:val="24"/>
        </w:rPr>
      </w:pPr>
      <w:r w:rsidRPr="009B04B3">
        <w:rPr>
          <w:w w:val="105"/>
          <w:sz w:val="24"/>
          <w:szCs w:val="24"/>
        </w:rPr>
        <w:t xml:space="preserve">Os </w:t>
      </w:r>
      <w:r w:rsidR="0084085B" w:rsidRPr="009B04B3">
        <w:rPr>
          <w:w w:val="105"/>
          <w:sz w:val="24"/>
          <w:szCs w:val="24"/>
        </w:rPr>
        <w:t>Haveres financeiros da União administrados pelo Tesouro Nacional</w:t>
      </w:r>
      <w:r w:rsidR="005C3E79" w:rsidRPr="009B04B3">
        <w:rPr>
          <w:w w:val="105"/>
          <w:sz w:val="24"/>
          <w:szCs w:val="24"/>
        </w:rPr>
        <w:t xml:space="preserve"> </w:t>
      </w:r>
      <w:r w:rsidR="00AD412A" w:rsidRPr="009B04B3">
        <w:rPr>
          <w:w w:val="105"/>
          <w:sz w:val="24"/>
          <w:szCs w:val="24"/>
        </w:rPr>
        <w:t>estão</w:t>
      </w:r>
      <w:r w:rsidRPr="009B04B3">
        <w:rPr>
          <w:w w:val="105"/>
          <w:sz w:val="24"/>
          <w:szCs w:val="24"/>
        </w:rPr>
        <w:t xml:space="preserve"> divididos em </w:t>
      </w:r>
      <w:r w:rsidR="00AD412A" w:rsidRPr="009B04B3">
        <w:rPr>
          <w:w w:val="105"/>
          <w:sz w:val="24"/>
          <w:szCs w:val="24"/>
        </w:rPr>
        <w:t>dois</w:t>
      </w:r>
      <w:r w:rsidRPr="009B04B3">
        <w:rPr>
          <w:w w:val="105"/>
          <w:sz w:val="24"/>
          <w:szCs w:val="24"/>
        </w:rPr>
        <w:t xml:space="preserve"> grupos, quais sejam:</w:t>
      </w:r>
    </w:p>
    <w:p w14:paraId="516CE976" w14:textId="33CE29C1" w:rsidR="00E53365" w:rsidRPr="009B04B3" w:rsidRDefault="00E53365" w:rsidP="00A55EE7">
      <w:pPr>
        <w:pStyle w:val="PargrafodaLista"/>
        <w:numPr>
          <w:ilvl w:val="0"/>
          <w:numId w:val="28"/>
        </w:numPr>
        <w:spacing w:after="120" w:line="240" w:lineRule="auto"/>
        <w:ind w:left="1775" w:hanging="357"/>
        <w:jc w:val="both"/>
        <w:rPr>
          <w:rFonts w:cs="Times New Roman"/>
          <w:sz w:val="24"/>
          <w:szCs w:val="24"/>
          <w:lang w:eastAsia="pt-BR"/>
        </w:rPr>
      </w:pPr>
      <w:r w:rsidRPr="009B04B3">
        <w:rPr>
          <w:rFonts w:cs="Times New Roman"/>
          <w:sz w:val="24"/>
          <w:szCs w:val="24"/>
          <w:lang w:eastAsia="pt-BR"/>
        </w:rPr>
        <w:t>Haveres Financeiros Relacionados aos Entes Federativos;</w:t>
      </w:r>
      <w:r w:rsidR="00EA62DD" w:rsidRPr="009B04B3">
        <w:rPr>
          <w:rFonts w:cs="Times New Roman"/>
          <w:sz w:val="24"/>
          <w:szCs w:val="24"/>
          <w:lang w:eastAsia="pt-BR"/>
        </w:rPr>
        <w:t xml:space="preserve"> </w:t>
      </w:r>
      <w:proofErr w:type="gramStart"/>
      <w:r w:rsidR="00EA62DD" w:rsidRPr="009B04B3">
        <w:rPr>
          <w:rFonts w:cs="Times New Roman"/>
          <w:sz w:val="24"/>
          <w:szCs w:val="24"/>
          <w:lang w:eastAsia="pt-BR"/>
        </w:rPr>
        <w:t>e</w:t>
      </w:r>
      <w:proofErr w:type="gramEnd"/>
    </w:p>
    <w:p w14:paraId="4BFBAC7A" w14:textId="2F4C3CB8" w:rsidR="006B0782" w:rsidRDefault="00ED1F8E" w:rsidP="00A55EE7">
      <w:pPr>
        <w:pStyle w:val="PargrafodaLista"/>
        <w:numPr>
          <w:ilvl w:val="0"/>
          <w:numId w:val="28"/>
        </w:numPr>
        <w:spacing w:after="120" w:line="240" w:lineRule="auto"/>
        <w:ind w:left="1775" w:hanging="357"/>
        <w:jc w:val="both"/>
        <w:rPr>
          <w:rFonts w:cs="Times New Roman"/>
          <w:sz w:val="24"/>
          <w:szCs w:val="24"/>
          <w:lang w:eastAsia="pt-BR"/>
        </w:rPr>
      </w:pPr>
      <w:r w:rsidRPr="009B04B3">
        <w:rPr>
          <w:rFonts w:cs="Times New Roman"/>
          <w:sz w:val="24"/>
          <w:szCs w:val="24"/>
          <w:lang w:eastAsia="pt-BR"/>
        </w:rPr>
        <w:t>Haveres Financeiros Não Relacionados a Entes Federativos</w:t>
      </w:r>
      <w:r w:rsidR="006B0782" w:rsidRPr="009B04B3">
        <w:rPr>
          <w:rFonts w:cs="Times New Roman"/>
          <w:sz w:val="24"/>
          <w:szCs w:val="24"/>
          <w:lang w:eastAsia="pt-BR"/>
        </w:rPr>
        <w:t>.</w:t>
      </w:r>
    </w:p>
    <w:p w14:paraId="3EB7B421" w14:textId="77777777" w:rsidR="00032EC9" w:rsidRPr="00032EC9" w:rsidRDefault="00032EC9" w:rsidP="00032EC9">
      <w:pPr>
        <w:spacing w:after="120" w:line="240" w:lineRule="auto"/>
        <w:jc w:val="both"/>
        <w:rPr>
          <w:rFonts w:cs="Times New Roman"/>
          <w:sz w:val="24"/>
          <w:szCs w:val="24"/>
          <w:lang w:eastAsia="pt-BR"/>
        </w:rPr>
      </w:pPr>
    </w:p>
    <w:p w14:paraId="5935EE64" w14:textId="0C2F1AFB" w:rsidR="00EA236C" w:rsidRPr="009B04B3" w:rsidRDefault="00EA236C" w:rsidP="006763AE">
      <w:pPr>
        <w:pStyle w:val="Ttulo3"/>
        <w:keepNext w:val="0"/>
        <w:numPr>
          <w:ilvl w:val="2"/>
          <w:numId w:val="36"/>
        </w:numPr>
        <w:spacing w:before="240" w:after="120"/>
        <w:ind w:left="720" w:hanging="720"/>
        <w:rPr>
          <w:rFonts w:asciiTheme="minorHAnsi" w:hAnsiTheme="minorHAnsi"/>
          <w:b/>
          <w:smallCaps w:val="0"/>
        </w:rPr>
      </w:pPr>
      <w:bookmarkStart w:id="314" w:name="_Toc2847410"/>
      <w:bookmarkStart w:id="315" w:name="_Toc5180289"/>
      <w:bookmarkStart w:id="316" w:name="_Ref5625633"/>
      <w:bookmarkStart w:id="317" w:name="_Toc67318002"/>
      <w:bookmarkStart w:id="318" w:name="_Toc67929656"/>
      <w:bookmarkStart w:id="319" w:name="_Toc69121235"/>
      <w:r w:rsidRPr="009B04B3">
        <w:rPr>
          <w:rFonts w:asciiTheme="minorHAnsi" w:hAnsiTheme="minorHAnsi"/>
          <w:b/>
          <w:smallCaps w:val="0"/>
        </w:rPr>
        <w:t>Dívida Ativa da União</w:t>
      </w:r>
      <w:bookmarkEnd w:id="314"/>
      <w:bookmarkEnd w:id="315"/>
      <w:bookmarkEnd w:id="316"/>
      <w:r w:rsidR="00E054A3" w:rsidRPr="009B04B3">
        <w:rPr>
          <w:rFonts w:asciiTheme="minorHAnsi" w:hAnsiTheme="minorHAnsi"/>
          <w:b/>
          <w:smallCaps w:val="0"/>
        </w:rPr>
        <w:t xml:space="preserve"> (DAU)</w:t>
      </w:r>
      <w:bookmarkEnd w:id="317"/>
      <w:bookmarkEnd w:id="318"/>
      <w:bookmarkEnd w:id="319"/>
    </w:p>
    <w:p w14:paraId="3238CDFB" w14:textId="03F17E01" w:rsidR="00A84253" w:rsidRPr="003D5135" w:rsidRDefault="00A84253" w:rsidP="00A84253">
      <w:pPr>
        <w:spacing w:after="120" w:line="240" w:lineRule="auto"/>
        <w:ind w:firstLine="1418"/>
        <w:jc w:val="both"/>
        <w:rPr>
          <w:rFonts w:cs="Times New Roman"/>
          <w:color w:val="000000" w:themeColor="text1"/>
          <w:sz w:val="24"/>
          <w:szCs w:val="24"/>
          <w:lang w:eastAsia="pt-BR"/>
        </w:rPr>
      </w:pPr>
      <w:r w:rsidRPr="003D5135">
        <w:rPr>
          <w:rFonts w:cs="Times New Roman"/>
          <w:color w:val="000000" w:themeColor="text1"/>
          <w:sz w:val="24"/>
          <w:szCs w:val="24"/>
          <w:lang w:eastAsia="pt-BR"/>
        </w:rPr>
        <w:t xml:space="preserve">A </w:t>
      </w:r>
      <w:r w:rsidR="00E054A3" w:rsidRPr="003D5135">
        <w:rPr>
          <w:rFonts w:cs="Times New Roman"/>
          <w:color w:val="000000" w:themeColor="text1"/>
          <w:sz w:val="24"/>
          <w:szCs w:val="24"/>
          <w:lang w:eastAsia="pt-BR"/>
        </w:rPr>
        <w:t>D</w:t>
      </w:r>
      <w:r w:rsidRPr="003D5135">
        <w:rPr>
          <w:rFonts w:cs="Times New Roman"/>
          <w:color w:val="000000" w:themeColor="text1"/>
          <w:sz w:val="24"/>
          <w:szCs w:val="24"/>
          <w:lang w:eastAsia="pt-BR"/>
        </w:rPr>
        <w:t xml:space="preserve">ívida </w:t>
      </w:r>
      <w:r w:rsidR="00E054A3" w:rsidRPr="003D5135">
        <w:rPr>
          <w:rFonts w:cs="Times New Roman"/>
          <w:color w:val="000000" w:themeColor="text1"/>
          <w:sz w:val="24"/>
          <w:szCs w:val="24"/>
          <w:lang w:eastAsia="pt-BR"/>
        </w:rPr>
        <w:t>A</w:t>
      </w:r>
      <w:r w:rsidRPr="003D5135">
        <w:rPr>
          <w:rFonts w:cs="Times New Roman"/>
          <w:color w:val="000000" w:themeColor="text1"/>
          <w:sz w:val="24"/>
          <w:szCs w:val="24"/>
          <w:lang w:eastAsia="pt-BR"/>
        </w:rPr>
        <w:t>tiva</w:t>
      </w:r>
      <w:r w:rsidR="005E5DBA" w:rsidRPr="003D5135">
        <w:rPr>
          <w:rFonts w:cs="Times New Roman"/>
          <w:color w:val="000000" w:themeColor="text1"/>
          <w:sz w:val="24"/>
          <w:szCs w:val="24"/>
          <w:lang w:eastAsia="pt-BR"/>
        </w:rPr>
        <w:t xml:space="preserve"> da União</w:t>
      </w:r>
      <w:r w:rsidR="00E054A3" w:rsidRPr="003D5135">
        <w:rPr>
          <w:rFonts w:cs="Times New Roman"/>
          <w:color w:val="000000" w:themeColor="text1"/>
          <w:sz w:val="24"/>
          <w:szCs w:val="24"/>
          <w:lang w:eastAsia="pt-BR"/>
        </w:rPr>
        <w:t xml:space="preserve"> (DAU)</w:t>
      </w:r>
      <w:r w:rsidRPr="003D5135">
        <w:rPr>
          <w:rFonts w:cs="Times New Roman"/>
          <w:color w:val="000000" w:themeColor="text1"/>
          <w:sz w:val="24"/>
          <w:szCs w:val="24"/>
          <w:lang w:eastAsia="pt-BR"/>
        </w:rPr>
        <w:t xml:space="preserve"> constitui-se em um conjunto de créditos de várias naturezas, em favor da Fazenda Pública, vencidos e não pagos pelos devedores.</w:t>
      </w:r>
      <w:r w:rsidR="00961CAB" w:rsidRPr="003D5135">
        <w:rPr>
          <w:rFonts w:cs="Times New Roman"/>
          <w:color w:val="000000" w:themeColor="text1"/>
          <w:sz w:val="24"/>
          <w:szCs w:val="24"/>
          <w:lang w:eastAsia="pt-BR"/>
        </w:rPr>
        <w:t xml:space="preserve"> </w:t>
      </w:r>
      <w:r w:rsidRPr="003D5135">
        <w:rPr>
          <w:rFonts w:cs="Times New Roman"/>
          <w:color w:val="000000" w:themeColor="text1"/>
          <w:sz w:val="24"/>
          <w:szCs w:val="24"/>
          <w:lang w:eastAsia="pt-BR"/>
        </w:rPr>
        <w:t xml:space="preserve">A </w:t>
      </w:r>
      <w:r w:rsidR="00A07337" w:rsidRPr="003D5135">
        <w:rPr>
          <w:rFonts w:cs="Times New Roman"/>
          <w:color w:val="000000" w:themeColor="text1"/>
          <w:sz w:val="24"/>
          <w:szCs w:val="24"/>
          <w:lang w:eastAsia="pt-BR"/>
        </w:rPr>
        <w:t>Procuradoria-Geral da Fazenda Nacional (</w:t>
      </w:r>
      <w:r w:rsidRPr="003D5135">
        <w:rPr>
          <w:rFonts w:cs="Times New Roman"/>
          <w:color w:val="000000" w:themeColor="text1"/>
          <w:sz w:val="24"/>
          <w:szCs w:val="24"/>
          <w:lang w:eastAsia="pt-BR"/>
        </w:rPr>
        <w:t>PGFN</w:t>
      </w:r>
      <w:r w:rsidR="007859C0" w:rsidRPr="003D5135">
        <w:rPr>
          <w:rFonts w:cs="Times New Roman"/>
          <w:color w:val="000000" w:themeColor="text1"/>
          <w:sz w:val="24"/>
          <w:szCs w:val="24"/>
          <w:lang w:eastAsia="pt-BR"/>
        </w:rPr>
        <w:t>)</w:t>
      </w:r>
      <w:r w:rsidRPr="003D5135">
        <w:rPr>
          <w:rFonts w:cs="Times New Roman"/>
          <w:color w:val="000000" w:themeColor="text1"/>
          <w:sz w:val="24"/>
          <w:szCs w:val="24"/>
          <w:lang w:eastAsia="pt-BR"/>
        </w:rPr>
        <w:t xml:space="preserve"> </w:t>
      </w:r>
      <w:r w:rsidR="00016EA2" w:rsidRPr="003D5135">
        <w:rPr>
          <w:rFonts w:cs="Times New Roman"/>
          <w:color w:val="000000" w:themeColor="text1"/>
          <w:sz w:val="24"/>
          <w:szCs w:val="24"/>
          <w:lang w:eastAsia="pt-BR"/>
        </w:rPr>
        <w:t xml:space="preserve">é o órgão responsável pela </w:t>
      </w:r>
      <w:r w:rsidR="00B73C3A" w:rsidRPr="003D5135">
        <w:rPr>
          <w:rFonts w:cs="Times New Roman"/>
          <w:color w:val="000000" w:themeColor="text1"/>
          <w:sz w:val="24"/>
          <w:szCs w:val="24"/>
          <w:lang w:eastAsia="pt-BR"/>
        </w:rPr>
        <w:t>sua gestão</w:t>
      </w:r>
      <w:r w:rsidR="005F0F77" w:rsidRPr="003D5135">
        <w:rPr>
          <w:rFonts w:cs="Times New Roman"/>
          <w:color w:val="000000" w:themeColor="text1"/>
          <w:sz w:val="24"/>
          <w:szCs w:val="24"/>
          <w:lang w:eastAsia="pt-BR"/>
        </w:rPr>
        <w:t>,</w:t>
      </w:r>
      <w:r w:rsidR="005C3496" w:rsidRPr="003D5135">
        <w:rPr>
          <w:rFonts w:cs="Times New Roman"/>
          <w:color w:val="000000" w:themeColor="text1"/>
          <w:sz w:val="24"/>
          <w:szCs w:val="24"/>
          <w:lang w:eastAsia="pt-BR"/>
        </w:rPr>
        <w:t xml:space="preserve"> </w:t>
      </w:r>
      <w:r w:rsidR="00A35E83" w:rsidRPr="003D5135">
        <w:rPr>
          <w:rFonts w:cs="Times New Roman"/>
          <w:color w:val="000000" w:themeColor="text1"/>
          <w:sz w:val="24"/>
          <w:szCs w:val="24"/>
          <w:lang w:eastAsia="pt-BR"/>
        </w:rPr>
        <w:t xml:space="preserve">que diz respeito a </w:t>
      </w:r>
      <w:r w:rsidR="005C3496" w:rsidRPr="003D5135">
        <w:rPr>
          <w:rFonts w:cs="Times New Roman"/>
          <w:color w:val="000000" w:themeColor="text1"/>
          <w:sz w:val="24"/>
          <w:szCs w:val="24"/>
          <w:lang w:eastAsia="pt-BR"/>
        </w:rPr>
        <w:t xml:space="preserve">mais de 19 milhões de débitos, </w:t>
      </w:r>
      <w:proofErr w:type="spellStart"/>
      <w:r w:rsidR="005C3496" w:rsidRPr="003D5135">
        <w:rPr>
          <w:rFonts w:cs="Times New Roman"/>
          <w:color w:val="000000" w:themeColor="text1"/>
          <w:sz w:val="24"/>
          <w:szCs w:val="24"/>
          <w:lang w:eastAsia="pt-BR"/>
        </w:rPr>
        <w:t>titularizados</w:t>
      </w:r>
      <w:proofErr w:type="spellEnd"/>
      <w:r w:rsidR="005C3496" w:rsidRPr="003D5135">
        <w:rPr>
          <w:rFonts w:cs="Times New Roman"/>
          <w:color w:val="000000" w:themeColor="text1"/>
          <w:sz w:val="24"/>
          <w:szCs w:val="24"/>
          <w:lang w:eastAsia="pt-BR"/>
        </w:rPr>
        <w:t xml:space="preserve"> por 4,</w:t>
      </w:r>
      <w:r w:rsidR="4CDD0FE8" w:rsidRPr="003D5135">
        <w:rPr>
          <w:rFonts w:cs="Times New Roman"/>
          <w:color w:val="000000" w:themeColor="text1"/>
          <w:sz w:val="24"/>
          <w:szCs w:val="24"/>
          <w:lang w:eastAsia="pt-BR"/>
        </w:rPr>
        <w:t>7</w:t>
      </w:r>
      <w:r w:rsidR="005C3496" w:rsidRPr="003D5135">
        <w:rPr>
          <w:rFonts w:cs="Times New Roman"/>
          <w:color w:val="000000" w:themeColor="text1"/>
          <w:sz w:val="24"/>
          <w:szCs w:val="24"/>
          <w:lang w:eastAsia="pt-BR"/>
        </w:rPr>
        <w:t xml:space="preserve"> milhões de devedores</w:t>
      </w:r>
      <w:r w:rsidR="00800D72" w:rsidRPr="003D5135">
        <w:rPr>
          <w:rFonts w:cs="Times New Roman"/>
          <w:color w:val="000000" w:themeColor="text1"/>
          <w:sz w:val="24"/>
          <w:szCs w:val="24"/>
          <w:lang w:eastAsia="pt-BR"/>
        </w:rPr>
        <w:t xml:space="preserve">, </w:t>
      </w:r>
      <w:r w:rsidR="0048082F" w:rsidRPr="003D5135">
        <w:rPr>
          <w:rFonts w:cs="Times New Roman"/>
          <w:color w:val="000000" w:themeColor="text1"/>
          <w:sz w:val="24"/>
          <w:szCs w:val="24"/>
          <w:lang w:eastAsia="pt-BR"/>
        </w:rPr>
        <w:t xml:space="preserve">totalizando </w:t>
      </w:r>
      <w:r w:rsidRPr="003D5135">
        <w:rPr>
          <w:rFonts w:cs="Times New Roman"/>
          <w:color w:val="000000" w:themeColor="text1"/>
          <w:sz w:val="24"/>
          <w:szCs w:val="24"/>
          <w:lang w:eastAsia="pt-BR"/>
        </w:rPr>
        <w:t>o valor de R$ 2,</w:t>
      </w:r>
      <w:r w:rsidR="5DA9E3DC" w:rsidRPr="003D5135">
        <w:rPr>
          <w:rFonts w:cs="Times New Roman"/>
          <w:color w:val="000000" w:themeColor="text1"/>
          <w:sz w:val="24"/>
          <w:szCs w:val="24"/>
          <w:lang w:eastAsia="pt-BR"/>
        </w:rPr>
        <w:t>5</w:t>
      </w:r>
      <w:r w:rsidRPr="003D5135">
        <w:rPr>
          <w:rFonts w:cs="Times New Roman"/>
          <w:color w:val="000000" w:themeColor="text1"/>
          <w:sz w:val="24"/>
          <w:szCs w:val="24"/>
          <w:lang w:eastAsia="pt-BR"/>
        </w:rPr>
        <w:t xml:space="preserve"> trilhões</w:t>
      </w:r>
      <w:r w:rsidR="00A07337" w:rsidRPr="003D5135">
        <w:rPr>
          <w:rFonts w:cs="Times New Roman"/>
          <w:color w:val="000000" w:themeColor="text1"/>
          <w:sz w:val="24"/>
          <w:szCs w:val="24"/>
          <w:lang w:eastAsia="pt-BR"/>
        </w:rPr>
        <w:t>.</w:t>
      </w:r>
      <w:r w:rsidRPr="003D5135">
        <w:rPr>
          <w:rFonts w:cs="Times New Roman"/>
          <w:color w:val="000000" w:themeColor="text1"/>
          <w:sz w:val="24"/>
          <w:szCs w:val="24"/>
          <w:lang w:eastAsia="pt-BR"/>
        </w:rPr>
        <w:t xml:space="preserve"> Após efetuar o controle de legalidade, a PGFN inscreve os débitos e efetua sua cobrança administrativa ou judicial.</w:t>
      </w:r>
    </w:p>
    <w:p w14:paraId="4842DB6B" w14:textId="35C959A1" w:rsidR="00A84253" w:rsidRPr="003D5135" w:rsidRDefault="00BA59FC" w:rsidP="00A84253">
      <w:pPr>
        <w:spacing w:after="120" w:line="240" w:lineRule="auto"/>
        <w:ind w:firstLine="1418"/>
        <w:jc w:val="both"/>
        <w:rPr>
          <w:rFonts w:cs="Times New Roman"/>
          <w:color w:val="000000" w:themeColor="text1"/>
          <w:sz w:val="24"/>
          <w:szCs w:val="24"/>
          <w:lang w:eastAsia="pt-BR"/>
        </w:rPr>
      </w:pPr>
      <w:r w:rsidRPr="003D5135">
        <w:rPr>
          <w:rFonts w:cs="Times New Roman"/>
          <w:color w:val="000000" w:themeColor="text1"/>
          <w:sz w:val="24"/>
          <w:szCs w:val="24"/>
          <w:lang w:eastAsia="pt-BR"/>
        </w:rPr>
        <w:t>A inscrição de créditos em dívida ativa gera um ativo para a União, sujeito a juros, multa e atualização monetária que, segundo a Lei nº 4.320, de 17 de março de</w:t>
      </w:r>
      <w:r w:rsidR="2BAB505F" w:rsidRPr="003D5135">
        <w:rPr>
          <w:rFonts w:cs="Times New Roman"/>
          <w:color w:val="000000" w:themeColor="text1"/>
          <w:sz w:val="24"/>
          <w:szCs w:val="24"/>
          <w:lang w:eastAsia="pt-BR"/>
        </w:rPr>
        <w:t xml:space="preserve"> </w:t>
      </w:r>
      <w:r w:rsidRPr="003D5135">
        <w:rPr>
          <w:rFonts w:cs="Times New Roman"/>
          <w:color w:val="000000" w:themeColor="text1"/>
          <w:sz w:val="24"/>
          <w:szCs w:val="24"/>
          <w:lang w:eastAsia="pt-BR"/>
        </w:rPr>
        <w:t>1964, será escriturado como receita do exercício em que forem arrecadados, nas respectivas rubricas orçamentárias. Por esta razão, considera-se a dívida ativa um ativo contingente.</w:t>
      </w:r>
    </w:p>
    <w:p w14:paraId="47E86B6A" w14:textId="2D18EEB7" w:rsidR="00A84253" w:rsidRPr="003D5135" w:rsidRDefault="00A84253" w:rsidP="00A84253">
      <w:pPr>
        <w:spacing w:after="120" w:line="240" w:lineRule="auto"/>
        <w:ind w:firstLine="1418"/>
        <w:jc w:val="both"/>
        <w:rPr>
          <w:rFonts w:cs="Times New Roman"/>
          <w:color w:val="000000" w:themeColor="text1"/>
          <w:sz w:val="24"/>
          <w:szCs w:val="24"/>
          <w:lang w:eastAsia="pt-BR"/>
        </w:rPr>
      </w:pPr>
      <w:r w:rsidRPr="003D5135">
        <w:rPr>
          <w:rFonts w:cs="Times New Roman"/>
          <w:color w:val="000000" w:themeColor="text1"/>
          <w:sz w:val="24"/>
          <w:szCs w:val="24"/>
          <w:lang w:eastAsia="pt-BR"/>
        </w:rPr>
        <w:t xml:space="preserve">Segundo a Lei nº 4.320/1964, classifica-se como dívida ativa tributária, o crédito da Fazenda Pública proveniente de obrigação legal relativa a tributos e respectivos adicionais e multas e, como dívida ativa não </w:t>
      </w:r>
      <w:r w:rsidR="0056684C" w:rsidRPr="003D5135">
        <w:rPr>
          <w:rFonts w:cs="Times New Roman"/>
          <w:color w:val="000000" w:themeColor="text1"/>
          <w:sz w:val="24"/>
          <w:szCs w:val="24"/>
          <w:lang w:eastAsia="pt-BR"/>
        </w:rPr>
        <w:t>t</w:t>
      </w:r>
      <w:r w:rsidRPr="003D5135">
        <w:rPr>
          <w:rFonts w:cs="Times New Roman"/>
          <w:color w:val="000000" w:themeColor="text1"/>
          <w:sz w:val="24"/>
          <w:szCs w:val="24"/>
          <w:lang w:eastAsia="pt-BR"/>
        </w:rPr>
        <w:t>ributária, os demais créditos da Fazenda Pública. Estes últimos são, em geral, multas de natureza não tributária, foros, laudêmios, alugu</w:t>
      </w:r>
      <w:r w:rsidR="03A97EE9" w:rsidRPr="003D5135">
        <w:rPr>
          <w:rFonts w:cs="Times New Roman"/>
          <w:color w:val="000000" w:themeColor="text1"/>
          <w:sz w:val="24"/>
          <w:szCs w:val="24"/>
          <w:lang w:eastAsia="pt-BR"/>
        </w:rPr>
        <w:t>é</w:t>
      </w:r>
      <w:r w:rsidRPr="003D5135">
        <w:rPr>
          <w:rFonts w:cs="Times New Roman"/>
          <w:color w:val="000000" w:themeColor="text1"/>
          <w:sz w:val="24"/>
          <w:szCs w:val="24"/>
          <w:lang w:eastAsia="pt-BR"/>
        </w:rPr>
        <w:t>is ou taxas de ocupação, custas processuais, preços de serviços prestados por estabelecimentos públicos, indenizações, reposições, restituições, alcances dos responsáveis definitivamente julgados, bem assim os créditos decorrentes de obrigações em moeda estrangeira, de sub-rogação de hipoteca, fiança, aval ou outra garantia, de contratos em geral ou de outras obrigações legais.</w:t>
      </w:r>
    </w:p>
    <w:p w14:paraId="1799A2AB" w14:textId="4DA44F80" w:rsidR="00EA236C" w:rsidRPr="003D5135" w:rsidRDefault="00AD14C1" w:rsidP="00704C72">
      <w:pPr>
        <w:spacing w:after="120" w:line="240" w:lineRule="auto"/>
        <w:ind w:firstLine="1418"/>
        <w:jc w:val="both"/>
        <w:rPr>
          <w:rFonts w:cs="Times New Roman"/>
          <w:color w:val="000000" w:themeColor="text1"/>
          <w:sz w:val="24"/>
          <w:szCs w:val="24"/>
          <w:lang w:eastAsia="pt-BR"/>
        </w:rPr>
      </w:pPr>
      <w:r w:rsidRPr="003D5135">
        <w:rPr>
          <w:rFonts w:cs="Times New Roman"/>
          <w:color w:val="000000" w:themeColor="text1"/>
          <w:sz w:val="24"/>
          <w:szCs w:val="24"/>
          <w:lang w:eastAsia="pt-BR"/>
        </w:rPr>
        <w:t xml:space="preserve">No tocante aos riscos fiscais, a Portaria MF nº 293, de 12 de junho de 2017, estabelece a metodologia de classificação (rating) do estoque dos créditos tributários inscritos em Dívida Ativa, </w:t>
      </w:r>
      <w:proofErr w:type="gramStart"/>
      <w:r w:rsidRPr="003D5135">
        <w:rPr>
          <w:rFonts w:cs="Times New Roman"/>
          <w:color w:val="000000" w:themeColor="text1"/>
          <w:sz w:val="24"/>
          <w:szCs w:val="24"/>
          <w:lang w:eastAsia="pt-BR"/>
        </w:rPr>
        <w:lastRenderedPageBreak/>
        <w:t>sob gestão</w:t>
      </w:r>
      <w:proofErr w:type="gramEnd"/>
      <w:r w:rsidRPr="003D5135">
        <w:rPr>
          <w:rFonts w:cs="Times New Roman"/>
          <w:color w:val="000000" w:themeColor="text1"/>
          <w:sz w:val="24"/>
          <w:szCs w:val="24"/>
          <w:lang w:eastAsia="pt-BR"/>
        </w:rPr>
        <w:t xml:space="preserve"> da PGFN. Segundo a metodologia, esses créditos são classificados em quatro classes, a depender do grau de </w:t>
      </w:r>
      <w:proofErr w:type="spellStart"/>
      <w:r w:rsidRPr="003D5135">
        <w:rPr>
          <w:rFonts w:cs="Times New Roman"/>
          <w:color w:val="000000" w:themeColor="text1"/>
          <w:sz w:val="24"/>
          <w:szCs w:val="24"/>
          <w:lang w:eastAsia="pt-BR"/>
        </w:rPr>
        <w:t>recuperabilidade</w:t>
      </w:r>
      <w:proofErr w:type="spellEnd"/>
      <w:r w:rsidRPr="003D5135">
        <w:rPr>
          <w:rFonts w:cs="Times New Roman"/>
          <w:color w:val="000000" w:themeColor="text1"/>
          <w:sz w:val="24"/>
          <w:szCs w:val="24"/>
          <w:lang w:eastAsia="pt-BR"/>
        </w:rPr>
        <w:t>:</w:t>
      </w:r>
    </w:p>
    <w:p w14:paraId="7C023DEE" w14:textId="77777777" w:rsidR="00EA236C" w:rsidRPr="003D5135" w:rsidRDefault="00EA236C" w:rsidP="39B600F5">
      <w:pPr>
        <w:pStyle w:val="PargrafodaLista"/>
        <w:numPr>
          <w:ilvl w:val="0"/>
          <w:numId w:val="39"/>
        </w:numPr>
        <w:spacing w:after="120" w:line="240" w:lineRule="auto"/>
        <w:ind w:left="1775" w:hanging="357"/>
        <w:jc w:val="both"/>
        <w:rPr>
          <w:rFonts w:cs="Times New Roman"/>
          <w:color w:val="000000" w:themeColor="text1"/>
          <w:sz w:val="24"/>
          <w:szCs w:val="24"/>
          <w:lang w:eastAsia="pt-BR"/>
        </w:rPr>
      </w:pPr>
      <w:r w:rsidRPr="003D5135">
        <w:rPr>
          <w:rFonts w:cs="Times New Roman"/>
          <w:color w:val="000000" w:themeColor="text1"/>
          <w:sz w:val="24"/>
          <w:szCs w:val="24"/>
          <w:lang w:eastAsia="pt-BR"/>
        </w:rPr>
        <w:t>Classe “A”: créditos com alta perspectiva de recuperação;</w:t>
      </w:r>
    </w:p>
    <w:p w14:paraId="7D0EBC0F" w14:textId="77777777" w:rsidR="00EA236C" w:rsidRPr="003D5135" w:rsidRDefault="00EA236C" w:rsidP="39B600F5">
      <w:pPr>
        <w:pStyle w:val="PargrafodaLista"/>
        <w:numPr>
          <w:ilvl w:val="0"/>
          <w:numId w:val="39"/>
        </w:numPr>
        <w:spacing w:after="120" w:line="240" w:lineRule="auto"/>
        <w:ind w:left="1775" w:hanging="357"/>
        <w:jc w:val="both"/>
        <w:rPr>
          <w:rFonts w:cs="Times New Roman"/>
          <w:color w:val="000000" w:themeColor="text1"/>
          <w:sz w:val="24"/>
          <w:szCs w:val="24"/>
          <w:lang w:eastAsia="pt-BR"/>
        </w:rPr>
      </w:pPr>
      <w:r w:rsidRPr="003D5135">
        <w:rPr>
          <w:rFonts w:cs="Times New Roman"/>
          <w:color w:val="000000" w:themeColor="text1"/>
          <w:sz w:val="24"/>
          <w:szCs w:val="24"/>
          <w:lang w:eastAsia="pt-BR"/>
        </w:rPr>
        <w:t>Classe “B”: créditos com média perspectiva de recuperação;</w:t>
      </w:r>
    </w:p>
    <w:p w14:paraId="39517B2B" w14:textId="77777777" w:rsidR="00EA236C" w:rsidRPr="003D5135" w:rsidRDefault="00EA236C" w:rsidP="39B600F5">
      <w:pPr>
        <w:pStyle w:val="PargrafodaLista"/>
        <w:numPr>
          <w:ilvl w:val="0"/>
          <w:numId w:val="39"/>
        </w:numPr>
        <w:spacing w:after="120" w:line="240" w:lineRule="auto"/>
        <w:ind w:left="1775" w:hanging="357"/>
        <w:jc w:val="both"/>
        <w:rPr>
          <w:rFonts w:cs="Times New Roman"/>
          <w:color w:val="000000" w:themeColor="text1"/>
          <w:sz w:val="24"/>
          <w:szCs w:val="24"/>
          <w:lang w:eastAsia="pt-BR"/>
        </w:rPr>
      </w:pPr>
      <w:r w:rsidRPr="003D5135">
        <w:rPr>
          <w:rFonts w:cs="Times New Roman"/>
          <w:color w:val="000000" w:themeColor="text1"/>
          <w:sz w:val="24"/>
          <w:szCs w:val="24"/>
          <w:lang w:eastAsia="pt-BR"/>
        </w:rPr>
        <w:t>Classe “C”: créditos com baixa perspectiva de recuperação;</w:t>
      </w:r>
    </w:p>
    <w:p w14:paraId="05EEF3DF" w14:textId="77777777" w:rsidR="00EA236C" w:rsidRPr="003D5135" w:rsidRDefault="00EA236C" w:rsidP="39B600F5">
      <w:pPr>
        <w:pStyle w:val="PargrafodaLista"/>
        <w:numPr>
          <w:ilvl w:val="0"/>
          <w:numId w:val="39"/>
        </w:numPr>
        <w:spacing w:after="120" w:line="240" w:lineRule="auto"/>
        <w:ind w:left="1775" w:hanging="357"/>
        <w:jc w:val="both"/>
        <w:rPr>
          <w:rFonts w:cs="Times New Roman"/>
          <w:color w:val="000000" w:themeColor="text1"/>
          <w:sz w:val="24"/>
          <w:szCs w:val="24"/>
          <w:lang w:eastAsia="pt-BR"/>
        </w:rPr>
      </w:pPr>
      <w:r w:rsidRPr="003D5135">
        <w:rPr>
          <w:rFonts w:cs="Times New Roman"/>
          <w:color w:val="000000" w:themeColor="text1"/>
          <w:sz w:val="24"/>
          <w:szCs w:val="24"/>
          <w:lang w:eastAsia="pt-BR"/>
        </w:rPr>
        <w:t>Classe “D”: créditos irrecuperáveis.</w:t>
      </w:r>
    </w:p>
    <w:p w14:paraId="3B0E5DEC" w14:textId="4DED4938" w:rsidR="00EA236C" w:rsidRPr="003D5135" w:rsidRDefault="00EA236C" w:rsidP="00704C72">
      <w:pPr>
        <w:spacing w:after="120" w:line="240" w:lineRule="auto"/>
        <w:ind w:firstLine="1418"/>
        <w:jc w:val="both"/>
        <w:rPr>
          <w:rFonts w:cs="Times New Roman"/>
          <w:color w:val="000000" w:themeColor="text1"/>
          <w:sz w:val="24"/>
          <w:szCs w:val="24"/>
          <w:lang w:eastAsia="pt-BR"/>
        </w:rPr>
      </w:pPr>
      <w:r w:rsidRPr="003D5135">
        <w:rPr>
          <w:rFonts w:cs="Times New Roman"/>
          <w:color w:val="000000" w:themeColor="text1"/>
          <w:sz w:val="24"/>
          <w:szCs w:val="24"/>
          <w:lang w:eastAsia="pt-BR"/>
        </w:rPr>
        <w:t>Conforme a Portaria</w:t>
      </w:r>
      <w:r w:rsidR="00196A66" w:rsidRPr="003D5135">
        <w:rPr>
          <w:rFonts w:cs="Times New Roman"/>
          <w:color w:val="000000" w:themeColor="text1"/>
          <w:sz w:val="24"/>
          <w:szCs w:val="24"/>
          <w:lang w:eastAsia="pt-BR"/>
        </w:rPr>
        <w:t xml:space="preserve"> supracitada</w:t>
      </w:r>
      <w:r w:rsidRPr="003D5135">
        <w:rPr>
          <w:rFonts w:cs="Times New Roman"/>
          <w:color w:val="000000" w:themeColor="text1"/>
          <w:sz w:val="24"/>
          <w:szCs w:val="24"/>
          <w:lang w:eastAsia="pt-BR"/>
        </w:rPr>
        <w:t xml:space="preserve">, os créditos classificados com rating “C” e “D” são registrados como ativos contingentes, em contas de controle, até a sua extinção ou reclassificação. A </w:t>
      </w:r>
      <w:r w:rsidR="00511BA2" w:rsidRPr="00305C69">
        <w:rPr>
          <w:rFonts w:cs="Times New Roman"/>
          <w:color w:val="000000" w:themeColor="text1"/>
          <w:sz w:val="24"/>
          <w:szCs w:val="24"/>
          <w:lang w:eastAsia="pt-BR"/>
        </w:rPr>
        <w:fldChar w:fldCharType="begin"/>
      </w:r>
      <w:r w:rsidR="00511BA2" w:rsidRPr="00305C69">
        <w:rPr>
          <w:rFonts w:cs="Times New Roman"/>
          <w:color w:val="000000" w:themeColor="text1"/>
          <w:sz w:val="24"/>
          <w:szCs w:val="24"/>
          <w:lang w:eastAsia="pt-BR"/>
        </w:rPr>
        <w:instrText xml:space="preserve"> REF _Ref67653583 \h </w:instrText>
      </w:r>
      <w:r w:rsidR="00305C69" w:rsidRPr="00305C69">
        <w:rPr>
          <w:rFonts w:cs="Times New Roman"/>
          <w:color w:val="000000" w:themeColor="text1"/>
          <w:sz w:val="24"/>
          <w:szCs w:val="24"/>
          <w:lang w:eastAsia="pt-BR"/>
        </w:rPr>
        <w:instrText xml:space="preserve"> \* MERGEFORMAT </w:instrText>
      </w:r>
      <w:r w:rsidR="00511BA2" w:rsidRPr="00305C69">
        <w:rPr>
          <w:rFonts w:cs="Times New Roman"/>
          <w:color w:val="000000" w:themeColor="text1"/>
          <w:sz w:val="24"/>
          <w:szCs w:val="24"/>
          <w:lang w:eastAsia="pt-BR"/>
        </w:rPr>
      </w:r>
      <w:r w:rsidR="00511BA2" w:rsidRPr="00305C69">
        <w:rPr>
          <w:rFonts w:cs="Times New Roman"/>
          <w:color w:val="000000" w:themeColor="text1"/>
          <w:sz w:val="24"/>
          <w:szCs w:val="24"/>
          <w:lang w:eastAsia="pt-BR"/>
        </w:rPr>
        <w:fldChar w:fldCharType="separate"/>
      </w:r>
      <w:r w:rsidR="00304F5F" w:rsidRPr="00304F5F">
        <w:rPr>
          <w:rFonts w:cstheme="minorHAnsi"/>
          <w:sz w:val="24"/>
          <w:szCs w:val="24"/>
        </w:rPr>
        <w:t xml:space="preserve">Tabela </w:t>
      </w:r>
      <w:r w:rsidR="00304F5F" w:rsidRPr="00304F5F">
        <w:rPr>
          <w:rFonts w:cstheme="minorHAnsi"/>
          <w:noProof/>
          <w:sz w:val="24"/>
          <w:szCs w:val="24"/>
        </w:rPr>
        <w:t>36</w:t>
      </w:r>
      <w:r w:rsidR="00511BA2" w:rsidRPr="00305C69">
        <w:rPr>
          <w:rFonts w:cs="Times New Roman"/>
          <w:color w:val="000000" w:themeColor="text1"/>
          <w:sz w:val="24"/>
          <w:szCs w:val="24"/>
          <w:lang w:eastAsia="pt-BR"/>
        </w:rPr>
        <w:fldChar w:fldCharType="end"/>
      </w:r>
      <w:r w:rsidRPr="003D5135">
        <w:rPr>
          <w:rFonts w:cs="Times New Roman"/>
          <w:color w:val="000000" w:themeColor="text1"/>
          <w:sz w:val="24"/>
          <w:szCs w:val="24"/>
          <w:lang w:eastAsia="pt-BR"/>
        </w:rPr>
        <w:t xml:space="preserve"> apresenta os créditos por exercício segundo o tipo de crédito e classe (</w:t>
      </w:r>
      <w:r w:rsidRPr="003D5135">
        <w:rPr>
          <w:rFonts w:cs="Times New Roman"/>
          <w:i/>
          <w:color w:val="000000" w:themeColor="text1"/>
          <w:sz w:val="24"/>
          <w:szCs w:val="24"/>
          <w:lang w:eastAsia="pt-BR"/>
        </w:rPr>
        <w:t>rating</w:t>
      </w:r>
      <w:r w:rsidRPr="003D5135">
        <w:rPr>
          <w:rFonts w:cs="Times New Roman"/>
          <w:color w:val="000000" w:themeColor="text1"/>
          <w:sz w:val="24"/>
          <w:szCs w:val="24"/>
          <w:lang w:eastAsia="pt-BR"/>
        </w:rPr>
        <w:t>).</w:t>
      </w:r>
    </w:p>
    <w:p w14:paraId="5B6A8A06" w14:textId="2DAC23A7" w:rsidR="00511BA2" w:rsidRPr="00E002A2" w:rsidRDefault="00EA236C" w:rsidP="00E002A2">
      <w:pPr>
        <w:pStyle w:val="Legenda"/>
        <w:spacing w:before="240" w:after="120"/>
        <w:ind w:left="1134" w:right="1134"/>
        <w:jc w:val="center"/>
        <w:rPr>
          <w:rFonts w:asciiTheme="minorHAnsi" w:hAnsiTheme="minorHAnsi"/>
          <w:i w:val="0"/>
          <w:color w:val="auto"/>
          <w:sz w:val="22"/>
          <w:szCs w:val="22"/>
        </w:rPr>
      </w:pPr>
      <w:bookmarkStart w:id="320" w:name="_Ref67653583"/>
      <w:bookmarkStart w:id="321" w:name="_Toc69121382"/>
      <w:r w:rsidRPr="00E002A2">
        <w:rPr>
          <w:rFonts w:asciiTheme="minorHAnsi" w:hAnsiTheme="minorHAnsi"/>
          <w:i w:val="0"/>
          <w:color w:val="auto"/>
          <w:sz w:val="22"/>
          <w:szCs w:val="22"/>
        </w:rPr>
        <w:t xml:space="preserve">Tabela </w:t>
      </w:r>
      <w:r w:rsidRPr="00E002A2">
        <w:rPr>
          <w:rFonts w:asciiTheme="minorHAnsi" w:hAnsiTheme="minorHAnsi"/>
          <w:i w:val="0"/>
          <w:color w:val="auto"/>
          <w:sz w:val="22"/>
          <w:szCs w:val="22"/>
        </w:rPr>
        <w:fldChar w:fldCharType="begin"/>
      </w:r>
      <w:r w:rsidRPr="00E002A2">
        <w:rPr>
          <w:rFonts w:asciiTheme="minorHAnsi" w:hAnsiTheme="minorHAnsi"/>
          <w:i w:val="0"/>
          <w:color w:val="auto"/>
          <w:sz w:val="22"/>
          <w:szCs w:val="22"/>
        </w:rPr>
        <w:instrText xml:space="preserve"> SEQ Tabela \* ARABIC </w:instrText>
      </w:r>
      <w:r w:rsidRPr="00E002A2">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36</w:t>
      </w:r>
      <w:r w:rsidRPr="00E002A2">
        <w:rPr>
          <w:rFonts w:asciiTheme="minorHAnsi" w:hAnsiTheme="minorHAnsi"/>
          <w:i w:val="0"/>
          <w:color w:val="auto"/>
          <w:sz w:val="22"/>
          <w:szCs w:val="22"/>
        </w:rPr>
        <w:fldChar w:fldCharType="end"/>
      </w:r>
      <w:bookmarkEnd w:id="320"/>
      <w:r w:rsidR="00511BA2" w:rsidRPr="00E002A2">
        <w:rPr>
          <w:rFonts w:asciiTheme="minorHAnsi" w:hAnsiTheme="minorHAnsi"/>
          <w:i w:val="0"/>
          <w:color w:val="auto"/>
          <w:sz w:val="22"/>
          <w:szCs w:val="22"/>
        </w:rPr>
        <w:t xml:space="preserve"> -</w:t>
      </w:r>
      <w:r w:rsidR="00511BA2" w:rsidRPr="005B58CB">
        <w:rPr>
          <w:rFonts w:asciiTheme="minorHAnsi" w:hAnsiTheme="minorHAnsi"/>
          <w:i w:val="0"/>
          <w:color w:val="auto"/>
          <w:sz w:val="22"/>
          <w:szCs w:val="22"/>
        </w:rPr>
        <w:t xml:space="preserve"> Créditos por exercício segundo o tipo de crédito e classe (</w:t>
      </w:r>
      <w:r w:rsidR="00511BA2" w:rsidRPr="00E002A2">
        <w:rPr>
          <w:rFonts w:asciiTheme="minorHAnsi" w:hAnsiTheme="minorHAnsi"/>
          <w:i w:val="0"/>
          <w:color w:val="auto"/>
          <w:sz w:val="22"/>
          <w:szCs w:val="22"/>
        </w:rPr>
        <w:t>rating</w:t>
      </w:r>
      <w:r w:rsidR="00511BA2" w:rsidRPr="005B58CB">
        <w:rPr>
          <w:rFonts w:asciiTheme="minorHAnsi" w:hAnsiTheme="minorHAnsi"/>
          <w:i w:val="0"/>
          <w:color w:val="auto"/>
          <w:sz w:val="22"/>
          <w:szCs w:val="22"/>
        </w:rPr>
        <w:t>)</w:t>
      </w:r>
      <w:bookmarkEnd w:id="321"/>
    </w:p>
    <w:tbl>
      <w:tblPr>
        <w:tblStyle w:val="Tabelacomgrade"/>
        <w:tblW w:w="0" w:type="auto"/>
        <w:jc w:val="center"/>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5"/>
        <w:gridCol w:w="831"/>
        <w:gridCol w:w="1407"/>
        <w:gridCol w:w="1407"/>
        <w:gridCol w:w="1407"/>
        <w:gridCol w:w="1324"/>
      </w:tblGrid>
      <w:tr w:rsidR="00B35AA0" w:rsidRPr="00C17EEA" w14:paraId="43D8301F" w14:textId="77777777" w:rsidTr="00FB758E">
        <w:trPr>
          <w:tblHeader/>
          <w:jc w:val="center"/>
        </w:trPr>
        <w:tc>
          <w:tcPr>
            <w:tcW w:w="0" w:type="auto"/>
            <w:gridSpan w:val="6"/>
            <w:tcBorders>
              <w:bottom w:val="single" w:sz="4" w:space="0" w:color="BFBFBF" w:themeColor="background1" w:themeShade="BF"/>
            </w:tcBorders>
            <w:vAlign w:val="center"/>
          </w:tcPr>
          <w:p w14:paraId="647A1799" w14:textId="2F14B2AF" w:rsidR="007A0D21" w:rsidRDefault="00654917" w:rsidP="00D24423">
            <w:pPr>
              <w:jc w:val="right"/>
            </w:pPr>
            <w:r w:rsidRPr="00E50D03">
              <w:rPr>
                <w:rFonts w:cs="Times New Roman"/>
                <w:i/>
                <w:iCs/>
                <w:sz w:val="16"/>
                <w:szCs w:val="16"/>
                <w:lang w:eastAsia="pt-BR"/>
              </w:rPr>
              <w:t>Em R$ milhões</w:t>
            </w:r>
          </w:p>
        </w:tc>
      </w:tr>
      <w:tr w:rsidR="00AB555C" w:rsidRPr="0015004A" w14:paraId="0EED5BF7" w14:textId="77777777" w:rsidTr="00FB758E">
        <w:trPr>
          <w:tblHeade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404040" w:themeFill="text1" w:themeFillTint="BF"/>
            <w:vAlign w:val="center"/>
          </w:tcPr>
          <w:p w14:paraId="57BAFB9D" w14:textId="77777777" w:rsidR="00E47503" w:rsidRPr="00992171" w:rsidRDefault="00E47503" w:rsidP="00E47503">
            <w:pPr>
              <w:jc w:val="center"/>
              <w:rPr>
                <w:rFonts w:cs="Times New Roman"/>
                <w:b/>
                <w:color w:val="FFFFFF" w:themeColor="background1"/>
                <w:sz w:val="20"/>
                <w:szCs w:val="20"/>
                <w:lang w:eastAsia="pt-BR"/>
              </w:rPr>
            </w:pPr>
            <w:r w:rsidRPr="00992171">
              <w:rPr>
                <w:rFonts w:eastAsia="Times New Roman" w:cs="Arial"/>
                <w:b/>
                <w:color w:val="FFFFFF" w:themeColor="background1"/>
                <w:sz w:val="20"/>
                <w:szCs w:val="20"/>
                <w:lang w:eastAsia="pt-BR"/>
              </w:rPr>
              <w:t>Tipo de Crédito</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tcPr>
          <w:p w14:paraId="3B539485" w14:textId="77777777" w:rsidR="00E47503" w:rsidRPr="00992171" w:rsidRDefault="00E47503" w:rsidP="00E47503">
            <w:pPr>
              <w:jc w:val="center"/>
              <w:rPr>
                <w:rFonts w:cs="Times New Roman"/>
                <w:b/>
                <w:color w:val="FFFFFF" w:themeColor="background1"/>
                <w:sz w:val="20"/>
                <w:szCs w:val="20"/>
                <w:lang w:eastAsia="pt-BR"/>
              </w:rPr>
            </w:pPr>
            <w:r w:rsidRPr="00992171">
              <w:rPr>
                <w:rFonts w:eastAsia="Arial" w:cs="Arial"/>
                <w:b/>
                <w:i/>
                <w:color w:val="FFFFFF" w:themeColor="background1"/>
                <w:sz w:val="20"/>
                <w:szCs w:val="20"/>
              </w:rPr>
              <w:t>Rating</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tcPr>
          <w:p w14:paraId="168B6E2A" w14:textId="77777777" w:rsidR="00E47503" w:rsidRPr="00992171" w:rsidRDefault="00E47503" w:rsidP="00E47503">
            <w:pPr>
              <w:jc w:val="center"/>
              <w:rPr>
                <w:rFonts w:cs="Times New Roman"/>
                <w:b/>
                <w:color w:val="FFFFFF" w:themeColor="background1"/>
                <w:sz w:val="20"/>
                <w:szCs w:val="20"/>
                <w:lang w:eastAsia="pt-BR"/>
              </w:rPr>
            </w:pPr>
            <w:r w:rsidRPr="00992171">
              <w:rPr>
                <w:rFonts w:cs="Times New Roman"/>
                <w:b/>
                <w:color w:val="FFFFFF" w:themeColor="background1"/>
                <w:sz w:val="20"/>
                <w:szCs w:val="20"/>
                <w:lang w:eastAsia="pt-BR"/>
              </w:rPr>
              <w:t>2018</w:t>
            </w:r>
          </w:p>
          <w:p w14:paraId="02053266" w14:textId="77777777" w:rsidR="00E47503" w:rsidRPr="00992171" w:rsidRDefault="00E47503" w:rsidP="00E47503">
            <w:pPr>
              <w:jc w:val="center"/>
              <w:rPr>
                <w:rFonts w:eastAsia="Times New Roman" w:cs="Times New Roman"/>
                <w:color w:val="FFFFFF" w:themeColor="background1"/>
                <w:sz w:val="20"/>
                <w:szCs w:val="20"/>
                <w:lang w:eastAsia="pt-BR"/>
              </w:rPr>
            </w:pPr>
            <w:r w:rsidRPr="00992171">
              <w:rPr>
                <w:rFonts w:eastAsia="Times New Roman" w:cs="Times New Roman"/>
                <w:color w:val="FFFFFF" w:themeColor="background1"/>
                <w:sz w:val="20"/>
                <w:szCs w:val="20"/>
                <w:lang w:eastAsia="pt-BR"/>
              </w:rPr>
              <w:t>Valor ($)</w:t>
            </w:r>
          </w:p>
          <w:p w14:paraId="08D688F9" w14:textId="4C1F808F" w:rsidR="00E47503" w:rsidRPr="00992171" w:rsidRDefault="00E47503" w:rsidP="00E47503">
            <w:pPr>
              <w:jc w:val="center"/>
              <w:rPr>
                <w:rFonts w:cs="Times New Roman"/>
                <w:b/>
                <w:color w:val="FFFFFF" w:themeColor="background1"/>
                <w:sz w:val="20"/>
                <w:szCs w:val="20"/>
                <w:lang w:eastAsia="pt-BR"/>
              </w:rPr>
            </w:pPr>
            <w:r w:rsidRPr="00992171">
              <w:rPr>
                <w:rFonts w:eastAsia="Times New Roman" w:cs="Times New Roman"/>
                <w:color w:val="FFFFFF" w:themeColor="background1"/>
                <w:sz w:val="20"/>
                <w:szCs w:val="20"/>
                <w:lang w:eastAsia="pt-BR"/>
              </w:rPr>
              <w:t>Variação</w:t>
            </w:r>
            <w:r w:rsidR="00B35AA0" w:rsidRPr="00992171">
              <w:rPr>
                <w:rFonts w:eastAsia="Times New Roman" w:cs="Times New Roman"/>
                <w:color w:val="FFFFFF" w:themeColor="background1"/>
                <w:sz w:val="20"/>
                <w:szCs w:val="20"/>
                <w:vertAlign w:val="superscript"/>
                <w:lang w:eastAsia="pt-BR"/>
              </w:rPr>
              <w:t xml:space="preserve"> </w:t>
            </w:r>
            <w:r w:rsidR="00CF7F73">
              <w:rPr>
                <w:rFonts w:eastAsia="Times New Roman" w:cs="Times New Roman"/>
                <w:color w:val="FFFFFF" w:themeColor="background1"/>
                <w:sz w:val="20"/>
                <w:szCs w:val="20"/>
                <w:vertAlign w:val="superscript"/>
                <w:lang w:eastAsia="pt-BR"/>
              </w:rPr>
              <w:t>(</w:t>
            </w:r>
            <w:r w:rsidRPr="00992171">
              <w:rPr>
                <w:rFonts w:eastAsia="Times New Roman" w:cs="Times New Roman"/>
                <w:color w:val="FFFFFF" w:themeColor="background1"/>
                <w:sz w:val="20"/>
                <w:szCs w:val="20"/>
                <w:vertAlign w:val="superscript"/>
                <w:lang w:eastAsia="pt-BR"/>
              </w:rPr>
              <w:t>1</w:t>
            </w:r>
            <w:r w:rsidR="00CF7F73">
              <w:rPr>
                <w:rFonts w:eastAsia="Times New Roman" w:cs="Times New Roman"/>
                <w:color w:val="FFFFFF" w:themeColor="background1"/>
                <w:sz w:val="20"/>
                <w:szCs w:val="20"/>
                <w:vertAlign w:val="superscript"/>
                <w:lang w:eastAsia="pt-BR"/>
              </w:rPr>
              <w:t>)</w:t>
            </w:r>
            <w:r w:rsidRPr="00992171">
              <w:rPr>
                <w:rFonts w:eastAsia="Times New Roman" w:cs="Times New Roman"/>
                <w:color w:val="FFFFFF" w:themeColor="background1"/>
                <w:sz w:val="20"/>
                <w:szCs w:val="20"/>
                <w:lang w:eastAsia="pt-BR"/>
              </w:rPr>
              <w:t xml:space="preserve"> (%)</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tcPr>
          <w:p w14:paraId="49B36E2E" w14:textId="169350A2" w:rsidR="00E47503" w:rsidRPr="00992171" w:rsidRDefault="00E47503" w:rsidP="00E47503">
            <w:pPr>
              <w:jc w:val="center"/>
              <w:rPr>
                <w:rFonts w:cs="Times New Roman"/>
                <w:b/>
                <w:color w:val="FFFFFF" w:themeColor="background1"/>
                <w:sz w:val="20"/>
                <w:szCs w:val="20"/>
                <w:lang w:eastAsia="pt-BR"/>
              </w:rPr>
            </w:pPr>
            <w:r w:rsidRPr="00992171">
              <w:rPr>
                <w:rFonts w:cs="Times New Roman"/>
                <w:b/>
                <w:color w:val="FFFFFF" w:themeColor="background1"/>
                <w:sz w:val="20"/>
                <w:szCs w:val="20"/>
                <w:lang w:eastAsia="pt-BR"/>
              </w:rPr>
              <w:t>2019</w:t>
            </w:r>
          </w:p>
          <w:p w14:paraId="0396BA8C" w14:textId="77777777" w:rsidR="00E47503" w:rsidRPr="00992171" w:rsidRDefault="00E47503" w:rsidP="00E47503">
            <w:pPr>
              <w:jc w:val="center"/>
              <w:rPr>
                <w:rFonts w:eastAsia="Times New Roman" w:cs="Times New Roman"/>
                <w:color w:val="FFFFFF" w:themeColor="background1"/>
                <w:sz w:val="20"/>
                <w:szCs w:val="20"/>
                <w:lang w:eastAsia="pt-BR"/>
              </w:rPr>
            </w:pPr>
            <w:r w:rsidRPr="00992171">
              <w:rPr>
                <w:rFonts w:eastAsia="Times New Roman" w:cs="Times New Roman"/>
                <w:color w:val="FFFFFF" w:themeColor="background1"/>
                <w:sz w:val="20"/>
                <w:szCs w:val="20"/>
                <w:lang w:eastAsia="pt-BR"/>
              </w:rPr>
              <w:t>Valor ($)</w:t>
            </w:r>
          </w:p>
          <w:p w14:paraId="35640D74" w14:textId="151C2E45" w:rsidR="00E47503" w:rsidRPr="00992171" w:rsidRDefault="00E47503" w:rsidP="00E47503">
            <w:pPr>
              <w:jc w:val="center"/>
              <w:rPr>
                <w:rFonts w:cs="Times New Roman"/>
                <w:b/>
                <w:color w:val="FFFFFF" w:themeColor="background1"/>
                <w:sz w:val="20"/>
                <w:szCs w:val="20"/>
                <w:lang w:eastAsia="pt-BR"/>
              </w:rPr>
            </w:pPr>
            <w:r w:rsidRPr="00992171">
              <w:rPr>
                <w:rFonts w:eastAsia="Times New Roman" w:cs="Times New Roman"/>
                <w:color w:val="FFFFFF" w:themeColor="background1"/>
                <w:sz w:val="20"/>
                <w:szCs w:val="20"/>
                <w:lang w:eastAsia="pt-BR"/>
              </w:rPr>
              <w:t>Variação</w:t>
            </w:r>
            <w:r w:rsidR="00B35AA0" w:rsidRPr="00992171">
              <w:rPr>
                <w:rFonts w:eastAsia="Times New Roman" w:cs="Times New Roman"/>
                <w:color w:val="FFFFFF" w:themeColor="background1"/>
                <w:sz w:val="20"/>
                <w:szCs w:val="20"/>
                <w:vertAlign w:val="superscript"/>
                <w:lang w:eastAsia="pt-BR"/>
              </w:rPr>
              <w:t xml:space="preserve"> </w:t>
            </w:r>
            <w:r w:rsidR="00CF7F73">
              <w:rPr>
                <w:rFonts w:eastAsia="Times New Roman" w:cs="Times New Roman"/>
                <w:color w:val="FFFFFF" w:themeColor="background1"/>
                <w:sz w:val="20"/>
                <w:szCs w:val="20"/>
                <w:vertAlign w:val="superscript"/>
                <w:lang w:eastAsia="pt-BR"/>
              </w:rPr>
              <w:t>(</w:t>
            </w:r>
            <w:r w:rsidRPr="00992171">
              <w:rPr>
                <w:rFonts w:eastAsia="Times New Roman" w:cs="Times New Roman"/>
                <w:color w:val="FFFFFF" w:themeColor="background1"/>
                <w:sz w:val="20"/>
                <w:szCs w:val="20"/>
                <w:vertAlign w:val="superscript"/>
                <w:lang w:eastAsia="pt-BR"/>
              </w:rPr>
              <w:t>1</w:t>
            </w:r>
            <w:r w:rsidR="00CF7F73">
              <w:rPr>
                <w:rFonts w:eastAsia="Times New Roman" w:cs="Times New Roman"/>
                <w:color w:val="FFFFFF" w:themeColor="background1"/>
                <w:sz w:val="20"/>
                <w:szCs w:val="20"/>
                <w:vertAlign w:val="superscript"/>
                <w:lang w:eastAsia="pt-BR"/>
              </w:rPr>
              <w:t>)</w:t>
            </w:r>
            <w:r w:rsidRPr="00992171">
              <w:rPr>
                <w:rFonts w:eastAsia="Times New Roman" w:cs="Times New Roman"/>
                <w:color w:val="FFFFFF" w:themeColor="background1"/>
                <w:sz w:val="20"/>
                <w:szCs w:val="20"/>
                <w:lang w:eastAsia="pt-BR"/>
              </w:rPr>
              <w:t xml:space="preserve"> (%)</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09DB3382" w14:textId="53BE41FC" w:rsidR="49EEEE37" w:rsidRDefault="49EEEE37" w:rsidP="7B03A1CE">
            <w:pPr>
              <w:jc w:val="center"/>
              <w:rPr>
                <w:rFonts w:cs="Times New Roman"/>
                <w:b/>
                <w:bCs/>
                <w:color w:val="FFFFFF" w:themeColor="background1"/>
                <w:sz w:val="20"/>
                <w:szCs w:val="20"/>
                <w:lang w:eastAsia="pt-BR"/>
              </w:rPr>
            </w:pPr>
            <w:r w:rsidRPr="7B03A1CE">
              <w:rPr>
                <w:rFonts w:cs="Times New Roman"/>
                <w:b/>
                <w:bCs/>
                <w:color w:val="FFFFFF" w:themeColor="background1"/>
                <w:sz w:val="20"/>
                <w:szCs w:val="20"/>
                <w:lang w:eastAsia="pt-BR"/>
              </w:rPr>
              <w:t>2020</w:t>
            </w:r>
          </w:p>
          <w:p w14:paraId="3A9903BE" w14:textId="77777777" w:rsidR="49EEEE37" w:rsidRDefault="49EEEE37" w:rsidP="7B03A1CE">
            <w:pPr>
              <w:jc w:val="center"/>
              <w:rPr>
                <w:rFonts w:eastAsia="Times New Roman" w:cs="Times New Roman"/>
                <w:color w:val="FFFFFF" w:themeColor="background1"/>
                <w:sz w:val="20"/>
                <w:szCs w:val="20"/>
                <w:lang w:eastAsia="pt-BR"/>
              </w:rPr>
            </w:pPr>
            <w:r w:rsidRPr="7B03A1CE">
              <w:rPr>
                <w:rFonts w:eastAsia="Times New Roman" w:cs="Times New Roman"/>
                <w:color w:val="FFFFFF" w:themeColor="background1"/>
                <w:sz w:val="20"/>
                <w:szCs w:val="20"/>
                <w:lang w:eastAsia="pt-BR"/>
              </w:rPr>
              <w:t>Valor ($)</w:t>
            </w:r>
          </w:p>
          <w:p w14:paraId="5D3A37AB" w14:textId="1442C171" w:rsidR="49EEEE37" w:rsidRPr="7B03A1CE" w:rsidRDefault="49EEEE37" w:rsidP="7B03A1CE">
            <w:pPr>
              <w:jc w:val="center"/>
              <w:rPr>
                <w:rFonts w:cs="Times New Roman"/>
                <w:b/>
                <w:bCs/>
                <w:color w:val="FFFFFF" w:themeColor="background1"/>
                <w:sz w:val="20"/>
                <w:szCs w:val="20"/>
                <w:lang w:eastAsia="pt-BR"/>
              </w:rPr>
            </w:pPr>
            <w:r w:rsidRPr="7B03A1CE">
              <w:rPr>
                <w:rFonts w:eastAsia="Times New Roman" w:cs="Times New Roman"/>
                <w:color w:val="FFFFFF" w:themeColor="background1"/>
                <w:sz w:val="20"/>
                <w:szCs w:val="20"/>
                <w:lang w:eastAsia="pt-BR"/>
              </w:rPr>
              <w:t>Variação</w:t>
            </w:r>
            <w:r w:rsidRPr="7B03A1CE">
              <w:rPr>
                <w:rFonts w:eastAsia="Times New Roman" w:cs="Times New Roman"/>
                <w:color w:val="FFFFFF" w:themeColor="background1"/>
                <w:sz w:val="20"/>
                <w:szCs w:val="20"/>
                <w:vertAlign w:val="superscript"/>
                <w:lang w:eastAsia="pt-BR"/>
              </w:rPr>
              <w:t xml:space="preserve"> </w:t>
            </w:r>
            <w:r w:rsidR="00CF7F73">
              <w:rPr>
                <w:rFonts w:eastAsia="Times New Roman" w:cs="Times New Roman"/>
                <w:color w:val="FFFFFF" w:themeColor="background1"/>
                <w:sz w:val="20"/>
                <w:szCs w:val="20"/>
                <w:vertAlign w:val="superscript"/>
                <w:lang w:eastAsia="pt-BR"/>
              </w:rPr>
              <w:t>(</w:t>
            </w:r>
            <w:r w:rsidRPr="7B03A1CE">
              <w:rPr>
                <w:rFonts w:eastAsia="Times New Roman" w:cs="Times New Roman"/>
                <w:color w:val="FFFFFF" w:themeColor="background1"/>
                <w:sz w:val="20"/>
                <w:szCs w:val="20"/>
                <w:vertAlign w:val="superscript"/>
                <w:lang w:eastAsia="pt-BR"/>
              </w:rPr>
              <w:t>1</w:t>
            </w:r>
            <w:r w:rsidR="00CF7F73">
              <w:rPr>
                <w:rFonts w:eastAsia="Times New Roman" w:cs="Times New Roman"/>
                <w:color w:val="FFFFFF" w:themeColor="background1"/>
                <w:sz w:val="20"/>
                <w:szCs w:val="20"/>
                <w:vertAlign w:val="superscript"/>
                <w:lang w:eastAsia="pt-BR"/>
              </w:rPr>
              <w:t>)</w:t>
            </w:r>
            <w:r w:rsidRPr="7B03A1CE">
              <w:rPr>
                <w:rFonts w:eastAsia="Times New Roman" w:cs="Times New Roman"/>
                <w:color w:val="FFFFFF" w:themeColor="background1"/>
                <w:sz w:val="20"/>
                <w:szCs w:val="20"/>
                <w:lang w:eastAsia="pt-BR"/>
              </w:rPr>
              <w:t xml:space="preserve"> (%)</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5A64DB94" w14:textId="77777777" w:rsidR="00E47503" w:rsidRPr="00992171" w:rsidRDefault="00E47503" w:rsidP="00E47503">
            <w:pPr>
              <w:jc w:val="center"/>
              <w:rPr>
                <w:rFonts w:eastAsia="Times New Roman" w:cs="Times New Roman"/>
                <w:b/>
                <w:color w:val="FFFFFF" w:themeColor="background1"/>
                <w:sz w:val="20"/>
                <w:szCs w:val="20"/>
                <w:lang w:eastAsia="pt-BR"/>
              </w:rPr>
            </w:pPr>
            <w:r w:rsidRPr="00992171">
              <w:rPr>
                <w:rFonts w:eastAsia="Times New Roman" w:cs="Times New Roman"/>
                <w:b/>
                <w:color w:val="FFFFFF" w:themeColor="background1"/>
                <w:sz w:val="20"/>
                <w:szCs w:val="20"/>
                <w:lang w:eastAsia="pt-BR"/>
              </w:rPr>
              <w:t>Impacto</w:t>
            </w:r>
          </w:p>
          <w:p w14:paraId="7EFCFC02" w14:textId="54F3016A" w:rsidR="00E47503" w:rsidRPr="00992171" w:rsidRDefault="00E47503" w:rsidP="00E47503">
            <w:pPr>
              <w:jc w:val="center"/>
              <w:rPr>
                <w:rFonts w:eastAsia="Times New Roman" w:cs="Times New Roman"/>
                <w:color w:val="FFFFFF" w:themeColor="background1"/>
                <w:sz w:val="20"/>
                <w:szCs w:val="20"/>
                <w:lang w:eastAsia="pt-BR"/>
              </w:rPr>
            </w:pPr>
            <w:r w:rsidRPr="00992171">
              <w:rPr>
                <w:rFonts w:eastAsia="Times New Roman" w:cs="Times New Roman"/>
                <w:color w:val="FFFFFF" w:themeColor="background1"/>
                <w:sz w:val="20"/>
                <w:szCs w:val="20"/>
                <w:lang w:eastAsia="pt-BR"/>
              </w:rPr>
              <w:t>Financeiro</w:t>
            </w:r>
            <w:r w:rsidR="009539EB" w:rsidRPr="00992171">
              <w:rPr>
                <w:rFonts w:eastAsia="Times New Roman" w:cs="Times New Roman"/>
                <w:color w:val="FFFFFF" w:themeColor="background1"/>
                <w:sz w:val="20"/>
                <w:szCs w:val="20"/>
                <w:lang w:eastAsia="pt-BR"/>
              </w:rPr>
              <w:t xml:space="preserve"> </w:t>
            </w:r>
            <w:r w:rsidRPr="00992171">
              <w:rPr>
                <w:rFonts w:eastAsia="Times New Roman" w:cs="Times New Roman"/>
                <w:color w:val="FFFFFF" w:themeColor="background1"/>
                <w:sz w:val="20"/>
                <w:szCs w:val="20"/>
                <w:lang w:eastAsia="pt-BR"/>
              </w:rPr>
              <w:t>(F)</w:t>
            </w:r>
          </w:p>
          <w:p w14:paraId="69341A99" w14:textId="736FA1EE" w:rsidR="00E47503" w:rsidRPr="00992171" w:rsidRDefault="00E47503" w:rsidP="009539EB">
            <w:pPr>
              <w:jc w:val="center"/>
              <w:rPr>
                <w:rFonts w:cs="Times New Roman"/>
                <w:b/>
                <w:color w:val="FFFFFF" w:themeColor="background1"/>
                <w:sz w:val="20"/>
                <w:szCs w:val="20"/>
                <w:lang w:eastAsia="pt-BR"/>
              </w:rPr>
            </w:pPr>
            <w:r w:rsidRPr="00992171">
              <w:rPr>
                <w:rFonts w:eastAsia="Times New Roman" w:cs="Times New Roman"/>
                <w:color w:val="FFFFFF" w:themeColor="background1"/>
                <w:sz w:val="20"/>
                <w:szCs w:val="20"/>
                <w:lang w:eastAsia="pt-BR"/>
              </w:rPr>
              <w:t>Primário</w:t>
            </w:r>
            <w:r w:rsidR="009539EB" w:rsidRPr="00992171">
              <w:rPr>
                <w:rFonts w:eastAsia="Times New Roman" w:cs="Times New Roman"/>
                <w:color w:val="FFFFFF" w:themeColor="background1"/>
                <w:sz w:val="20"/>
                <w:szCs w:val="20"/>
                <w:lang w:eastAsia="pt-BR"/>
              </w:rPr>
              <w:t xml:space="preserve"> </w:t>
            </w:r>
            <w:r w:rsidRPr="00992171">
              <w:rPr>
                <w:rFonts w:eastAsia="Times New Roman" w:cs="Times New Roman"/>
                <w:color w:val="FFFFFF" w:themeColor="background1"/>
                <w:sz w:val="20"/>
                <w:szCs w:val="20"/>
                <w:lang w:eastAsia="pt-BR"/>
              </w:rPr>
              <w:t>(P)</w:t>
            </w:r>
          </w:p>
        </w:tc>
      </w:tr>
      <w:tr w:rsidR="00AB555C" w:rsidRPr="00C17EEA" w14:paraId="75589CD0" w14:textId="77777777" w:rsidTr="00FB758E">
        <w:trPr>
          <w:jc w:val="center"/>
        </w:trPr>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0138D2" w14:textId="77777777" w:rsidR="009539EB" w:rsidRPr="00992171" w:rsidRDefault="00C52592" w:rsidP="006368C9">
            <w:pPr>
              <w:rPr>
                <w:sz w:val="18"/>
                <w:szCs w:val="18"/>
              </w:rPr>
            </w:pPr>
            <w:r w:rsidRPr="00992171">
              <w:rPr>
                <w:sz w:val="18"/>
                <w:szCs w:val="18"/>
              </w:rPr>
              <w:t>Crédito Tributário</w:t>
            </w:r>
          </w:p>
          <w:p w14:paraId="42EDDA4A" w14:textId="27EDCB8C" w:rsidR="00C52592" w:rsidRPr="00992171" w:rsidRDefault="00C52592" w:rsidP="006368C9">
            <w:pPr>
              <w:rPr>
                <w:rFonts w:cs="Times New Roman"/>
                <w:sz w:val="18"/>
                <w:szCs w:val="18"/>
                <w:lang w:eastAsia="pt-BR"/>
              </w:rPr>
            </w:pPr>
            <w:r w:rsidRPr="00992171">
              <w:rPr>
                <w:sz w:val="18"/>
                <w:szCs w:val="18"/>
              </w:rPr>
              <w:t>Não Previdenciário</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DC0E44"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A</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41E5DAD"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157.588</w:t>
            </w:r>
          </w:p>
          <w:p w14:paraId="353E78FA" w14:textId="0E972E78" w:rsidR="00C52592" w:rsidRPr="00BC4E02" w:rsidRDefault="00C52592" w:rsidP="00C52592">
            <w:pPr>
              <w:jc w:val="right"/>
              <w:rPr>
                <w:rFonts w:cs="Times New Roman"/>
                <w:sz w:val="18"/>
                <w:szCs w:val="18"/>
                <w:lang w:eastAsia="pt-BR"/>
              </w:rPr>
            </w:pPr>
            <w:r w:rsidRPr="00BC4E02">
              <w:rPr>
                <w:rFonts w:cs="Times New Roman"/>
                <w:sz w:val="18"/>
                <w:szCs w:val="18"/>
                <w:lang w:eastAsia="pt-BR"/>
              </w:rPr>
              <w:t>-34,0</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308612F" w14:textId="33A8A8F4" w:rsidR="00C52592" w:rsidRPr="00BC4E02" w:rsidRDefault="00020E1A" w:rsidP="00C52592">
            <w:pPr>
              <w:jc w:val="right"/>
              <w:rPr>
                <w:rFonts w:cs="Times New Roman"/>
                <w:sz w:val="18"/>
                <w:szCs w:val="18"/>
                <w:lang w:eastAsia="pt-BR"/>
              </w:rPr>
            </w:pPr>
            <w:r w:rsidRPr="00BC4E02">
              <w:rPr>
                <w:rFonts w:cs="Times New Roman"/>
                <w:sz w:val="18"/>
                <w:szCs w:val="18"/>
                <w:lang w:eastAsia="pt-BR"/>
              </w:rPr>
              <w:t>189.189</w:t>
            </w:r>
          </w:p>
          <w:p w14:paraId="38B3E9DC" w14:textId="58DE5BB4"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20,</w:t>
            </w:r>
            <w:r w:rsidR="00020E1A" w:rsidRPr="00BC4E02">
              <w:rPr>
                <w:rFonts w:eastAsia="Times New Roman" w:cs="Times New Roman"/>
                <w:sz w:val="18"/>
                <w:szCs w:val="18"/>
                <w:lang w:eastAsia="pt-BR"/>
              </w:rPr>
              <w:t>1</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642513" w14:textId="4063C5F6" w:rsidR="006C36A7" w:rsidRDefault="006C36A7" w:rsidP="001127A6">
            <w:pPr>
              <w:jc w:val="right"/>
              <w:rPr>
                <w:rFonts w:cs="Times New Roman"/>
                <w:sz w:val="18"/>
                <w:szCs w:val="18"/>
                <w:lang w:eastAsia="pt-BR"/>
              </w:rPr>
            </w:pPr>
            <w:r>
              <w:rPr>
                <w:rFonts w:cs="Times New Roman"/>
                <w:sz w:val="18"/>
                <w:szCs w:val="18"/>
                <w:lang w:eastAsia="pt-BR"/>
              </w:rPr>
              <w:t>214.</w:t>
            </w:r>
            <w:r w:rsidR="00A37046">
              <w:rPr>
                <w:rFonts w:cs="Times New Roman"/>
                <w:sz w:val="18"/>
                <w:szCs w:val="18"/>
                <w:lang w:eastAsia="pt-BR"/>
              </w:rPr>
              <w:t>126</w:t>
            </w:r>
          </w:p>
          <w:p w14:paraId="7DC6BEF1" w14:textId="0DE71882" w:rsidR="7B03A1CE" w:rsidRDefault="008334A6" w:rsidP="001127A6">
            <w:pPr>
              <w:jc w:val="right"/>
              <w:rPr>
                <w:rFonts w:cs="Times New Roman"/>
                <w:sz w:val="18"/>
                <w:szCs w:val="18"/>
                <w:lang w:eastAsia="pt-BR"/>
              </w:rPr>
            </w:pPr>
            <w:r>
              <w:rPr>
                <w:rFonts w:cs="Times New Roman"/>
                <w:sz w:val="18"/>
                <w:szCs w:val="18"/>
                <w:lang w:eastAsia="pt-BR"/>
              </w:rPr>
              <w:t>13,</w:t>
            </w:r>
            <w:r w:rsidR="00A37046">
              <w:rPr>
                <w:rFonts w:cs="Times New Roman"/>
                <w:sz w:val="18"/>
                <w:szCs w:val="18"/>
                <w:lang w:eastAsia="pt-BR"/>
              </w:rPr>
              <w:t>2</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1F6AFF" w14:textId="77777777" w:rsidR="00C52592" w:rsidRPr="00BC4E02" w:rsidRDefault="00C52592" w:rsidP="00C52592">
            <w:pPr>
              <w:jc w:val="center"/>
              <w:rPr>
                <w:rFonts w:cs="Times New Roman"/>
                <w:sz w:val="18"/>
                <w:szCs w:val="18"/>
                <w:lang w:eastAsia="pt-BR"/>
              </w:rPr>
            </w:pPr>
            <w:r w:rsidRPr="00BC4E02">
              <w:rPr>
                <w:rFonts w:cs="Times New Roman"/>
                <w:sz w:val="18"/>
                <w:szCs w:val="18"/>
                <w:lang w:eastAsia="pt-BR"/>
              </w:rPr>
              <w:t>P</w:t>
            </w:r>
          </w:p>
        </w:tc>
      </w:tr>
      <w:tr w:rsidR="00AB555C" w:rsidRPr="00C17EEA" w14:paraId="1373AF36"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384D225"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7EB592"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B</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5040EE3"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352.351</w:t>
            </w:r>
          </w:p>
          <w:p w14:paraId="1F87135F" w14:textId="6570E560" w:rsidR="00C52592" w:rsidRPr="00BC4E02" w:rsidRDefault="00C52592" w:rsidP="00C52592">
            <w:pPr>
              <w:jc w:val="right"/>
              <w:rPr>
                <w:rFonts w:cs="Times New Roman"/>
                <w:sz w:val="18"/>
                <w:szCs w:val="18"/>
                <w:lang w:eastAsia="pt-BR"/>
              </w:rPr>
            </w:pPr>
            <w:r w:rsidRPr="00BC4E02">
              <w:rPr>
                <w:rFonts w:cs="Times New Roman"/>
                <w:sz w:val="18"/>
                <w:szCs w:val="18"/>
                <w:lang w:eastAsia="pt-BR"/>
              </w:rPr>
              <w:t>37,5</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B7F7C74" w14:textId="142FC2C9" w:rsidR="00C52592" w:rsidRPr="00BC4E02" w:rsidRDefault="00020E1A" w:rsidP="00C52592">
            <w:pPr>
              <w:jc w:val="right"/>
              <w:rPr>
                <w:rFonts w:cs="Times New Roman"/>
                <w:sz w:val="18"/>
                <w:szCs w:val="18"/>
                <w:lang w:eastAsia="pt-BR"/>
              </w:rPr>
            </w:pPr>
            <w:r w:rsidRPr="00BC4E02">
              <w:rPr>
                <w:rFonts w:cs="Times New Roman"/>
                <w:sz w:val="18"/>
                <w:szCs w:val="18"/>
                <w:lang w:eastAsia="pt-BR"/>
              </w:rPr>
              <w:t>394.837</w:t>
            </w:r>
          </w:p>
          <w:p w14:paraId="1BFEF8C8" w14:textId="371C7DAD"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12,</w:t>
            </w:r>
            <w:r w:rsidR="00020E1A" w:rsidRPr="00BC4E02">
              <w:rPr>
                <w:rFonts w:eastAsia="Times New Roman" w:cs="Times New Roman"/>
                <w:sz w:val="18"/>
                <w:szCs w:val="18"/>
                <w:lang w:eastAsia="pt-BR"/>
              </w:rPr>
              <w:t>1</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968CA8" w14:textId="6375D861" w:rsidR="7B03A1CE" w:rsidRDefault="00F701FB" w:rsidP="001127A6">
            <w:pPr>
              <w:jc w:val="right"/>
              <w:rPr>
                <w:rFonts w:cs="Times New Roman"/>
                <w:sz w:val="18"/>
                <w:szCs w:val="18"/>
                <w:lang w:eastAsia="pt-BR"/>
              </w:rPr>
            </w:pPr>
            <w:r>
              <w:rPr>
                <w:rFonts w:cs="Times New Roman"/>
                <w:sz w:val="18"/>
                <w:szCs w:val="18"/>
                <w:lang w:eastAsia="pt-BR"/>
              </w:rPr>
              <w:t>42</w:t>
            </w:r>
            <w:r w:rsidR="00A37046">
              <w:rPr>
                <w:rFonts w:cs="Times New Roman"/>
                <w:sz w:val="18"/>
                <w:szCs w:val="18"/>
                <w:lang w:eastAsia="pt-BR"/>
              </w:rPr>
              <w:t>5.340</w:t>
            </w:r>
          </w:p>
          <w:p w14:paraId="5C32D920" w14:textId="7B6D6C93" w:rsidR="008334A6" w:rsidRDefault="00A37046" w:rsidP="001127A6">
            <w:pPr>
              <w:jc w:val="right"/>
              <w:rPr>
                <w:rFonts w:cs="Times New Roman"/>
                <w:sz w:val="18"/>
                <w:szCs w:val="18"/>
                <w:lang w:eastAsia="pt-BR"/>
              </w:rPr>
            </w:pPr>
            <w:r>
              <w:rPr>
                <w:rFonts w:cs="Times New Roman"/>
                <w:sz w:val="18"/>
                <w:szCs w:val="18"/>
                <w:lang w:eastAsia="pt-BR"/>
              </w:rPr>
              <w:t>7</w:t>
            </w:r>
            <w:r w:rsidR="00BE7CE1">
              <w:rPr>
                <w:rFonts w:cs="Times New Roman"/>
                <w:sz w:val="18"/>
                <w:szCs w:val="18"/>
                <w:lang w:eastAsia="pt-BR"/>
              </w:rPr>
              <w:t>,7</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9ADF42" w14:textId="77777777" w:rsidR="00C52592" w:rsidRPr="00BC4E02" w:rsidRDefault="00C52592" w:rsidP="00C52592">
            <w:pPr>
              <w:jc w:val="center"/>
              <w:rPr>
                <w:rFonts w:cs="Times New Roman"/>
                <w:sz w:val="18"/>
                <w:szCs w:val="18"/>
                <w:lang w:eastAsia="pt-BR"/>
              </w:rPr>
            </w:pPr>
            <w:r w:rsidRPr="00BC4E02">
              <w:rPr>
                <w:rFonts w:cs="Times New Roman"/>
                <w:sz w:val="18"/>
                <w:szCs w:val="18"/>
                <w:lang w:eastAsia="pt-BR"/>
              </w:rPr>
              <w:t>P</w:t>
            </w:r>
          </w:p>
        </w:tc>
      </w:tr>
      <w:tr w:rsidR="00AB555C" w:rsidRPr="00C17EEA" w14:paraId="250BC0A0"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81561FD"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5D09AA"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C</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A822C1A"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306.096</w:t>
            </w:r>
          </w:p>
          <w:p w14:paraId="19631C9E" w14:textId="5B0E1B9B" w:rsidR="00C52592" w:rsidRPr="00BC4E02" w:rsidRDefault="00C52592" w:rsidP="00C52592">
            <w:pPr>
              <w:jc w:val="right"/>
              <w:rPr>
                <w:rFonts w:cs="Times New Roman"/>
                <w:sz w:val="18"/>
                <w:szCs w:val="18"/>
                <w:lang w:eastAsia="pt-BR"/>
              </w:rPr>
            </w:pPr>
            <w:r w:rsidRPr="00BC4E02">
              <w:rPr>
                <w:rFonts w:cs="Times New Roman"/>
                <w:sz w:val="18"/>
                <w:szCs w:val="18"/>
                <w:lang w:eastAsia="pt-BR"/>
              </w:rPr>
              <w:t>61,9</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99A509E" w14:textId="2977E8B8" w:rsidR="00C52592" w:rsidRPr="00BC4E02" w:rsidRDefault="00020E1A" w:rsidP="00C52592">
            <w:pPr>
              <w:jc w:val="right"/>
              <w:rPr>
                <w:rFonts w:cs="Times New Roman"/>
                <w:sz w:val="18"/>
                <w:szCs w:val="18"/>
                <w:lang w:eastAsia="pt-BR"/>
              </w:rPr>
            </w:pPr>
            <w:r w:rsidRPr="00BC4E02">
              <w:rPr>
                <w:rFonts w:cs="Times New Roman"/>
                <w:sz w:val="18"/>
                <w:szCs w:val="18"/>
                <w:lang w:eastAsia="pt-BR"/>
              </w:rPr>
              <w:t>220.592</w:t>
            </w:r>
          </w:p>
          <w:p w14:paraId="0A4D877C" w14:textId="4745E745"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-27,9</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BD0340" w14:textId="22E0CC2B" w:rsidR="7B03A1CE" w:rsidRDefault="005D4B36" w:rsidP="001127A6">
            <w:pPr>
              <w:jc w:val="right"/>
              <w:rPr>
                <w:rFonts w:cs="Times New Roman"/>
                <w:sz w:val="18"/>
                <w:szCs w:val="18"/>
                <w:lang w:eastAsia="pt-BR"/>
              </w:rPr>
            </w:pPr>
            <w:r>
              <w:rPr>
                <w:rFonts w:cs="Times New Roman"/>
                <w:sz w:val="18"/>
                <w:szCs w:val="18"/>
                <w:lang w:eastAsia="pt-BR"/>
              </w:rPr>
              <w:t>22</w:t>
            </w:r>
            <w:r w:rsidR="00A37046">
              <w:rPr>
                <w:rFonts w:cs="Times New Roman"/>
                <w:sz w:val="18"/>
                <w:szCs w:val="18"/>
                <w:lang w:eastAsia="pt-BR"/>
              </w:rPr>
              <w:t>7.043</w:t>
            </w:r>
          </w:p>
          <w:p w14:paraId="282E1226" w14:textId="2C92265B" w:rsidR="00BE7CE1" w:rsidRDefault="00A37046" w:rsidP="001127A6">
            <w:pPr>
              <w:jc w:val="right"/>
              <w:rPr>
                <w:rFonts w:cs="Times New Roman"/>
                <w:sz w:val="18"/>
                <w:szCs w:val="18"/>
                <w:lang w:eastAsia="pt-BR"/>
              </w:rPr>
            </w:pPr>
            <w:r>
              <w:rPr>
                <w:rFonts w:cs="Times New Roman"/>
                <w:sz w:val="18"/>
                <w:szCs w:val="18"/>
                <w:lang w:eastAsia="pt-BR"/>
              </w:rPr>
              <w:t>2</w:t>
            </w:r>
            <w:r w:rsidR="00BE7CE1">
              <w:rPr>
                <w:rFonts w:cs="Times New Roman"/>
                <w:sz w:val="18"/>
                <w:szCs w:val="18"/>
                <w:lang w:eastAsia="pt-BR"/>
              </w:rPr>
              <w:t>,9</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53485B"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48083C3A"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EE96D60"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15DF01"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D</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C6E2339"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735.139</w:t>
            </w:r>
          </w:p>
          <w:p w14:paraId="4265BF26" w14:textId="5FC6135D" w:rsidR="00C52592" w:rsidRPr="00BC4E02" w:rsidRDefault="00C52592" w:rsidP="00C52592">
            <w:pPr>
              <w:jc w:val="right"/>
              <w:rPr>
                <w:rFonts w:cs="Times New Roman"/>
                <w:sz w:val="18"/>
                <w:szCs w:val="18"/>
                <w:lang w:eastAsia="pt-BR"/>
              </w:rPr>
            </w:pPr>
            <w:r w:rsidRPr="00BC4E02">
              <w:rPr>
                <w:rFonts w:cs="Times New Roman"/>
                <w:sz w:val="18"/>
                <w:szCs w:val="18"/>
                <w:lang w:eastAsia="pt-BR"/>
              </w:rPr>
              <w:t>-3,0</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6474259" w14:textId="6D13207F" w:rsidR="00C52592" w:rsidRPr="00BC4E02" w:rsidRDefault="00020E1A" w:rsidP="00C52592">
            <w:pPr>
              <w:jc w:val="right"/>
              <w:rPr>
                <w:rFonts w:cs="Times New Roman"/>
                <w:sz w:val="18"/>
                <w:szCs w:val="18"/>
                <w:lang w:eastAsia="pt-BR"/>
              </w:rPr>
            </w:pPr>
            <w:r w:rsidRPr="00BC4E02">
              <w:rPr>
                <w:rFonts w:cs="Times New Roman"/>
                <w:sz w:val="18"/>
                <w:szCs w:val="18"/>
                <w:lang w:eastAsia="pt-BR"/>
              </w:rPr>
              <w:t>971.016</w:t>
            </w:r>
          </w:p>
          <w:p w14:paraId="5462F90F" w14:textId="4CE1B3B2"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32,1</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19BAB0" w14:textId="4D2229AE" w:rsidR="7B03A1CE" w:rsidRDefault="00AC6232" w:rsidP="001127A6">
            <w:pPr>
              <w:jc w:val="right"/>
              <w:rPr>
                <w:rFonts w:cs="Times New Roman"/>
                <w:sz w:val="18"/>
                <w:szCs w:val="18"/>
                <w:lang w:eastAsia="pt-BR"/>
              </w:rPr>
            </w:pPr>
            <w:r>
              <w:rPr>
                <w:rFonts w:cs="Times New Roman"/>
                <w:sz w:val="18"/>
                <w:szCs w:val="18"/>
                <w:lang w:eastAsia="pt-BR"/>
              </w:rPr>
              <w:t>99</w:t>
            </w:r>
            <w:r w:rsidR="00A37046">
              <w:rPr>
                <w:rFonts w:cs="Times New Roman"/>
                <w:sz w:val="18"/>
                <w:szCs w:val="18"/>
                <w:lang w:eastAsia="pt-BR"/>
              </w:rPr>
              <w:t>0.578</w:t>
            </w:r>
          </w:p>
          <w:p w14:paraId="6B77C086" w14:textId="1D9218BE" w:rsidR="00BE7CE1" w:rsidRDefault="00BE7CE1" w:rsidP="001127A6">
            <w:pPr>
              <w:jc w:val="right"/>
              <w:rPr>
                <w:rFonts w:cs="Times New Roman"/>
                <w:sz w:val="18"/>
                <w:szCs w:val="18"/>
                <w:lang w:eastAsia="pt-BR"/>
              </w:rPr>
            </w:pPr>
            <w:r>
              <w:rPr>
                <w:rFonts w:cs="Times New Roman"/>
                <w:sz w:val="18"/>
                <w:szCs w:val="18"/>
                <w:lang w:eastAsia="pt-BR"/>
              </w:rPr>
              <w:t>2,</w:t>
            </w:r>
            <w:r w:rsidR="00A37046">
              <w:rPr>
                <w:rFonts w:cs="Times New Roman"/>
                <w:sz w:val="18"/>
                <w:szCs w:val="18"/>
                <w:lang w:eastAsia="pt-BR"/>
              </w:rPr>
              <w:t>0</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3F98FA2"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1F8F8811"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EFB5901"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9276B3"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Subtotal</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048C200"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1.551.173</w:t>
            </w:r>
          </w:p>
          <w:p w14:paraId="17657B93" w14:textId="09B79680" w:rsidR="00C52592" w:rsidRPr="00BC4E02" w:rsidRDefault="00C52592" w:rsidP="00C52592">
            <w:pPr>
              <w:jc w:val="right"/>
              <w:rPr>
                <w:rFonts w:cs="Times New Roman"/>
                <w:sz w:val="18"/>
                <w:szCs w:val="18"/>
                <w:lang w:eastAsia="pt-BR"/>
              </w:rPr>
            </w:pPr>
            <w:r w:rsidRPr="00BC4E02">
              <w:rPr>
                <w:rFonts w:cs="Times New Roman"/>
                <w:sz w:val="18"/>
                <w:szCs w:val="18"/>
                <w:lang w:eastAsia="pt-BR"/>
              </w:rPr>
              <w:t>7,6</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F8F5DC0" w14:textId="6D9B4DBE" w:rsidR="00C52592" w:rsidRPr="00BC4E02" w:rsidRDefault="006D575A" w:rsidP="00C52592">
            <w:pPr>
              <w:jc w:val="right"/>
              <w:rPr>
                <w:rFonts w:cs="Times New Roman"/>
                <w:sz w:val="18"/>
                <w:szCs w:val="18"/>
                <w:lang w:eastAsia="pt-BR"/>
              </w:rPr>
            </w:pPr>
            <w:r w:rsidRPr="00BC4E02">
              <w:rPr>
                <w:rFonts w:cs="Times New Roman"/>
                <w:sz w:val="18"/>
                <w:szCs w:val="18"/>
                <w:lang w:eastAsia="pt-BR"/>
              </w:rPr>
              <w:t>1.775.634</w:t>
            </w:r>
          </w:p>
          <w:p w14:paraId="2B426409" w14:textId="63155004"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14,5</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4B6A01" w14:textId="441659EE" w:rsidR="7B03A1CE" w:rsidRDefault="00404C4E" w:rsidP="001127A6">
            <w:pPr>
              <w:jc w:val="right"/>
              <w:rPr>
                <w:rFonts w:cs="Times New Roman"/>
                <w:sz w:val="18"/>
                <w:szCs w:val="18"/>
                <w:lang w:eastAsia="pt-BR"/>
              </w:rPr>
            </w:pPr>
            <w:r>
              <w:rPr>
                <w:rFonts w:cs="Times New Roman"/>
                <w:sz w:val="18"/>
                <w:szCs w:val="18"/>
                <w:lang w:eastAsia="pt-BR"/>
              </w:rPr>
              <w:t>1</w:t>
            </w:r>
            <w:r w:rsidR="0098699F">
              <w:rPr>
                <w:rFonts w:cs="Times New Roman"/>
                <w:sz w:val="18"/>
                <w:szCs w:val="18"/>
                <w:lang w:eastAsia="pt-BR"/>
              </w:rPr>
              <w:t>.8</w:t>
            </w:r>
            <w:r w:rsidR="00A37046">
              <w:rPr>
                <w:rFonts w:cs="Times New Roman"/>
                <w:sz w:val="18"/>
                <w:szCs w:val="18"/>
                <w:lang w:eastAsia="pt-BR"/>
              </w:rPr>
              <w:t>57</w:t>
            </w:r>
            <w:r w:rsidR="0098699F">
              <w:rPr>
                <w:rFonts w:cs="Times New Roman"/>
                <w:sz w:val="18"/>
                <w:szCs w:val="18"/>
                <w:lang w:eastAsia="pt-BR"/>
              </w:rPr>
              <w:t>.</w:t>
            </w:r>
            <w:r w:rsidR="00A37046">
              <w:rPr>
                <w:rFonts w:cs="Times New Roman"/>
                <w:sz w:val="18"/>
                <w:szCs w:val="18"/>
                <w:lang w:eastAsia="pt-BR"/>
              </w:rPr>
              <w:t>087</w:t>
            </w:r>
          </w:p>
          <w:p w14:paraId="27F58AD8" w14:textId="405CB3C4" w:rsidR="008D6AC3" w:rsidRDefault="00A37046" w:rsidP="001127A6">
            <w:pPr>
              <w:jc w:val="right"/>
              <w:rPr>
                <w:rFonts w:cs="Times New Roman"/>
                <w:sz w:val="18"/>
                <w:szCs w:val="18"/>
                <w:lang w:eastAsia="pt-BR"/>
              </w:rPr>
            </w:pPr>
            <w:r>
              <w:rPr>
                <w:rFonts w:cs="Times New Roman"/>
                <w:sz w:val="18"/>
                <w:szCs w:val="18"/>
                <w:lang w:eastAsia="pt-BR"/>
              </w:rPr>
              <w:t>4,6</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047880"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5DDC5288" w14:textId="77777777" w:rsidTr="00FB758E">
        <w:trPr>
          <w:jc w:val="center"/>
        </w:trPr>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F8442A9" w14:textId="77777777" w:rsidR="009539EB" w:rsidRPr="00992171" w:rsidRDefault="00C52592" w:rsidP="006368C9">
            <w:pPr>
              <w:rPr>
                <w:sz w:val="18"/>
                <w:szCs w:val="18"/>
              </w:rPr>
            </w:pPr>
            <w:r w:rsidRPr="00992171">
              <w:rPr>
                <w:sz w:val="18"/>
                <w:szCs w:val="18"/>
              </w:rPr>
              <w:t>Crédito Tributário</w:t>
            </w:r>
          </w:p>
          <w:p w14:paraId="6063A52D" w14:textId="6FFE317F" w:rsidR="00C52592" w:rsidRPr="00992171" w:rsidRDefault="00C52592" w:rsidP="006368C9">
            <w:pPr>
              <w:rPr>
                <w:sz w:val="18"/>
                <w:szCs w:val="18"/>
              </w:rPr>
            </w:pPr>
            <w:r w:rsidRPr="00992171">
              <w:rPr>
                <w:sz w:val="18"/>
                <w:szCs w:val="18"/>
              </w:rPr>
              <w:t>Previdenciário</w:t>
            </w:r>
          </w:p>
        </w:tc>
        <w:tc>
          <w:tcPr>
            <w:tcW w:w="0" w:type="auto"/>
            <w:tcBorders>
              <w:top w:val="single" w:sz="4" w:space="0" w:color="BFBFBF" w:themeColor="background1" w:themeShade="BF"/>
              <w:bottom w:val="single" w:sz="4" w:space="0" w:color="BFBFBF" w:themeColor="background1" w:themeShade="BF"/>
            </w:tcBorders>
            <w:vAlign w:val="center"/>
          </w:tcPr>
          <w:p w14:paraId="69C4A79B"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A</w:t>
            </w:r>
          </w:p>
        </w:tc>
        <w:tc>
          <w:tcPr>
            <w:tcW w:w="0" w:type="auto"/>
            <w:tcBorders>
              <w:top w:val="single" w:sz="4" w:space="0" w:color="BFBFBF" w:themeColor="background1" w:themeShade="BF"/>
              <w:bottom w:val="single" w:sz="4" w:space="0" w:color="BFBFBF" w:themeColor="background1" w:themeShade="BF"/>
            </w:tcBorders>
          </w:tcPr>
          <w:p w14:paraId="50CF6A24"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37.855</w:t>
            </w:r>
          </w:p>
          <w:p w14:paraId="28E8A32C" w14:textId="09E3BB96" w:rsidR="00C52592" w:rsidRPr="00BC4E02" w:rsidRDefault="00C52592" w:rsidP="00C52592">
            <w:pPr>
              <w:jc w:val="right"/>
              <w:rPr>
                <w:rFonts w:cs="Times New Roman"/>
                <w:sz w:val="18"/>
                <w:szCs w:val="18"/>
                <w:lang w:eastAsia="pt-BR"/>
              </w:rPr>
            </w:pPr>
            <w:r w:rsidRPr="00BC4E02">
              <w:rPr>
                <w:rFonts w:cs="Times New Roman"/>
                <w:sz w:val="18"/>
                <w:szCs w:val="18"/>
                <w:lang w:eastAsia="pt-BR"/>
              </w:rPr>
              <w:t>-8,8</w:t>
            </w:r>
          </w:p>
        </w:tc>
        <w:tc>
          <w:tcPr>
            <w:tcW w:w="0" w:type="auto"/>
            <w:tcBorders>
              <w:top w:val="single" w:sz="4" w:space="0" w:color="BFBFBF" w:themeColor="background1" w:themeShade="BF"/>
              <w:bottom w:val="single" w:sz="4" w:space="0" w:color="BFBFBF" w:themeColor="background1" w:themeShade="BF"/>
            </w:tcBorders>
          </w:tcPr>
          <w:p w14:paraId="0C522147" w14:textId="608EF255" w:rsidR="00C52592" w:rsidRPr="00BC4E02" w:rsidRDefault="00E93CA0" w:rsidP="00C52592">
            <w:pPr>
              <w:jc w:val="right"/>
              <w:rPr>
                <w:rFonts w:cs="Times New Roman"/>
                <w:sz w:val="18"/>
                <w:szCs w:val="18"/>
                <w:lang w:eastAsia="pt-BR"/>
              </w:rPr>
            </w:pPr>
            <w:r w:rsidRPr="00BC4E02">
              <w:rPr>
                <w:rFonts w:cs="Times New Roman"/>
                <w:sz w:val="18"/>
                <w:szCs w:val="18"/>
                <w:lang w:eastAsia="pt-BR"/>
              </w:rPr>
              <w:t>42.681</w:t>
            </w:r>
          </w:p>
          <w:p w14:paraId="7FC89BDB" w14:textId="197008AC"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12,</w:t>
            </w:r>
            <w:r w:rsidR="00323793" w:rsidRPr="00BC4E02">
              <w:rPr>
                <w:rFonts w:eastAsia="Times New Roman" w:cs="Times New Roman"/>
                <w:sz w:val="18"/>
                <w:szCs w:val="18"/>
                <w:lang w:eastAsia="pt-BR"/>
              </w:rPr>
              <w:t>7</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9DBC56" w14:textId="16ED9C07" w:rsidR="7B03A1CE" w:rsidRDefault="00DA505A" w:rsidP="001127A6">
            <w:pPr>
              <w:jc w:val="right"/>
              <w:rPr>
                <w:rFonts w:cs="Times New Roman"/>
                <w:sz w:val="18"/>
                <w:szCs w:val="18"/>
                <w:lang w:eastAsia="pt-BR"/>
              </w:rPr>
            </w:pPr>
            <w:r>
              <w:rPr>
                <w:rFonts w:cs="Times New Roman"/>
                <w:sz w:val="18"/>
                <w:szCs w:val="18"/>
                <w:lang w:eastAsia="pt-BR"/>
              </w:rPr>
              <w:t>47.</w:t>
            </w:r>
            <w:r w:rsidR="00A37046">
              <w:rPr>
                <w:rFonts w:cs="Times New Roman"/>
                <w:sz w:val="18"/>
                <w:szCs w:val="18"/>
                <w:lang w:eastAsia="pt-BR"/>
              </w:rPr>
              <w:t>236</w:t>
            </w:r>
          </w:p>
          <w:p w14:paraId="51E76A92" w14:textId="4B532176" w:rsidR="003879FB" w:rsidRDefault="003879FB" w:rsidP="001127A6">
            <w:pPr>
              <w:jc w:val="right"/>
              <w:rPr>
                <w:rFonts w:cs="Times New Roman"/>
                <w:sz w:val="18"/>
                <w:szCs w:val="18"/>
                <w:lang w:eastAsia="pt-BR"/>
              </w:rPr>
            </w:pPr>
            <w:r>
              <w:rPr>
                <w:rFonts w:cs="Times New Roman"/>
                <w:sz w:val="18"/>
                <w:szCs w:val="18"/>
                <w:lang w:eastAsia="pt-BR"/>
              </w:rPr>
              <w:t>10,</w:t>
            </w:r>
            <w:r w:rsidR="00A37046">
              <w:rPr>
                <w:rFonts w:cs="Times New Roman"/>
                <w:sz w:val="18"/>
                <w:szCs w:val="18"/>
                <w:lang w:eastAsia="pt-BR"/>
              </w:rPr>
              <w:t>7</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102EB2"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160C94AE"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8570C83"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vAlign w:val="center"/>
          </w:tcPr>
          <w:p w14:paraId="6E87E703"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B</w:t>
            </w:r>
          </w:p>
        </w:tc>
        <w:tc>
          <w:tcPr>
            <w:tcW w:w="0" w:type="auto"/>
            <w:tcBorders>
              <w:top w:val="single" w:sz="4" w:space="0" w:color="BFBFBF" w:themeColor="background1" w:themeShade="BF"/>
              <w:bottom w:val="single" w:sz="4" w:space="0" w:color="BFBFBF" w:themeColor="background1" w:themeShade="BF"/>
            </w:tcBorders>
          </w:tcPr>
          <w:p w14:paraId="52FAE831"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136.070</w:t>
            </w:r>
          </w:p>
          <w:p w14:paraId="62D0F1A6" w14:textId="00A01C73" w:rsidR="00C52592" w:rsidRPr="00BC4E02" w:rsidRDefault="00C52592" w:rsidP="00C52592">
            <w:pPr>
              <w:jc w:val="right"/>
              <w:rPr>
                <w:rFonts w:cs="Times New Roman"/>
                <w:sz w:val="18"/>
                <w:szCs w:val="18"/>
                <w:lang w:eastAsia="pt-BR"/>
              </w:rPr>
            </w:pPr>
            <w:r w:rsidRPr="00BC4E02">
              <w:rPr>
                <w:rFonts w:cs="Times New Roman"/>
                <w:sz w:val="18"/>
                <w:szCs w:val="18"/>
                <w:lang w:eastAsia="pt-BR"/>
              </w:rPr>
              <w:t>16,9</w:t>
            </w:r>
          </w:p>
        </w:tc>
        <w:tc>
          <w:tcPr>
            <w:tcW w:w="0" w:type="auto"/>
            <w:tcBorders>
              <w:top w:val="single" w:sz="4" w:space="0" w:color="BFBFBF" w:themeColor="background1" w:themeShade="BF"/>
              <w:bottom w:val="single" w:sz="4" w:space="0" w:color="BFBFBF" w:themeColor="background1" w:themeShade="BF"/>
            </w:tcBorders>
          </w:tcPr>
          <w:p w14:paraId="55761245" w14:textId="0BE6C279" w:rsidR="00C52592" w:rsidRPr="00BC4E02" w:rsidRDefault="00323793" w:rsidP="00C52592">
            <w:pPr>
              <w:jc w:val="right"/>
              <w:rPr>
                <w:rFonts w:cs="Times New Roman"/>
                <w:sz w:val="18"/>
                <w:szCs w:val="18"/>
                <w:lang w:eastAsia="pt-BR"/>
              </w:rPr>
            </w:pPr>
            <w:r w:rsidRPr="00BC4E02">
              <w:rPr>
                <w:rFonts w:cs="Times New Roman"/>
                <w:sz w:val="18"/>
                <w:szCs w:val="18"/>
                <w:lang w:eastAsia="pt-BR"/>
              </w:rPr>
              <w:t>146.873</w:t>
            </w:r>
          </w:p>
          <w:p w14:paraId="04D34ABF" w14:textId="7A097E5B" w:rsidR="00F1741E" w:rsidRPr="00BC4E02" w:rsidRDefault="00323793" w:rsidP="00C52592">
            <w:pPr>
              <w:jc w:val="right"/>
              <w:rPr>
                <w:rFonts w:cs="Times New Roman"/>
                <w:sz w:val="18"/>
                <w:szCs w:val="18"/>
                <w:lang w:eastAsia="pt-BR"/>
              </w:rPr>
            </w:pPr>
            <w:r w:rsidRPr="00BC4E02">
              <w:rPr>
                <w:rFonts w:eastAsia="Times New Roman" w:cs="Times New Roman"/>
                <w:sz w:val="18"/>
                <w:szCs w:val="18"/>
                <w:lang w:eastAsia="pt-BR"/>
              </w:rPr>
              <w:t>7,9</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B082DA" w14:textId="079366D1" w:rsidR="7B03A1CE" w:rsidRDefault="00F701FB" w:rsidP="001127A6">
            <w:pPr>
              <w:jc w:val="right"/>
              <w:rPr>
                <w:rFonts w:cs="Times New Roman"/>
                <w:sz w:val="18"/>
                <w:szCs w:val="18"/>
                <w:lang w:eastAsia="pt-BR"/>
              </w:rPr>
            </w:pPr>
            <w:r>
              <w:rPr>
                <w:rFonts w:cs="Times New Roman"/>
                <w:sz w:val="18"/>
                <w:szCs w:val="18"/>
                <w:lang w:eastAsia="pt-BR"/>
              </w:rPr>
              <w:t>162.</w:t>
            </w:r>
            <w:r w:rsidR="00A37046">
              <w:rPr>
                <w:rFonts w:cs="Times New Roman"/>
                <w:sz w:val="18"/>
                <w:szCs w:val="18"/>
                <w:lang w:eastAsia="pt-BR"/>
              </w:rPr>
              <w:t>178</w:t>
            </w:r>
          </w:p>
          <w:p w14:paraId="125083CE" w14:textId="64BE271C" w:rsidR="003879FB" w:rsidRDefault="003879FB" w:rsidP="001127A6">
            <w:pPr>
              <w:jc w:val="right"/>
              <w:rPr>
                <w:rFonts w:cs="Times New Roman"/>
                <w:sz w:val="18"/>
                <w:szCs w:val="18"/>
                <w:lang w:eastAsia="pt-BR"/>
              </w:rPr>
            </w:pPr>
            <w:r>
              <w:rPr>
                <w:rFonts w:cs="Times New Roman"/>
                <w:sz w:val="18"/>
                <w:szCs w:val="18"/>
                <w:lang w:eastAsia="pt-BR"/>
              </w:rPr>
              <w:t>10,</w:t>
            </w:r>
            <w:r w:rsidR="00A37046">
              <w:rPr>
                <w:rFonts w:cs="Times New Roman"/>
                <w:sz w:val="18"/>
                <w:szCs w:val="18"/>
                <w:lang w:eastAsia="pt-BR"/>
              </w:rPr>
              <w:t>4</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E721E8"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62B437EE"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BB0910D"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vAlign w:val="center"/>
          </w:tcPr>
          <w:p w14:paraId="3FB9A89E"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C</w:t>
            </w:r>
          </w:p>
        </w:tc>
        <w:tc>
          <w:tcPr>
            <w:tcW w:w="0" w:type="auto"/>
            <w:tcBorders>
              <w:top w:val="single" w:sz="4" w:space="0" w:color="BFBFBF" w:themeColor="background1" w:themeShade="BF"/>
              <w:bottom w:val="single" w:sz="4" w:space="0" w:color="BFBFBF" w:themeColor="background1" w:themeShade="BF"/>
            </w:tcBorders>
          </w:tcPr>
          <w:p w14:paraId="71142BB1"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158.592</w:t>
            </w:r>
          </w:p>
          <w:p w14:paraId="5462F224" w14:textId="193B100F" w:rsidR="00C52592" w:rsidRPr="00BC4E02" w:rsidRDefault="00C52592" w:rsidP="00C52592">
            <w:pPr>
              <w:jc w:val="right"/>
              <w:rPr>
                <w:rFonts w:cs="Times New Roman"/>
                <w:sz w:val="18"/>
                <w:szCs w:val="18"/>
                <w:lang w:eastAsia="pt-BR"/>
              </w:rPr>
            </w:pPr>
            <w:r w:rsidRPr="00BC4E02">
              <w:rPr>
                <w:rFonts w:cs="Times New Roman"/>
                <w:sz w:val="18"/>
                <w:szCs w:val="18"/>
                <w:lang w:eastAsia="pt-BR"/>
              </w:rPr>
              <w:t>65,5</w:t>
            </w:r>
          </w:p>
        </w:tc>
        <w:tc>
          <w:tcPr>
            <w:tcW w:w="0" w:type="auto"/>
            <w:tcBorders>
              <w:top w:val="single" w:sz="4" w:space="0" w:color="BFBFBF" w:themeColor="background1" w:themeShade="BF"/>
              <w:bottom w:val="single" w:sz="4" w:space="0" w:color="BFBFBF" w:themeColor="background1" w:themeShade="BF"/>
            </w:tcBorders>
          </w:tcPr>
          <w:p w14:paraId="18DF2F41" w14:textId="311A4E85" w:rsidR="00C52592" w:rsidRPr="00BC4E02" w:rsidRDefault="00323793" w:rsidP="00C52592">
            <w:pPr>
              <w:jc w:val="right"/>
              <w:rPr>
                <w:rFonts w:cs="Times New Roman"/>
                <w:sz w:val="18"/>
                <w:szCs w:val="18"/>
                <w:lang w:eastAsia="pt-BR"/>
              </w:rPr>
            </w:pPr>
            <w:r w:rsidRPr="00BC4E02">
              <w:rPr>
                <w:rFonts w:cs="Times New Roman"/>
                <w:sz w:val="18"/>
                <w:szCs w:val="18"/>
                <w:lang w:eastAsia="pt-BR"/>
              </w:rPr>
              <w:t>103.987</w:t>
            </w:r>
          </w:p>
          <w:p w14:paraId="72F044A3" w14:textId="59416686"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-34,4</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70601D" w14:textId="32E54311" w:rsidR="7B03A1CE" w:rsidRDefault="00AC6232" w:rsidP="001127A6">
            <w:pPr>
              <w:jc w:val="right"/>
              <w:rPr>
                <w:rFonts w:cs="Times New Roman"/>
                <w:sz w:val="18"/>
                <w:szCs w:val="18"/>
                <w:lang w:eastAsia="pt-BR"/>
              </w:rPr>
            </w:pPr>
            <w:r>
              <w:rPr>
                <w:rFonts w:cs="Times New Roman"/>
                <w:sz w:val="18"/>
                <w:szCs w:val="18"/>
                <w:lang w:eastAsia="pt-BR"/>
              </w:rPr>
              <w:t>11</w:t>
            </w:r>
            <w:r w:rsidR="00A37046">
              <w:rPr>
                <w:rFonts w:cs="Times New Roman"/>
                <w:sz w:val="18"/>
                <w:szCs w:val="18"/>
                <w:lang w:eastAsia="pt-BR"/>
              </w:rPr>
              <w:t>0.543</w:t>
            </w:r>
          </w:p>
          <w:p w14:paraId="4A81A6A2" w14:textId="00A73406" w:rsidR="003879FB" w:rsidRDefault="00A37046" w:rsidP="001127A6">
            <w:pPr>
              <w:jc w:val="right"/>
              <w:rPr>
                <w:rFonts w:cs="Times New Roman"/>
                <w:sz w:val="18"/>
                <w:szCs w:val="18"/>
                <w:lang w:eastAsia="pt-BR"/>
              </w:rPr>
            </w:pPr>
            <w:r>
              <w:rPr>
                <w:rFonts w:cs="Times New Roman"/>
                <w:sz w:val="18"/>
                <w:szCs w:val="18"/>
                <w:lang w:eastAsia="pt-BR"/>
              </w:rPr>
              <w:t>6,3</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862132"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7EBA1F23"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6D28B37"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vAlign w:val="center"/>
          </w:tcPr>
          <w:p w14:paraId="46338A15"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D</w:t>
            </w:r>
          </w:p>
        </w:tc>
        <w:tc>
          <w:tcPr>
            <w:tcW w:w="0" w:type="auto"/>
            <w:tcBorders>
              <w:top w:val="single" w:sz="4" w:space="0" w:color="BFBFBF" w:themeColor="background1" w:themeShade="BF"/>
              <w:bottom w:val="single" w:sz="4" w:space="0" w:color="BFBFBF" w:themeColor="background1" w:themeShade="BF"/>
            </w:tcBorders>
          </w:tcPr>
          <w:p w14:paraId="140C449E"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158.692</w:t>
            </w:r>
          </w:p>
          <w:p w14:paraId="709AB057" w14:textId="252BB7E8" w:rsidR="00C52592" w:rsidRPr="00BC4E02" w:rsidRDefault="00C52592" w:rsidP="00C52592">
            <w:pPr>
              <w:jc w:val="right"/>
              <w:rPr>
                <w:rFonts w:cs="Times New Roman"/>
                <w:sz w:val="18"/>
                <w:szCs w:val="18"/>
                <w:lang w:eastAsia="pt-BR"/>
              </w:rPr>
            </w:pPr>
            <w:r w:rsidRPr="00BC4E02">
              <w:rPr>
                <w:rFonts w:cs="Times New Roman"/>
                <w:sz w:val="18"/>
                <w:szCs w:val="18"/>
                <w:lang w:eastAsia="pt-BR"/>
              </w:rPr>
              <w:t>-8,6</w:t>
            </w:r>
          </w:p>
        </w:tc>
        <w:tc>
          <w:tcPr>
            <w:tcW w:w="0" w:type="auto"/>
            <w:tcBorders>
              <w:top w:val="single" w:sz="4" w:space="0" w:color="BFBFBF" w:themeColor="background1" w:themeShade="BF"/>
              <w:bottom w:val="single" w:sz="4" w:space="0" w:color="BFBFBF" w:themeColor="background1" w:themeShade="BF"/>
            </w:tcBorders>
          </w:tcPr>
          <w:p w14:paraId="27A0F8DD" w14:textId="745E5522" w:rsidR="00C52592" w:rsidRPr="00BC4E02" w:rsidRDefault="00184A42" w:rsidP="00C52592">
            <w:pPr>
              <w:jc w:val="right"/>
              <w:rPr>
                <w:rFonts w:cs="Times New Roman"/>
                <w:sz w:val="18"/>
                <w:szCs w:val="18"/>
                <w:lang w:eastAsia="pt-BR"/>
              </w:rPr>
            </w:pPr>
            <w:r w:rsidRPr="00BC4E02">
              <w:rPr>
                <w:rFonts w:cs="Times New Roman"/>
                <w:sz w:val="18"/>
                <w:szCs w:val="18"/>
                <w:lang w:eastAsia="pt-BR"/>
              </w:rPr>
              <w:t>249.248</w:t>
            </w:r>
          </w:p>
          <w:p w14:paraId="796BFB3A" w14:textId="3D0715D8"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57,1</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613E5D" w14:textId="0D8FF9CD" w:rsidR="7B03A1CE" w:rsidRDefault="00CF0305" w:rsidP="001127A6">
            <w:pPr>
              <w:jc w:val="right"/>
              <w:rPr>
                <w:rFonts w:cs="Times New Roman"/>
                <w:sz w:val="18"/>
                <w:szCs w:val="18"/>
                <w:lang w:eastAsia="pt-BR"/>
              </w:rPr>
            </w:pPr>
            <w:r>
              <w:rPr>
                <w:rFonts w:cs="Times New Roman"/>
                <w:sz w:val="18"/>
                <w:szCs w:val="18"/>
                <w:lang w:eastAsia="pt-BR"/>
              </w:rPr>
              <w:t>25</w:t>
            </w:r>
            <w:r w:rsidR="00A37046">
              <w:rPr>
                <w:rFonts w:cs="Times New Roman"/>
                <w:sz w:val="18"/>
                <w:szCs w:val="18"/>
                <w:lang w:eastAsia="pt-BR"/>
              </w:rPr>
              <w:t>2.725</w:t>
            </w:r>
          </w:p>
          <w:p w14:paraId="28F9A213" w14:textId="34B9EF64" w:rsidR="003879FB" w:rsidRDefault="00A37046" w:rsidP="001127A6">
            <w:pPr>
              <w:jc w:val="right"/>
              <w:rPr>
                <w:rFonts w:cs="Times New Roman"/>
                <w:sz w:val="18"/>
                <w:szCs w:val="18"/>
                <w:lang w:eastAsia="pt-BR"/>
              </w:rPr>
            </w:pPr>
            <w:r>
              <w:rPr>
                <w:rFonts w:cs="Times New Roman"/>
                <w:sz w:val="18"/>
                <w:szCs w:val="18"/>
                <w:lang w:eastAsia="pt-BR"/>
              </w:rPr>
              <w:t>1,4</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91E990"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7835621D"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5497C26"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vAlign w:val="center"/>
          </w:tcPr>
          <w:p w14:paraId="2F2C9027"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Subtotal</w:t>
            </w:r>
          </w:p>
        </w:tc>
        <w:tc>
          <w:tcPr>
            <w:tcW w:w="0" w:type="auto"/>
            <w:tcBorders>
              <w:top w:val="single" w:sz="4" w:space="0" w:color="BFBFBF" w:themeColor="background1" w:themeShade="BF"/>
              <w:bottom w:val="single" w:sz="4" w:space="0" w:color="BFBFBF" w:themeColor="background1" w:themeShade="BF"/>
            </w:tcBorders>
          </w:tcPr>
          <w:p w14:paraId="68A82272"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491.209</w:t>
            </w:r>
          </w:p>
          <w:p w14:paraId="1566115C" w14:textId="5F38E811" w:rsidR="00C52592" w:rsidRPr="00BC4E02" w:rsidRDefault="00C52592" w:rsidP="00C52592">
            <w:pPr>
              <w:jc w:val="right"/>
              <w:rPr>
                <w:rFonts w:cs="Times New Roman"/>
                <w:sz w:val="18"/>
                <w:szCs w:val="18"/>
                <w:lang w:eastAsia="pt-BR"/>
              </w:rPr>
            </w:pPr>
            <w:r w:rsidRPr="00BC4E02">
              <w:rPr>
                <w:rFonts w:cs="Times New Roman"/>
                <w:sz w:val="18"/>
                <w:szCs w:val="18"/>
                <w:lang w:eastAsia="pt-BR"/>
              </w:rPr>
              <w:t>14,9</w:t>
            </w:r>
          </w:p>
        </w:tc>
        <w:tc>
          <w:tcPr>
            <w:tcW w:w="0" w:type="auto"/>
            <w:tcBorders>
              <w:top w:val="single" w:sz="4" w:space="0" w:color="BFBFBF" w:themeColor="background1" w:themeShade="BF"/>
              <w:bottom w:val="single" w:sz="4" w:space="0" w:color="BFBFBF" w:themeColor="background1" w:themeShade="BF"/>
            </w:tcBorders>
          </w:tcPr>
          <w:p w14:paraId="44E248EB" w14:textId="776380F5" w:rsidR="00C52592" w:rsidRPr="00BC4E02" w:rsidRDefault="00184A42" w:rsidP="00C52592">
            <w:pPr>
              <w:jc w:val="right"/>
              <w:rPr>
                <w:rFonts w:cs="Times New Roman"/>
                <w:sz w:val="18"/>
                <w:szCs w:val="18"/>
                <w:lang w:eastAsia="pt-BR"/>
              </w:rPr>
            </w:pPr>
            <w:r w:rsidRPr="00BC4E02">
              <w:rPr>
                <w:rFonts w:cs="Times New Roman"/>
                <w:sz w:val="18"/>
                <w:szCs w:val="18"/>
                <w:lang w:eastAsia="pt-BR"/>
              </w:rPr>
              <w:t>542.790</w:t>
            </w:r>
          </w:p>
          <w:p w14:paraId="07B4C58D" w14:textId="53DDE046"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10,</w:t>
            </w:r>
            <w:r w:rsidR="00184A42" w:rsidRPr="00BC4E02">
              <w:rPr>
                <w:rFonts w:eastAsia="Times New Roman" w:cs="Times New Roman"/>
                <w:sz w:val="18"/>
                <w:szCs w:val="18"/>
                <w:lang w:eastAsia="pt-BR"/>
              </w:rPr>
              <w:t>5</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ADCDB5" w14:textId="5758B2DD" w:rsidR="7B03A1CE" w:rsidRDefault="0098699F" w:rsidP="001127A6">
            <w:pPr>
              <w:jc w:val="right"/>
              <w:rPr>
                <w:rFonts w:cs="Times New Roman"/>
                <w:sz w:val="18"/>
                <w:szCs w:val="18"/>
                <w:lang w:eastAsia="pt-BR"/>
              </w:rPr>
            </w:pPr>
            <w:r>
              <w:rPr>
                <w:rFonts w:cs="Times New Roman"/>
                <w:sz w:val="18"/>
                <w:szCs w:val="18"/>
                <w:lang w:eastAsia="pt-BR"/>
              </w:rPr>
              <w:t>57</w:t>
            </w:r>
            <w:r w:rsidR="00A37046">
              <w:rPr>
                <w:rFonts w:cs="Times New Roman"/>
                <w:sz w:val="18"/>
                <w:szCs w:val="18"/>
                <w:lang w:eastAsia="pt-BR"/>
              </w:rPr>
              <w:t>2.682</w:t>
            </w:r>
          </w:p>
          <w:p w14:paraId="78728CFC" w14:textId="54C0993E" w:rsidR="000E7CCD" w:rsidRDefault="00A37046" w:rsidP="001127A6">
            <w:pPr>
              <w:jc w:val="right"/>
              <w:rPr>
                <w:rFonts w:cs="Times New Roman"/>
                <w:sz w:val="18"/>
                <w:szCs w:val="18"/>
                <w:lang w:eastAsia="pt-BR"/>
              </w:rPr>
            </w:pPr>
            <w:r>
              <w:rPr>
                <w:rFonts w:cs="Times New Roman"/>
                <w:sz w:val="18"/>
                <w:szCs w:val="18"/>
                <w:lang w:eastAsia="pt-BR"/>
              </w:rPr>
              <w:t>5,5</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0B5E81" w14:textId="77777777" w:rsidR="00C52592" w:rsidRPr="00BC4E02" w:rsidRDefault="00C52592" w:rsidP="00C52592">
            <w:pPr>
              <w:jc w:val="center"/>
              <w:rPr>
                <w:sz w:val="18"/>
                <w:szCs w:val="18"/>
              </w:rPr>
            </w:pPr>
            <w:r w:rsidRPr="00BC4E02">
              <w:rPr>
                <w:rFonts w:cs="Times New Roman"/>
                <w:sz w:val="18"/>
                <w:szCs w:val="18"/>
                <w:lang w:eastAsia="pt-BR"/>
              </w:rPr>
              <w:t>P</w:t>
            </w:r>
          </w:p>
        </w:tc>
      </w:tr>
      <w:tr w:rsidR="00AB555C" w:rsidRPr="00C17EEA" w14:paraId="1DCFD851" w14:textId="77777777" w:rsidTr="00FB758E">
        <w:trPr>
          <w:jc w:val="center"/>
        </w:trPr>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01D7EA" w14:textId="4B3413DF" w:rsidR="00C52592" w:rsidRPr="00464F91" w:rsidRDefault="00C52592" w:rsidP="006368C9">
            <w:pPr>
              <w:rPr>
                <w:rFonts w:cs="Times New Roman"/>
                <w:sz w:val="18"/>
                <w:szCs w:val="18"/>
                <w:lang w:eastAsia="pt-BR"/>
              </w:rPr>
            </w:pPr>
            <w:r w:rsidRPr="00464F91">
              <w:rPr>
                <w:sz w:val="18"/>
                <w:szCs w:val="18"/>
              </w:rPr>
              <w:t>Crédito Não Tributário</w:t>
            </w:r>
            <w:r w:rsidR="00464F91" w:rsidRPr="00464F91">
              <w:rPr>
                <w:rFonts w:eastAsia="Times New Roman" w:cs="Times New Roman"/>
                <w:sz w:val="20"/>
                <w:szCs w:val="20"/>
                <w:vertAlign w:val="superscript"/>
                <w:lang w:eastAsia="pt-BR"/>
              </w:rPr>
              <w:t xml:space="preserve"> </w:t>
            </w:r>
            <w:r w:rsidR="009F7038">
              <w:rPr>
                <w:rFonts w:eastAsia="Times New Roman" w:cs="Times New Roman"/>
                <w:sz w:val="20"/>
                <w:szCs w:val="20"/>
                <w:vertAlign w:val="superscript"/>
                <w:lang w:eastAsia="pt-BR"/>
              </w:rPr>
              <w:t>(</w:t>
            </w:r>
            <w:r w:rsidR="00464F91">
              <w:rPr>
                <w:rFonts w:eastAsia="Times New Roman" w:cs="Times New Roman"/>
                <w:sz w:val="20"/>
                <w:szCs w:val="20"/>
                <w:vertAlign w:val="superscript"/>
                <w:lang w:eastAsia="pt-BR"/>
              </w:rPr>
              <w:t>2</w:t>
            </w:r>
            <w:r w:rsidR="009F7038">
              <w:rPr>
                <w:rFonts w:eastAsia="Times New Roman" w:cs="Times New Roman"/>
                <w:sz w:val="20"/>
                <w:szCs w:val="20"/>
                <w:vertAlign w:val="superscript"/>
                <w:lang w:eastAsia="pt-BR"/>
              </w:rPr>
              <w:t>)</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C4FCB4"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A</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4EE4D5C"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11.435</w:t>
            </w:r>
          </w:p>
          <w:p w14:paraId="1A2FE298" w14:textId="2FE7807C" w:rsidR="00C52592" w:rsidRPr="00BC4E02" w:rsidRDefault="00C52592" w:rsidP="00C52592">
            <w:pPr>
              <w:jc w:val="right"/>
              <w:rPr>
                <w:rFonts w:cs="Times New Roman"/>
                <w:sz w:val="18"/>
                <w:szCs w:val="18"/>
                <w:lang w:eastAsia="pt-BR"/>
              </w:rPr>
            </w:pPr>
            <w:r w:rsidRPr="00BC4E02">
              <w:rPr>
                <w:rFonts w:cs="Times New Roman"/>
                <w:sz w:val="18"/>
                <w:szCs w:val="18"/>
                <w:lang w:eastAsia="pt-BR"/>
              </w:rPr>
              <w:t>-30,3</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8121EBF" w14:textId="475850EC" w:rsidR="00C52592" w:rsidRPr="00BC4E02" w:rsidRDefault="00C52592" w:rsidP="00C52592">
            <w:pPr>
              <w:jc w:val="right"/>
              <w:rPr>
                <w:rFonts w:cs="Times New Roman"/>
                <w:sz w:val="18"/>
                <w:szCs w:val="18"/>
                <w:lang w:eastAsia="pt-BR"/>
              </w:rPr>
            </w:pPr>
            <w:r w:rsidRPr="00BC4E02">
              <w:rPr>
                <w:rFonts w:cs="Times New Roman"/>
                <w:sz w:val="18"/>
                <w:szCs w:val="18"/>
                <w:lang w:eastAsia="pt-BR"/>
              </w:rPr>
              <w:t>4.15</w:t>
            </w:r>
            <w:r w:rsidR="00F82746" w:rsidRPr="00BC4E02">
              <w:rPr>
                <w:rFonts w:cs="Times New Roman"/>
                <w:sz w:val="18"/>
                <w:szCs w:val="18"/>
                <w:lang w:eastAsia="pt-BR"/>
              </w:rPr>
              <w:t>7</w:t>
            </w:r>
          </w:p>
          <w:p w14:paraId="3A14A81A" w14:textId="01F1D159"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-63,6</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BF33122" w14:textId="142687E3" w:rsidR="7B03A1CE" w:rsidRDefault="00A37046" w:rsidP="001127A6">
            <w:pPr>
              <w:jc w:val="right"/>
              <w:rPr>
                <w:rFonts w:cs="Times New Roman"/>
                <w:sz w:val="18"/>
                <w:szCs w:val="18"/>
                <w:lang w:eastAsia="pt-BR"/>
              </w:rPr>
            </w:pPr>
            <w:r>
              <w:rPr>
                <w:rFonts w:cs="Times New Roman"/>
                <w:sz w:val="18"/>
                <w:szCs w:val="18"/>
                <w:lang w:eastAsia="pt-BR"/>
              </w:rPr>
              <w:t>4.104</w:t>
            </w:r>
          </w:p>
          <w:p w14:paraId="1EBA140B" w14:textId="548954AB" w:rsidR="003E3C4D" w:rsidRDefault="003E3C4D" w:rsidP="001127A6">
            <w:pPr>
              <w:jc w:val="right"/>
              <w:rPr>
                <w:rFonts w:cs="Times New Roman"/>
                <w:sz w:val="18"/>
                <w:szCs w:val="18"/>
                <w:lang w:eastAsia="pt-BR"/>
              </w:rPr>
            </w:pPr>
            <w:r>
              <w:rPr>
                <w:rFonts w:cs="Times New Roman"/>
                <w:sz w:val="18"/>
                <w:szCs w:val="18"/>
                <w:lang w:eastAsia="pt-BR"/>
              </w:rPr>
              <w:t>-</w:t>
            </w:r>
            <w:r w:rsidR="00CD6AEB">
              <w:rPr>
                <w:rFonts w:cs="Times New Roman"/>
                <w:sz w:val="18"/>
                <w:szCs w:val="18"/>
                <w:lang w:eastAsia="pt-BR"/>
              </w:rPr>
              <w:t>1</w:t>
            </w:r>
            <w:r>
              <w:rPr>
                <w:rFonts w:cs="Times New Roman"/>
                <w:sz w:val="18"/>
                <w:szCs w:val="18"/>
                <w:lang w:eastAsia="pt-BR"/>
              </w:rPr>
              <w:t>,3</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581C0D7" w14:textId="07349B07" w:rsidR="00C52592" w:rsidRPr="00BC4E02" w:rsidRDefault="7B086532" w:rsidP="00C52592">
            <w:pPr>
              <w:jc w:val="center"/>
              <w:rPr>
                <w:rFonts w:cs="Times New Roman"/>
                <w:sz w:val="18"/>
                <w:szCs w:val="18"/>
                <w:lang w:eastAsia="pt-BR"/>
              </w:rPr>
            </w:pPr>
            <w:r w:rsidRPr="0C8BC28A">
              <w:rPr>
                <w:rFonts w:cs="Times New Roman"/>
                <w:sz w:val="18"/>
                <w:szCs w:val="18"/>
                <w:lang w:eastAsia="pt-BR"/>
              </w:rPr>
              <w:t>-</w:t>
            </w:r>
          </w:p>
        </w:tc>
      </w:tr>
      <w:tr w:rsidR="00AB555C" w:rsidRPr="00C17EEA" w14:paraId="14FA7EB9"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AA5798"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EF3697"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B</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6ECBEE7"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17.184</w:t>
            </w:r>
          </w:p>
          <w:p w14:paraId="2F1E95A2" w14:textId="2615DDB7" w:rsidR="00C52592" w:rsidRPr="00BC4E02" w:rsidRDefault="00C52592" w:rsidP="00C52592">
            <w:pPr>
              <w:jc w:val="right"/>
              <w:rPr>
                <w:rFonts w:cs="Times New Roman"/>
                <w:sz w:val="18"/>
                <w:szCs w:val="18"/>
                <w:lang w:eastAsia="pt-BR"/>
              </w:rPr>
            </w:pPr>
            <w:r w:rsidRPr="00BC4E02">
              <w:rPr>
                <w:rFonts w:cs="Times New Roman"/>
                <w:sz w:val="18"/>
                <w:szCs w:val="18"/>
                <w:lang w:eastAsia="pt-BR"/>
              </w:rPr>
              <w:t>-6,9</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EF3E6E9" w14:textId="0BD7E959" w:rsidR="00C52592" w:rsidRPr="00BC4E02" w:rsidRDefault="00C52592" w:rsidP="00C52592">
            <w:pPr>
              <w:jc w:val="right"/>
              <w:rPr>
                <w:rFonts w:cs="Times New Roman"/>
                <w:sz w:val="18"/>
                <w:szCs w:val="18"/>
                <w:lang w:eastAsia="pt-BR"/>
              </w:rPr>
            </w:pPr>
            <w:r w:rsidRPr="00BC4E02">
              <w:rPr>
                <w:rFonts w:cs="Times New Roman"/>
                <w:sz w:val="18"/>
                <w:szCs w:val="18"/>
                <w:lang w:eastAsia="pt-BR"/>
              </w:rPr>
              <w:t>10.83</w:t>
            </w:r>
            <w:r w:rsidR="003F1E00" w:rsidRPr="00BC4E02">
              <w:rPr>
                <w:rFonts w:cs="Times New Roman"/>
                <w:sz w:val="18"/>
                <w:szCs w:val="18"/>
                <w:lang w:eastAsia="pt-BR"/>
              </w:rPr>
              <w:t>0</w:t>
            </w:r>
          </w:p>
          <w:p w14:paraId="435F4117" w14:textId="34F8F6BC"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-37,0</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C36C097" w14:textId="43CEE495" w:rsidR="7B03A1CE" w:rsidRDefault="005D4B36" w:rsidP="001127A6">
            <w:pPr>
              <w:jc w:val="right"/>
              <w:rPr>
                <w:rFonts w:cs="Times New Roman"/>
                <w:sz w:val="18"/>
                <w:szCs w:val="18"/>
                <w:lang w:eastAsia="pt-BR"/>
              </w:rPr>
            </w:pPr>
            <w:r>
              <w:rPr>
                <w:rFonts w:cs="Times New Roman"/>
                <w:sz w:val="18"/>
                <w:szCs w:val="18"/>
                <w:lang w:eastAsia="pt-BR"/>
              </w:rPr>
              <w:t>10.</w:t>
            </w:r>
            <w:r w:rsidR="00A37046">
              <w:rPr>
                <w:rFonts w:cs="Times New Roman"/>
                <w:sz w:val="18"/>
                <w:szCs w:val="18"/>
                <w:lang w:eastAsia="pt-BR"/>
              </w:rPr>
              <w:t>758</w:t>
            </w:r>
          </w:p>
          <w:p w14:paraId="24F16774" w14:textId="5D8BD8B6" w:rsidR="003E3C4D" w:rsidRDefault="00A37046" w:rsidP="001127A6">
            <w:pPr>
              <w:jc w:val="right"/>
              <w:rPr>
                <w:rFonts w:cs="Times New Roman"/>
                <w:sz w:val="18"/>
                <w:szCs w:val="18"/>
                <w:lang w:eastAsia="pt-BR"/>
              </w:rPr>
            </w:pPr>
            <w:proofErr w:type="gramStart"/>
            <w:r>
              <w:rPr>
                <w:rFonts w:cs="Times New Roman"/>
                <w:sz w:val="18"/>
                <w:szCs w:val="18"/>
                <w:lang w:eastAsia="pt-BR"/>
              </w:rPr>
              <w:t>-,</w:t>
            </w:r>
            <w:proofErr w:type="gramEnd"/>
            <w:r>
              <w:rPr>
                <w:rFonts w:cs="Times New Roman"/>
                <w:sz w:val="18"/>
                <w:szCs w:val="18"/>
                <w:lang w:eastAsia="pt-BR"/>
              </w:rPr>
              <w:t>07</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850F602" w14:textId="727C8022" w:rsidR="00C52592" w:rsidRPr="00BC4E02" w:rsidRDefault="423946A5" w:rsidP="00C52592">
            <w:pPr>
              <w:jc w:val="center"/>
              <w:rPr>
                <w:rFonts w:cs="Times New Roman"/>
                <w:sz w:val="18"/>
                <w:szCs w:val="18"/>
                <w:lang w:eastAsia="pt-BR"/>
              </w:rPr>
            </w:pPr>
            <w:r w:rsidRPr="0C8BC28A">
              <w:rPr>
                <w:rFonts w:cs="Times New Roman"/>
                <w:sz w:val="18"/>
                <w:szCs w:val="18"/>
                <w:lang w:eastAsia="pt-BR"/>
              </w:rPr>
              <w:t>-</w:t>
            </w:r>
          </w:p>
        </w:tc>
      </w:tr>
      <w:tr w:rsidR="00AB555C" w:rsidRPr="00C17EEA" w14:paraId="041F1C4D"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8DC4A6F"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206C3F"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C</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13C2D05"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22.743</w:t>
            </w:r>
          </w:p>
          <w:p w14:paraId="79CF414B" w14:textId="2644524B" w:rsidR="00C52592" w:rsidRPr="00BC4E02" w:rsidRDefault="00C52592" w:rsidP="00C52592">
            <w:pPr>
              <w:jc w:val="right"/>
              <w:rPr>
                <w:rFonts w:cs="Times New Roman"/>
                <w:sz w:val="18"/>
                <w:szCs w:val="18"/>
                <w:lang w:eastAsia="pt-BR"/>
              </w:rPr>
            </w:pPr>
            <w:r w:rsidRPr="00BC4E02">
              <w:rPr>
                <w:rFonts w:cs="Times New Roman"/>
                <w:sz w:val="18"/>
                <w:szCs w:val="18"/>
                <w:lang w:eastAsia="pt-BR"/>
              </w:rPr>
              <w:t>49,6</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B15CE44"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8.975</w:t>
            </w:r>
          </w:p>
          <w:p w14:paraId="1F08C88B" w14:textId="4E1E5501"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-60,5</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16F1DB" w14:textId="377D31B7" w:rsidR="7B03A1CE" w:rsidRDefault="00AC6232" w:rsidP="001127A6">
            <w:pPr>
              <w:jc w:val="right"/>
              <w:rPr>
                <w:rFonts w:cs="Times New Roman"/>
                <w:sz w:val="18"/>
                <w:szCs w:val="18"/>
                <w:lang w:eastAsia="pt-BR"/>
              </w:rPr>
            </w:pPr>
            <w:r>
              <w:rPr>
                <w:rFonts w:cs="Times New Roman"/>
                <w:sz w:val="18"/>
                <w:szCs w:val="18"/>
                <w:lang w:eastAsia="pt-BR"/>
              </w:rPr>
              <w:t>7.</w:t>
            </w:r>
            <w:r w:rsidR="00A37046">
              <w:rPr>
                <w:rFonts w:cs="Times New Roman"/>
                <w:sz w:val="18"/>
                <w:szCs w:val="18"/>
                <w:lang w:eastAsia="pt-BR"/>
              </w:rPr>
              <w:t>671</w:t>
            </w:r>
          </w:p>
          <w:p w14:paraId="551B8728" w14:textId="67FD293A" w:rsidR="003E3C4D" w:rsidRDefault="003E3C4D" w:rsidP="001127A6">
            <w:pPr>
              <w:jc w:val="right"/>
              <w:rPr>
                <w:rFonts w:cs="Times New Roman"/>
                <w:sz w:val="18"/>
                <w:szCs w:val="18"/>
                <w:lang w:eastAsia="pt-BR"/>
              </w:rPr>
            </w:pPr>
            <w:r>
              <w:rPr>
                <w:rFonts w:cs="Times New Roman"/>
                <w:sz w:val="18"/>
                <w:szCs w:val="18"/>
                <w:lang w:eastAsia="pt-BR"/>
              </w:rPr>
              <w:t>-1</w:t>
            </w:r>
            <w:r w:rsidR="00A37046">
              <w:rPr>
                <w:rFonts w:cs="Times New Roman"/>
                <w:sz w:val="18"/>
                <w:szCs w:val="18"/>
                <w:lang w:eastAsia="pt-BR"/>
              </w:rPr>
              <w:t>4,5</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F023E5C" w14:textId="0FDD399D" w:rsidR="00C52592" w:rsidRPr="00BC4E02" w:rsidRDefault="423946A5" w:rsidP="00C52592">
            <w:pPr>
              <w:jc w:val="center"/>
              <w:rPr>
                <w:rFonts w:cs="Times New Roman"/>
                <w:sz w:val="18"/>
                <w:szCs w:val="18"/>
                <w:lang w:eastAsia="pt-BR"/>
              </w:rPr>
            </w:pPr>
            <w:r w:rsidRPr="0C8BC28A">
              <w:rPr>
                <w:rFonts w:cs="Times New Roman"/>
                <w:sz w:val="18"/>
                <w:szCs w:val="18"/>
                <w:lang w:eastAsia="pt-BR"/>
              </w:rPr>
              <w:t>-</w:t>
            </w:r>
          </w:p>
        </w:tc>
      </w:tr>
      <w:tr w:rsidR="00AB555C" w:rsidRPr="00C17EEA" w14:paraId="71226134"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88D7763"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29DA65"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D</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B959098"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87.339</w:t>
            </w:r>
          </w:p>
          <w:p w14:paraId="1E8D6890" w14:textId="6382A6C2" w:rsidR="00C52592" w:rsidRPr="00BC4E02" w:rsidRDefault="00C52592" w:rsidP="00C52592">
            <w:pPr>
              <w:jc w:val="right"/>
              <w:rPr>
                <w:rFonts w:cs="Times New Roman"/>
                <w:sz w:val="18"/>
                <w:szCs w:val="18"/>
                <w:lang w:eastAsia="pt-BR"/>
              </w:rPr>
            </w:pPr>
            <w:r w:rsidRPr="00BC4E02">
              <w:rPr>
                <w:rFonts w:cs="Times New Roman"/>
                <w:sz w:val="18"/>
                <w:szCs w:val="18"/>
                <w:lang w:eastAsia="pt-BR"/>
              </w:rPr>
              <w:t>13,9</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723ABDF"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71.395</w:t>
            </w:r>
          </w:p>
          <w:p w14:paraId="31F12538" w14:textId="7CAFD583"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-18,3</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5BCC56C" w14:textId="6BDB7A62" w:rsidR="7B03A1CE" w:rsidRDefault="00CF0305" w:rsidP="001127A6">
            <w:pPr>
              <w:jc w:val="right"/>
              <w:rPr>
                <w:rFonts w:cs="Times New Roman"/>
                <w:sz w:val="18"/>
                <w:szCs w:val="18"/>
                <w:lang w:eastAsia="pt-BR"/>
              </w:rPr>
            </w:pPr>
            <w:r>
              <w:rPr>
                <w:rFonts w:cs="Times New Roman"/>
                <w:sz w:val="18"/>
                <w:szCs w:val="18"/>
                <w:lang w:eastAsia="pt-BR"/>
              </w:rPr>
              <w:t>72.</w:t>
            </w:r>
            <w:r w:rsidR="00A37046">
              <w:rPr>
                <w:rFonts w:cs="Times New Roman"/>
                <w:sz w:val="18"/>
                <w:szCs w:val="18"/>
                <w:lang w:eastAsia="pt-BR"/>
              </w:rPr>
              <w:t>669</w:t>
            </w:r>
          </w:p>
          <w:p w14:paraId="0E4DD95A" w14:textId="2B473458" w:rsidR="003E3C4D" w:rsidRDefault="00A37046" w:rsidP="001127A6">
            <w:pPr>
              <w:jc w:val="right"/>
              <w:rPr>
                <w:rFonts w:cs="Times New Roman"/>
                <w:sz w:val="18"/>
                <w:szCs w:val="18"/>
                <w:lang w:eastAsia="pt-BR"/>
              </w:rPr>
            </w:pPr>
            <w:r>
              <w:rPr>
                <w:rFonts w:cs="Times New Roman"/>
                <w:sz w:val="18"/>
                <w:szCs w:val="18"/>
                <w:lang w:eastAsia="pt-BR"/>
              </w:rPr>
              <w:t>1,8</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B2DA512" w14:textId="0463B2BC" w:rsidR="00C52592" w:rsidRPr="00BC4E02" w:rsidRDefault="1F35A533" w:rsidP="00C52592">
            <w:pPr>
              <w:jc w:val="center"/>
              <w:rPr>
                <w:rFonts w:cs="Times New Roman"/>
                <w:sz w:val="18"/>
                <w:szCs w:val="18"/>
                <w:lang w:eastAsia="pt-BR"/>
              </w:rPr>
            </w:pPr>
            <w:r w:rsidRPr="0C8BC28A">
              <w:rPr>
                <w:rFonts w:cs="Times New Roman"/>
                <w:sz w:val="18"/>
                <w:szCs w:val="18"/>
                <w:lang w:eastAsia="pt-BR"/>
              </w:rPr>
              <w:t>-</w:t>
            </w:r>
          </w:p>
        </w:tc>
      </w:tr>
      <w:tr w:rsidR="00AB555C" w:rsidRPr="00C17EEA" w14:paraId="51BBF02A" w14:textId="77777777" w:rsidTr="00FB758E">
        <w:trPr>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EF7F489" w14:textId="77777777" w:rsidR="00C52592" w:rsidRPr="00992171" w:rsidRDefault="00C52592" w:rsidP="00C52592">
            <w:pPr>
              <w:jc w:val="both"/>
              <w:rPr>
                <w:rFonts w:cs="Times New Roman"/>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6D144C" w14:textId="77777777" w:rsidR="00C52592" w:rsidRPr="00992171" w:rsidRDefault="00C52592" w:rsidP="009539EB">
            <w:pPr>
              <w:jc w:val="center"/>
              <w:rPr>
                <w:rFonts w:cs="Times New Roman"/>
                <w:sz w:val="18"/>
                <w:szCs w:val="18"/>
                <w:lang w:eastAsia="pt-BR"/>
              </w:rPr>
            </w:pPr>
            <w:r w:rsidRPr="00992171">
              <w:rPr>
                <w:rFonts w:cs="Times New Roman"/>
                <w:sz w:val="18"/>
                <w:szCs w:val="18"/>
                <w:lang w:eastAsia="pt-BR"/>
              </w:rPr>
              <w:t>Subtotal</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203FC62" w14:textId="77777777" w:rsidR="00C52592" w:rsidRPr="00BC4E02" w:rsidRDefault="00C52592" w:rsidP="00C52592">
            <w:pPr>
              <w:jc w:val="right"/>
              <w:rPr>
                <w:rFonts w:cs="Times New Roman"/>
                <w:sz w:val="18"/>
                <w:szCs w:val="18"/>
                <w:lang w:eastAsia="pt-BR"/>
              </w:rPr>
            </w:pPr>
            <w:r w:rsidRPr="00BC4E02">
              <w:rPr>
                <w:rFonts w:cs="Times New Roman"/>
                <w:sz w:val="18"/>
                <w:szCs w:val="18"/>
                <w:lang w:eastAsia="pt-BR"/>
              </w:rPr>
              <w:t>138.701</w:t>
            </w:r>
          </w:p>
          <w:p w14:paraId="72DF32ED" w14:textId="4377BC61" w:rsidR="00C52592" w:rsidRPr="00BC4E02" w:rsidRDefault="00C52592" w:rsidP="00C52592">
            <w:pPr>
              <w:jc w:val="right"/>
              <w:rPr>
                <w:rFonts w:cs="Times New Roman"/>
                <w:sz w:val="18"/>
                <w:szCs w:val="18"/>
                <w:lang w:eastAsia="pt-BR"/>
              </w:rPr>
            </w:pPr>
            <w:r w:rsidRPr="00BC4E02">
              <w:rPr>
                <w:rFonts w:cs="Times New Roman"/>
                <w:sz w:val="18"/>
                <w:szCs w:val="18"/>
                <w:lang w:eastAsia="pt-BR"/>
              </w:rPr>
              <w:t>9,5</w:t>
            </w:r>
          </w:p>
        </w:tc>
        <w:tc>
          <w:tcPr>
            <w:tcW w:w="0" w:type="auto"/>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3705906" w14:textId="4CAF0C84" w:rsidR="00C52592" w:rsidRPr="00BC4E02" w:rsidRDefault="00C52592" w:rsidP="00C52592">
            <w:pPr>
              <w:jc w:val="right"/>
              <w:rPr>
                <w:rFonts w:cs="Times New Roman"/>
                <w:sz w:val="18"/>
                <w:szCs w:val="18"/>
                <w:lang w:eastAsia="pt-BR"/>
              </w:rPr>
            </w:pPr>
            <w:r w:rsidRPr="00BC4E02">
              <w:rPr>
                <w:rFonts w:cs="Times New Roman"/>
                <w:sz w:val="18"/>
                <w:szCs w:val="18"/>
                <w:lang w:eastAsia="pt-BR"/>
              </w:rPr>
              <w:t>95.35</w:t>
            </w:r>
            <w:r w:rsidR="007075A2" w:rsidRPr="00BC4E02">
              <w:rPr>
                <w:rFonts w:cs="Times New Roman"/>
                <w:sz w:val="18"/>
                <w:szCs w:val="18"/>
                <w:lang w:eastAsia="pt-BR"/>
              </w:rPr>
              <w:t>7</w:t>
            </w:r>
          </w:p>
          <w:p w14:paraId="77B19F63" w14:textId="009EEDBE" w:rsidR="00F1741E" w:rsidRPr="00BC4E02" w:rsidRDefault="00F1741E" w:rsidP="00C52592">
            <w:pPr>
              <w:jc w:val="right"/>
              <w:rPr>
                <w:rFonts w:cs="Times New Roman"/>
                <w:sz w:val="18"/>
                <w:szCs w:val="18"/>
                <w:lang w:eastAsia="pt-BR"/>
              </w:rPr>
            </w:pPr>
            <w:r w:rsidRPr="00BC4E02">
              <w:rPr>
                <w:rFonts w:eastAsia="Times New Roman" w:cs="Times New Roman"/>
                <w:sz w:val="18"/>
                <w:szCs w:val="18"/>
                <w:lang w:eastAsia="pt-BR"/>
              </w:rPr>
              <w:t>-31,</w:t>
            </w:r>
            <w:r w:rsidR="007075A2" w:rsidRPr="00BC4E02">
              <w:rPr>
                <w:rFonts w:eastAsia="Times New Roman" w:cs="Times New Roman"/>
                <w:sz w:val="18"/>
                <w:szCs w:val="18"/>
                <w:lang w:eastAsia="pt-BR"/>
              </w:rPr>
              <w:t>3</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4080945" w14:textId="04187759" w:rsidR="7B03A1CE" w:rsidRDefault="0051357F" w:rsidP="001127A6">
            <w:pPr>
              <w:jc w:val="right"/>
              <w:rPr>
                <w:rFonts w:cs="Times New Roman"/>
                <w:sz w:val="18"/>
                <w:szCs w:val="18"/>
                <w:lang w:eastAsia="pt-BR"/>
              </w:rPr>
            </w:pPr>
            <w:r>
              <w:rPr>
                <w:rFonts w:cs="Times New Roman"/>
                <w:sz w:val="18"/>
                <w:szCs w:val="18"/>
                <w:lang w:eastAsia="pt-BR"/>
              </w:rPr>
              <w:t>95.</w:t>
            </w:r>
            <w:r w:rsidR="00A37046">
              <w:rPr>
                <w:rFonts w:cs="Times New Roman"/>
                <w:sz w:val="18"/>
                <w:szCs w:val="18"/>
                <w:lang w:eastAsia="pt-BR"/>
              </w:rPr>
              <w:t>202</w:t>
            </w:r>
          </w:p>
          <w:p w14:paraId="33563A00" w14:textId="7D352E87" w:rsidR="003E3C4D" w:rsidRDefault="00A37046" w:rsidP="001127A6">
            <w:pPr>
              <w:jc w:val="right"/>
              <w:rPr>
                <w:rFonts w:cs="Times New Roman"/>
                <w:sz w:val="18"/>
                <w:szCs w:val="18"/>
                <w:lang w:eastAsia="pt-BR"/>
              </w:rPr>
            </w:pPr>
            <w:r>
              <w:rPr>
                <w:rFonts w:cs="Times New Roman"/>
                <w:sz w:val="18"/>
                <w:szCs w:val="18"/>
                <w:lang w:eastAsia="pt-BR"/>
              </w:rPr>
              <w:t>-</w:t>
            </w:r>
            <w:r w:rsidR="00217DCB">
              <w:rPr>
                <w:rFonts w:cs="Times New Roman"/>
                <w:sz w:val="18"/>
                <w:szCs w:val="18"/>
                <w:lang w:eastAsia="pt-BR"/>
              </w:rPr>
              <w:t>0,</w:t>
            </w:r>
            <w:r>
              <w:rPr>
                <w:rFonts w:cs="Times New Roman"/>
                <w:sz w:val="18"/>
                <w:szCs w:val="18"/>
                <w:lang w:eastAsia="pt-BR"/>
              </w:rPr>
              <w:t>2</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43C8B61" w14:textId="08B8907F" w:rsidR="00C52592" w:rsidRPr="00BC4E02" w:rsidRDefault="1F35A533" w:rsidP="00C52592">
            <w:pPr>
              <w:jc w:val="center"/>
              <w:rPr>
                <w:rFonts w:cs="Times New Roman"/>
                <w:sz w:val="18"/>
                <w:szCs w:val="18"/>
                <w:lang w:eastAsia="pt-BR"/>
              </w:rPr>
            </w:pPr>
            <w:r w:rsidRPr="0C8BC28A">
              <w:rPr>
                <w:rFonts w:cs="Times New Roman"/>
                <w:sz w:val="18"/>
                <w:szCs w:val="18"/>
                <w:lang w:eastAsia="pt-BR"/>
              </w:rPr>
              <w:t>-</w:t>
            </w:r>
          </w:p>
        </w:tc>
      </w:tr>
      <w:tr w:rsidR="00AD3DCF" w:rsidRPr="00CF7F73" w14:paraId="5EE3BC25" w14:textId="77777777" w:rsidTr="00FB758E">
        <w:trPr>
          <w:jc w:val="center"/>
        </w:trPr>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7F7F7F" w:themeFill="text1" w:themeFillTint="80"/>
            <w:vAlign w:val="center"/>
          </w:tcPr>
          <w:p w14:paraId="31F952B3" w14:textId="77777777" w:rsidR="00EA236C" w:rsidRPr="00CF7F73" w:rsidRDefault="00EA236C" w:rsidP="006368C9">
            <w:pPr>
              <w:rPr>
                <w:rFonts w:cs="Times New Roman"/>
                <w:b/>
                <w:bCs/>
                <w:color w:val="FFFFFF" w:themeColor="background1"/>
                <w:sz w:val="18"/>
                <w:szCs w:val="18"/>
                <w:lang w:eastAsia="pt-BR"/>
              </w:rPr>
            </w:pPr>
            <w:r w:rsidRPr="00CF7F73">
              <w:rPr>
                <w:rFonts w:cs="Times New Roman"/>
                <w:b/>
                <w:bCs/>
                <w:color w:val="FFFFFF" w:themeColor="background1"/>
                <w:sz w:val="18"/>
                <w:szCs w:val="18"/>
                <w:lang w:eastAsia="pt-BR"/>
              </w:rPr>
              <w:t>Total</w:t>
            </w:r>
          </w:p>
        </w:tc>
        <w:tc>
          <w:tcPr>
            <w:tcW w:w="0" w:type="auto"/>
            <w:tcBorders>
              <w:top w:val="single" w:sz="4" w:space="0" w:color="BFBFBF" w:themeColor="background1" w:themeShade="BF"/>
              <w:bottom w:val="single" w:sz="4" w:space="0" w:color="BFBFBF" w:themeColor="background1" w:themeShade="BF"/>
            </w:tcBorders>
            <w:shd w:val="clear" w:color="auto" w:fill="7F7F7F" w:themeFill="text1" w:themeFillTint="80"/>
          </w:tcPr>
          <w:p w14:paraId="55595972" w14:textId="77777777" w:rsidR="00EA236C" w:rsidRPr="00CF7F73" w:rsidRDefault="00EA236C" w:rsidP="00704C72">
            <w:pPr>
              <w:jc w:val="right"/>
              <w:rPr>
                <w:rFonts w:cs="Times New Roman"/>
                <w:b/>
                <w:bCs/>
                <w:color w:val="FFFFFF" w:themeColor="background1"/>
                <w:sz w:val="18"/>
                <w:szCs w:val="18"/>
                <w:lang w:eastAsia="pt-BR"/>
              </w:rPr>
            </w:pPr>
            <w:r w:rsidRPr="00CF7F73">
              <w:rPr>
                <w:rFonts w:cs="Times New Roman"/>
                <w:b/>
                <w:bCs/>
                <w:color w:val="FFFFFF" w:themeColor="background1"/>
                <w:sz w:val="18"/>
                <w:szCs w:val="18"/>
                <w:lang w:eastAsia="pt-BR"/>
              </w:rPr>
              <w:t>2.181.082</w:t>
            </w:r>
          </w:p>
          <w:p w14:paraId="58459600" w14:textId="43AB870A" w:rsidR="005A3081" w:rsidRPr="00CF7F73" w:rsidRDefault="00451809" w:rsidP="00704C72">
            <w:pPr>
              <w:jc w:val="right"/>
              <w:rPr>
                <w:rFonts w:cs="Times New Roman"/>
                <w:b/>
                <w:bCs/>
                <w:color w:val="FFFFFF" w:themeColor="background1"/>
                <w:sz w:val="18"/>
                <w:szCs w:val="18"/>
                <w:lang w:eastAsia="pt-BR"/>
              </w:rPr>
            </w:pPr>
            <w:r w:rsidRPr="00CF7F73">
              <w:rPr>
                <w:rFonts w:cs="Times New Roman"/>
                <w:b/>
                <w:bCs/>
                <w:color w:val="FFFFFF" w:themeColor="background1"/>
                <w:sz w:val="18"/>
                <w:szCs w:val="18"/>
                <w:lang w:eastAsia="pt-BR"/>
              </w:rPr>
              <w:t>9,3</w:t>
            </w:r>
          </w:p>
        </w:tc>
        <w:tc>
          <w:tcPr>
            <w:tcW w:w="0" w:type="auto"/>
            <w:tcBorders>
              <w:top w:val="single" w:sz="4" w:space="0" w:color="BFBFBF" w:themeColor="background1" w:themeShade="BF"/>
              <w:bottom w:val="single" w:sz="4" w:space="0" w:color="BFBFBF" w:themeColor="background1" w:themeShade="BF"/>
            </w:tcBorders>
            <w:shd w:val="clear" w:color="auto" w:fill="7F7F7F" w:themeFill="text1" w:themeFillTint="80"/>
          </w:tcPr>
          <w:p w14:paraId="461B0B1E" w14:textId="69F972A0" w:rsidR="00EA236C" w:rsidRPr="00CF7F73" w:rsidRDefault="00674F50" w:rsidP="00C52592">
            <w:pPr>
              <w:jc w:val="right"/>
              <w:rPr>
                <w:rFonts w:cs="Times New Roman"/>
                <w:b/>
                <w:bCs/>
                <w:color w:val="FFFFFF" w:themeColor="background1"/>
                <w:sz w:val="18"/>
                <w:szCs w:val="18"/>
                <w:lang w:eastAsia="pt-BR"/>
              </w:rPr>
            </w:pPr>
            <w:r w:rsidRPr="00CF7F73">
              <w:rPr>
                <w:rFonts w:cs="Times New Roman"/>
                <w:b/>
                <w:bCs/>
                <w:color w:val="FFFFFF" w:themeColor="background1"/>
                <w:sz w:val="18"/>
                <w:szCs w:val="18"/>
                <w:lang w:eastAsia="pt-BR"/>
              </w:rPr>
              <w:t>2.413.780</w:t>
            </w:r>
          </w:p>
          <w:p w14:paraId="0098669B" w14:textId="26685F74" w:rsidR="00F1741E" w:rsidRPr="00CF7F73" w:rsidRDefault="00F1741E" w:rsidP="00C52592">
            <w:pPr>
              <w:jc w:val="right"/>
              <w:rPr>
                <w:rFonts w:cs="Times New Roman"/>
                <w:b/>
                <w:bCs/>
                <w:color w:val="FFFFFF" w:themeColor="background1"/>
                <w:sz w:val="18"/>
                <w:szCs w:val="18"/>
                <w:lang w:eastAsia="pt-BR"/>
              </w:rPr>
            </w:pPr>
            <w:r w:rsidRPr="00CF7F73">
              <w:rPr>
                <w:rFonts w:eastAsia="Times New Roman" w:cs="Times New Roman"/>
                <w:b/>
                <w:bCs/>
                <w:color w:val="FFFFFF" w:themeColor="background1"/>
                <w:sz w:val="18"/>
                <w:szCs w:val="18"/>
                <w:lang w:eastAsia="pt-BR"/>
              </w:rPr>
              <w:t>10,7</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45D702DB" w14:textId="1A6DFF7D" w:rsidR="7B03A1CE" w:rsidRPr="00CF7F73" w:rsidRDefault="000E0135" w:rsidP="001127A6">
            <w:pPr>
              <w:jc w:val="right"/>
              <w:rPr>
                <w:rFonts w:cs="Times New Roman"/>
                <w:b/>
                <w:bCs/>
                <w:color w:val="FFFFFF" w:themeColor="background1"/>
                <w:sz w:val="18"/>
                <w:szCs w:val="18"/>
                <w:lang w:eastAsia="pt-BR"/>
              </w:rPr>
            </w:pPr>
            <w:r w:rsidRPr="00CF7F73">
              <w:rPr>
                <w:rFonts w:cs="Times New Roman"/>
                <w:b/>
                <w:bCs/>
                <w:color w:val="FFFFFF" w:themeColor="background1"/>
                <w:sz w:val="18"/>
                <w:szCs w:val="18"/>
                <w:lang w:eastAsia="pt-BR"/>
              </w:rPr>
              <w:t>2</w:t>
            </w:r>
            <w:r w:rsidR="004D7E5A" w:rsidRPr="00CF7F73">
              <w:rPr>
                <w:rFonts w:cs="Times New Roman"/>
                <w:b/>
                <w:bCs/>
                <w:color w:val="FFFFFF" w:themeColor="background1"/>
                <w:sz w:val="18"/>
                <w:szCs w:val="18"/>
                <w:lang w:eastAsia="pt-BR"/>
              </w:rPr>
              <w:t>.5</w:t>
            </w:r>
            <w:r w:rsidR="00A37046" w:rsidRPr="00CF7F73">
              <w:rPr>
                <w:rFonts w:cs="Times New Roman"/>
                <w:b/>
                <w:bCs/>
                <w:color w:val="FFFFFF" w:themeColor="background1"/>
                <w:sz w:val="18"/>
                <w:szCs w:val="18"/>
                <w:lang w:eastAsia="pt-BR"/>
              </w:rPr>
              <w:t>24</w:t>
            </w:r>
            <w:r w:rsidR="004D7E5A" w:rsidRPr="00CF7F73">
              <w:rPr>
                <w:rFonts w:cs="Times New Roman"/>
                <w:b/>
                <w:bCs/>
                <w:color w:val="FFFFFF" w:themeColor="background1"/>
                <w:sz w:val="18"/>
                <w:szCs w:val="18"/>
                <w:lang w:eastAsia="pt-BR"/>
              </w:rPr>
              <w:t>.</w:t>
            </w:r>
            <w:r w:rsidR="00A37046" w:rsidRPr="00CF7F73">
              <w:rPr>
                <w:rFonts w:cs="Times New Roman"/>
                <w:b/>
                <w:bCs/>
                <w:color w:val="FFFFFF" w:themeColor="background1"/>
                <w:sz w:val="18"/>
                <w:szCs w:val="18"/>
                <w:lang w:eastAsia="pt-BR"/>
              </w:rPr>
              <w:t>970</w:t>
            </w:r>
          </w:p>
          <w:p w14:paraId="6B52EF22" w14:textId="50DAE190" w:rsidR="00B56B15" w:rsidRPr="00CF7F73" w:rsidRDefault="00A37046" w:rsidP="001127A6">
            <w:pPr>
              <w:jc w:val="right"/>
              <w:rPr>
                <w:rFonts w:cs="Times New Roman"/>
                <w:b/>
                <w:bCs/>
                <w:color w:val="FFFFFF" w:themeColor="background1"/>
                <w:sz w:val="18"/>
                <w:szCs w:val="18"/>
                <w:lang w:eastAsia="pt-BR"/>
              </w:rPr>
            </w:pPr>
            <w:r w:rsidRPr="00CF7F73">
              <w:rPr>
                <w:rFonts w:cs="Times New Roman"/>
                <w:b/>
                <w:bCs/>
                <w:color w:val="FFFFFF" w:themeColor="background1"/>
                <w:sz w:val="18"/>
                <w:szCs w:val="18"/>
                <w:lang w:eastAsia="pt-BR"/>
              </w:rPr>
              <w:t>4,6</w:t>
            </w:r>
          </w:p>
        </w:tc>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71A4EB4C" w14:textId="77777777" w:rsidR="00EA236C" w:rsidRPr="00CF7F73" w:rsidRDefault="00EA236C" w:rsidP="00704C72">
            <w:pPr>
              <w:jc w:val="center"/>
              <w:rPr>
                <w:rFonts w:cs="Times New Roman"/>
                <w:b/>
                <w:bCs/>
                <w:color w:val="FFFFFF" w:themeColor="background1"/>
                <w:sz w:val="18"/>
                <w:szCs w:val="18"/>
                <w:lang w:eastAsia="pt-BR"/>
              </w:rPr>
            </w:pPr>
          </w:p>
        </w:tc>
      </w:tr>
      <w:tr w:rsidR="00B35AA0" w:rsidRPr="00BC4E02" w14:paraId="23165AC8" w14:textId="77777777" w:rsidTr="00FB758E">
        <w:trPr>
          <w:jc w:val="center"/>
        </w:trPr>
        <w:tc>
          <w:tcPr>
            <w:tcW w:w="0" w:type="auto"/>
            <w:gridSpan w:val="6"/>
            <w:tcBorders>
              <w:top w:val="single" w:sz="4" w:space="0" w:color="BFBFBF" w:themeColor="background1" w:themeShade="BF"/>
            </w:tcBorders>
          </w:tcPr>
          <w:p w14:paraId="22ED92A6" w14:textId="77777777" w:rsidR="001A06C6" w:rsidRDefault="00A36A77">
            <w:pPr>
              <w:rPr>
                <w:sz w:val="16"/>
                <w:szCs w:val="16"/>
              </w:rPr>
            </w:pPr>
            <w:proofErr w:type="gramStart"/>
            <w:r w:rsidRPr="009B28FD">
              <w:rPr>
                <w:sz w:val="16"/>
                <w:szCs w:val="16"/>
                <w:vertAlign w:val="superscript"/>
              </w:rPr>
              <w:t>1</w:t>
            </w:r>
            <w:proofErr w:type="gramEnd"/>
            <w:r w:rsidRPr="001A06C6">
              <w:rPr>
                <w:sz w:val="16"/>
                <w:szCs w:val="16"/>
              </w:rPr>
              <w:t xml:space="preserve"> Variação em relação ao exercício imediatamente anterior. </w:t>
            </w:r>
          </w:p>
          <w:p w14:paraId="094AFF2F" w14:textId="77777777" w:rsidR="00CD6AEB" w:rsidRDefault="00A36A77" w:rsidP="00CD6AEB">
            <w:pPr>
              <w:rPr>
                <w:sz w:val="16"/>
                <w:szCs w:val="16"/>
              </w:rPr>
            </w:pPr>
            <w:proofErr w:type="gramStart"/>
            <w:r w:rsidRPr="009B28FD">
              <w:rPr>
                <w:sz w:val="16"/>
                <w:szCs w:val="16"/>
                <w:vertAlign w:val="superscript"/>
              </w:rPr>
              <w:t>2</w:t>
            </w:r>
            <w:proofErr w:type="gramEnd"/>
            <w:r w:rsidRPr="001A06C6">
              <w:rPr>
                <w:sz w:val="16"/>
                <w:szCs w:val="16"/>
              </w:rPr>
              <w:t xml:space="preserve"> Não apresenta o tipo de impacto, pois os valores estão agregados, podendo o impacto ser primário e/ou financeiro. </w:t>
            </w:r>
          </w:p>
          <w:p w14:paraId="43F2EDD3" w14:textId="18140F38" w:rsidR="007A0D21" w:rsidRPr="001A06C6" w:rsidRDefault="00A36A77" w:rsidP="009B28FD">
            <w:pPr>
              <w:rPr>
                <w:sz w:val="16"/>
                <w:szCs w:val="16"/>
              </w:rPr>
            </w:pPr>
            <w:r w:rsidRPr="001A06C6">
              <w:rPr>
                <w:b/>
                <w:sz w:val="16"/>
                <w:szCs w:val="16"/>
              </w:rPr>
              <w:t>Fonte</w:t>
            </w:r>
            <w:r w:rsidR="00422485">
              <w:rPr>
                <w:b/>
                <w:sz w:val="16"/>
                <w:szCs w:val="16"/>
              </w:rPr>
              <w:t>s</w:t>
            </w:r>
            <w:r w:rsidR="004C7F48">
              <w:rPr>
                <w:sz w:val="16"/>
                <w:szCs w:val="16"/>
              </w:rPr>
              <w:t xml:space="preserve">: </w:t>
            </w:r>
            <w:r w:rsidR="00422485">
              <w:rPr>
                <w:sz w:val="16"/>
                <w:szCs w:val="16"/>
              </w:rPr>
              <w:t xml:space="preserve">BGU e </w:t>
            </w:r>
            <w:r w:rsidRPr="001A06C6">
              <w:rPr>
                <w:sz w:val="16"/>
                <w:szCs w:val="16"/>
              </w:rPr>
              <w:t>PGFN</w:t>
            </w:r>
            <w:r w:rsidR="00806CB3">
              <w:rPr>
                <w:sz w:val="16"/>
                <w:szCs w:val="16"/>
              </w:rPr>
              <w:t xml:space="preserve">. </w:t>
            </w:r>
            <w:r w:rsidRPr="001A06C6">
              <w:rPr>
                <w:b/>
                <w:sz w:val="16"/>
                <w:szCs w:val="16"/>
              </w:rPr>
              <w:t>Elaboração</w:t>
            </w:r>
            <w:r w:rsidRPr="001A06C6">
              <w:rPr>
                <w:sz w:val="16"/>
                <w:szCs w:val="16"/>
              </w:rPr>
              <w:t>: STN/ME</w:t>
            </w:r>
          </w:p>
        </w:tc>
      </w:tr>
    </w:tbl>
    <w:p w14:paraId="21598C15" w14:textId="77777777" w:rsidR="00582466" w:rsidRDefault="00582466" w:rsidP="00704C72">
      <w:pPr>
        <w:spacing w:after="120" w:line="240" w:lineRule="auto"/>
        <w:ind w:firstLine="1418"/>
        <w:jc w:val="both"/>
        <w:rPr>
          <w:rFonts w:cs="Times New Roman"/>
          <w:sz w:val="24"/>
          <w:szCs w:val="24"/>
          <w:lang w:eastAsia="pt-BR"/>
        </w:rPr>
      </w:pPr>
    </w:p>
    <w:p w14:paraId="27618250" w14:textId="1B20DE6C" w:rsidR="002A4679" w:rsidRPr="003D5135" w:rsidRDefault="006D144B" w:rsidP="00704C72">
      <w:pPr>
        <w:spacing w:after="120" w:line="240" w:lineRule="auto"/>
        <w:ind w:firstLine="1418"/>
        <w:jc w:val="both"/>
        <w:rPr>
          <w:rFonts w:cs="Times New Roman"/>
          <w:color w:val="000000" w:themeColor="text1"/>
          <w:sz w:val="24"/>
          <w:szCs w:val="24"/>
          <w:lang w:eastAsia="pt-BR"/>
        </w:rPr>
      </w:pPr>
      <w:r w:rsidRPr="003D5135">
        <w:rPr>
          <w:rFonts w:cs="Times New Roman"/>
          <w:color w:val="000000" w:themeColor="text1"/>
          <w:sz w:val="24"/>
          <w:szCs w:val="24"/>
          <w:lang w:eastAsia="pt-BR"/>
        </w:rPr>
        <w:t xml:space="preserve">Segundo a PGFN, a partir do histórico de adimplemento, por classe, as expectativas de recuperação dos créditos das classes “A” e “B” nos próximos quinze anos são, respectivamente, 70% </w:t>
      </w:r>
      <w:r w:rsidRPr="003D5135">
        <w:rPr>
          <w:rFonts w:cs="Times New Roman"/>
          <w:color w:val="000000" w:themeColor="text1"/>
          <w:sz w:val="24"/>
          <w:szCs w:val="24"/>
          <w:lang w:eastAsia="pt-BR"/>
        </w:rPr>
        <w:lastRenderedPageBreak/>
        <w:t>e 50%, por conseguinte, os ajustes para perdas são, respectivamente, 30% e 50%. Assim, do saldo de R$ 2.</w:t>
      </w:r>
      <w:r w:rsidR="0021049E" w:rsidRPr="0021049E">
        <w:rPr>
          <w:rFonts w:cs="Times New Roman"/>
          <w:color w:val="000000" w:themeColor="text1"/>
          <w:sz w:val="24"/>
          <w:szCs w:val="24"/>
          <w:lang w:eastAsia="pt-BR"/>
        </w:rPr>
        <w:t>524.970</w:t>
      </w:r>
      <w:r w:rsidRPr="003D5135">
        <w:rPr>
          <w:rFonts w:cs="Times New Roman"/>
          <w:color w:val="000000" w:themeColor="text1"/>
          <w:sz w:val="24"/>
          <w:szCs w:val="24"/>
          <w:lang w:eastAsia="pt-BR"/>
        </w:rPr>
        <w:t xml:space="preserve"> milhões</w:t>
      </w:r>
      <w:r w:rsidR="003A71F0">
        <w:rPr>
          <w:rStyle w:val="Refdenotaderodap"/>
          <w:rFonts w:cs="Times New Roman"/>
          <w:color w:val="000000" w:themeColor="text1"/>
          <w:sz w:val="24"/>
          <w:szCs w:val="24"/>
          <w:lang w:eastAsia="pt-BR"/>
        </w:rPr>
        <w:footnoteReference w:id="16"/>
      </w:r>
      <w:r w:rsidRPr="003D5135">
        <w:rPr>
          <w:rFonts w:cs="Times New Roman"/>
          <w:color w:val="000000" w:themeColor="text1"/>
          <w:sz w:val="24"/>
          <w:szCs w:val="24"/>
          <w:lang w:eastAsia="pt-BR"/>
        </w:rPr>
        <w:t xml:space="preserve">, aproximadamente </w:t>
      </w:r>
      <w:r w:rsidR="14F6879E" w:rsidRPr="003D5135">
        <w:rPr>
          <w:rFonts w:cs="Times New Roman"/>
          <w:color w:val="000000" w:themeColor="text1"/>
          <w:sz w:val="24"/>
          <w:szCs w:val="24"/>
          <w:lang w:eastAsia="pt-BR"/>
        </w:rPr>
        <w:t>81</w:t>
      </w:r>
      <w:r w:rsidRPr="003D5135">
        <w:rPr>
          <w:rFonts w:cs="Times New Roman"/>
          <w:color w:val="000000" w:themeColor="text1"/>
          <w:sz w:val="24"/>
          <w:szCs w:val="24"/>
          <w:lang w:eastAsia="pt-BR"/>
        </w:rPr>
        <w:t xml:space="preserve">% </w:t>
      </w:r>
      <w:r w:rsidR="00C32DC7" w:rsidRPr="003D5135">
        <w:rPr>
          <w:rFonts w:cs="Times New Roman"/>
          <w:color w:val="000000" w:themeColor="text1"/>
          <w:sz w:val="24"/>
          <w:szCs w:val="24"/>
          <w:lang w:eastAsia="pt-BR"/>
        </w:rPr>
        <w:t>(</w:t>
      </w:r>
      <w:r w:rsidRPr="003D5135">
        <w:rPr>
          <w:rFonts w:cs="Times New Roman"/>
          <w:color w:val="000000" w:themeColor="text1"/>
          <w:sz w:val="24"/>
          <w:szCs w:val="24"/>
          <w:lang w:eastAsia="pt-BR"/>
        </w:rPr>
        <w:t xml:space="preserve">R$ </w:t>
      </w:r>
      <w:r w:rsidR="318A1B67" w:rsidRPr="003D5135">
        <w:rPr>
          <w:rFonts w:cs="Times New Roman"/>
          <w:color w:val="000000" w:themeColor="text1"/>
          <w:sz w:val="24"/>
          <w:szCs w:val="24"/>
          <w:lang w:eastAsia="pt-BR"/>
        </w:rPr>
        <w:t>2</w:t>
      </w:r>
      <w:r w:rsidRPr="003D5135">
        <w:rPr>
          <w:rFonts w:cs="Times New Roman"/>
          <w:color w:val="000000" w:themeColor="text1"/>
          <w:sz w:val="24"/>
          <w:szCs w:val="24"/>
          <w:lang w:eastAsia="pt-BR"/>
        </w:rPr>
        <w:t>.</w:t>
      </w:r>
      <w:r w:rsidR="0021049E" w:rsidRPr="0021049E">
        <w:rPr>
          <w:rFonts w:cs="Times New Roman"/>
          <w:color w:val="000000" w:themeColor="text1"/>
          <w:sz w:val="24"/>
          <w:szCs w:val="24"/>
          <w:lang w:eastAsia="pt-BR"/>
        </w:rPr>
        <w:t>040.006</w:t>
      </w:r>
      <w:r w:rsidRPr="003D5135">
        <w:rPr>
          <w:rFonts w:cs="Times New Roman"/>
          <w:color w:val="000000" w:themeColor="text1"/>
          <w:sz w:val="24"/>
          <w:szCs w:val="24"/>
          <w:lang w:eastAsia="pt-BR"/>
        </w:rPr>
        <w:t xml:space="preserve"> milhões</w:t>
      </w:r>
      <w:r w:rsidR="00C32DC7" w:rsidRPr="003D5135">
        <w:rPr>
          <w:rFonts w:cs="Times New Roman"/>
          <w:color w:val="000000" w:themeColor="text1"/>
          <w:sz w:val="24"/>
          <w:szCs w:val="24"/>
          <w:lang w:eastAsia="pt-BR"/>
        </w:rPr>
        <w:t>)</w:t>
      </w:r>
      <w:r w:rsidRPr="003D5135">
        <w:rPr>
          <w:rFonts w:cs="Times New Roman"/>
          <w:color w:val="000000" w:themeColor="text1"/>
          <w:sz w:val="24"/>
          <w:szCs w:val="24"/>
          <w:lang w:eastAsia="pt-BR"/>
        </w:rPr>
        <w:t xml:space="preserve"> são tratados como perdas, ou seja, há uma expectativa de recuperação/arrecadação de R$ </w:t>
      </w:r>
      <w:r w:rsidR="0021049E" w:rsidRPr="0021049E">
        <w:rPr>
          <w:rFonts w:cs="Times New Roman"/>
          <w:color w:val="000000" w:themeColor="text1"/>
          <w:sz w:val="24"/>
          <w:szCs w:val="24"/>
          <w:lang w:eastAsia="pt-BR"/>
        </w:rPr>
        <w:t>484.964</w:t>
      </w:r>
      <w:r w:rsidRPr="003D5135">
        <w:rPr>
          <w:rFonts w:cs="Times New Roman"/>
          <w:color w:val="000000" w:themeColor="text1"/>
          <w:sz w:val="24"/>
          <w:szCs w:val="24"/>
          <w:lang w:eastAsia="pt-BR"/>
        </w:rPr>
        <w:t xml:space="preserve"> milhões dentro dos próximos 15 anos.</w:t>
      </w:r>
    </w:p>
    <w:p w14:paraId="7B0F6C9B" w14:textId="083FA8A2" w:rsidR="00DA13F2" w:rsidRPr="003D5135" w:rsidRDefault="00DA13F2" w:rsidP="39B600F5">
      <w:pPr>
        <w:spacing w:after="120" w:line="240" w:lineRule="auto"/>
        <w:ind w:firstLine="1418"/>
        <w:jc w:val="both"/>
        <w:rPr>
          <w:rFonts w:cs="Times New Roman"/>
          <w:color w:val="000000" w:themeColor="text1"/>
          <w:sz w:val="24"/>
          <w:szCs w:val="24"/>
          <w:lang w:eastAsia="pt-BR"/>
        </w:rPr>
      </w:pPr>
      <w:r w:rsidRPr="003D5135">
        <w:rPr>
          <w:rFonts w:cs="Times New Roman"/>
          <w:color w:val="000000" w:themeColor="text1"/>
          <w:sz w:val="24"/>
          <w:szCs w:val="24"/>
          <w:lang w:eastAsia="pt-BR"/>
        </w:rPr>
        <w:t>A</w:t>
      </w:r>
      <w:r w:rsidR="008B6080" w:rsidRPr="003D5135">
        <w:rPr>
          <w:rFonts w:cs="Times New Roman"/>
          <w:color w:val="000000" w:themeColor="text1"/>
          <w:sz w:val="24"/>
          <w:szCs w:val="24"/>
          <w:lang w:eastAsia="pt-BR"/>
        </w:rPr>
        <w:t xml:space="preserve"> </w:t>
      </w:r>
      <w:r w:rsidR="00752EF6" w:rsidRPr="003D5135">
        <w:rPr>
          <w:rFonts w:cs="Times New Roman"/>
          <w:color w:val="000000" w:themeColor="text1"/>
          <w:sz w:val="24"/>
          <w:szCs w:val="24"/>
          <w:lang w:eastAsia="pt-BR"/>
        </w:rPr>
        <w:fldChar w:fldCharType="begin"/>
      </w:r>
      <w:r w:rsidR="00752EF6" w:rsidRPr="009B04B3">
        <w:rPr>
          <w:rFonts w:cs="Times New Roman"/>
          <w:sz w:val="24"/>
          <w:szCs w:val="24"/>
          <w:lang w:eastAsia="pt-BR"/>
        </w:rPr>
        <w:instrText xml:space="preserve"> REF _Ref33186307  \* MERGEFORMAT </w:instrText>
      </w:r>
      <w:r w:rsidR="00752EF6" w:rsidRPr="003D5135">
        <w:rPr>
          <w:rFonts w:cs="Times New Roman"/>
          <w:color w:val="000000" w:themeColor="text1"/>
          <w:sz w:val="24"/>
          <w:szCs w:val="24"/>
          <w:lang w:eastAsia="pt-BR"/>
        </w:rPr>
        <w:fldChar w:fldCharType="separate"/>
      </w:r>
      <w:r w:rsidR="00304F5F" w:rsidRPr="00304F5F">
        <w:rPr>
          <w:rFonts w:cs="Times New Roman"/>
          <w:sz w:val="24"/>
          <w:szCs w:val="24"/>
          <w:lang w:eastAsia="pt-BR"/>
        </w:rPr>
        <w:t>Tabela 37</w:t>
      </w:r>
      <w:r w:rsidR="00752EF6" w:rsidRPr="003D5135">
        <w:rPr>
          <w:rFonts w:cs="Times New Roman"/>
          <w:color w:val="000000" w:themeColor="text1"/>
          <w:sz w:val="24"/>
          <w:szCs w:val="24"/>
          <w:lang w:eastAsia="pt-BR"/>
        </w:rPr>
        <w:fldChar w:fldCharType="end"/>
      </w:r>
      <w:r w:rsidRPr="003D5135">
        <w:rPr>
          <w:rFonts w:cs="Times New Roman"/>
          <w:color w:val="000000" w:themeColor="text1"/>
          <w:sz w:val="24"/>
          <w:szCs w:val="24"/>
          <w:lang w:eastAsia="pt-BR"/>
        </w:rPr>
        <w:t xml:space="preserve"> </w:t>
      </w:r>
      <w:r w:rsidR="00855938" w:rsidRPr="003D5135">
        <w:rPr>
          <w:rFonts w:cs="Times New Roman"/>
          <w:color w:val="000000" w:themeColor="text1"/>
          <w:sz w:val="24"/>
          <w:szCs w:val="24"/>
          <w:lang w:eastAsia="pt-BR"/>
        </w:rPr>
        <w:t>e</w:t>
      </w:r>
      <w:r w:rsidR="00752EF6" w:rsidRPr="003D5135">
        <w:rPr>
          <w:rFonts w:cs="Times New Roman"/>
          <w:color w:val="000000" w:themeColor="text1"/>
          <w:sz w:val="24"/>
          <w:szCs w:val="24"/>
          <w:lang w:eastAsia="pt-BR"/>
        </w:rPr>
        <w:t xml:space="preserve"> a</w:t>
      </w:r>
      <w:r w:rsidR="00855938" w:rsidRPr="003D5135">
        <w:rPr>
          <w:rFonts w:cs="Times New Roman"/>
          <w:color w:val="000000" w:themeColor="text1"/>
          <w:sz w:val="24"/>
          <w:szCs w:val="24"/>
          <w:lang w:eastAsia="pt-BR"/>
        </w:rPr>
        <w:t xml:space="preserve"> </w:t>
      </w:r>
      <w:r w:rsidR="00752EF6" w:rsidRPr="003D5135">
        <w:rPr>
          <w:rFonts w:cs="Times New Roman"/>
          <w:color w:val="000000" w:themeColor="text1"/>
          <w:sz w:val="24"/>
          <w:szCs w:val="24"/>
          <w:lang w:eastAsia="pt-BR"/>
        </w:rPr>
        <w:fldChar w:fldCharType="begin"/>
      </w:r>
      <w:r w:rsidR="00752EF6" w:rsidRPr="009B04B3">
        <w:rPr>
          <w:rFonts w:cs="Times New Roman"/>
          <w:sz w:val="24"/>
          <w:szCs w:val="24"/>
          <w:lang w:eastAsia="pt-BR"/>
        </w:rPr>
        <w:instrText xml:space="preserve"> REF _Ref33186320  \* MERGEFORMAT </w:instrText>
      </w:r>
      <w:r w:rsidR="00752EF6" w:rsidRPr="003D5135">
        <w:rPr>
          <w:rFonts w:cs="Times New Roman"/>
          <w:color w:val="000000" w:themeColor="text1"/>
          <w:sz w:val="24"/>
          <w:szCs w:val="24"/>
          <w:lang w:eastAsia="pt-BR"/>
        </w:rPr>
        <w:fldChar w:fldCharType="separate"/>
      </w:r>
      <w:r w:rsidR="00304F5F" w:rsidRPr="00304F5F">
        <w:rPr>
          <w:rFonts w:cs="Times New Roman"/>
          <w:sz w:val="24"/>
          <w:szCs w:val="24"/>
          <w:lang w:eastAsia="pt-BR"/>
        </w:rPr>
        <w:t>Tabela 38</w:t>
      </w:r>
      <w:r w:rsidR="00752EF6" w:rsidRPr="003D5135">
        <w:rPr>
          <w:rFonts w:cs="Times New Roman"/>
          <w:color w:val="000000" w:themeColor="text1"/>
          <w:sz w:val="24"/>
          <w:szCs w:val="24"/>
          <w:lang w:eastAsia="pt-BR"/>
        </w:rPr>
        <w:fldChar w:fldCharType="end"/>
      </w:r>
      <w:r w:rsidR="000C02E5" w:rsidRPr="003D5135">
        <w:rPr>
          <w:rFonts w:cs="Times New Roman"/>
          <w:color w:val="000000" w:themeColor="text1"/>
          <w:sz w:val="24"/>
          <w:szCs w:val="24"/>
          <w:lang w:eastAsia="pt-BR"/>
        </w:rPr>
        <w:t xml:space="preserve"> apresentam</w:t>
      </w:r>
      <w:r w:rsidR="008B6080" w:rsidRPr="003D5135">
        <w:rPr>
          <w:rFonts w:cs="Times New Roman"/>
          <w:color w:val="000000" w:themeColor="text1"/>
          <w:sz w:val="24"/>
          <w:szCs w:val="24"/>
          <w:lang w:eastAsia="pt-BR"/>
        </w:rPr>
        <w:t>,</w:t>
      </w:r>
      <w:r w:rsidR="000C02E5" w:rsidRPr="003D5135">
        <w:rPr>
          <w:rFonts w:cs="Times New Roman"/>
          <w:color w:val="000000" w:themeColor="text1"/>
          <w:sz w:val="24"/>
          <w:szCs w:val="24"/>
          <w:lang w:eastAsia="pt-BR"/>
        </w:rPr>
        <w:t xml:space="preserve"> respectivamente</w:t>
      </w:r>
      <w:r w:rsidR="008B6080" w:rsidRPr="003D5135">
        <w:rPr>
          <w:rFonts w:cs="Times New Roman"/>
          <w:color w:val="000000" w:themeColor="text1"/>
          <w:sz w:val="24"/>
          <w:szCs w:val="24"/>
          <w:lang w:eastAsia="pt-BR"/>
        </w:rPr>
        <w:t xml:space="preserve">, </w:t>
      </w:r>
      <w:r w:rsidR="00EB563E" w:rsidRPr="003D5135">
        <w:rPr>
          <w:rFonts w:cs="Times New Roman"/>
          <w:color w:val="000000" w:themeColor="text1"/>
          <w:sz w:val="24"/>
          <w:szCs w:val="24"/>
          <w:lang w:eastAsia="pt-BR"/>
        </w:rPr>
        <w:t xml:space="preserve">a </w:t>
      </w:r>
      <w:r w:rsidR="003F4270" w:rsidRPr="003D5135">
        <w:rPr>
          <w:rFonts w:cs="Times New Roman"/>
          <w:color w:val="000000" w:themeColor="text1"/>
          <w:sz w:val="24"/>
          <w:szCs w:val="24"/>
          <w:lang w:eastAsia="pt-BR"/>
        </w:rPr>
        <w:t>c</w:t>
      </w:r>
      <w:r w:rsidR="00752EF6" w:rsidRPr="003D5135">
        <w:rPr>
          <w:rFonts w:cs="Times New Roman"/>
          <w:color w:val="000000" w:themeColor="text1"/>
          <w:sz w:val="24"/>
          <w:szCs w:val="24"/>
          <w:lang w:eastAsia="pt-BR"/>
        </w:rPr>
        <w:t xml:space="preserve">omparação entre os fluxos da arrecadação dos créditos, estimados e realizados, </w:t>
      </w:r>
      <w:r w:rsidR="00F05E40" w:rsidRPr="003D5135">
        <w:rPr>
          <w:rFonts w:cs="Times New Roman"/>
          <w:color w:val="000000" w:themeColor="text1"/>
          <w:sz w:val="24"/>
          <w:szCs w:val="24"/>
          <w:lang w:eastAsia="pt-BR"/>
        </w:rPr>
        <w:t xml:space="preserve">e </w:t>
      </w:r>
      <w:r w:rsidR="00EB563E" w:rsidRPr="003D5135">
        <w:rPr>
          <w:rFonts w:cs="Times New Roman"/>
          <w:color w:val="000000" w:themeColor="text1"/>
          <w:sz w:val="24"/>
          <w:szCs w:val="24"/>
          <w:lang w:eastAsia="pt-BR"/>
        </w:rPr>
        <w:t>a e</w:t>
      </w:r>
      <w:r w:rsidR="00DF6A78" w:rsidRPr="003D5135">
        <w:rPr>
          <w:rFonts w:cs="Times New Roman"/>
          <w:color w:val="000000" w:themeColor="text1"/>
          <w:sz w:val="24"/>
          <w:szCs w:val="24"/>
          <w:lang w:eastAsia="pt-BR"/>
        </w:rPr>
        <w:t xml:space="preserve">stimativa de arrecadação dos créditos da </w:t>
      </w:r>
      <w:r w:rsidR="009F479D" w:rsidRPr="003D5135">
        <w:rPr>
          <w:rFonts w:cs="Times New Roman"/>
          <w:color w:val="000000" w:themeColor="text1"/>
          <w:sz w:val="24"/>
          <w:szCs w:val="24"/>
          <w:lang w:eastAsia="pt-BR"/>
        </w:rPr>
        <w:t>DAU</w:t>
      </w:r>
      <w:r w:rsidR="00CF6AE3" w:rsidRPr="003D5135">
        <w:rPr>
          <w:rFonts w:cs="Times New Roman"/>
          <w:color w:val="000000" w:themeColor="text1"/>
          <w:sz w:val="24"/>
          <w:szCs w:val="24"/>
          <w:lang w:eastAsia="pt-BR"/>
        </w:rPr>
        <w:t xml:space="preserve"> para os próximos exercícios</w:t>
      </w:r>
      <w:r w:rsidR="00EB563E" w:rsidRPr="003D5135">
        <w:rPr>
          <w:rFonts w:cs="Times New Roman"/>
          <w:color w:val="000000" w:themeColor="text1"/>
          <w:sz w:val="24"/>
          <w:szCs w:val="24"/>
          <w:lang w:eastAsia="pt-BR"/>
        </w:rPr>
        <w:t>.</w:t>
      </w:r>
      <w:r w:rsidR="69558CAD" w:rsidRPr="003D5135">
        <w:rPr>
          <w:rFonts w:cs="Times New Roman"/>
          <w:color w:val="000000" w:themeColor="text1"/>
          <w:sz w:val="24"/>
          <w:szCs w:val="24"/>
          <w:lang w:eastAsia="pt-BR"/>
        </w:rPr>
        <w:t xml:space="preserve"> As estimativas de fluxo de crédito</w:t>
      </w:r>
      <w:r w:rsidR="43B16572" w:rsidRPr="003D5135">
        <w:rPr>
          <w:rFonts w:cs="Times New Roman"/>
          <w:color w:val="000000" w:themeColor="text1"/>
          <w:sz w:val="24"/>
          <w:szCs w:val="24"/>
          <w:lang w:eastAsia="pt-BR"/>
        </w:rPr>
        <w:t xml:space="preserve"> a seguir</w:t>
      </w:r>
      <w:r w:rsidR="69558CAD" w:rsidRPr="003D5135">
        <w:rPr>
          <w:rFonts w:cs="Times New Roman"/>
          <w:color w:val="000000" w:themeColor="text1"/>
          <w:sz w:val="24"/>
          <w:szCs w:val="24"/>
          <w:lang w:eastAsia="pt-BR"/>
        </w:rPr>
        <w:t xml:space="preserve"> utilizaram a metodologia de suavização exponencial, tomando por base série histórica iniciada em 2015. Para os anos de 2021 e 2022, foi aplicado redutor de 15% em virtude dos efeitos da crise econômica decorrente da pandemia.</w:t>
      </w:r>
    </w:p>
    <w:p w14:paraId="33E00DD8" w14:textId="77777777" w:rsidR="009D6C1C" w:rsidRPr="003D5135" w:rsidRDefault="009D6C1C" w:rsidP="00704C72">
      <w:pPr>
        <w:spacing w:after="120" w:line="240" w:lineRule="auto"/>
        <w:ind w:firstLine="1418"/>
        <w:jc w:val="both"/>
        <w:rPr>
          <w:rFonts w:cs="Times New Roman"/>
          <w:color w:val="000000" w:themeColor="text1"/>
          <w:sz w:val="24"/>
          <w:szCs w:val="24"/>
          <w:lang w:eastAsia="pt-BR"/>
        </w:rPr>
      </w:pPr>
    </w:p>
    <w:p w14:paraId="4078ACD5" w14:textId="23E16B65" w:rsidR="00F42D11" w:rsidRPr="003D5135" w:rsidRDefault="00F42D11" w:rsidP="00E50D03">
      <w:pPr>
        <w:rPr>
          <w:color w:val="000000" w:themeColor="text1"/>
          <w:highlight w:val="yellow"/>
        </w:rPr>
      </w:pPr>
      <w:bookmarkStart w:id="322" w:name="_Ref33186307"/>
      <w:bookmarkStart w:id="323" w:name="_Toc69121383"/>
      <w:r w:rsidRPr="003D5135">
        <w:rPr>
          <w:color w:val="000000" w:themeColor="text1"/>
        </w:rPr>
        <w:t xml:space="preserve">Tabela </w:t>
      </w:r>
      <w:fldSimple w:instr=" SEQ Tabela \* ARABIC ">
        <w:r w:rsidR="00304F5F">
          <w:rPr>
            <w:noProof/>
          </w:rPr>
          <w:t>37</w:t>
        </w:r>
      </w:fldSimple>
      <w:bookmarkEnd w:id="322"/>
      <w:r w:rsidRPr="003D5135">
        <w:rPr>
          <w:color w:val="000000" w:themeColor="text1"/>
        </w:rPr>
        <w:t xml:space="preserve"> - </w:t>
      </w:r>
      <w:r w:rsidR="00540663" w:rsidRPr="003D5135">
        <w:rPr>
          <w:color w:val="000000" w:themeColor="text1"/>
        </w:rPr>
        <w:t>Comparação entre</w:t>
      </w:r>
      <w:r w:rsidR="00D01403" w:rsidRPr="003D5135">
        <w:rPr>
          <w:color w:val="000000" w:themeColor="text1"/>
        </w:rPr>
        <w:t xml:space="preserve"> </w:t>
      </w:r>
      <w:r w:rsidR="00977E00" w:rsidRPr="003D5135">
        <w:rPr>
          <w:color w:val="000000" w:themeColor="text1"/>
        </w:rPr>
        <w:t xml:space="preserve">os fluxos </w:t>
      </w:r>
      <w:r w:rsidR="003E5917" w:rsidRPr="003D5135">
        <w:rPr>
          <w:color w:val="000000" w:themeColor="text1"/>
        </w:rPr>
        <w:t xml:space="preserve">da </w:t>
      </w:r>
      <w:r w:rsidR="00462245" w:rsidRPr="003D5135">
        <w:rPr>
          <w:color w:val="000000" w:themeColor="text1"/>
        </w:rPr>
        <w:t>a</w:t>
      </w:r>
      <w:r w:rsidR="00D01403" w:rsidRPr="003D5135">
        <w:rPr>
          <w:color w:val="000000" w:themeColor="text1"/>
        </w:rPr>
        <w:t xml:space="preserve">rrecadação dos </w:t>
      </w:r>
      <w:r w:rsidR="00462245" w:rsidRPr="003D5135">
        <w:rPr>
          <w:color w:val="000000" w:themeColor="text1"/>
        </w:rPr>
        <w:t>c</w:t>
      </w:r>
      <w:r w:rsidR="00D01403" w:rsidRPr="003D5135">
        <w:rPr>
          <w:color w:val="000000" w:themeColor="text1"/>
        </w:rPr>
        <w:t>réditos</w:t>
      </w:r>
      <w:r w:rsidR="00540663" w:rsidRPr="003D5135">
        <w:rPr>
          <w:color w:val="000000" w:themeColor="text1"/>
        </w:rPr>
        <w:t>, estimad</w:t>
      </w:r>
      <w:r w:rsidR="003E5917" w:rsidRPr="003D5135">
        <w:rPr>
          <w:color w:val="000000" w:themeColor="text1"/>
        </w:rPr>
        <w:t>o</w:t>
      </w:r>
      <w:r w:rsidR="00540663" w:rsidRPr="003D5135">
        <w:rPr>
          <w:color w:val="000000" w:themeColor="text1"/>
        </w:rPr>
        <w:t>s e realizad</w:t>
      </w:r>
      <w:r w:rsidR="003E5917" w:rsidRPr="003D5135">
        <w:rPr>
          <w:color w:val="000000" w:themeColor="text1"/>
        </w:rPr>
        <w:t>o</w:t>
      </w:r>
      <w:r w:rsidR="00540663" w:rsidRPr="003D5135">
        <w:rPr>
          <w:color w:val="000000" w:themeColor="text1"/>
        </w:rPr>
        <w:t xml:space="preserve">s, por </w:t>
      </w:r>
      <w:proofErr w:type="gramStart"/>
      <w:r w:rsidR="00540663" w:rsidRPr="003D5135">
        <w:rPr>
          <w:color w:val="000000" w:themeColor="text1"/>
        </w:rPr>
        <w:t>exercício</w:t>
      </w:r>
      <w:bookmarkEnd w:id="323"/>
      <w:proofErr w:type="gramEnd"/>
    </w:p>
    <w:tbl>
      <w:tblPr>
        <w:tblW w:w="827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4"/>
        <w:gridCol w:w="1996"/>
        <w:gridCol w:w="1997"/>
        <w:gridCol w:w="1996"/>
        <w:gridCol w:w="1997"/>
      </w:tblGrid>
      <w:tr w:rsidR="004A6585" w:rsidRPr="00C778B3" w14:paraId="18CA55B8" w14:textId="071B0F00" w:rsidTr="00A75B05">
        <w:trPr>
          <w:trHeight w:val="20"/>
          <w:tblHeader/>
          <w:jc w:val="center"/>
        </w:trPr>
        <w:tc>
          <w:tcPr>
            <w:tcW w:w="284" w:type="dxa"/>
            <w:tcBorders>
              <w:top w:val="nil"/>
              <w:left w:val="nil"/>
              <w:bottom w:val="single" w:sz="4" w:space="0" w:color="BFBFBF" w:themeColor="background1" w:themeShade="BF"/>
              <w:right w:val="nil"/>
            </w:tcBorders>
          </w:tcPr>
          <w:p w14:paraId="5FD0F1D5" w14:textId="77777777" w:rsidR="004A6585" w:rsidRPr="000732E4" w:rsidRDefault="004A6585" w:rsidP="00C413EB">
            <w:pPr>
              <w:spacing w:after="0" w:line="240" w:lineRule="auto"/>
              <w:jc w:val="right"/>
              <w:rPr>
                <w:i/>
                <w:sz w:val="16"/>
                <w:szCs w:val="16"/>
              </w:rPr>
            </w:pPr>
          </w:p>
        </w:tc>
        <w:tc>
          <w:tcPr>
            <w:tcW w:w="7986" w:type="dxa"/>
            <w:gridSpan w:val="4"/>
            <w:tcBorders>
              <w:top w:val="nil"/>
              <w:left w:val="nil"/>
              <w:bottom w:val="single" w:sz="4" w:space="0" w:color="BFBFBF" w:themeColor="background1" w:themeShade="BF"/>
              <w:right w:val="nil"/>
            </w:tcBorders>
            <w:shd w:val="clear" w:color="auto" w:fill="auto"/>
            <w:vAlign w:val="center"/>
          </w:tcPr>
          <w:p w14:paraId="0E08D570" w14:textId="32A7861E" w:rsidR="004A6585" w:rsidRPr="001F2824" w:rsidRDefault="004A6585" w:rsidP="00C413EB">
            <w:pPr>
              <w:spacing w:after="0" w:line="240" w:lineRule="auto"/>
              <w:jc w:val="right"/>
              <w:rPr>
                <w:rFonts w:cs="Times New Roman"/>
                <w:i/>
                <w:sz w:val="16"/>
                <w:szCs w:val="16"/>
                <w:lang w:eastAsia="pt-BR"/>
              </w:rPr>
            </w:pPr>
            <w:r w:rsidRPr="000732E4">
              <w:rPr>
                <w:i/>
                <w:sz w:val="16"/>
                <w:szCs w:val="16"/>
              </w:rPr>
              <w:t>Em R$ milhões</w:t>
            </w:r>
          </w:p>
        </w:tc>
      </w:tr>
      <w:tr w:rsidR="00EC36CB" w:rsidRPr="00F60800" w14:paraId="3EFB6DF1" w14:textId="77777777" w:rsidTr="00163861">
        <w:trPr>
          <w:trHeight w:val="20"/>
          <w:tblHeader/>
          <w:jc w:val="center"/>
        </w:trPr>
        <w:tc>
          <w:tcPr>
            <w:tcW w:w="8270" w:type="dxa"/>
            <w:gridSpan w:val="5"/>
            <w:tcBorders>
              <w:top w:val="single" w:sz="4" w:space="0" w:color="BFBFBF" w:themeColor="background1" w:themeShade="BF"/>
            </w:tcBorders>
            <w:shd w:val="clear" w:color="auto" w:fill="404040" w:themeFill="text1" w:themeFillTint="BF"/>
          </w:tcPr>
          <w:p w14:paraId="03661313" w14:textId="7E7C03B6" w:rsidR="00EC36CB" w:rsidRPr="00C778B3" w:rsidRDefault="00EC36CB" w:rsidP="00C413EB">
            <w:pPr>
              <w:spacing w:after="0" w:line="240" w:lineRule="auto"/>
              <w:jc w:val="center"/>
              <w:rPr>
                <w:rFonts w:eastAsia="Times New Roman" w:cs="Times New Roman"/>
                <w:b/>
                <w:color w:val="FFFFFF" w:themeColor="background1"/>
                <w:sz w:val="20"/>
                <w:szCs w:val="20"/>
                <w:lang w:eastAsia="pt-BR"/>
              </w:rPr>
            </w:pPr>
            <w:r w:rsidRPr="00C778B3">
              <w:rPr>
                <w:rFonts w:eastAsia="Times New Roman" w:cs="Times New Roman"/>
                <w:b/>
                <w:color w:val="FFFFFF" w:themeColor="background1"/>
                <w:sz w:val="20"/>
                <w:szCs w:val="20"/>
                <w:lang w:eastAsia="pt-BR"/>
              </w:rPr>
              <w:t>Arrecadação dos Créditos</w:t>
            </w:r>
          </w:p>
          <w:p w14:paraId="7DF665E3" w14:textId="77777777" w:rsidR="00EC36CB" w:rsidRPr="00C778B3" w:rsidRDefault="00EC36CB" w:rsidP="00C413EB">
            <w:pPr>
              <w:spacing w:after="0" w:line="240" w:lineRule="auto"/>
              <w:jc w:val="center"/>
              <w:rPr>
                <w:rFonts w:eastAsia="Times New Roman" w:cs="Times New Roman"/>
                <w:color w:val="FFFFFF" w:themeColor="background1"/>
                <w:sz w:val="20"/>
                <w:szCs w:val="20"/>
                <w:lang w:eastAsia="pt-BR"/>
              </w:rPr>
            </w:pPr>
            <w:r w:rsidRPr="00C778B3">
              <w:rPr>
                <w:rFonts w:eastAsia="Times New Roman" w:cs="Times New Roman"/>
                <w:color w:val="FFFFFF" w:themeColor="background1"/>
                <w:sz w:val="20"/>
                <w:szCs w:val="20"/>
                <w:lang w:eastAsia="pt-BR"/>
              </w:rPr>
              <w:t>Valor Estimado ($)</w:t>
            </w:r>
          </w:p>
          <w:p w14:paraId="70AFB930" w14:textId="77777777" w:rsidR="00EC36CB" w:rsidRPr="00C778B3" w:rsidRDefault="00EC36CB" w:rsidP="00C413EB">
            <w:pPr>
              <w:spacing w:after="0" w:line="240" w:lineRule="auto"/>
              <w:jc w:val="center"/>
              <w:rPr>
                <w:rFonts w:eastAsia="Times New Roman" w:cs="Times New Roman"/>
                <w:color w:val="FFFFFF" w:themeColor="background1"/>
                <w:sz w:val="20"/>
                <w:szCs w:val="20"/>
                <w:lang w:eastAsia="pt-BR"/>
              </w:rPr>
            </w:pPr>
            <w:r w:rsidRPr="00C778B3">
              <w:rPr>
                <w:rFonts w:eastAsia="Times New Roman" w:cs="Times New Roman"/>
                <w:color w:val="FFFFFF" w:themeColor="background1"/>
                <w:sz w:val="20"/>
                <w:szCs w:val="20"/>
                <w:lang w:eastAsia="pt-BR"/>
              </w:rPr>
              <w:t>Valor Realizado ($)</w:t>
            </w:r>
          </w:p>
          <w:p w14:paraId="3F807AFF" w14:textId="7C8AEF78" w:rsidR="00EC36CB" w:rsidRPr="00C778B3" w:rsidRDefault="00EC36CB" w:rsidP="00C413EB">
            <w:pPr>
              <w:spacing w:after="0" w:line="240" w:lineRule="auto"/>
              <w:jc w:val="center"/>
              <w:rPr>
                <w:rFonts w:eastAsia="Times New Roman" w:cs="Times New Roman"/>
                <w:color w:val="FFFFFF" w:themeColor="background1"/>
                <w:sz w:val="20"/>
                <w:szCs w:val="20"/>
                <w:lang w:eastAsia="pt-BR"/>
              </w:rPr>
            </w:pPr>
            <w:r w:rsidRPr="00C778B3">
              <w:rPr>
                <w:rFonts w:eastAsia="Times New Roman" w:cs="Times New Roman"/>
                <w:color w:val="FFFFFF" w:themeColor="background1"/>
                <w:sz w:val="20"/>
                <w:szCs w:val="20"/>
                <w:lang w:eastAsia="pt-BR"/>
              </w:rPr>
              <w:t>Variação</w:t>
            </w:r>
            <w:r w:rsidRPr="00C778B3">
              <w:rPr>
                <w:rFonts w:eastAsia="Times New Roman" w:cs="Times New Roman"/>
                <w:color w:val="FFFFFF" w:themeColor="background1"/>
                <w:sz w:val="20"/>
                <w:szCs w:val="20"/>
                <w:vertAlign w:val="superscript"/>
                <w:lang w:eastAsia="pt-BR"/>
              </w:rPr>
              <w:t xml:space="preserve"> </w:t>
            </w:r>
            <w:r>
              <w:rPr>
                <w:rFonts w:eastAsia="Times New Roman" w:cs="Times New Roman"/>
                <w:color w:val="FFFFFF" w:themeColor="background1"/>
                <w:sz w:val="20"/>
                <w:szCs w:val="20"/>
                <w:vertAlign w:val="superscript"/>
                <w:lang w:eastAsia="pt-BR"/>
              </w:rPr>
              <w:t>(</w:t>
            </w:r>
            <w:r w:rsidRPr="00C778B3">
              <w:rPr>
                <w:rFonts w:eastAsia="Times New Roman" w:cs="Times New Roman"/>
                <w:color w:val="FFFFFF" w:themeColor="background1"/>
                <w:sz w:val="20"/>
                <w:szCs w:val="20"/>
                <w:vertAlign w:val="superscript"/>
                <w:lang w:eastAsia="pt-BR"/>
              </w:rPr>
              <w:t>1</w:t>
            </w:r>
            <w:r>
              <w:rPr>
                <w:rFonts w:eastAsia="Times New Roman" w:cs="Times New Roman"/>
                <w:color w:val="FFFFFF" w:themeColor="background1"/>
                <w:sz w:val="20"/>
                <w:szCs w:val="20"/>
                <w:vertAlign w:val="superscript"/>
                <w:lang w:eastAsia="pt-BR"/>
              </w:rPr>
              <w:t>)</w:t>
            </w:r>
            <w:r w:rsidRPr="00C778B3">
              <w:rPr>
                <w:rFonts w:eastAsia="Times New Roman" w:cs="Times New Roman"/>
                <w:color w:val="FFFFFF" w:themeColor="background1"/>
                <w:sz w:val="20"/>
                <w:szCs w:val="20"/>
                <w:lang w:eastAsia="pt-BR"/>
              </w:rPr>
              <w:t xml:space="preserve"> (%)</w:t>
            </w:r>
          </w:p>
        </w:tc>
      </w:tr>
      <w:tr w:rsidR="004A6585" w:rsidRPr="00F60800" w14:paraId="2C3DAF09" w14:textId="2077C580" w:rsidTr="00EC36CB">
        <w:trPr>
          <w:trHeight w:val="20"/>
          <w:tblHeader/>
          <w:jc w:val="center"/>
        </w:trPr>
        <w:tc>
          <w:tcPr>
            <w:tcW w:w="284" w:type="dxa"/>
            <w:shd w:val="clear" w:color="auto" w:fill="404040" w:themeFill="text1" w:themeFillTint="BF"/>
          </w:tcPr>
          <w:p w14:paraId="531D2816" w14:textId="77777777" w:rsidR="004A6585" w:rsidRPr="00E50D03" w:rsidRDefault="004A6585" w:rsidP="00C413EB">
            <w:pPr>
              <w:spacing w:after="0" w:line="240" w:lineRule="auto"/>
              <w:jc w:val="center"/>
              <w:rPr>
                <w:rFonts w:eastAsia="Times New Roman" w:cs="Times New Roman"/>
                <w:b/>
                <w:bCs/>
                <w:color w:val="FFFFFF" w:themeColor="background1"/>
                <w:sz w:val="20"/>
                <w:szCs w:val="20"/>
                <w:lang w:eastAsia="pt-BR"/>
              </w:rPr>
            </w:pPr>
          </w:p>
        </w:tc>
        <w:tc>
          <w:tcPr>
            <w:tcW w:w="1996" w:type="dxa"/>
            <w:shd w:val="clear" w:color="auto" w:fill="404040" w:themeFill="text1" w:themeFillTint="BF"/>
          </w:tcPr>
          <w:p w14:paraId="61DFB025" w14:textId="6EC9E9D9" w:rsidR="004A6585" w:rsidRPr="00C778B3" w:rsidRDefault="004A6585" w:rsidP="00C413EB">
            <w:pPr>
              <w:spacing w:after="0" w:line="240" w:lineRule="auto"/>
              <w:jc w:val="center"/>
              <w:rPr>
                <w:rFonts w:eastAsia="Times New Roman" w:cs="Times New Roman"/>
                <w:b/>
                <w:color w:val="FFFFFF" w:themeColor="background1"/>
                <w:sz w:val="20"/>
                <w:szCs w:val="20"/>
                <w:lang w:eastAsia="pt-BR"/>
              </w:rPr>
            </w:pPr>
            <w:r w:rsidRPr="00E50D03">
              <w:rPr>
                <w:rFonts w:eastAsia="Times New Roman" w:cs="Times New Roman"/>
                <w:b/>
                <w:bCs/>
                <w:color w:val="FFFFFF" w:themeColor="background1"/>
                <w:sz w:val="20"/>
                <w:szCs w:val="20"/>
                <w:lang w:eastAsia="pt-BR"/>
              </w:rPr>
              <w:t>2018</w:t>
            </w:r>
          </w:p>
        </w:tc>
        <w:tc>
          <w:tcPr>
            <w:tcW w:w="1997" w:type="dxa"/>
            <w:shd w:val="clear" w:color="auto" w:fill="404040" w:themeFill="text1" w:themeFillTint="BF"/>
          </w:tcPr>
          <w:p w14:paraId="5D755D12" w14:textId="21F44ABD" w:rsidR="004A6585" w:rsidRPr="00C778B3" w:rsidRDefault="004A6585" w:rsidP="00C413EB">
            <w:pPr>
              <w:spacing w:after="0" w:line="240" w:lineRule="auto"/>
              <w:jc w:val="center"/>
              <w:rPr>
                <w:rFonts w:eastAsia="Times New Roman" w:cs="Times New Roman"/>
                <w:b/>
                <w:color w:val="FFFFFF" w:themeColor="background1"/>
                <w:sz w:val="20"/>
                <w:szCs w:val="20"/>
                <w:lang w:eastAsia="pt-BR"/>
              </w:rPr>
            </w:pPr>
            <w:r w:rsidRPr="00E50D03">
              <w:rPr>
                <w:rFonts w:eastAsia="Times New Roman" w:cs="Times New Roman"/>
                <w:b/>
                <w:bCs/>
                <w:color w:val="FFFFFF" w:themeColor="background1"/>
                <w:sz w:val="20"/>
                <w:szCs w:val="20"/>
                <w:lang w:eastAsia="pt-BR"/>
              </w:rPr>
              <w:t>2019</w:t>
            </w:r>
          </w:p>
        </w:tc>
        <w:tc>
          <w:tcPr>
            <w:tcW w:w="1996" w:type="dxa"/>
            <w:shd w:val="clear" w:color="auto" w:fill="404040" w:themeFill="text1" w:themeFillTint="BF"/>
          </w:tcPr>
          <w:p w14:paraId="69919EC4" w14:textId="561AA010" w:rsidR="004A6585" w:rsidRPr="00C778B3" w:rsidRDefault="004A6585" w:rsidP="00C413EB">
            <w:pPr>
              <w:spacing w:after="0" w:line="240" w:lineRule="auto"/>
              <w:jc w:val="center"/>
              <w:rPr>
                <w:rFonts w:eastAsia="Times New Roman" w:cs="Times New Roman"/>
                <w:b/>
                <w:bCs/>
                <w:color w:val="FFFFFF" w:themeColor="background1"/>
                <w:sz w:val="20"/>
                <w:szCs w:val="20"/>
                <w:lang w:eastAsia="pt-BR"/>
              </w:rPr>
            </w:pPr>
            <w:r w:rsidRPr="00E50D03">
              <w:rPr>
                <w:rFonts w:eastAsia="Times New Roman" w:cs="Times New Roman"/>
                <w:b/>
                <w:bCs/>
                <w:color w:val="FFFFFF" w:themeColor="background1"/>
                <w:sz w:val="20"/>
                <w:szCs w:val="20"/>
                <w:lang w:eastAsia="pt-BR"/>
              </w:rPr>
              <w:t>2020</w:t>
            </w:r>
          </w:p>
          <w:p w14:paraId="7A806F60" w14:textId="0F96691A" w:rsidR="004A6585" w:rsidRPr="001F2824" w:rsidRDefault="004A6585" w:rsidP="00C413EB">
            <w:pPr>
              <w:spacing w:after="0" w:line="240" w:lineRule="auto"/>
              <w:jc w:val="center"/>
              <w:rPr>
                <w:rFonts w:eastAsia="Times New Roman" w:cs="Times New Roman"/>
                <w:color w:val="FFFFFF" w:themeColor="background1"/>
                <w:sz w:val="20"/>
                <w:szCs w:val="20"/>
                <w:lang w:eastAsia="pt-BR"/>
              </w:rPr>
            </w:pPr>
            <w:r w:rsidRPr="001F2824">
              <w:rPr>
                <w:rFonts w:eastAsia="Times New Roman" w:cs="Times New Roman"/>
                <w:color w:val="FFFFFF" w:themeColor="background1"/>
                <w:sz w:val="20"/>
                <w:szCs w:val="20"/>
                <w:lang w:eastAsia="pt-BR"/>
              </w:rPr>
              <w:t>(</w:t>
            </w:r>
            <w:proofErr w:type="spellStart"/>
            <w:r w:rsidRPr="001F2824">
              <w:rPr>
                <w:rFonts w:eastAsia="Times New Roman" w:cs="Times New Roman"/>
                <w:color w:val="FFFFFF" w:themeColor="background1"/>
                <w:sz w:val="20"/>
                <w:szCs w:val="20"/>
                <w:lang w:eastAsia="pt-BR"/>
              </w:rPr>
              <w:t>pré</w:t>
            </w:r>
            <w:proofErr w:type="spellEnd"/>
            <w:r w:rsidRPr="001F2824">
              <w:rPr>
                <w:rFonts w:eastAsia="Times New Roman" w:cs="Times New Roman"/>
                <w:color w:val="FFFFFF" w:themeColor="background1"/>
                <w:sz w:val="20"/>
                <w:szCs w:val="20"/>
                <w:lang w:eastAsia="pt-BR"/>
              </w:rPr>
              <w:t>-pandemia)</w:t>
            </w:r>
          </w:p>
        </w:tc>
        <w:tc>
          <w:tcPr>
            <w:tcW w:w="1997" w:type="dxa"/>
            <w:shd w:val="clear" w:color="auto" w:fill="404040" w:themeFill="text1" w:themeFillTint="BF"/>
          </w:tcPr>
          <w:p w14:paraId="07C89D7C" w14:textId="184AD467" w:rsidR="004A6585" w:rsidRDefault="004A6585" w:rsidP="00C413EB">
            <w:pPr>
              <w:spacing w:after="0" w:line="240" w:lineRule="auto"/>
              <w:jc w:val="center"/>
              <w:rPr>
                <w:rFonts w:eastAsia="Times New Roman" w:cs="Times New Roman"/>
                <w:b/>
                <w:bCs/>
                <w:color w:val="FFFFFF" w:themeColor="background1"/>
                <w:sz w:val="20"/>
                <w:szCs w:val="20"/>
                <w:lang w:eastAsia="pt-BR"/>
              </w:rPr>
            </w:pPr>
            <w:r w:rsidRPr="00E50D03">
              <w:rPr>
                <w:rFonts w:eastAsia="Times New Roman" w:cs="Times New Roman"/>
                <w:b/>
                <w:bCs/>
                <w:color w:val="FFFFFF" w:themeColor="background1"/>
                <w:sz w:val="20"/>
                <w:szCs w:val="20"/>
                <w:lang w:eastAsia="pt-BR"/>
              </w:rPr>
              <w:t>2020</w:t>
            </w:r>
          </w:p>
          <w:p w14:paraId="347AE9D9" w14:textId="1F1E34CE" w:rsidR="004A6585" w:rsidRPr="001F2824" w:rsidRDefault="004A6585" w:rsidP="00C413EB">
            <w:pPr>
              <w:spacing w:after="0" w:line="240" w:lineRule="auto"/>
              <w:jc w:val="center"/>
              <w:rPr>
                <w:rFonts w:eastAsia="Times New Roman" w:cs="Times New Roman"/>
                <w:color w:val="FFFFFF" w:themeColor="background1"/>
                <w:sz w:val="20"/>
                <w:szCs w:val="20"/>
                <w:lang w:eastAsia="pt-BR"/>
              </w:rPr>
            </w:pPr>
            <w:r w:rsidRPr="001F2824">
              <w:rPr>
                <w:rFonts w:eastAsia="Times New Roman" w:cs="Times New Roman"/>
                <w:color w:val="FFFFFF" w:themeColor="background1"/>
                <w:sz w:val="20"/>
                <w:szCs w:val="20"/>
                <w:lang w:eastAsia="pt-BR"/>
              </w:rPr>
              <w:t>(após pandemia)</w:t>
            </w:r>
          </w:p>
        </w:tc>
      </w:tr>
      <w:tr w:rsidR="004A6585" w:rsidRPr="005F7389" w14:paraId="3D485D6D" w14:textId="670E5154" w:rsidTr="00EC36CB">
        <w:trPr>
          <w:trHeight w:val="20"/>
          <w:jc w:val="center"/>
        </w:trPr>
        <w:tc>
          <w:tcPr>
            <w:tcW w:w="284" w:type="dxa"/>
            <w:tcBorders>
              <w:bottom w:val="single" w:sz="4" w:space="0" w:color="BFBFBF" w:themeColor="background1" w:themeShade="BF"/>
            </w:tcBorders>
          </w:tcPr>
          <w:p w14:paraId="630302F7" w14:textId="77777777" w:rsidR="004A6585" w:rsidRDefault="00A75B05" w:rsidP="00A75B05">
            <w:pPr>
              <w:spacing w:after="0" w:line="240" w:lineRule="auto"/>
              <w:rPr>
                <w:rFonts w:eastAsia="Times New Roman" w:cs="Times New Roman"/>
                <w:sz w:val="18"/>
                <w:szCs w:val="18"/>
                <w:lang w:eastAsia="pt-BR"/>
              </w:rPr>
            </w:pPr>
            <w:r>
              <w:rPr>
                <w:rFonts w:eastAsia="Times New Roman" w:cs="Times New Roman"/>
                <w:sz w:val="18"/>
                <w:szCs w:val="18"/>
                <w:lang w:eastAsia="pt-BR"/>
              </w:rPr>
              <w:t>E</w:t>
            </w:r>
          </w:p>
          <w:p w14:paraId="752DB7DC" w14:textId="77777777" w:rsidR="00A75B05" w:rsidRDefault="00A75B05" w:rsidP="00A75B05">
            <w:pPr>
              <w:spacing w:after="0" w:line="240" w:lineRule="auto"/>
              <w:rPr>
                <w:rFonts w:eastAsia="Times New Roman" w:cs="Times New Roman"/>
                <w:sz w:val="18"/>
                <w:szCs w:val="18"/>
                <w:lang w:eastAsia="pt-BR"/>
              </w:rPr>
            </w:pPr>
            <w:r>
              <w:rPr>
                <w:rFonts w:eastAsia="Times New Roman" w:cs="Times New Roman"/>
                <w:sz w:val="18"/>
                <w:szCs w:val="18"/>
                <w:lang w:eastAsia="pt-BR"/>
              </w:rPr>
              <w:t>R</w:t>
            </w:r>
          </w:p>
          <w:p w14:paraId="2BA3AFBB" w14:textId="75F35693" w:rsidR="00A75B05" w:rsidRPr="00E50D03" w:rsidRDefault="00A75B05" w:rsidP="00A75B05">
            <w:pPr>
              <w:spacing w:after="0" w:line="240" w:lineRule="auto"/>
              <w:rPr>
                <w:rFonts w:eastAsia="Times New Roman" w:cs="Times New Roman"/>
                <w:sz w:val="18"/>
                <w:szCs w:val="18"/>
                <w:lang w:eastAsia="pt-BR"/>
              </w:rPr>
            </w:pPr>
            <w:r>
              <w:rPr>
                <w:rFonts w:eastAsia="Times New Roman" w:cs="Times New Roman"/>
                <w:sz w:val="18"/>
                <w:szCs w:val="18"/>
                <w:lang w:eastAsia="pt-BR"/>
              </w:rPr>
              <w:t>%</w:t>
            </w:r>
          </w:p>
        </w:tc>
        <w:tc>
          <w:tcPr>
            <w:tcW w:w="1996" w:type="dxa"/>
            <w:tcBorders>
              <w:bottom w:val="single" w:sz="4" w:space="0" w:color="BFBFBF" w:themeColor="background1" w:themeShade="BF"/>
            </w:tcBorders>
            <w:shd w:val="clear" w:color="auto" w:fill="auto"/>
            <w:vAlign w:val="center"/>
            <w:hideMark/>
          </w:tcPr>
          <w:p w14:paraId="6788D269" w14:textId="68875A64"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23.463,3</w:t>
            </w:r>
          </w:p>
          <w:p w14:paraId="2369DE6B" w14:textId="390CA495"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24.448,5</w:t>
            </w:r>
          </w:p>
          <w:p w14:paraId="53B53C8B" w14:textId="18867B5C"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4</w:t>
            </w:r>
            <w:r w:rsidRPr="005F7389">
              <w:rPr>
                <w:rFonts w:eastAsia="Times New Roman" w:cs="Times New Roman"/>
                <w:sz w:val="18"/>
                <w:szCs w:val="18"/>
                <w:lang w:eastAsia="pt-BR"/>
              </w:rPr>
              <w:t>,2%</w:t>
            </w:r>
          </w:p>
        </w:tc>
        <w:tc>
          <w:tcPr>
            <w:tcW w:w="1997" w:type="dxa"/>
            <w:tcBorders>
              <w:bottom w:val="single" w:sz="4" w:space="0" w:color="BFBFBF" w:themeColor="background1" w:themeShade="BF"/>
            </w:tcBorders>
            <w:shd w:val="clear" w:color="auto" w:fill="auto"/>
            <w:vAlign w:val="center"/>
          </w:tcPr>
          <w:p w14:paraId="6004662A" w14:textId="06C8FC14"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21.304,0</w:t>
            </w:r>
          </w:p>
          <w:p w14:paraId="237E553A" w14:textId="466B0612"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24.122,4</w:t>
            </w:r>
          </w:p>
          <w:p w14:paraId="2F838A6E" w14:textId="77777777" w:rsidR="004A6585" w:rsidRPr="005F7389" w:rsidRDefault="004A6585" w:rsidP="00C413EB">
            <w:pPr>
              <w:spacing w:after="0" w:line="240" w:lineRule="auto"/>
              <w:jc w:val="right"/>
              <w:rPr>
                <w:rFonts w:eastAsia="Times New Roman" w:cs="Times New Roman"/>
                <w:bCs/>
                <w:sz w:val="18"/>
                <w:szCs w:val="18"/>
                <w:lang w:eastAsia="pt-BR"/>
              </w:rPr>
            </w:pPr>
            <w:r w:rsidRPr="00E50D03">
              <w:rPr>
                <w:rFonts w:eastAsia="Times New Roman" w:cs="Times New Roman"/>
                <w:sz w:val="18"/>
                <w:szCs w:val="18"/>
                <w:lang w:eastAsia="pt-BR"/>
              </w:rPr>
              <w:t>13</w:t>
            </w:r>
            <w:r w:rsidRPr="005F7389">
              <w:rPr>
                <w:rFonts w:eastAsia="Times New Roman" w:cs="Times New Roman"/>
                <w:sz w:val="18"/>
                <w:szCs w:val="18"/>
                <w:lang w:eastAsia="pt-BR"/>
              </w:rPr>
              <w:t>,2%</w:t>
            </w:r>
          </w:p>
        </w:tc>
        <w:tc>
          <w:tcPr>
            <w:tcW w:w="1996" w:type="dxa"/>
            <w:tcBorders>
              <w:bottom w:val="single" w:sz="4" w:space="0" w:color="BFBFBF" w:themeColor="background1" w:themeShade="BF"/>
            </w:tcBorders>
            <w:shd w:val="clear" w:color="auto" w:fill="auto"/>
            <w:vAlign w:val="center"/>
            <w:hideMark/>
          </w:tcPr>
          <w:p w14:paraId="646272ED" w14:textId="463A9768"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23.993,2</w:t>
            </w:r>
          </w:p>
          <w:p w14:paraId="2FDFED8D" w14:textId="620CABBE"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25.360,2</w:t>
            </w:r>
          </w:p>
          <w:p w14:paraId="3CA912F0" w14:textId="2A8CD875" w:rsidR="004A6585" w:rsidRPr="005F7389"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5,7%</w:t>
            </w:r>
          </w:p>
        </w:tc>
        <w:tc>
          <w:tcPr>
            <w:tcW w:w="1997" w:type="dxa"/>
            <w:tcBorders>
              <w:bottom w:val="single" w:sz="4" w:space="0" w:color="BFBFBF" w:themeColor="background1" w:themeShade="BF"/>
            </w:tcBorders>
            <w:shd w:val="clear" w:color="auto" w:fill="auto"/>
            <w:vAlign w:val="center"/>
          </w:tcPr>
          <w:p w14:paraId="6A986005" w14:textId="7F39AFB8" w:rsidR="004A6585"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20.639,5</w:t>
            </w:r>
          </w:p>
          <w:p w14:paraId="1AB076F5" w14:textId="2D66B974" w:rsidR="004A6585"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25.360,2</w:t>
            </w:r>
          </w:p>
          <w:p w14:paraId="2DAB78F6" w14:textId="4E2777CC" w:rsidR="004A6585" w:rsidRDefault="004A6585" w:rsidP="00C413EB">
            <w:pPr>
              <w:spacing w:after="0" w:line="240" w:lineRule="auto"/>
              <w:jc w:val="right"/>
              <w:rPr>
                <w:rFonts w:eastAsia="Times New Roman" w:cs="Times New Roman"/>
                <w:sz w:val="18"/>
                <w:szCs w:val="18"/>
                <w:lang w:eastAsia="pt-BR"/>
              </w:rPr>
            </w:pPr>
            <w:r w:rsidRPr="00E50D03">
              <w:rPr>
                <w:rFonts w:eastAsia="Times New Roman" w:cs="Times New Roman"/>
                <w:sz w:val="18"/>
                <w:szCs w:val="18"/>
                <w:lang w:eastAsia="pt-BR"/>
              </w:rPr>
              <w:t>22,9%</w:t>
            </w:r>
          </w:p>
        </w:tc>
      </w:tr>
      <w:tr w:rsidR="004A6585" w:rsidRPr="00833B57" w14:paraId="45FB0C6C" w14:textId="7EB4A3F6" w:rsidTr="00A75B05">
        <w:trPr>
          <w:trHeight w:val="20"/>
          <w:jc w:val="center"/>
        </w:trPr>
        <w:tc>
          <w:tcPr>
            <w:tcW w:w="284" w:type="dxa"/>
            <w:tcBorders>
              <w:top w:val="single" w:sz="4" w:space="0" w:color="BFBFBF" w:themeColor="background1" w:themeShade="BF"/>
              <w:left w:val="nil"/>
              <w:bottom w:val="nil"/>
              <w:right w:val="nil"/>
            </w:tcBorders>
          </w:tcPr>
          <w:p w14:paraId="5B3BF9A2" w14:textId="77777777" w:rsidR="004A6585" w:rsidRPr="001F6B7A" w:rsidRDefault="004A6585" w:rsidP="00C413EB">
            <w:pPr>
              <w:autoSpaceDE w:val="0"/>
              <w:autoSpaceDN w:val="0"/>
              <w:adjustRightInd w:val="0"/>
              <w:spacing w:after="0" w:line="240" w:lineRule="auto"/>
              <w:jc w:val="both"/>
              <w:rPr>
                <w:i/>
                <w:sz w:val="16"/>
                <w:szCs w:val="16"/>
                <w:vertAlign w:val="superscript"/>
              </w:rPr>
            </w:pPr>
          </w:p>
        </w:tc>
        <w:tc>
          <w:tcPr>
            <w:tcW w:w="7986" w:type="dxa"/>
            <w:gridSpan w:val="4"/>
            <w:tcBorders>
              <w:top w:val="single" w:sz="4" w:space="0" w:color="BFBFBF" w:themeColor="background1" w:themeShade="BF"/>
              <w:left w:val="nil"/>
              <w:bottom w:val="nil"/>
              <w:right w:val="nil"/>
            </w:tcBorders>
            <w:shd w:val="clear" w:color="auto" w:fill="auto"/>
            <w:vAlign w:val="center"/>
          </w:tcPr>
          <w:p w14:paraId="7AFDD0C4" w14:textId="7F96E77F" w:rsidR="004A6585" w:rsidRPr="001F6B7A" w:rsidRDefault="004A6585" w:rsidP="00C413EB">
            <w:pPr>
              <w:autoSpaceDE w:val="0"/>
              <w:autoSpaceDN w:val="0"/>
              <w:adjustRightInd w:val="0"/>
              <w:spacing w:after="0" w:line="240" w:lineRule="auto"/>
              <w:jc w:val="both"/>
              <w:rPr>
                <w:i/>
                <w:sz w:val="16"/>
                <w:szCs w:val="16"/>
              </w:rPr>
            </w:pPr>
            <w:proofErr w:type="gramStart"/>
            <w:r w:rsidRPr="001F6B7A">
              <w:rPr>
                <w:i/>
                <w:sz w:val="16"/>
                <w:szCs w:val="16"/>
                <w:vertAlign w:val="superscript"/>
              </w:rPr>
              <w:t>1</w:t>
            </w:r>
            <w:proofErr w:type="gramEnd"/>
            <w:r w:rsidRPr="001F6B7A">
              <w:rPr>
                <w:i/>
                <w:sz w:val="16"/>
                <w:szCs w:val="16"/>
              </w:rPr>
              <w:t xml:space="preserve"> Variação entre os valores estimados e realizados.</w:t>
            </w:r>
            <w:r>
              <w:rPr>
                <w:i/>
                <w:sz w:val="16"/>
                <w:szCs w:val="16"/>
              </w:rPr>
              <w:t xml:space="preserve"> Base de dez de 2020.</w:t>
            </w:r>
          </w:p>
          <w:p w14:paraId="14EA231B" w14:textId="7E2025D2" w:rsidR="004A6585" w:rsidRDefault="004A6585" w:rsidP="00C413EB">
            <w:pPr>
              <w:spacing w:after="0" w:line="240" w:lineRule="auto"/>
              <w:jc w:val="both"/>
              <w:rPr>
                <w:i/>
                <w:iCs/>
                <w:sz w:val="16"/>
                <w:szCs w:val="16"/>
                <w:vertAlign w:val="superscript"/>
              </w:rPr>
            </w:pPr>
            <w:r w:rsidRPr="001F6B7A">
              <w:rPr>
                <w:b/>
                <w:i/>
                <w:sz w:val="16"/>
                <w:szCs w:val="16"/>
              </w:rPr>
              <w:t>Fonte</w:t>
            </w:r>
            <w:r w:rsidRPr="001F6B7A">
              <w:rPr>
                <w:i/>
                <w:sz w:val="16"/>
                <w:szCs w:val="16"/>
              </w:rPr>
              <w:t xml:space="preserve">: PGFN. </w:t>
            </w:r>
            <w:r w:rsidRPr="001F6B7A">
              <w:rPr>
                <w:b/>
                <w:i/>
                <w:sz w:val="16"/>
                <w:szCs w:val="16"/>
              </w:rPr>
              <w:t>Elaboração</w:t>
            </w:r>
            <w:r w:rsidRPr="001F6B7A">
              <w:rPr>
                <w:i/>
                <w:sz w:val="16"/>
                <w:szCs w:val="16"/>
              </w:rPr>
              <w:t>: STN/ME.</w:t>
            </w:r>
          </w:p>
        </w:tc>
      </w:tr>
    </w:tbl>
    <w:p w14:paraId="3CD337E7" w14:textId="75C6E8C4" w:rsidR="00E0519A" w:rsidRPr="008C7E7C" w:rsidRDefault="00E0519A" w:rsidP="00E0519A">
      <w:pPr>
        <w:autoSpaceDE w:val="0"/>
        <w:autoSpaceDN w:val="0"/>
        <w:adjustRightInd w:val="0"/>
        <w:spacing w:after="120" w:line="240" w:lineRule="auto"/>
        <w:jc w:val="both"/>
        <w:rPr>
          <w:sz w:val="24"/>
          <w:szCs w:val="24"/>
        </w:rPr>
      </w:pPr>
    </w:p>
    <w:p w14:paraId="43794C7C" w14:textId="76503FDC" w:rsidR="009357EE" w:rsidRPr="008C7E7C" w:rsidRDefault="009357EE" w:rsidP="00EA0D42">
      <w:pPr>
        <w:pStyle w:val="Legenda"/>
        <w:spacing w:before="240" w:after="120"/>
        <w:jc w:val="center"/>
        <w:rPr>
          <w:rFonts w:asciiTheme="minorHAnsi" w:hAnsiTheme="minorHAnsi"/>
          <w:i w:val="0"/>
          <w:color w:val="auto"/>
          <w:sz w:val="22"/>
          <w:szCs w:val="22"/>
        </w:rPr>
      </w:pPr>
      <w:bookmarkStart w:id="324" w:name="_Ref33186320"/>
      <w:bookmarkStart w:id="325" w:name="_Toc69121384"/>
      <w:r w:rsidRPr="008C7E7C">
        <w:rPr>
          <w:rFonts w:asciiTheme="minorHAnsi" w:hAnsiTheme="minorHAnsi"/>
          <w:i w:val="0"/>
          <w:color w:val="auto"/>
          <w:sz w:val="22"/>
          <w:szCs w:val="22"/>
        </w:rPr>
        <w:t xml:space="preserve">Tabela </w:t>
      </w:r>
      <w:r w:rsidRPr="008C7E7C">
        <w:rPr>
          <w:rFonts w:asciiTheme="minorHAnsi" w:hAnsiTheme="minorHAnsi"/>
          <w:i w:val="0"/>
          <w:color w:val="auto"/>
          <w:sz w:val="22"/>
          <w:szCs w:val="22"/>
        </w:rPr>
        <w:fldChar w:fldCharType="begin"/>
      </w:r>
      <w:r w:rsidRPr="008C7E7C">
        <w:rPr>
          <w:rFonts w:asciiTheme="minorHAnsi" w:hAnsiTheme="minorHAnsi"/>
          <w:i w:val="0"/>
          <w:color w:val="auto"/>
          <w:sz w:val="22"/>
          <w:szCs w:val="22"/>
        </w:rPr>
        <w:instrText xml:space="preserve"> SEQ Tabela \* ARABIC </w:instrText>
      </w:r>
      <w:r w:rsidRPr="008C7E7C">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38</w:t>
      </w:r>
      <w:r w:rsidRPr="008C7E7C">
        <w:rPr>
          <w:rFonts w:asciiTheme="minorHAnsi" w:hAnsiTheme="minorHAnsi"/>
          <w:i w:val="0"/>
          <w:color w:val="auto"/>
          <w:sz w:val="22"/>
          <w:szCs w:val="22"/>
        </w:rPr>
        <w:fldChar w:fldCharType="end"/>
      </w:r>
      <w:bookmarkEnd w:id="324"/>
      <w:r w:rsidRPr="008C7E7C">
        <w:rPr>
          <w:rFonts w:asciiTheme="minorHAnsi" w:hAnsiTheme="minorHAnsi"/>
          <w:i w:val="0"/>
          <w:color w:val="auto"/>
          <w:sz w:val="22"/>
          <w:szCs w:val="22"/>
        </w:rPr>
        <w:t xml:space="preserve"> </w:t>
      </w:r>
      <w:r w:rsidR="00DB004F" w:rsidRPr="008C7E7C">
        <w:rPr>
          <w:rFonts w:asciiTheme="minorHAnsi" w:hAnsiTheme="minorHAnsi"/>
          <w:i w:val="0"/>
          <w:color w:val="auto"/>
          <w:sz w:val="22"/>
          <w:szCs w:val="22"/>
        </w:rPr>
        <w:t>-</w:t>
      </w:r>
      <w:r w:rsidRPr="008C7E7C">
        <w:rPr>
          <w:rFonts w:asciiTheme="minorHAnsi" w:hAnsiTheme="minorHAnsi"/>
          <w:i w:val="0"/>
          <w:color w:val="auto"/>
          <w:sz w:val="22"/>
          <w:szCs w:val="22"/>
        </w:rPr>
        <w:t xml:space="preserve"> </w:t>
      </w:r>
      <w:proofErr w:type="gramStart"/>
      <w:r w:rsidR="009B7571" w:rsidRPr="008C7E7C">
        <w:rPr>
          <w:rFonts w:asciiTheme="minorHAnsi" w:hAnsiTheme="minorHAnsi"/>
          <w:i w:val="0"/>
          <w:color w:val="auto"/>
          <w:sz w:val="22"/>
          <w:szCs w:val="22"/>
        </w:rPr>
        <w:t>Estim</w:t>
      </w:r>
      <w:r w:rsidR="00160693" w:rsidRPr="008C7E7C">
        <w:rPr>
          <w:rFonts w:asciiTheme="minorHAnsi" w:hAnsiTheme="minorHAnsi"/>
          <w:i w:val="0"/>
          <w:color w:val="auto"/>
          <w:sz w:val="22"/>
          <w:szCs w:val="22"/>
        </w:rPr>
        <w:t>a</w:t>
      </w:r>
      <w:r w:rsidR="009B7571" w:rsidRPr="008C7E7C">
        <w:rPr>
          <w:rFonts w:asciiTheme="minorHAnsi" w:hAnsiTheme="minorHAnsi"/>
          <w:i w:val="0"/>
          <w:color w:val="auto"/>
          <w:sz w:val="22"/>
          <w:szCs w:val="22"/>
        </w:rPr>
        <w:t>tiva</w:t>
      </w:r>
      <w:r w:rsidR="007D7F6C" w:rsidRPr="008C7E7C">
        <w:rPr>
          <w:rFonts w:asciiTheme="minorHAnsi" w:hAnsiTheme="minorHAnsi"/>
          <w:i w:val="0"/>
          <w:color w:val="auto"/>
          <w:sz w:val="22"/>
          <w:szCs w:val="22"/>
        </w:rPr>
        <w:t xml:space="preserve"> de</w:t>
      </w:r>
      <w:r w:rsidR="009B7571" w:rsidRPr="008C7E7C">
        <w:rPr>
          <w:rFonts w:asciiTheme="minorHAnsi" w:hAnsiTheme="minorHAnsi"/>
          <w:i w:val="0"/>
          <w:color w:val="auto"/>
          <w:sz w:val="22"/>
          <w:szCs w:val="22"/>
        </w:rPr>
        <w:t xml:space="preserve"> a</w:t>
      </w:r>
      <w:r w:rsidR="007D7F6C" w:rsidRPr="008C7E7C">
        <w:rPr>
          <w:rFonts w:asciiTheme="minorHAnsi" w:hAnsiTheme="minorHAnsi"/>
          <w:i w:val="0"/>
          <w:color w:val="auto"/>
          <w:sz w:val="22"/>
          <w:szCs w:val="22"/>
        </w:rPr>
        <w:t>r</w:t>
      </w:r>
      <w:r w:rsidR="009B7571" w:rsidRPr="008C7E7C">
        <w:rPr>
          <w:rFonts w:asciiTheme="minorHAnsi" w:hAnsiTheme="minorHAnsi"/>
          <w:i w:val="0"/>
          <w:color w:val="auto"/>
          <w:sz w:val="22"/>
          <w:szCs w:val="22"/>
        </w:rPr>
        <w:t>recadação</w:t>
      </w:r>
      <w:r w:rsidR="009620FD" w:rsidRPr="008C7E7C">
        <w:rPr>
          <w:rFonts w:asciiTheme="minorHAnsi" w:hAnsiTheme="minorHAnsi"/>
          <w:i w:val="0"/>
          <w:color w:val="auto"/>
          <w:sz w:val="22"/>
          <w:szCs w:val="22"/>
        </w:rPr>
        <w:t xml:space="preserve"> dos créditos da DAU</w:t>
      </w:r>
      <w:proofErr w:type="gramEnd"/>
      <w:r w:rsidR="003C6891" w:rsidRPr="008C7E7C">
        <w:rPr>
          <w:rFonts w:asciiTheme="minorHAnsi" w:hAnsiTheme="minorHAnsi"/>
          <w:i w:val="0"/>
          <w:color w:val="auto"/>
          <w:sz w:val="22"/>
          <w:szCs w:val="22"/>
        </w:rPr>
        <w:t>,</w:t>
      </w:r>
      <w:r w:rsidRPr="008C7E7C">
        <w:rPr>
          <w:rFonts w:asciiTheme="minorHAnsi" w:hAnsiTheme="minorHAnsi"/>
          <w:i w:val="0"/>
          <w:color w:val="auto"/>
          <w:sz w:val="22"/>
          <w:szCs w:val="22"/>
        </w:rPr>
        <w:t xml:space="preserve"> por exercício</w:t>
      </w:r>
      <w:bookmarkEnd w:id="325"/>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191"/>
        <w:gridCol w:w="1191"/>
        <w:gridCol w:w="1191"/>
        <w:gridCol w:w="1191"/>
      </w:tblGrid>
      <w:tr w:rsidR="00A62BB6" w:rsidRPr="008C7E7C" w14:paraId="24FD44E8" w14:textId="77777777" w:rsidTr="0052558F">
        <w:trPr>
          <w:trHeight w:val="20"/>
          <w:tblHeader/>
          <w:jc w:val="center"/>
        </w:trPr>
        <w:tc>
          <w:tcPr>
            <w:tcW w:w="4764" w:type="dxa"/>
            <w:gridSpan w:val="4"/>
            <w:tcBorders>
              <w:top w:val="nil"/>
              <w:left w:val="nil"/>
              <w:right w:val="nil"/>
            </w:tcBorders>
            <w:shd w:val="clear" w:color="auto" w:fill="auto"/>
            <w:noWrap/>
            <w:vAlign w:val="center"/>
          </w:tcPr>
          <w:p w14:paraId="4B8E1660" w14:textId="6B98FB67" w:rsidR="000076E2" w:rsidRPr="008C7E7C" w:rsidRDefault="000076E2" w:rsidP="000076E2">
            <w:pPr>
              <w:spacing w:after="0" w:line="240" w:lineRule="auto"/>
              <w:jc w:val="right"/>
              <w:rPr>
                <w:rFonts w:eastAsia="Times New Roman" w:cs="Times New Roman"/>
                <w:i/>
                <w:sz w:val="16"/>
                <w:szCs w:val="16"/>
                <w:lang w:eastAsia="pt-BR"/>
              </w:rPr>
            </w:pPr>
            <w:r w:rsidRPr="008C7E7C">
              <w:rPr>
                <w:i/>
                <w:sz w:val="16"/>
                <w:szCs w:val="16"/>
              </w:rPr>
              <w:t>Em R$ milhões</w:t>
            </w:r>
          </w:p>
        </w:tc>
      </w:tr>
      <w:tr w:rsidR="0052558F" w:rsidRPr="00C413EB" w14:paraId="6FE9708C" w14:textId="77777777" w:rsidTr="0052558F">
        <w:trPr>
          <w:trHeight w:val="20"/>
          <w:tblHeader/>
          <w:jc w:val="center"/>
        </w:trPr>
        <w:tc>
          <w:tcPr>
            <w:tcW w:w="4764" w:type="dxa"/>
            <w:gridSpan w:val="4"/>
            <w:shd w:val="clear" w:color="auto" w:fill="404040" w:themeFill="text1" w:themeFillTint="BF"/>
            <w:noWrap/>
            <w:vAlign w:val="center"/>
          </w:tcPr>
          <w:p w14:paraId="408835AE" w14:textId="46E905E7" w:rsidR="00F30864" w:rsidRPr="00C413EB" w:rsidRDefault="00F30864" w:rsidP="00F30864">
            <w:pPr>
              <w:spacing w:after="0" w:line="240" w:lineRule="auto"/>
              <w:jc w:val="center"/>
              <w:rPr>
                <w:rFonts w:eastAsia="Times New Roman" w:cs="Times New Roman"/>
                <w:b/>
                <w:color w:val="FFFFFF" w:themeColor="background1"/>
                <w:sz w:val="20"/>
                <w:szCs w:val="20"/>
                <w:lang w:eastAsia="pt-BR"/>
              </w:rPr>
            </w:pPr>
            <w:r w:rsidRPr="00C413EB">
              <w:rPr>
                <w:rFonts w:eastAsia="Times New Roman" w:cs="Times New Roman"/>
                <w:b/>
                <w:color w:val="FFFFFF" w:themeColor="background1"/>
                <w:sz w:val="20"/>
                <w:szCs w:val="20"/>
                <w:lang w:eastAsia="pt-BR"/>
              </w:rPr>
              <w:t>Arrecadação dos Créditos</w:t>
            </w:r>
          </w:p>
          <w:p w14:paraId="098FE24E" w14:textId="696771DE" w:rsidR="00C2529C" w:rsidRPr="00C413EB" w:rsidRDefault="00C2529C" w:rsidP="00F30864">
            <w:pPr>
              <w:spacing w:after="0" w:line="240" w:lineRule="auto"/>
              <w:jc w:val="center"/>
              <w:rPr>
                <w:rFonts w:eastAsia="Times New Roman" w:cs="Times New Roman"/>
                <w:color w:val="FFFFFF" w:themeColor="background1"/>
                <w:sz w:val="20"/>
                <w:szCs w:val="20"/>
                <w:lang w:eastAsia="pt-BR"/>
              </w:rPr>
            </w:pPr>
            <w:r w:rsidRPr="00C413EB">
              <w:rPr>
                <w:rFonts w:eastAsia="Times New Roman" w:cs="Times New Roman"/>
                <w:color w:val="FFFFFF" w:themeColor="background1"/>
                <w:sz w:val="20"/>
                <w:szCs w:val="20"/>
                <w:lang w:eastAsia="pt-BR"/>
              </w:rPr>
              <w:t>Valor Estimado</w:t>
            </w:r>
            <w:r w:rsidR="00F30864" w:rsidRPr="00C413EB">
              <w:rPr>
                <w:rFonts w:eastAsia="Times New Roman" w:cs="Times New Roman"/>
                <w:color w:val="FFFFFF" w:themeColor="background1"/>
                <w:sz w:val="20"/>
                <w:szCs w:val="20"/>
                <w:lang w:eastAsia="pt-BR"/>
              </w:rPr>
              <w:t xml:space="preserve"> </w:t>
            </w:r>
            <w:r w:rsidRPr="00C413EB">
              <w:rPr>
                <w:rFonts w:eastAsia="Times New Roman" w:cs="Times New Roman"/>
                <w:color w:val="FFFFFF" w:themeColor="background1"/>
                <w:sz w:val="20"/>
                <w:szCs w:val="20"/>
                <w:lang w:eastAsia="pt-BR"/>
              </w:rPr>
              <w:t>($)</w:t>
            </w:r>
          </w:p>
        </w:tc>
      </w:tr>
      <w:tr w:rsidR="00676856" w:rsidRPr="008C7E7C" w14:paraId="52DB4E0D" w14:textId="77777777" w:rsidTr="0052558F">
        <w:trPr>
          <w:trHeight w:val="20"/>
          <w:tblHeader/>
          <w:jc w:val="center"/>
        </w:trPr>
        <w:tc>
          <w:tcPr>
            <w:tcW w:w="1191" w:type="dxa"/>
            <w:shd w:val="clear" w:color="auto" w:fill="404040" w:themeFill="text1" w:themeFillTint="BF"/>
            <w:noWrap/>
            <w:vAlign w:val="center"/>
          </w:tcPr>
          <w:p w14:paraId="2AEE4832" w14:textId="79A900E4" w:rsidR="00C2529C" w:rsidRPr="00BA0C17" w:rsidRDefault="6869C23F" w:rsidP="00C2529C">
            <w:pPr>
              <w:spacing w:after="0" w:line="240" w:lineRule="auto"/>
              <w:jc w:val="center"/>
              <w:rPr>
                <w:rFonts w:eastAsia="Times New Roman" w:cs="Times New Roman"/>
                <w:b/>
                <w:color w:val="FFFFFF" w:themeColor="background1"/>
                <w:sz w:val="20"/>
                <w:szCs w:val="20"/>
                <w:lang w:eastAsia="pt-BR"/>
              </w:rPr>
            </w:pPr>
            <w:r w:rsidRPr="00BA0C17">
              <w:rPr>
                <w:rFonts w:eastAsia="Times New Roman" w:cs="Times New Roman"/>
                <w:b/>
                <w:bCs/>
                <w:color w:val="FFFFFF" w:themeColor="background1"/>
                <w:sz w:val="20"/>
                <w:szCs w:val="20"/>
                <w:lang w:eastAsia="pt-BR"/>
              </w:rPr>
              <w:t>202</w:t>
            </w:r>
            <w:r w:rsidR="368727D2" w:rsidRPr="00BA0C17">
              <w:rPr>
                <w:rFonts w:eastAsia="Times New Roman" w:cs="Times New Roman"/>
                <w:b/>
                <w:bCs/>
                <w:color w:val="FFFFFF" w:themeColor="background1"/>
                <w:sz w:val="20"/>
                <w:szCs w:val="20"/>
                <w:lang w:eastAsia="pt-BR"/>
              </w:rPr>
              <w:t>1</w:t>
            </w:r>
          </w:p>
        </w:tc>
        <w:tc>
          <w:tcPr>
            <w:tcW w:w="1191" w:type="dxa"/>
            <w:shd w:val="clear" w:color="auto" w:fill="404040" w:themeFill="text1" w:themeFillTint="BF"/>
            <w:noWrap/>
            <w:vAlign w:val="center"/>
          </w:tcPr>
          <w:p w14:paraId="12546063" w14:textId="466B11F2" w:rsidR="00C2529C" w:rsidRPr="00BA0C17" w:rsidRDefault="6869C23F" w:rsidP="00C2529C">
            <w:pPr>
              <w:spacing w:after="0" w:line="240" w:lineRule="auto"/>
              <w:jc w:val="center"/>
              <w:rPr>
                <w:rFonts w:eastAsia="Times New Roman" w:cs="Times New Roman"/>
                <w:b/>
                <w:color w:val="FFFFFF" w:themeColor="background1"/>
                <w:sz w:val="20"/>
                <w:szCs w:val="20"/>
                <w:lang w:eastAsia="pt-BR"/>
              </w:rPr>
            </w:pPr>
            <w:r w:rsidRPr="00BA0C17">
              <w:rPr>
                <w:rFonts w:eastAsia="Times New Roman" w:cs="Times New Roman"/>
                <w:b/>
                <w:bCs/>
                <w:color w:val="FFFFFF" w:themeColor="background1"/>
                <w:sz w:val="20"/>
                <w:szCs w:val="20"/>
                <w:lang w:eastAsia="pt-BR"/>
              </w:rPr>
              <w:t>202</w:t>
            </w:r>
            <w:r w:rsidR="7C37CE8F" w:rsidRPr="00BA0C17">
              <w:rPr>
                <w:rFonts w:eastAsia="Times New Roman" w:cs="Times New Roman"/>
                <w:b/>
                <w:bCs/>
                <w:color w:val="FFFFFF" w:themeColor="background1"/>
                <w:sz w:val="20"/>
                <w:szCs w:val="20"/>
                <w:lang w:eastAsia="pt-BR"/>
              </w:rPr>
              <w:t>2</w:t>
            </w:r>
          </w:p>
        </w:tc>
        <w:tc>
          <w:tcPr>
            <w:tcW w:w="1191" w:type="dxa"/>
            <w:shd w:val="clear" w:color="auto" w:fill="404040" w:themeFill="text1" w:themeFillTint="BF"/>
            <w:noWrap/>
            <w:vAlign w:val="center"/>
          </w:tcPr>
          <w:p w14:paraId="4A026E9C" w14:textId="73274F2E" w:rsidR="00C2529C" w:rsidRPr="00BA0C17" w:rsidRDefault="6869C23F" w:rsidP="00C2529C">
            <w:pPr>
              <w:spacing w:after="0" w:line="240" w:lineRule="auto"/>
              <w:jc w:val="center"/>
              <w:rPr>
                <w:rFonts w:eastAsia="Times New Roman" w:cs="Times New Roman"/>
                <w:b/>
                <w:color w:val="FFFFFF" w:themeColor="background1"/>
                <w:sz w:val="20"/>
                <w:szCs w:val="20"/>
                <w:lang w:eastAsia="pt-BR"/>
              </w:rPr>
            </w:pPr>
            <w:r w:rsidRPr="00BA0C17">
              <w:rPr>
                <w:rFonts w:eastAsia="Times New Roman" w:cs="Times New Roman"/>
                <w:b/>
                <w:bCs/>
                <w:color w:val="FFFFFF" w:themeColor="background1"/>
                <w:sz w:val="20"/>
                <w:szCs w:val="20"/>
                <w:lang w:eastAsia="pt-BR"/>
              </w:rPr>
              <w:t>202</w:t>
            </w:r>
            <w:r w:rsidR="5C0BD0A3" w:rsidRPr="00BA0C17">
              <w:rPr>
                <w:rFonts w:eastAsia="Times New Roman" w:cs="Times New Roman"/>
                <w:b/>
                <w:bCs/>
                <w:color w:val="FFFFFF" w:themeColor="background1"/>
                <w:sz w:val="20"/>
                <w:szCs w:val="20"/>
                <w:lang w:eastAsia="pt-BR"/>
              </w:rPr>
              <w:t>3</w:t>
            </w:r>
          </w:p>
        </w:tc>
        <w:tc>
          <w:tcPr>
            <w:tcW w:w="1191" w:type="dxa"/>
            <w:shd w:val="clear" w:color="auto" w:fill="404040" w:themeFill="text1" w:themeFillTint="BF"/>
            <w:noWrap/>
            <w:vAlign w:val="center"/>
          </w:tcPr>
          <w:p w14:paraId="5A5A3CCC" w14:textId="12976F18" w:rsidR="00C2529C" w:rsidRPr="00BA0C17" w:rsidRDefault="6869C23F" w:rsidP="00C2529C">
            <w:pPr>
              <w:spacing w:after="0" w:line="240" w:lineRule="auto"/>
              <w:jc w:val="center"/>
              <w:rPr>
                <w:rFonts w:eastAsia="Times New Roman" w:cs="Times New Roman"/>
                <w:b/>
                <w:color w:val="FFFFFF" w:themeColor="background1"/>
                <w:sz w:val="20"/>
                <w:szCs w:val="20"/>
                <w:lang w:eastAsia="pt-BR"/>
              </w:rPr>
            </w:pPr>
            <w:r w:rsidRPr="00BA0C17">
              <w:rPr>
                <w:rFonts w:eastAsia="Times New Roman" w:cs="Times New Roman"/>
                <w:b/>
                <w:bCs/>
                <w:color w:val="FFFFFF" w:themeColor="background1"/>
                <w:sz w:val="20"/>
                <w:szCs w:val="20"/>
                <w:lang w:eastAsia="pt-BR"/>
              </w:rPr>
              <w:t>202</w:t>
            </w:r>
            <w:r w:rsidR="0589D6FD" w:rsidRPr="00BA0C17">
              <w:rPr>
                <w:rFonts w:eastAsia="Times New Roman" w:cs="Times New Roman"/>
                <w:b/>
                <w:bCs/>
                <w:color w:val="FFFFFF" w:themeColor="background1"/>
                <w:sz w:val="20"/>
                <w:szCs w:val="20"/>
                <w:lang w:eastAsia="pt-BR"/>
              </w:rPr>
              <w:t>4</w:t>
            </w:r>
          </w:p>
        </w:tc>
      </w:tr>
      <w:tr w:rsidR="005F7389" w:rsidRPr="008C7E7C" w14:paraId="579C5112" w14:textId="77777777" w:rsidTr="27AD6346">
        <w:trPr>
          <w:trHeight w:val="20"/>
          <w:jc w:val="center"/>
        </w:trPr>
        <w:tc>
          <w:tcPr>
            <w:tcW w:w="1191" w:type="dxa"/>
            <w:tcBorders>
              <w:bottom w:val="single" w:sz="4" w:space="0" w:color="BFBFBF" w:themeColor="background1" w:themeShade="BF"/>
            </w:tcBorders>
            <w:shd w:val="clear" w:color="auto" w:fill="auto"/>
            <w:noWrap/>
            <w:vAlign w:val="center"/>
            <w:hideMark/>
          </w:tcPr>
          <w:p w14:paraId="2A3D182A" w14:textId="45970E4A" w:rsidR="005E3ADA" w:rsidRPr="008C7E7C" w:rsidRDefault="61151FAE" w:rsidP="00C236E1">
            <w:pPr>
              <w:spacing w:after="0" w:line="240" w:lineRule="auto"/>
              <w:jc w:val="right"/>
              <w:rPr>
                <w:rFonts w:eastAsia="Times New Roman" w:cs="Times New Roman"/>
                <w:sz w:val="18"/>
                <w:szCs w:val="18"/>
                <w:lang w:eastAsia="pt-BR"/>
              </w:rPr>
            </w:pPr>
            <w:r w:rsidRPr="008C7E7C">
              <w:rPr>
                <w:rFonts w:eastAsia="Times New Roman" w:cs="Times New Roman"/>
                <w:sz w:val="18"/>
                <w:szCs w:val="18"/>
                <w:lang w:eastAsia="pt-BR"/>
              </w:rPr>
              <w:t>2</w:t>
            </w:r>
            <w:r w:rsidR="6AF033C3" w:rsidRPr="008C7E7C">
              <w:rPr>
                <w:rFonts w:eastAsia="Times New Roman" w:cs="Times New Roman"/>
                <w:sz w:val="18"/>
                <w:szCs w:val="18"/>
                <w:lang w:eastAsia="pt-BR"/>
              </w:rPr>
              <w:t>4</w:t>
            </w:r>
            <w:r w:rsidRPr="008C7E7C">
              <w:rPr>
                <w:rFonts w:eastAsia="Times New Roman" w:cs="Times New Roman"/>
                <w:sz w:val="18"/>
                <w:szCs w:val="18"/>
                <w:lang w:eastAsia="pt-BR"/>
              </w:rPr>
              <w:t>.</w:t>
            </w:r>
            <w:r w:rsidR="32F8CD61" w:rsidRPr="008C7E7C">
              <w:rPr>
                <w:rFonts w:eastAsia="Times New Roman" w:cs="Times New Roman"/>
                <w:sz w:val="18"/>
                <w:szCs w:val="18"/>
                <w:lang w:eastAsia="pt-BR"/>
              </w:rPr>
              <w:t>8</w:t>
            </w:r>
            <w:r w:rsidRPr="008C7E7C">
              <w:rPr>
                <w:rFonts w:eastAsia="Times New Roman" w:cs="Times New Roman"/>
                <w:sz w:val="18"/>
                <w:szCs w:val="18"/>
                <w:lang w:eastAsia="pt-BR"/>
              </w:rPr>
              <w:t>9</w:t>
            </w:r>
            <w:r w:rsidR="3502050B" w:rsidRPr="008C7E7C">
              <w:rPr>
                <w:rFonts w:eastAsia="Times New Roman" w:cs="Times New Roman"/>
                <w:sz w:val="18"/>
                <w:szCs w:val="18"/>
                <w:lang w:eastAsia="pt-BR"/>
              </w:rPr>
              <w:t>2,4</w:t>
            </w:r>
          </w:p>
        </w:tc>
        <w:tc>
          <w:tcPr>
            <w:tcW w:w="1191" w:type="dxa"/>
            <w:tcBorders>
              <w:bottom w:val="single" w:sz="4" w:space="0" w:color="BFBFBF" w:themeColor="background1" w:themeShade="BF"/>
            </w:tcBorders>
            <w:shd w:val="clear" w:color="auto" w:fill="auto"/>
            <w:noWrap/>
            <w:vAlign w:val="center"/>
            <w:hideMark/>
          </w:tcPr>
          <w:p w14:paraId="04D4CFC3" w14:textId="4F0BD91C" w:rsidR="005E3ADA" w:rsidRPr="008C7E7C" w:rsidRDefault="005E3ADA" w:rsidP="00C236E1">
            <w:pPr>
              <w:spacing w:after="0" w:line="240" w:lineRule="auto"/>
              <w:jc w:val="right"/>
              <w:rPr>
                <w:rFonts w:eastAsia="Times New Roman" w:cs="Times New Roman"/>
                <w:sz w:val="18"/>
                <w:szCs w:val="18"/>
                <w:lang w:eastAsia="pt-BR"/>
              </w:rPr>
            </w:pPr>
            <w:r w:rsidRPr="008C7E7C">
              <w:rPr>
                <w:rFonts w:eastAsia="Times New Roman" w:cs="Times New Roman"/>
                <w:sz w:val="18"/>
                <w:szCs w:val="18"/>
                <w:lang w:eastAsia="pt-BR"/>
              </w:rPr>
              <w:t>25.</w:t>
            </w:r>
            <w:r w:rsidR="61D0F4D9" w:rsidRPr="008C7E7C">
              <w:rPr>
                <w:rFonts w:eastAsia="Times New Roman" w:cs="Times New Roman"/>
                <w:sz w:val="18"/>
                <w:szCs w:val="18"/>
                <w:lang w:eastAsia="pt-BR"/>
              </w:rPr>
              <w:t>9</w:t>
            </w:r>
            <w:r w:rsidR="61151FAE" w:rsidRPr="008C7E7C">
              <w:rPr>
                <w:rFonts w:eastAsia="Times New Roman" w:cs="Times New Roman"/>
                <w:sz w:val="18"/>
                <w:szCs w:val="18"/>
                <w:lang w:eastAsia="pt-BR"/>
              </w:rPr>
              <w:t>3</w:t>
            </w:r>
            <w:r w:rsidR="42C59B04" w:rsidRPr="008C7E7C">
              <w:rPr>
                <w:rFonts w:eastAsia="Times New Roman" w:cs="Times New Roman"/>
                <w:sz w:val="18"/>
                <w:szCs w:val="18"/>
                <w:lang w:eastAsia="pt-BR"/>
              </w:rPr>
              <w:t>9</w:t>
            </w:r>
            <w:r w:rsidR="61151FAE" w:rsidRPr="008C7E7C">
              <w:rPr>
                <w:rFonts w:eastAsia="Times New Roman" w:cs="Times New Roman"/>
                <w:sz w:val="18"/>
                <w:szCs w:val="18"/>
                <w:lang w:eastAsia="pt-BR"/>
              </w:rPr>
              <w:t>,</w:t>
            </w:r>
            <w:r w:rsidR="29377CC6" w:rsidRPr="008C7E7C">
              <w:rPr>
                <w:rFonts w:eastAsia="Times New Roman" w:cs="Times New Roman"/>
                <w:sz w:val="18"/>
                <w:szCs w:val="18"/>
                <w:lang w:eastAsia="pt-BR"/>
              </w:rPr>
              <w:t>6</w:t>
            </w:r>
          </w:p>
        </w:tc>
        <w:tc>
          <w:tcPr>
            <w:tcW w:w="1191" w:type="dxa"/>
            <w:tcBorders>
              <w:bottom w:val="single" w:sz="4" w:space="0" w:color="BFBFBF" w:themeColor="background1" w:themeShade="BF"/>
            </w:tcBorders>
            <w:shd w:val="clear" w:color="auto" w:fill="auto"/>
            <w:noWrap/>
            <w:vAlign w:val="center"/>
            <w:hideMark/>
          </w:tcPr>
          <w:p w14:paraId="733330C5" w14:textId="77A36344" w:rsidR="005E3ADA" w:rsidRPr="008C7E7C" w:rsidRDefault="61151FAE" w:rsidP="00C236E1">
            <w:pPr>
              <w:spacing w:after="0" w:line="240" w:lineRule="auto"/>
              <w:jc w:val="right"/>
              <w:rPr>
                <w:rFonts w:eastAsia="Times New Roman" w:cs="Times New Roman"/>
                <w:sz w:val="18"/>
                <w:szCs w:val="18"/>
                <w:lang w:eastAsia="pt-BR"/>
              </w:rPr>
            </w:pPr>
            <w:r w:rsidRPr="008C7E7C">
              <w:rPr>
                <w:rFonts w:eastAsia="Times New Roman" w:cs="Times New Roman"/>
                <w:sz w:val="18"/>
                <w:szCs w:val="18"/>
                <w:lang w:eastAsia="pt-BR"/>
              </w:rPr>
              <w:t>2</w:t>
            </w:r>
            <w:r w:rsidR="1D875A8D" w:rsidRPr="008C7E7C">
              <w:rPr>
                <w:rFonts w:eastAsia="Times New Roman" w:cs="Times New Roman"/>
                <w:sz w:val="18"/>
                <w:szCs w:val="18"/>
                <w:lang w:eastAsia="pt-BR"/>
              </w:rPr>
              <w:t>8</w:t>
            </w:r>
            <w:r w:rsidRPr="008C7E7C">
              <w:rPr>
                <w:rFonts w:eastAsia="Times New Roman" w:cs="Times New Roman"/>
                <w:sz w:val="18"/>
                <w:szCs w:val="18"/>
                <w:lang w:eastAsia="pt-BR"/>
              </w:rPr>
              <w:t>.</w:t>
            </w:r>
            <w:r w:rsidR="1418FF02" w:rsidRPr="008C7E7C">
              <w:rPr>
                <w:rFonts w:eastAsia="Times New Roman" w:cs="Times New Roman"/>
                <w:sz w:val="18"/>
                <w:szCs w:val="18"/>
                <w:lang w:eastAsia="pt-BR"/>
              </w:rPr>
              <w:t>222</w:t>
            </w:r>
            <w:r w:rsidRPr="008C7E7C">
              <w:rPr>
                <w:rFonts w:eastAsia="Times New Roman" w:cs="Times New Roman"/>
                <w:sz w:val="18"/>
                <w:szCs w:val="18"/>
                <w:lang w:eastAsia="pt-BR"/>
              </w:rPr>
              <w:t>,</w:t>
            </w:r>
            <w:r w:rsidR="591FE15F" w:rsidRPr="008C7E7C">
              <w:rPr>
                <w:rFonts w:eastAsia="Times New Roman" w:cs="Times New Roman"/>
                <w:sz w:val="18"/>
                <w:szCs w:val="18"/>
                <w:lang w:eastAsia="pt-BR"/>
              </w:rPr>
              <w:t>0</w:t>
            </w:r>
          </w:p>
        </w:tc>
        <w:tc>
          <w:tcPr>
            <w:tcW w:w="1191" w:type="dxa"/>
            <w:tcBorders>
              <w:bottom w:val="single" w:sz="4" w:space="0" w:color="BFBFBF" w:themeColor="background1" w:themeShade="BF"/>
            </w:tcBorders>
            <w:shd w:val="clear" w:color="auto" w:fill="auto"/>
            <w:noWrap/>
            <w:vAlign w:val="center"/>
            <w:hideMark/>
          </w:tcPr>
          <w:p w14:paraId="0DE2F9F8" w14:textId="27583F7C" w:rsidR="005E3ADA" w:rsidRPr="008C7E7C" w:rsidRDefault="591FE15F" w:rsidP="00C236E1">
            <w:pPr>
              <w:spacing w:after="0" w:line="240" w:lineRule="auto"/>
              <w:jc w:val="right"/>
              <w:rPr>
                <w:rFonts w:eastAsia="Times New Roman" w:cs="Times New Roman"/>
                <w:sz w:val="18"/>
                <w:szCs w:val="18"/>
                <w:lang w:eastAsia="pt-BR"/>
              </w:rPr>
            </w:pPr>
            <w:r w:rsidRPr="008C7E7C">
              <w:rPr>
                <w:rFonts w:eastAsia="Times New Roman" w:cs="Times New Roman"/>
                <w:sz w:val="18"/>
                <w:szCs w:val="18"/>
                <w:lang w:eastAsia="pt-BR"/>
              </w:rPr>
              <w:t>30</w:t>
            </w:r>
            <w:r w:rsidR="61151FAE" w:rsidRPr="008C7E7C">
              <w:rPr>
                <w:rFonts w:eastAsia="Times New Roman" w:cs="Times New Roman"/>
                <w:sz w:val="18"/>
                <w:szCs w:val="18"/>
                <w:lang w:eastAsia="pt-BR"/>
              </w:rPr>
              <w:t>.</w:t>
            </w:r>
            <w:r w:rsidR="327E8151" w:rsidRPr="008C7E7C">
              <w:rPr>
                <w:rFonts w:eastAsia="Times New Roman" w:cs="Times New Roman"/>
                <w:sz w:val="18"/>
                <w:szCs w:val="18"/>
                <w:lang w:eastAsia="pt-BR"/>
              </w:rPr>
              <w:t>117</w:t>
            </w:r>
            <w:r w:rsidR="61151FAE" w:rsidRPr="008C7E7C">
              <w:rPr>
                <w:rFonts w:eastAsia="Times New Roman" w:cs="Times New Roman"/>
                <w:sz w:val="18"/>
                <w:szCs w:val="18"/>
                <w:lang w:eastAsia="pt-BR"/>
              </w:rPr>
              <w:t>,1</w:t>
            </w:r>
          </w:p>
        </w:tc>
      </w:tr>
      <w:tr w:rsidR="00A62BB6" w:rsidRPr="008C7E7C" w14:paraId="36B57197" w14:textId="77777777" w:rsidTr="27AD6346">
        <w:trPr>
          <w:trHeight w:val="20"/>
          <w:jc w:val="center"/>
        </w:trPr>
        <w:tc>
          <w:tcPr>
            <w:tcW w:w="4764" w:type="dxa"/>
            <w:gridSpan w:val="4"/>
            <w:tcBorders>
              <w:left w:val="nil"/>
              <w:bottom w:val="nil"/>
              <w:right w:val="nil"/>
            </w:tcBorders>
            <w:shd w:val="clear" w:color="auto" w:fill="auto"/>
            <w:noWrap/>
          </w:tcPr>
          <w:p w14:paraId="43A54784" w14:textId="07C268A5" w:rsidR="005E3ADA" w:rsidRPr="008C7E7C" w:rsidRDefault="005E3ADA" w:rsidP="005E3ADA">
            <w:pPr>
              <w:spacing w:after="0" w:line="240" w:lineRule="auto"/>
              <w:rPr>
                <w:rFonts w:eastAsia="Times New Roman" w:cs="Times New Roman"/>
                <w:i/>
                <w:sz w:val="16"/>
                <w:szCs w:val="16"/>
                <w:lang w:eastAsia="pt-BR"/>
              </w:rPr>
            </w:pPr>
            <w:r w:rsidRPr="008C7E7C">
              <w:rPr>
                <w:b/>
                <w:i/>
                <w:sz w:val="16"/>
                <w:szCs w:val="16"/>
              </w:rPr>
              <w:t>Fonte</w:t>
            </w:r>
            <w:r w:rsidRPr="008C7E7C">
              <w:rPr>
                <w:i/>
                <w:sz w:val="16"/>
                <w:szCs w:val="16"/>
              </w:rPr>
              <w:t xml:space="preserve">: PGFN. </w:t>
            </w:r>
            <w:r w:rsidRPr="008C7E7C">
              <w:rPr>
                <w:b/>
                <w:i/>
                <w:sz w:val="16"/>
                <w:szCs w:val="16"/>
              </w:rPr>
              <w:t>Elaboração</w:t>
            </w:r>
            <w:r w:rsidRPr="008C7E7C">
              <w:rPr>
                <w:i/>
                <w:sz w:val="16"/>
                <w:szCs w:val="16"/>
              </w:rPr>
              <w:t>: STN/ME.</w:t>
            </w:r>
          </w:p>
        </w:tc>
      </w:tr>
    </w:tbl>
    <w:p w14:paraId="229B84DC" w14:textId="5934A99A" w:rsidR="010CF908" w:rsidRPr="008C7E7C" w:rsidRDefault="010CF908"/>
    <w:p w14:paraId="3562E91E" w14:textId="06C2A57D" w:rsidR="00155200" w:rsidRPr="008C7E7C" w:rsidRDefault="00155200" w:rsidP="008E49FC">
      <w:pPr>
        <w:spacing w:after="120" w:line="240" w:lineRule="auto"/>
        <w:jc w:val="both"/>
        <w:rPr>
          <w:rFonts w:cs="Times New Roman"/>
          <w:sz w:val="24"/>
          <w:szCs w:val="24"/>
          <w:lang w:eastAsia="pt-BR"/>
        </w:rPr>
      </w:pPr>
    </w:p>
    <w:p w14:paraId="15C5D21A" w14:textId="77777777" w:rsidR="00EA236C" w:rsidRPr="009B04B3" w:rsidRDefault="00EA236C" w:rsidP="006763AE">
      <w:pPr>
        <w:pStyle w:val="Ttulo3"/>
        <w:keepNext w:val="0"/>
        <w:numPr>
          <w:ilvl w:val="2"/>
          <w:numId w:val="36"/>
        </w:numPr>
        <w:spacing w:before="240" w:after="120"/>
        <w:ind w:left="720" w:hanging="720"/>
        <w:rPr>
          <w:rFonts w:asciiTheme="minorHAnsi" w:hAnsiTheme="minorHAnsi"/>
          <w:b/>
          <w:smallCaps w:val="0"/>
        </w:rPr>
      </w:pPr>
      <w:bookmarkStart w:id="326" w:name="_Toc2847411"/>
      <w:bookmarkStart w:id="327" w:name="_Toc5180290"/>
      <w:bookmarkStart w:id="328" w:name="_Toc67318003"/>
      <w:bookmarkStart w:id="329" w:name="_Toc67929657"/>
      <w:bookmarkStart w:id="330" w:name="_Toc69121236"/>
      <w:r w:rsidRPr="009B04B3">
        <w:rPr>
          <w:rFonts w:asciiTheme="minorHAnsi" w:hAnsiTheme="minorHAnsi"/>
          <w:b/>
          <w:smallCaps w:val="0"/>
        </w:rPr>
        <w:t>Depósitos Judiciais da União</w:t>
      </w:r>
      <w:bookmarkEnd w:id="326"/>
      <w:bookmarkEnd w:id="327"/>
      <w:bookmarkEnd w:id="328"/>
      <w:bookmarkEnd w:id="329"/>
      <w:bookmarkEnd w:id="330"/>
    </w:p>
    <w:p w14:paraId="2E310DE8" w14:textId="58086F83" w:rsidR="00F27FD8" w:rsidRPr="009B04B3" w:rsidRDefault="00A73E20" w:rsidP="00704C72">
      <w:pPr>
        <w:spacing w:after="120" w:line="240" w:lineRule="auto"/>
        <w:ind w:firstLine="1418"/>
        <w:jc w:val="both"/>
        <w:rPr>
          <w:rFonts w:cs="Times New Roman"/>
          <w:sz w:val="24"/>
          <w:szCs w:val="24"/>
          <w:lang w:eastAsia="pt-BR"/>
        </w:rPr>
      </w:pPr>
      <w:r w:rsidRPr="009B04B3">
        <w:rPr>
          <w:rFonts w:cs="Times New Roman"/>
          <w:sz w:val="24"/>
          <w:szCs w:val="24"/>
          <w:lang w:eastAsia="pt-BR"/>
        </w:rPr>
        <w:t>Os depósitos judiciais, de natureza tributária, são recolhimentos efetuados pelos contribuintes ao longo do trâmite de processo de natureza judicial em que a interpretação da legislação que cria a obrigação tributária é diversa daquela da União, ou seja, em situações em que há lide de natureza tributária. De acordo com o C</w:t>
      </w:r>
      <w:r w:rsidR="00C53777">
        <w:rPr>
          <w:rFonts w:cs="Times New Roman"/>
          <w:sz w:val="24"/>
          <w:szCs w:val="24"/>
          <w:lang w:eastAsia="pt-BR"/>
        </w:rPr>
        <w:t xml:space="preserve">ódigo </w:t>
      </w:r>
      <w:r w:rsidRPr="009B04B3">
        <w:rPr>
          <w:rFonts w:cs="Times New Roman"/>
          <w:sz w:val="24"/>
          <w:szCs w:val="24"/>
          <w:lang w:eastAsia="pt-BR"/>
        </w:rPr>
        <w:t>T</w:t>
      </w:r>
      <w:r w:rsidR="00C53777">
        <w:rPr>
          <w:rFonts w:cs="Times New Roman"/>
          <w:sz w:val="24"/>
          <w:szCs w:val="24"/>
          <w:lang w:eastAsia="pt-BR"/>
        </w:rPr>
        <w:t xml:space="preserve">ributário </w:t>
      </w:r>
      <w:r w:rsidRPr="009B04B3">
        <w:rPr>
          <w:rFonts w:cs="Times New Roman"/>
          <w:sz w:val="24"/>
          <w:szCs w:val="24"/>
          <w:lang w:eastAsia="pt-BR"/>
        </w:rPr>
        <w:t>N</w:t>
      </w:r>
      <w:r w:rsidR="00C53777">
        <w:rPr>
          <w:rFonts w:cs="Times New Roman"/>
          <w:sz w:val="24"/>
          <w:szCs w:val="24"/>
          <w:lang w:eastAsia="pt-BR"/>
        </w:rPr>
        <w:t>acional</w:t>
      </w:r>
      <w:r w:rsidRPr="009B04B3">
        <w:rPr>
          <w:rFonts w:cs="Times New Roman"/>
          <w:sz w:val="24"/>
          <w:szCs w:val="24"/>
          <w:lang w:eastAsia="pt-BR"/>
        </w:rPr>
        <w:t>, em seu artigo 151, o depósito judicial suspende a exigibilidade do crédito tributário.</w:t>
      </w:r>
    </w:p>
    <w:p w14:paraId="504B9B9D" w14:textId="6F7AFFAD" w:rsidR="005E0FE2" w:rsidRPr="009B04B3" w:rsidRDefault="00F52A37" w:rsidP="005E0FE2">
      <w:pPr>
        <w:spacing w:after="120" w:line="240" w:lineRule="auto"/>
        <w:ind w:firstLine="1418"/>
        <w:jc w:val="both"/>
        <w:rPr>
          <w:rFonts w:cs="Times New Roman"/>
          <w:sz w:val="24"/>
          <w:szCs w:val="24"/>
          <w:lang w:eastAsia="pt-BR"/>
        </w:rPr>
      </w:pPr>
      <w:r w:rsidRPr="00F52A37">
        <w:rPr>
          <w:rFonts w:cs="Times New Roman"/>
          <w:sz w:val="24"/>
          <w:szCs w:val="24"/>
          <w:lang w:eastAsia="pt-BR"/>
        </w:rPr>
        <w:t xml:space="preserve">De acordo com a Lei nº 9.703, de 13 de novembro de 1998, os depósitos judiciais são efetuados em conta corrente da Caixa Econômica Federal (CAIXA) e seus recursos repassados à Conta Única do Tesouro Nacional. Em a decisão da lide sendo favorável ao contribuinte, </w:t>
      </w:r>
      <w:proofErr w:type="gramStart"/>
      <w:r w:rsidR="00857CF3">
        <w:rPr>
          <w:rFonts w:cs="Times New Roman"/>
          <w:sz w:val="24"/>
          <w:szCs w:val="24"/>
          <w:lang w:eastAsia="pt-BR"/>
        </w:rPr>
        <w:t>a</w:t>
      </w:r>
      <w:proofErr w:type="gramEnd"/>
      <w:r w:rsidR="00151EE1">
        <w:rPr>
          <w:rFonts w:cs="Times New Roman"/>
          <w:sz w:val="24"/>
          <w:szCs w:val="24"/>
          <w:lang w:eastAsia="pt-BR"/>
        </w:rPr>
        <w:t xml:space="preserve"> devolução</w:t>
      </w:r>
      <w:r w:rsidRPr="00F52A37">
        <w:rPr>
          <w:rFonts w:cs="Times New Roman"/>
          <w:sz w:val="24"/>
          <w:szCs w:val="24"/>
          <w:lang w:eastAsia="pt-BR"/>
        </w:rPr>
        <w:t xml:space="preserve"> do </w:t>
      </w:r>
      <w:r w:rsidRPr="00F52A37">
        <w:rPr>
          <w:rFonts w:cs="Times New Roman"/>
          <w:sz w:val="24"/>
          <w:szCs w:val="24"/>
          <w:lang w:eastAsia="pt-BR"/>
        </w:rPr>
        <w:lastRenderedPageBreak/>
        <w:t>depósito deve ser feit</w:t>
      </w:r>
      <w:r w:rsidR="00151EE1">
        <w:rPr>
          <w:rFonts w:cs="Times New Roman"/>
          <w:sz w:val="24"/>
          <w:szCs w:val="24"/>
          <w:lang w:eastAsia="pt-BR"/>
        </w:rPr>
        <w:t>a</w:t>
      </w:r>
      <w:r w:rsidRPr="00F52A37">
        <w:rPr>
          <w:rFonts w:cs="Times New Roman"/>
          <w:sz w:val="24"/>
          <w:szCs w:val="24"/>
          <w:lang w:eastAsia="pt-BR"/>
        </w:rPr>
        <w:t xml:space="preserve"> em até vinte e quatro horas. </w:t>
      </w:r>
      <w:r w:rsidR="003F681C">
        <w:rPr>
          <w:rFonts w:cs="Times New Roman"/>
          <w:sz w:val="24"/>
          <w:szCs w:val="24"/>
          <w:lang w:eastAsia="pt-BR"/>
        </w:rPr>
        <w:t>A devolução</w:t>
      </w:r>
      <w:r w:rsidRPr="00F52A37">
        <w:rPr>
          <w:rFonts w:cs="Times New Roman"/>
          <w:sz w:val="24"/>
          <w:szCs w:val="24"/>
          <w:lang w:eastAsia="pt-BR"/>
        </w:rPr>
        <w:t xml:space="preserve"> d</w:t>
      </w:r>
      <w:r w:rsidR="003F681C">
        <w:rPr>
          <w:rFonts w:cs="Times New Roman"/>
          <w:sz w:val="24"/>
          <w:szCs w:val="24"/>
          <w:lang w:eastAsia="pt-BR"/>
        </w:rPr>
        <w:t>o</w:t>
      </w:r>
      <w:r w:rsidRPr="00F52A37">
        <w:rPr>
          <w:rFonts w:cs="Times New Roman"/>
          <w:sz w:val="24"/>
          <w:szCs w:val="24"/>
          <w:lang w:eastAsia="pt-BR"/>
        </w:rPr>
        <w:t xml:space="preserve"> depósito possui natureza semelhante à restituição de tributos. Em a decisão sendo contrária ao contribuinte, há a conversão do depósito em renda transformando-se, assim, em pagamento definitivo.</w:t>
      </w:r>
    </w:p>
    <w:p w14:paraId="218F7FCB" w14:textId="12264E3E" w:rsidR="00981A6C" w:rsidRPr="009B04B3" w:rsidRDefault="00D364EC" w:rsidP="00704C72">
      <w:pPr>
        <w:spacing w:after="120" w:line="240" w:lineRule="auto"/>
        <w:ind w:firstLine="1418"/>
        <w:jc w:val="both"/>
        <w:rPr>
          <w:rFonts w:cs="Times New Roman"/>
          <w:sz w:val="24"/>
          <w:szCs w:val="24"/>
          <w:lang w:eastAsia="pt-BR"/>
        </w:rPr>
      </w:pPr>
      <w:r w:rsidRPr="009B04B3">
        <w:rPr>
          <w:rFonts w:cs="Times New Roman"/>
          <w:sz w:val="24"/>
          <w:szCs w:val="24"/>
          <w:lang w:eastAsia="pt-BR"/>
        </w:rPr>
        <w:t xml:space="preserve">Como estes depósitos ingressaram na conta única do Tesouro Nacional, a sua variação líquida, de um exercício para o outro, afeta a apuração do resultado primário. </w:t>
      </w:r>
      <w:r w:rsidR="006D35F7" w:rsidRPr="009B04B3">
        <w:rPr>
          <w:rFonts w:cs="Times New Roman"/>
          <w:sz w:val="24"/>
          <w:szCs w:val="24"/>
          <w:lang w:eastAsia="pt-BR"/>
        </w:rPr>
        <w:t>No tocante</w:t>
      </w:r>
      <w:r w:rsidR="00B83CB1" w:rsidRPr="009B04B3">
        <w:rPr>
          <w:rFonts w:cs="Times New Roman"/>
          <w:sz w:val="24"/>
          <w:szCs w:val="24"/>
          <w:lang w:eastAsia="pt-BR"/>
        </w:rPr>
        <w:t xml:space="preserve"> à evolução do fluxo dos depósitos judiciais, a </w:t>
      </w:r>
      <w:r w:rsidR="00826F1B" w:rsidRPr="009B04B3">
        <w:rPr>
          <w:rFonts w:cs="Times New Roman"/>
          <w:sz w:val="24"/>
          <w:szCs w:val="24"/>
          <w:lang w:eastAsia="pt-BR"/>
        </w:rPr>
        <w:fldChar w:fldCharType="begin"/>
      </w:r>
      <w:r w:rsidR="00826F1B" w:rsidRPr="009B04B3">
        <w:rPr>
          <w:rFonts w:cs="Times New Roman"/>
          <w:sz w:val="24"/>
          <w:szCs w:val="24"/>
          <w:lang w:eastAsia="pt-BR"/>
        </w:rPr>
        <w:instrText xml:space="preserve"> REF _Ref36124170  \* MERGEFORMAT </w:instrText>
      </w:r>
      <w:r w:rsidR="00826F1B" w:rsidRPr="009B04B3">
        <w:rPr>
          <w:rFonts w:cs="Times New Roman"/>
          <w:sz w:val="24"/>
          <w:szCs w:val="24"/>
          <w:lang w:eastAsia="pt-BR"/>
        </w:rPr>
        <w:fldChar w:fldCharType="separate"/>
      </w:r>
      <w:r w:rsidR="00304F5F" w:rsidRPr="00304F5F">
        <w:rPr>
          <w:rFonts w:cs="Times New Roman"/>
          <w:sz w:val="24"/>
          <w:szCs w:val="24"/>
          <w:lang w:eastAsia="pt-BR"/>
        </w:rPr>
        <w:t>Tabela 39</w:t>
      </w:r>
      <w:r w:rsidR="00826F1B" w:rsidRPr="009B04B3">
        <w:rPr>
          <w:rFonts w:cs="Times New Roman"/>
          <w:sz w:val="24"/>
          <w:szCs w:val="24"/>
          <w:lang w:eastAsia="pt-BR"/>
        </w:rPr>
        <w:fldChar w:fldCharType="end"/>
      </w:r>
      <w:r w:rsidR="00B83CB1" w:rsidRPr="009B04B3">
        <w:rPr>
          <w:rFonts w:cs="Times New Roman"/>
          <w:sz w:val="24"/>
          <w:szCs w:val="24"/>
          <w:lang w:eastAsia="pt-BR"/>
        </w:rPr>
        <w:t xml:space="preserve"> apresenta o histórico dos valores realizados por exercício, segundo a movimentação.</w:t>
      </w:r>
    </w:p>
    <w:p w14:paraId="579A6CA3" w14:textId="563638BB" w:rsidR="00B83CB1" w:rsidRDefault="00B83CB1" w:rsidP="00285B63">
      <w:pPr>
        <w:spacing w:after="120" w:line="240" w:lineRule="auto"/>
        <w:ind w:firstLine="1418"/>
        <w:jc w:val="both"/>
        <w:rPr>
          <w:rFonts w:cs="Times New Roman"/>
          <w:sz w:val="24"/>
          <w:szCs w:val="24"/>
          <w:lang w:eastAsia="pt-BR"/>
        </w:rPr>
      </w:pPr>
      <w:r w:rsidRPr="009B04B3">
        <w:rPr>
          <w:rFonts w:cs="Times New Roman"/>
          <w:sz w:val="24"/>
          <w:szCs w:val="24"/>
          <w:lang w:eastAsia="pt-BR"/>
        </w:rPr>
        <w:t xml:space="preserve">Vale ressaltar que, a cada ano dentro da execução orçamentária, a estimação dos fluxos pertinentes aos depósitos judiciais é revisada bimestralmente no âmbito dos Relatórios de Avaliação de Despesas e Receitas Primárias, momento no qual eventuais desvios em relação </w:t>
      </w:r>
      <w:proofErr w:type="gramStart"/>
      <w:r w:rsidRPr="009B04B3">
        <w:rPr>
          <w:rFonts w:cs="Times New Roman"/>
          <w:sz w:val="24"/>
          <w:szCs w:val="24"/>
          <w:lang w:eastAsia="pt-BR"/>
        </w:rPr>
        <w:t>a</w:t>
      </w:r>
      <w:proofErr w:type="gramEnd"/>
      <w:r w:rsidRPr="009B04B3">
        <w:rPr>
          <w:rFonts w:cs="Times New Roman"/>
          <w:sz w:val="24"/>
          <w:szCs w:val="24"/>
          <w:lang w:eastAsia="pt-BR"/>
        </w:rPr>
        <w:t xml:space="preserve"> programação orçamentária-financeira são reorganizados.</w:t>
      </w:r>
    </w:p>
    <w:p w14:paraId="57E8F7EC" w14:textId="77777777" w:rsidR="009D6C1C" w:rsidRPr="009B04B3" w:rsidRDefault="009D6C1C" w:rsidP="00704C72">
      <w:pPr>
        <w:spacing w:after="120" w:line="240" w:lineRule="auto"/>
        <w:ind w:firstLine="1418"/>
        <w:jc w:val="both"/>
        <w:rPr>
          <w:rFonts w:cs="Times New Roman"/>
          <w:sz w:val="24"/>
          <w:szCs w:val="24"/>
          <w:lang w:eastAsia="pt-BR"/>
        </w:rPr>
      </w:pPr>
    </w:p>
    <w:p w14:paraId="630A9BD2" w14:textId="538A2F4B" w:rsidR="00F416EB" w:rsidRPr="0022645B" w:rsidRDefault="00F416EB" w:rsidP="00F416EB">
      <w:pPr>
        <w:pStyle w:val="Legenda"/>
        <w:spacing w:before="240" w:after="120"/>
        <w:jc w:val="center"/>
        <w:rPr>
          <w:rFonts w:asciiTheme="minorHAnsi" w:hAnsiTheme="minorHAnsi"/>
          <w:i w:val="0"/>
          <w:color w:val="auto"/>
          <w:sz w:val="22"/>
          <w:szCs w:val="22"/>
        </w:rPr>
      </w:pPr>
      <w:bookmarkStart w:id="331" w:name="_Ref36124170"/>
      <w:bookmarkStart w:id="332" w:name="_Toc69121385"/>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39</w:t>
      </w:r>
      <w:r w:rsidRPr="0022645B">
        <w:rPr>
          <w:rFonts w:asciiTheme="minorHAnsi" w:hAnsiTheme="minorHAnsi"/>
          <w:i w:val="0"/>
          <w:color w:val="auto"/>
          <w:sz w:val="22"/>
          <w:szCs w:val="22"/>
        </w:rPr>
        <w:fldChar w:fldCharType="end"/>
      </w:r>
      <w:bookmarkEnd w:id="331"/>
      <w:r w:rsidRPr="0022645B">
        <w:rPr>
          <w:rFonts w:asciiTheme="minorHAnsi" w:hAnsiTheme="minorHAnsi"/>
          <w:i w:val="0"/>
          <w:color w:val="auto"/>
          <w:sz w:val="22"/>
          <w:szCs w:val="22"/>
        </w:rPr>
        <w:t xml:space="preserve"> </w:t>
      </w:r>
      <w:r>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Evolução do fluxo dos depósitos judiciais por exercício, segundo </w:t>
      </w:r>
      <w:proofErr w:type="gramStart"/>
      <w:r w:rsidRPr="0022645B">
        <w:rPr>
          <w:rFonts w:asciiTheme="minorHAnsi" w:hAnsiTheme="minorHAnsi"/>
          <w:i w:val="0"/>
          <w:color w:val="auto"/>
          <w:sz w:val="22"/>
          <w:szCs w:val="22"/>
        </w:rPr>
        <w:t>movimentação</w:t>
      </w:r>
      <w:bookmarkEnd w:id="332"/>
      <w:proofErr w:type="gramEnd"/>
    </w:p>
    <w:p w14:paraId="11E63F13" w14:textId="4B06AF9F" w:rsidR="007A2076" w:rsidRPr="00CA7E8D" w:rsidRDefault="007A2076" w:rsidP="00CA7E8D">
      <w:pPr>
        <w:spacing w:after="0"/>
        <w:ind w:right="425"/>
        <w:jc w:val="right"/>
        <w:rPr>
          <w:i/>
          <w:sz w:val="16"/>
          <w:szCs w:val="16"/>
          <w:lang w:eastAsia="pt-BR"/>
        </w:rPr>
      </w:pPr>
      <w:r w:rsidRPr="00CA7E8D">
        <w:rPr>
          <w:i/>
          <w:sz w:val="16"/>
          <w:szCs w:val="16"/>
          <w:lang w:eastAsia="pt-BR"/>
        </w:rPr>
        <w:t>Em R$ milhões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978"/>
        <w:gridCol w:w="778"/>
        <w:gridCol w:w="778"/>
        <w:gridCol w:w="782"/>
        <w:gridCol w:w="778"/>
        <w:gridCol w:w="778"/>
        <w:gridCol w:w="624"/>
        <w:gridCol w:w="624"/>
      </w:tblGrid>
      <w:tr w:rsidR="00AA738A" w:rsidRPr="00AA738A" w14:paraId="78E4184E" w14:textId="77777777" w:rsidTr="007A2076">
        <w:trPr>
          <w:trHeight w:val="20"/>
          <w:tblHeader/>
          <w:jc w:val="center"/>
        </w:trPr>
        <w:tc>
          <w:tcPr>
            <w:tcW w:w="0" w:type="auto"/>
            <w:vMerge w:val="restart"/>
            <w:shd w:val="clear" w:color="auto" w:fill="404040" w:themeFill="text1" w:themeFillTint="BF"/>
            <w:noWrap/>
            <w:vAlign w:val="center"/>
            <w:hideMark/>
          </w:tcPr>
          <w:p w14:paraId="0C5873FD" w14:textId="34F4C8F1" w:rsidR="00AA738A" w:rsidRPr="00C778B3" w:rsidRDefault="00787CAE" w:rsidP="00AA738A">
            <w:pPr>
              <w:spacing w:after="0" w:line="240" w:lineRule="auto"/>
              <w:jc w:val="center"/>
              <w:rPr>
                <w:rFonts w:eastAsia="Times New Roman" w:cs="Times New Roman"/>
                <w:color w:val="FFFFFF" w:themeColor="background1"/>
                <w:sz w:val="20"/>
                <w:szCs w:val="20"/>
                <w:lang w:eastAsia="pt-BR"/>
              </w:rPr>
            </w:pPr>
            <w:r w:rsidRPr="00C778B3">
              <w:rPr>
                <w:rFonts w:cs="Times New Roman"/>
                <w:b/>
                <w:color w:val="FFFFFF" w:themeColor="background1"/>
                <w:sz w:val="20"/>
                <w:szCs w:val="20"/>
              </w:rPr>
              <w:t>Movimentação</w:t>
            </w:r>
          </w:p>
        </w:tc>
        <w:tc>
          <w:tcPr>
            <w:tcW w:w="0" w:type="auto"/>
            <w:gridSpan w:val="5"/>
            <w:tcBorders>
              <w:right w:val="single" w:sz="4" w:space="0" w:color="BFBFBF" w:themeColor="background1" w:themeShade="BF"/>
            </w:tcBorders>
            <w:shd w:val="clear" w:color="auto" w:fill="404040" w:themeFill="text1" w:themeFillTint="BF"/>
            <w:noWrap/>
            <w:vAlign w:val="center"/>
            <w:hideMark/>
          </w:tcPr>
          <w:p w14:paraId="4DFE7D0F" w14:textId="77777777" w:rsidR="00787CAE" w:rsidRPr="00C778B3" w:rsidRDefault="00787CAE" w:rsidP="00AA738A">
            <w:pPr>
              <w:spacing w:after="0" w:line="240" w:lineRule="auto"/>
              <w:jc w:val="center"/>
              <w:rPr>
                <w:rFonts w:eastAsia="Times New Roman" w:cs="Times New Roman"/>
                <w:b/>
                <w:color w:val="FFFFFF" w:themeColor="background1"/>
                <w:sz w:val="20"/>
                <w:szCs w:val="20"/>
                <w:lang w:eastAsia="pt-BR"/>
              </w:rPr>
            </w:pPr>
            <w:r w:rsidRPr="00C778B3">
              <w:rPr>
                <w:rFonts w:eastAsia="Times New Roman" w:cs="Times New Roman"/>
                <w:b/>
                <w:color w:val="FFFFFF" w:themeColor="background1"/>
                <w:sz w:val="20"/>
                <w:szCs w:val="20"/>
                <w:lang w:eastAsia="pt-BR"/>
              </w:rPr>
              <w:t>Fluxo</w:t>
            </w:r>
          </w:p>
          <w:p w14:paraId="37108330" w14:textId="77777777" w:rsidR="00787CAE" w:rsidRPr="00C778B3" w:rsidRDefault="00787CAE" w:rsidP="00AA738A">
            <w:pPr>
              <w:spacing w:after="0" w:line="240" w:lineRule="auto"/>
              <w:jc w:val="center"/>
              <w:rPr>
                <w:rFonts w:eastAsia="Times New Roman" w:cs="Times New Roman"/>
                <w:color w:val="FFFFFF" w:themeColor="background1"/>
                <w:sz w:val="20"/>
                <w:szCs w:val="20"/>
                <w:lang w:eastAsia="pt-BR"/>
              </w:rPr>
            </w:pPr>
            <w:r w:rsidRPr="00C778B3">
              <w:rPr>
                <w:rFonts w:eastAsia="Times New Roman" w:cs="Times New Roman"/>
                <w:color w:val="FFFFFF" w:themeColor="background1"/>
                <w:sz w:val="20"/>
                <w:szCs w:val="20"/>
                <w:lang w:eastAsia="pt-BR"/>
              </w:rPr>
              <w:t>Valor Realizado ($)</w:t>
            </w:r>
          </w:p>
          <w:p w14:paraId="449C85E0" w14:textId="292A9059" w:rsidR="00B813B6" w:rsidRPr="00C778B3" w:rsidRDefault="00787CAE" w:rsidP="00AA738A">
            <w:pPr>
              <w:spacing w:after="0" w:line="240" w:lineRule="auto"/>
              <w:jc w:val="center"/>
              <w:rPr>
                <w:rFonts w:eastAsia="Times New Roman" w:cs="Times New Roman"/>
                <w:b/>
                <w:color w:val="FFFFFF" w:themeColor="background1"/>
                <w:sz w:val="20"/>
                <w:szCs w:val="20"/>
                <w:lang w:eastAsia="pt-BR"/>
              </w:rPr>
            </w:pPr>
            <w:r w:rsidRPr="00C778B3">
              <w:rPr>
                <w:rFonts w:eastAsia="Times New Roman" w:cs="Times New Roman"/>
                <w:color w:val="FFFFFF" w:themeColor="background1"/>
                <w:sz w:val="20"/>
                <w:szCs w:val="20"/>
                <w:lang w:eastAsia="pt-BR"/>
              </w:rPr>
              <w:t xml:space="preserve">Variação </w:t>
            </w:r>
            <w:r w:rsidR="00546B07">
              <w:rPr>
                <w:rFonts w:eastAsia="Times New Roman" w:cs="Times New Roman"/>
                <w:color w:val="FFFFFF" w:themeColor="background1"/>
                <w:sz w:val="20"/>
                <w:szCs w:val="20"/>
                <w:vertAlign w:val="superscript"/>
                <w:lang w:eastAsia="pt-BR"/>
              </w:rPr>
              <w:t>(1)</w:t>
            </w:r>
            <w:r w:rsidRPr="00C778B3">
              <w:rPr>
                <w:rFonts w:eastAsia="Times New Roman" w:cs="Times New Roman"/>
                <w:color w:val="FFFFFF" w:themeColor="background1"/>
                <w:sz w:val="20"/>
                <w:szCs w:val="20"/>
                <w:lang w:eastAsia="pt-BR"/>
              </w:rPr>
              <w:t xml:space="preserve"> (%)</w:t>
            </w:r>
          </w:p>
        </w:tc>
        <w:tc>
          <w:tcPr>
            <w:tcW w:w="0" w:type="auto"/>
            <w:gridSpan w:val="2"/>
            <w:vMerge w:val="restart"/>
            <w:tcBorders>
              <w:left w:val="single" w:sz="4" w:space="0" w:color="BFBFBF" w:themeColor="background1" w:themeShade="BF"/>
            </w:tcBorders>
            <w:shd w:val="clear" w:color="auto" w:fill="404040" w:themeFill="text1" w:themeFillTint="BF"/>
            <w:noWrap/>
            <w:vAlign w:val="center"/>
          </w:tcPr>
          <w:p w14:paraId="6F5F3586" w14:textId="766966E0" w:rsidR="00AA738A" w:rsidRPr="00C778B3" w:rsidRDefault="00AA738A" w:rsidP="00AA738A">
            <w:pPr>
              <w:spacing w:after="0" w:line="240" w:lineRule="auto"/>
              <w:jc w:val="center"/>
              <w:rPr>
                <w:rFonts w:eastAsia="Times New Roman" w:cs="Times New Roman"/>
                <w:b/>
                <w:color w:val="FFFFFF" w:themeColor="background1"/>
                <w:sz w:val="20"/>
                <w:szCs w:val="20"/>
                <w:lang w:eastAsia="pt-BR"/>
              </w:rPr>
            </w:pPr>
            <w:r w:rsidRPr="00C778B3">
              <w:rPr>
                <w:rFonts w:eastAsia="Times New Roman" w:cs="Times New Roman"/>
                <w:b/>
                <w:color w:val="FFFFFF" w:themeColor="background1"/>
                <w:sz w:val="20"/>
                <w:szCs w:val="20"/>
                <w:lang w:eastAsia="pt-BR"/>
              </w:rPr>
              <w:t>Impacto</w:t>
            </w:r>
          </w:p>
          <w:p w14:paraId="240FC7D1" w14:textId="2E7F6FA7" w:rsidR="00AA738A" w:rsidRPr="00C778B3" w:rsidRDefault="00AA738A" w:rsidP="00AA738A">
            <w:pPr>
              <w:spacing w:after="0" w:line="240" w:lineRule="auto"/>
              <w:jc w:val="center"/>
              <w:rPr>
                <w:rFonts w:eastAsia="Times New Roman" w:cs="Times New Roman"/>
                <w:color w:val="FFFFFF" w:themeColor="background1"/>
                <w:sz w:val="20"/>
                <w:szCs w:val="20"/>
                <w:lang w:eastAsia="pt-BR"/>
              </w:rPr>
            </w:pPr>
            <w:r w:rsidRPr="00C778B3">
              <w:rPr>
                <w:rFonts w:eastAsia="Times New Roman" w:cs="Times New Roman"/>
                <w:color w:val="FFFFFF" w:themeColor="background1"/>
                <w:sz w:val="20"/>
                <w:szCs w:val="20"/>
                <w:lang w:eastAsia="pt-BR"/>
              </w:rPr>
              <w:t>Financeiro (F)</w:t>
            </w:r>
          </w:p>
          <w:p w14:paraId="4F1F253B" w14:textId="05876B36" w:rsidR="00AA738A" w:rsidRPr="00C778B3" w:rsidRDefault="00AA738A" w:rsidP="00AA738A">
            <w:pPr>
              <w:spacing w:after="0" w:line="240" w:lineRule="auto"/>
              <w:jc w:val="center"/>
              <w:rPr>
                <w:rFonts w:eastAsia="Times New Roman" w:cs="Times New Roman"/>
                <w:color w:val="FFFFFF" w:themeColor="background1"/>
                <w:sz w:val="20"/>
                <w:szCs w:val="20"/>
                <w:lang w:eastAsia="pt-BR"/>
              </w:rPr>
            </w:pPr>
            <w:r w:rsidRPr="00C778B3">
              <w:rPr>
                <w:rFonts w:eastAsia="Times New Roman" w:cs="Times New Roman"/>
                <w:color w:val="FFFFFF" w:themeColor="background1"/>
                <w:sz w:val="20"/>
                <w:szCs w:val="20"/>
                <w:lang w:eastAsia="pt-BR"/>
              </w:rPr>
              <w:t>Primário (P)</w:t>
            </w:r>
          </w:p>
        </w:tc>
      </w:tr>
      <w:tr w:rsidR="00AA738A" w:rsidRPr="00AA738A" w14:paraId="4D7C0348" w14:textId="77777777" w:rsidTr="007A2076">
        <w:trPr>
          <w:trHeight w:val="20"/>
          <w:jc w:val="center"/>
        </w:trPr>
        <w:tc>
          <w:tcPr>
            <w:tcW w:w="0" w:type="auto"/>
            <w:vMerge/>
            <w:tcBorders>
              <w:top w:val="single" w:sz="4" w:space="0" w:color="BFBFBF" w:themeColor="background1" w:themeShade="BF"/>
            </w:tcBorders>
            <w:shd w:val="clear" w:color="auto" w:fill="404040" w:themeFill="text1" w:themeFillTint="BF"/>
            <w:noWrap/>
            <w:vAlign w:val="center"/>
            <w:hideMark/>
          </w:tcPr>
          <w:p w14:paraId="61855A4D" w14:textId="77777777" w:rsidR="00AA738A" w:rsidRPr="00142E85" w:rsidRDefault="00AA738A" w:rsidP="00AA738A">
            <w:pPr>
              <w:spacing w:after="0" w:line="240" w:lineRule="auto"/>
              <w:jc w:val="center"/>
              <w:rPr>
                <w:rFonts w:eastAsia="Times New Roman" w:cs="Times New Roman"/>
                <w:color w:val="FFFFFF" w:themeColor="background1"/>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noWrap/>
            <w:vAlign w:val="center"/>
            <w:hideMark/>
          </w:tcPr>
          <w:p w14:paraId="3E77CBDF" w14:textId="77777777" w:rsidR="00AA738A" w:rsidRPr="009B69E4" w:rsidRDefault="00AA738A" w:rsidP="00AA738A">
            <w:pPr>
              <w:spacing w:after="0" w:line="240" w:lineRule="auto"/>
              <w:jc w:val="center"/>
              <w:rPr>
                <w:rFonts w:eastAsia="Times New Roman" w:cs="Arial"/>
                <w:b/>
                <w:bCs/>
                <w:color w:val="FFFFFF" w:themeColor="background1"/>
                <w:sz w:val="20"/>
                <w:szCs w:val="20"/>
                <w:lang w:eastAsia="pt-BR"/>
              </w:rPr>
            </w:pPr>
            <w:r w:rsidRPr="009B69E4">
              <w:rPr>
                <w:rFonts w:eastAsia="Times New Roman" w:cs="Arial"/>
                <w:b/>
                <w:bCs/>
                <w:color w:val="FFFFFF" w:themeColor="background1"/>
                <w:sz w:val="20"/>
                <w:szCs w:val="20"/>
                <w:lang w:eastAsia="pt-BR"/>
              </w:rPr>
              <w:t>2016</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noWrap/>
            <w:vAlign w:val="center"/>
            <w:hideMark/>
          </w:tcPr>
          <w:p w14:paraId="14D4F9AA" w14:textId="77777777" w:rsidR="00AA738A" w:rsidRPr="009B69E4" w:rsidRDefault="00AA738A" w:rsidP="00AA738A">
            <w:pPr>
              <w:spacing w:after="0" w:line="240" w:lineRule="auto"/>
              <w:jc w:val="center"/>
              <w:rPr>
                <w:rFonts w:eastAsia="Times New Roman" w:cs="Arial"/>
                <w:b/>
                <w:bCs/>
                <w:color w:val="FFFFFF" w:themeColor="background1"/>
                <w:sz w:val="20"/>
                <w:szCs w:val="20"/>
                <w:lang w:eastAsia="pt-BR"/>
              </w:rPr>
            </w:pPr>
            <w:r w:rsidRPr="009B69E4">
              <w:rPr>
                <w:rFonts w:eastAsia="Times New Roman" w:cs="Arial"/>
                <w:b/>
                <w:bCs/>
                <w:color w:val="FFFFFF" w:themeColor="background1"/>
                <w:sz w:val="20"/>
                <w:szCs w:val="20"/>
                <w:lang w:eastAsia="pt-BR"/>
              </w:rPr>
              <w:t>2017</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noWrap/>
            <w:vAlign w:val="center"/>
            <w:hideMark/>
          </w:tcPr>
          <w:p w14:paraId="497AA575" w14:textId="77777777" w:rsidR="00AA738A" w:rsidRPr="009B69E4" w:rsidRDefault="00AA738A" w:rsidP="00AA738A">
            <w:pPr>
              <w:spacing w:after="0" w:line="240" w:lineRule="auto"/>
              <w:jc w:val="center"/>
              <w:rPr>
                <w:rFonts w:eastAsia="Times New Roman" w:cs="Arial"/>
                <w:b/>
                <w:bCs/>
                <w:color w:val="FFFFFF" w:themeColor="background1"/>
                <w:sz w:val="20"/>
                <w:szCs w:val="20"/>
                <w:lang w:eastAsia="pt-BR"/>
              </w:rPr>
            </w:pPr>
            <w:r w:rsidRPr="009B69E4">
              <w:rPr>
                <w:rFonts w:eastAsia="Times New Roman" w:cs="Arial"/>
                <w:b/>
                <w:bCs/>
                <w:color w:val="FFFFFF" w:themeColor="background1"/>
                <w:sz w:val="20"/>
                <w:szCs w:val="20"/>
                <w:lang w:eastAsia="pt-BR"/>
              </w:rPr>
              <w:t>2018</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tcPr>
          <w:p w14:paraId="211D66F0" w14:textId="3E2A2678" w:rsidR="00AA738A" w:rsidRPr="009B69E4" w:rsidRDefault="00AA738A" w:rsidP="00AA738A">
            <w:pPr>
              <w:spacing w:after="0" w:line="240" w:lineRule="auto"/>
              <w:jc w:val="center"/>
              <w:rPr>
                <w:rFonts w:eastAsia="Times New Roman" w:cs="Arial"/>
                <w:b/>
                <w:bCs/>
                <w:color w:val="FFFFFF" w:themeColor="background1"/>
                <w:sz w:val="20"/>
                <w:szCs w:val="20"/>
                <w:lang w:eastAsia="pt-BR"/>
              </w:rPr>
            </w:pPr>
            <w:r w:rsidRPr="009B69E4">
              <w:rPr>
                <w:rFonts w:eastAsia="Times New Roman" w:cs="Arial"/>
                <w:b/>
                <w:bCs/>
                <w:color w:val="FFFFFF" w:themeColor="background1"/>
                <w:sz w:val="20"/>
                <w:szCs w:val="20"/>
                <w:lang w:eastAsia="pt-BR"/>
              </w:rPr>
              <w:t>2019</w:t>
            </w:r>
          </w:p>
        </w:tc>
        <w:tc>
          <w:tcPr>
            <w:tcW w:w="0" w:type="auto"/>
            <w:tcBorders>
              <w:top w:val="single" w:sz="4" w:space="0" w:color="BFBFBF" w:themeColor="background1" w:themeShade="BF"/>
              <w:bottom w:val="nil"/>
            </w:tcBorders>
            <w:shd w:val="clear" w:color="auto" w:fill="404040" w:themeFill="text1" w:themeFillTint="BF"/>
          </w:tcPr>
          <w:p w14:paraId="636692F5" w14:textId="71D0A228" w:rsidR="00B813B6" w:rsidRPr="009B69E4" w:rsidRDefault="00B813B6" w:rsidP="00BC6400">
            <w:pPr>
              <w:spacing w:after="0" w:line="240" w:lineRule="auto"/>
              <w:jc w:val="center"/>
              <w:rPr>
                <w:rFonts w:eastAsia="Times New Roman" w:cs="Arial"/>
                <w:b/>
                <w:bCs/>
                <w:color w:val="FFFFFF" w:themeColor="background1"/>
                <w:sz w:val="20"/>
                <w:szCs w:val="20"/>
                <w:lang w:eastAsia="pt-BR"/>
              </w:rPr>
            </w:pPr>
            <w:r w:rsidRPr="009B69E4">
              <w:rPr>
                <w:rFonts w:eastAsia="Times New Roman" w:cs="Arial"/>
                <w:b/>
                <w:bCs/>
                <w:color w:val="FFFFFF" w:themeColor="background1"/>
                <w:sz w:val="20"/>
                <w:szCs w:val="20"/>
                <w:lang w:eastAsia="pt-BR"/>
              </w:rPr>
              <w:t>2020</w:t>
            </w:r>
          </w:p>
        </w:tc>
        <w:tc>
          <w:tcPr>
            <w:tcW w:w="0" w:type="auto"/>
            <w:gridSpan w:val="2"/>
            <w:vMerge/>
            <w:shd w:val="clear" w:color="auto" w:fill="404040" w:themeFill="text1" w:themeFillTint="BF"/>
            <w:noWrap/>
            <w:vAlign w:val="center"/>
          </w:tcPr>
          <w:p w14:paraId="012A43E9" w14:textId="15A483F2" w:rsidR="00AA738A" w:rsidRPr="00142E85" w:rsidRDefault="00AA738A" w:rsidP="005C7BAE">
            <w:pPr>
              <w:spacing w:after="0" w:line="240" w:lineRule="auto"/>
              <w:jc w:val="right"/>
              <w:rPr>
                <w:rFonts w:eastAsia="Times New Roman" w:cs="Arial"/>
                <w:color w:val="FFFFFF" w:themeColor="background1"/>
                <w:sz w:val="18"/>
                <w:szCs w:val="18"/>
                <w:lang w:eastAsia="pt-BR"/>
              </w:rPr>
            </w:pPr>
          </w:p>
        </w:tc>
      </w:tr>
      <w:tr w:rsidR="00AA738A" w:rsidRPr="005C7BAE" w14:paraId="2BF0811A" w14:textId="77777777" w:rsidTr="00122F91">
        <w:trPr>
          <w:trHeight w:val="20"/>
          <w:jc w:val="center"/>
        </w:trPr>
        <w:tc>
          <w:tcPr>
            <w:tcW w:w="0" w:type="auto"/>
            <w:vMerge w:val="restart"/>
            <w:tcBorders>
              <w:right w:val="single" w:sz="4" w:space="0" w:color="BFBFBF" w:themeColor="background1" w:themeShade="BF"/>
            </w:tcBorders>
            <w:shd w:val="clear" w:color="auto" w:fill="F2F2F2" w:themeFill="background1" w:themeFillShade="F2"/>
            <w:noWrap/>
            <w:vAlign w:val="center"/>
            <w:hideMark/>
          </w:tcPr>
          <w:p w14:paraId="2996BF7E" w14:textId="65AACB9B" w:rsidR="00AA738A" w:rsidRPr="0085686C" w:rsidRDefault="00AA738A" w:rsidP="005C7BAE">
            <w:pPr>
              <w:spacing w:after="0" w:line="240" w:lineRule="auto"/>
              <w:rPr>
                <w:rFonts w:eastAsia="Times New Roman" w:cs="Arial"/>
                <w:color w:val="000000"/>
                <w:sz w:val="18"/>
                <w:szCs w:val="18"/>
                <w:lang w:eastAsia="pt-BR"/>
              </w:rPr>
            </w:pPr>
            <w:r w:rsidRPr="0085686C">
              <w:rPr>
                <w:rFonts w:eastAsia="Times New Roman" w:cs="Arial"/>
                <w:color w:val="000000"/>
                <w:sz w:val="18"/>
                <w:szCs w:val="18"/>
                <w:lang w:eastAsia="pt-BR"/>
              </w:rPr>
              <w:t>Recolhimento</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vAlign w:val="center"/>
            <w:hideMark/>
          </w:tcPr>
          <w:p w14:paraId="1EB53FBE" w14:textId="70649737"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11.48</w:t>
            </w:r>
            <w:r w:rsidR="00BF28EA">
              <w:rPr>
                <w:rFonts w:eastAsia="Times New Roman" w:cs="Arial"/>
                <w:color w:val="000000"/>
                <w:sz w:val="18"/>
                <w:szCs w:val="18"/>
                <w:lang w:eastAsia="pt-BR"/>
              </w:rPr>
              <w:t>4</w:t>
            </w:r>
            <w:r w:rsidRPr="00142E85">
              <w:rPr>
                <w:rFonts w:eastAsia="Times New Roman" w:cs="Arial"/>
                <w:color w:val="000000"/>
                <w:sz w:val="18"/>
                <w:szCs w:val="18"/>
                <w:lang w:eastAsia="pt-BR"/>
              </w:rPr>
              <w:t>,</w:t>
            </w:r>
            <w:r w:rsidR="00BF28EA">
              <w:rPr>
                <w:rFonts w:eastAsia="Times New Roman" w:cs="Arial"/>
                <w:color w:val="000000"/>
                <w:sz w:val="18"/>
                <w:szCs w:val="18"/>
                <w:lang w:eastAsia="pt-BR"/>
              </w:rPr>
              <w:t>4</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vAlign w:val="center"/>
            <w:hideMark/>
          </w:tcPr>
          <w:p w14:paraId="2A5B3005" w14:textId="03483AA7"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14.2</w:t>
            </w:r>
            <w:r w:rsidR="00BF28EA">
              <w:rPr>
                <w:rFonts w:eastAsia="Times New Roman" w:cs="Arial"/>
                <w:color w:val="000000"/>
                <w:sz w:val="18"/>
                <w:szCs w:val="18"/>
                <w:lang w:eastAsia="pt-BR"/>
              </w:rPr>
              <w:t>47</w:t>
            </w:r>
            <w:r w:rsidRPr="00142E85">
              <w:rPr>
                <w:rFonts w:eastAsia="Times New Roman" w:cs="Arial"/>
                <w:color w:val="000000"/>
                <w:sz w:val="18"/>
                <w:szCs w:val="18"/>
                <w:lang w:eastAsia="pt-BR"/>
              </w:rPr>
              <w:t>,9</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vAlign w:val="center"/>
            <w:hideMark/>
          </w:tcPr>
          <w:p w14:paraId="074DFB0C" w14:textId="4F2D2410"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17.24</w:t>
            </w:r>
            <w:r w:rsidR="00BF28EA">
              <w:rPr>
                <w:rFonts w:eastAsia="Times New Roman" w:cs="Arial"/>
                <w:color w:val="000000"/>
                <w:sz w:val="18"/>
                <w:szCs w:val="18"/>
                <w:lang w:eastAsia="pt-BR"/>
              </w:rPr>
              <w:t>5</w:t>
            </w:r>
            <w:r w:rsidRPr="00142E85">
              <w:rPr>
                <w:rFonts w:eastAsia="Times New Roman" w:cs="Arial"/>
                <w:color w:val="000000"/>
                <w:sz w:val="18"/>
                <w:szCs w:val="18"/>
                <w:lang w:eastAsia="pt-BR"/>
              </w:rPr>
              <w:t>,</w:t>
            </w:r>
            <w:r w:rsidR="00BF28EA">
              <w:rPr>
                <w:rFonts w:eastAsia="Times New Roman" w:cs="Arial"/>
                <w:color w:val="000000"/>
                <w:sz w:val="18"/>
                <w:szCs w:val="18"/>
                <w:lang w:eastAsia="pt-BR"/>
              </w:rPr>
              <w:t>3</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7B53B8E6" w14:textId="35665606"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18.5</w:t>
            </w:r>
            <w:r w:rsidR="00BF28EA">
              <w:rPr>
                <w:rFonts w:eastAsia="Times New Roman" w:cs="Arial"/>
                <w:color w:val="000000"/>
                <w:sz w:val="18"/>
                <w:szCs w:val="18"/>
                <w:lang w:eastAsia="pt-BR"/>
              </w:rPr>
              <w:t>51</w:t>
            </w:r>
            <w:r w:rsidRPr="00142E85">
              <w:rPr>
                <w:rFonts w:eastAsia="Times New Roman" w:cs="Arial"/>
                <w:color w:val="000000"/>
                <w:sz w:val="18"/>
                <w:szCs w:val="18"/>
                <w:lang w:eastAsia="pt-BR"/>
              </w:rPr>
              <w:t>,0</w:t>
            </w:r>
          </w:p>
        </w:tc>
        <w:tc>
          <w:tcPr>
            <w:tcW w:w="0" w:type="auto"/>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7D31DB96" w14:textId="09BDB143" w:rsidR="00B813B6" w:rsidRDefault="00BF28EA" w:rsidP="009A3DE6">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21.295,7</w:t>
            </w:r>
          </w:p>
        </w:tc>
        <w:tc>
          <w:tcPr>
            <w:tcW w:w="0" w:type="auto"/>
            <w:gridSpan w:val="2"/>
            <w:vMerge w:val="restart"/>
            <w:tcBorders>
              <w:left w:val="single" w:sz="4" w:space="0" w:color="BFBFBF" w:themeColor="background1" w:themeShade="BF"/>
            </w:tcBorders>
            <w:shd w:val="clear" w:color="auto" w:fill="F2F2F2" w:themeFill="background1" w:themeFillShade="F2"/>
            <w:noWrap/>
            <w:vAlign w:val="center"/>
          </w:tcPr>
          <w:p w14:paraId="55A4BCEC" w14:textId="3C074013" w:rsidR="00AA738A" w:rsidRPr="00142E85" w:rsidRDefault="00AA738A" w:rsidP="00AA738A">
            <w:pPr>
              <w:spacing w:after="0" w:line="240" w:lineRule="auto"/>
              <w:jc w:val="center"/>
              <w:rPr>
                <w:rFonts w:eastAsia="Times New Roman" w:cs="Arial"/>
                <w:color w:val="000000"/>
                <w:sz w:val="18"/>
                <w:szCs w:val="18"/>
                <w:lang w:eastAsia="pt-BR"/>
              </w:rPr>
            </w:pPr>
            <w:r>
              <w:rPr>
                <w:rFonts w:eastAsia="Times New Roman" w:cs="Arial"/>
                <w:color w:val="000000"/>
                <w:sz w:val="18"/>
                <w:szCs w:val="18"/>
                <w:lang w:eastAsia="pt-BR"/>
              </w:rPr>
              <w:t>P</w:t>
            </w:r>
          </w:p>
        </w:tc>
      </w:tr>
      <w:tr w:rsidR="00AA738A" w:rsidRPr="005C7BAE" w14:paraId="5832834C" w14:textId="77777777" w:rsidTr="00122F91">
        <w:trPr>
          <w:trHeight w:val="20"/>
          <w:jc w:val="center"/>
        </w:trPr>
        <w:tc>
          <w:tcPr>
            <w:tcW w:w="0" w:type="auto"/>
            <w:vMerge/>
            <w:tcBorders>
              <w:right w:val="single" w:sz="4" w:space="0" w:color="BFBFBF" w:themeColor="background1" w:themeShade="BF"/>
            </w:tcBorders>
            <w:shd w:val="clear" w:color="auto" w:fill="auto"/>
            <w:noWrap/>
            <w:vAlign w:val="center"/>
            <w:hideMark/>
          </w:tcPr>
          <w:p w14:paraId="44959458" w14:textId="77777777" w:rsidR="00AA738A" w:rsidRPr="0085686C" w:rsidRDefault="00AA738A" w:rsidP="005C7BAE">
            <w:pPr>
              <w:spacing w:after="0" w:line="240" w:lineRule="auto"/>
              <w:rPr>
                <w:rFonts w:eastAsia="Times New Roman" w:cs="Arial"/>
                <w:color w:val="000000"/>
                <w:sz w:val="18"/>
                <w:szCs w:val="18"/>
                <w:lang w:eastAsia="pt-BR"/>
              </w:rPr>
            </w:pP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1FD4EC9" w14:textId="45F3E6A0"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-20,</w:t>
            </w:r>
            <w:r w:rsidR="00BF28EA">
              <w:rPr>
                <w:rFonts w:eastAsia="Times New Roman" w:cs="Arial"/>
                <w:color w:val="000000"/>
                <w:sz w:val="18"/>
                <w:szCs w:val="18"/>
                <w:lang w:eastAsia="pt-BR"/>
              </w:rPr>
              <w:t>5</w:t>
            </w:r>
            <w:r w:rsidRPr="00142E85">
              <w:rPr>
                <w:rFonts w:eastAsia="Times New Roman" w:cs="Arial"/>
                <w:color w:val="000000"/>
                <w:sz w:val="18"/>
                <w:szCs w:val="18"/>
                <w:lang w:eastAsia="pt-BR"/>
              </w:rPr>
              <w:t>%</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DC41B88" w14:textId="4D8FF31A"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2</w:t>
            </w:r>
            <w:r w:rsidR="00BF28EA">
              <w:rPr>
                <w:rFonts w:eastAsia="Times New Roman" w:cs="Arial"/>
                <w:color w:val="000000"/>
                <w:sz w:val="18"/>
                <w:szCs w:val="18"/>
                <w:lang w:eastAsia="pt-BR"/>
              </w:rPr>
              <w:t>4</w:t>
            </w:r>
            <w:r w:rsidRPr="00142E85">
              <w:rPr>
                <w:rFonts w:eastAsia="Times New Roman" w:cs="Arial"/>
                <w:color w:val="000000"/>
                <w:sz w:val="18"/>
                <w:szCs w:val="18"/>
                <w:lang w:eastAsia="pt-BR"/>
              </w:rPr>
              <w:t>,</w:t>
            </w:r>
            <w:r w:rsidR="00BF28EA">
              <w:rPr>
                <w:rFonts w:eastAsia="Times New Roman" w:cs="Arial"/>
                <w:color w:val="000000"/>
                <w:sz w:val="18"/>
                <w:szCs w:val="18"/>
                <w:lang w:eastAsia="pt-BR"/>
              </w:rPr>
              <w:t>1</w:t>
            </w:r>
            <w:r w:rsidRPr="00142E85">
              <w:rPr>
                <w:rFonts w:eastAsia="Times New Roman" w:cs="Arial"/>
                <w:color w:val="000000"/>
                <w:sz w:val="18"/>
                <w:szCs w:val="18"/>
                <w:lang w:eastAsia="pt-BR"/>
              </w:rPr>
              <w:t>%</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7611830" w14:textId="173474EE"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21,</w:t>
            </w:r>
            <w:r w:rsidR="00BF28EA">
              <w:rPr>
                <w:rFonts w:eastAsia="Times New Roman" w:cs="Arial"/>
                <w:color w:val="000000"/>
                <w:sz w:val="18"/>
                <w:szCs w:val="18"/>
                <w:lang w:eastAsia="pt-BR"/>
              </w:rPr>
              <w:t>0</w:t>
            </w:r>
            <w:r w:rsidRPr="00142E85">
              <w:rPr>
                <w:rFonts w:eastAsia="Times New Roman" w:cs="Arial"/>
                <w:color w:val="000000"/>
                <w:sz w:val="18"/>
                <w:szCs w:val="18"/>
                <w:lang w:eastAsia="pt-BR"/>
              </w:rPr>
              <w:t>%</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E4E510" w14:textId="16A50FBA"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7,</w:t>
            </w:r>
            <w:r w:rsidR="00BF28EA">
              <w:rPr>
                <w:rFonts w:eastAsia="Times New Roman" w:cs="Arial"/>
                <w:color w:val="000000"/>
                <w:sz w:val="18"/>
                <w:szCs w:val="18"/>
                <w:lang w:eastAsia="pt-BR"/>
              </w:rPr>
              <w:t>6</w:t>
            </w:r>
            <w:r w:rsidRPr="00142E85">
              <w:rPr>
                <w:rFonts w:eastAsia="Times New Roman" w:cs="Arial"/>
                <w:color w:val="000000"/>
                <w:sz w:val="18"/>
                <w:szCs w:val="18"/>
                <w:lang w:eastAsia="pt-BR"/>
              </w:rPr>
              <w:t>%</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3AB428E" w14:textId="1702695C" w:rsidR="006557E0" w:rsidRDefault="00BF28EA" w:rsidP="009A3DE6">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14,8</w:t>
            </w:r>
            <w:r w:rsidR="006557E0">
              <w:rPr>
                <w:rFonts w:eastAsia="Times New Roman" w:cs="Arial"/>
                <w:color w:val="000000"/>
                <w:sz w:val="18"/>
                <w:szCs w:val="18"/>
                <w:lang w:eastAsia="pt-BR"/>
              </w:rPr>
              <w:t>%</w:t>
            </w:r>
          </w:p>
        </w:tc>
        <w:tc>
          <w:tcPr>
            <w:tcW w:w="0" w:type="auto"/>
            <w:gridSpan w:val="2"/>
            <w:vMerge/>
            <w:tcBorders>
              <w:left w:val="single" w:sz="4" w:space="0" w:color="BFBFBF" w:themeColor="background1" w:themeShade="BF"/>
            </w:tcBorders>
            <w:shd w:val="clear" w:color="auto" w:fill="auto"/>
            <w:noWrap/>
            <w:vAlign w:val="center"/>
          </w:tcPr>
          <w:p w14:paraId="02E9A383" w14:textId="4D4B7A9A" w:rsidR="00AA738A" w:rsidRPr="00142E85" w:rsidRDefault="00AA738A" w:rsidP="00AA738A">
            <w:pPr>
              <w:spacing w:after="0" w:line="240" w:lineRule="auto"/>
              <w:jc w:val="center"/>
              <w:rPr>
                <w:rFonts w:eastAsia="Times New Roman" w:cs="Arial"/>
                <w:color w:val="000000"/>
                <w:sz w:val="18"/>
                <w:szCs w:val="18"/>
                <w:lang w:eastAsia="pt-BR"/>
              </w:rPr>
            </w:pPr>
          </w:p>
        </w:tc>
      </w:tr>
      <w:tr w:rsidR="00AA738A" w:rsidRPr="005C7BAE" w14:paraId="75471E12" w14:textId="77777777" w:rsidTr="00122F91">
        <w:trPr>
          <w:trHeight w:val="20"/>
          <w:jc w:val="center"/>
        </w:trPr>
        <w:tc>
          <w:tcPr>
            <w:tcW w:w="0" w:type="auto"/>
            <w:vMerge w:val="restart"/>
            <w:tcBorders>
              <w:right w:val="single" w:sz="4" w:space="0" w:color="BFBFBF" w:themeColor="background1" w:themeShade="BF"/>
            </w:tcBorders>
            <w:shd w:val="clear" w:color="auto" w:fill="auto"/>
            <w:noWrap/>
            <w:vAlign w:val="center"/>
            <w:hideMark/>
          </w:tcPr>
          <w:p w14:paraId="24E3E8FC" w14:textId="6326B198" w:rsidR="00AA738A" w:rsidRPr="0085686C" w:rsidRDefault="00C512CE" w:rsidP="005C7BAE">
            <w:pPr>
              <w:spacing w:after="0" w:line="240" w:lineRule="auto"/>
              <w:rPr>
                <w:rFonts w:eastAsia="Times New Roman" w:cs="Arial"/>
                <w:color w:val="000000"/>
                <w:sz w:val="18"/>
                <w:szCs w:val="18"/>
                <w:lang w:eastAsia="pt-BR"/>
              </w:rPr>
            </w:pPr>
            <w:r w:rsidRPr="00C512CE">
              <w:rPr>
                <w:rFonts w:eastAsia="Times New Roman" w:cs="Arial"/>
                <w:color w:val="000000"/>
                <w:sz w:val="18"/>
                <w:szCs w:val="18"/>
                <w:lang w:eastAsia="pt-BR"/>
              </w:rPr>
              <w:t>Devolução ao depositante</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4C2C1081" w14:textId="0BEA6B4C"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7.087,8</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51820DD6" w14:textId="76BDBC59"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4.630,3</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0559B6F1" w14:textId="16A693AE"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6.881,</w:t>
            </w:r>
            <w:r w:rsidR="00295B56">
              <w:rPr>
                <w:rFonts w:eastAsia="Times New Roman" w:cs="Arial"/>
                <w:color w:val="000000"/>
                <w:sz w:val="18"/>
                <w:szCs w:val="18"/>
                <w:lang w:eastAsia="pt-BR"/>
              </w:rPr>
              <w:t>1</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7B4DE814" w14:textId="56528A5F"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8.864,</w:t>
            </w:r>
            <w:r w:rsidR="001645FC">
              <w:rPr>
                <w:rFonts w:eastAsia="Times New Roman" w:cs="Arial"/>
                <w:color w:val="000000"/>
                <w:sz w:val="18"/>
                <w:szCs w:val="18"/>
                <w:lang w:eastAsia="pt-BR"/>
              </w:rPr>
              <w:t>2</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0AC6187" w14:textId="3B4159F9" w:rsidR="00B813B6" w:rsidRDefault="00764E25" w:rsidP="009A3DE6">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11.</w:t>
            </w:r>
            <w:r w:rsidR="001645FC">
              <w:rPr>
                <w:rFonts w:eastAsia="Times New Roman" w:cs="Arial"/>
                <w:color w:val="000000"/>
                <w:sz w:val="18"/>
                <w:szCs w:val="18"/>
                <w:lang w:eastAsia="pt-BR"/>
              </w:rPr>
              <w:t>31</w:t>
            </w:r>
            <w:r>
              <w:rPr>
                <w:rFonts w:eastAsia="Times New Roman" w:cs="Arial"/>
                <w:color w:val="000000"/>
                <w:sz w:val="18"/>
                <w:szCs w:val="18"/>
                <w:lang w:eastAsia="pt-BR"/>
              </w:rPr>
              <w:t>3,</w:t>
            </w:r>
            <w:r w:rsidR="001645FC">
              <w:rPr>
                <w:rFonts w:eastAsia="Times New Roman" w:cs="Arial"/>
                <w:color w:val="000000"/>
                <w:sz w:val="18"/>
                <w:szCs w:val="18"/>
                <w:lang w:eastAsia="pt-BR"/>
              </w:rPr>
              <w:t>1</w:t>
            </w:r>
          </w:p>
        </w:tc>
        <w:tc>
          <w:tcPr>
            <w:tcW w:w="0" w:type="auto"/>
            <w:gridSpan w:val="2"/>
            <w:vMerge w:val="restart"/>
            <w:tcBorders>
              <w:left w:val="single" w:sz="4" w:space="0" w:color="BFBFBF" w:themeColor="background1" w:themeShade="BF"/>
            </w:tcBorders>
            <w:shd w:val="clear" w:color="auto" w:fill="auto"/>
            <w:noWrap/>
            <w:vAlign w:val="center"/>
          </w:tcPr>
          <w:p w14:paraId="5DCBFA1D" w14:textId="0B0D1A08" w:rsidR="00AA738A" w:rsidRPr="00142E85" w:rsidRDefault="00AA738A" w:rsidP="00AA738A">
            <w:pPr>
              <w:spacing w:after="0" w:line="240" w:lineRule="auto"/>
              <w:jc w:val="center"/>
              <w:rPr>
                <w:rFonts w:eastAsia="Times New Roman" w:cs="Arial"/>
                <w:color w:val="000000"/>
                <w:sz w:val="18"/>
                <w:szCs w:val="18"/>
                <w:lang w:eastAsia="pt-BR"/>
              </w:rPr>
            </w:pPr>
            <w:r>
              <w:rPr>
                <w:rFonts w:eastAsia="Times New Roman" w:cs="Arial"/>
                <w:color w:val="000000"/>
                <w:sz w:val="18"/>
                <w:szCs w:val="18"/>
                <w:lang w:eastAsia="pt-BR"/>
              </w:rPr>
              <w:t>P</w:t>
            </w:r>
          </w:p>
        </w:tc>
      </w:tr>
      <w:tr w:rsidR="00AA738A" w:rsidRPr="005C7BAE" w14:paraId="4D89DCA1" w14:textId="77777777" w:rsidTr="00122F91">
        <w:trPr>
          <w:trHeight w:val="20"/>
          <w:jc w:val="center"/>
        </w:trPr>
        <w:tc>
          <w:tcPr>
            <w:tcW w:w="0" w:type="auto"/>
            <w:vMerge/>
            <w:tcBorders>
              <w:right w:val="single" w:sz="4" w:space="0" w:color="BFBFBF" w:themeColor="background1" w:themeShade="BF"/>
            </w:tcBorders>
            <w:shd w:val="clear" w:color="auto" w:fill="auto"/>
            <w:noWrap/>
            <w:vAlign w:val="center"/>
            <w:hideMark/>
          </w:tcPr>
          <w:p w14:paraId="44599C30" w14:textId="77777777" w:rsidR="00AA738A" w:rsidRPr="00142E85" w:rsidRDefault="00AA738A" w:rsidP="005C7BAE">
            <w:pPr>
              <w:spacing w:after="0" w:line="240" w:lineRule="auto"/>
              <w:rPr>
                <w:rFonts w:eastAsia="Times New Roman" w:cs="Arial"/>
                <w:b/>
                <w:bCs/>
                <w:color w:val="000000"/>
                <w:sz w:val="18"/>
                <w:szCs w:val="18"/>
                <w:lang w:eastAsia="pt-BR"/>
              </w:rPr>
            </w:pP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25DA6E6" w14:textId="77777777"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-0,2%</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D87A87" w14:textId="77777777"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-34,7%</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E176FD" w14:textId="77777777"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48,6%</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6C1291" w14:textId="4762F87E" w:rsidR="00AA738A" w:rsidRPr="00142E85" w:rsidRDefault="00AA738A" w:rsidP="005C7BAE">
            <w:pPr>
              <w:spacing w:after="0" w:line="240" w:lineRule="auto"/>
              <w:jc w:val="right"/>
              <w:rPr>
                <w:rFonts w:eastAsia="Times New Roman" w:cs="Arial"/>
                <w:color w:val="000000"/>
                <w:sz w:val="18"/>
                <w:szCs w:val="18"/>
                <w:lang w:eastAsia="pt-BR"/>
              </w:rPr>
            </w:pPr>
            <w:r w:rsidRPr="00142E85">
              <w:rPr>
                <w:rFonts w:eastAsia="Times New Roman" w:cs="Arial"/>
                <w:color w:val="000000"/>
                <w:sz w:val="18"/>
                <w:szCs w:val="18"/>
                <w:lang w:eastAsia="pt-BR"/>
              </w:rPr>
              <w:t>28,8%</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A7E87BA" w14:textId="16AAD3E4" w:rsidR="006557E0" w:rsidRDefault="001645FC" w:rsidP="009A3DE6">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27,6</w:t>
            </w:r>
            <w:r w:rsidR="006557E0">
              <w:rPr>
                <w:rFonts w:eastAsia="Times New Roman" w:cs="Arial"/>
                <w:color w:val="000000"/>
                <w:sz w:val="18"/>
                <w:szCs w:val="18"/>
                <w:lang w:eastAsia="pt-BR"/>
              </w:rPr>
              <w:t>%</w:t>
            </w:r>
          </w:p>
        </w:tc>
        <w:tc>
          <w:tcPr>
            <w:tcW w:w="0" w:type="auto"/>
            <w:gridSpan w:val="2"/>
            <w:vMerge/>
            <w:tcBorders>
              <w:left w:val="single" w:sz="4" w:space="0" w:color="BFBFBF" w:themeColor="background1" w:themeShade="BF"/>
            </w:tcBorders>
            <w:shd w:val="clear" w:color="auto" w:fill="auto"/>
            <w:noWrap/>
            <w:vAlign w:val="center"/>
          </w:tcPr>
          <w:p w14:paraId="089EC21F" w14:textId="51BBBE40" w:rsidR="00AA738A" w:rsidRPr="00142E85" w:rsidRDefault="00AA738A" w:rsidP="00AA738A">
            <w:pPr>
              <w:spacing w:after="0" w:line="240" w:lineRule="auto"/>
              <w:jc w:val="center"/>
              <w:rPr>
                <w:rFonts w:eastAsia="Times New Roman" w:cs="Arial"/>
                <w:color w:val="000000"/>
                <w:sz w:val="18"/>
                <w:szCs w:val="18"/>
                <w:lang w:eastAsia="pt-BR"/>
              </w:rPr>
            </w:pPr>
          </w:p>
        </w:tc>
      </w:tr>
      <w:tr w:rsidR="005E0FE2" w:rsidRPr="00546B07" w14:paraId="15DBF3D6" w14:textId="77777777" w:rsidTr="00122F91">
        <w:trPr>
          <w:trHeight w:val="20"/>
          <w:jc w:val="center"/>
        </w:trPr>
        <w:tc>
          <w:tcPr>
            <w:tcW w:w="0" w:type="auto"/>
            <w:vMerge w:val="restart"/>
            <w:tcBorders>
              <w:right w:val="single" w:sz="4" w:space="0" w:color="BFBFBF" w:themeColor="background1" w:themeShade="BF"/>
            </w:tcBorders>
            <w:shd w:val="clear" w:color="auto" w:fill="7F7F7F" w:themeFill="text1" w:themeFillTint="80"/>
            <w:noWrap/>
            <w:vAlign w:val="center"/>
            <w:hideMark/>
          </w:tcPr>
          <w:p w14:paraId="3CE1DD43" w14:textId="77777777" w:rsidR="00AA738A" w:rsidRPr="00546B07" w:rsidRDefault="00AA738A" w:rsidP="005C7BAE">
            <w:pPr>
              <w:spacing w:after="0" w:line="240" w:lineRule="auto"/>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Saldo</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7F7F7F" w:themeFill="text1" w:themeFillTint="80"/>
            <w:noWrap/>
            <w:vAlign w:val="center"/>
            <w:hideMark/>
          </w:tcPr>
          <w:p w14:paraId="47A25C0E" w14:textId="21257870" w:rsidR="00AA738A" w:rsidRPr="00546B07" w:rsidRDefault="00AA738A" w:rsidP="005C7BAE">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4.39</w:t>
            </w:r>
            <w:r w:rsidR="00CF4FCD" w:rsidRPr="00546B07">
              <w:rPr>
                <w:rFonts w:eastAsia="Times New Roman" w:cs="Arial"/>
                <w:b/>
                <w:bCs/>
                <w:color w:val="FFFFFF" w:themeColor="background1"/>
                <w:sz w:val="18"/>
                <w:szCs w:val="18"/>
                <w:lang w:eastAsia="pt-BR"/>
              </w:rPr>
              <w:t>6</w:t>
            </w:r>
            <w:r w:rsidRPr="00546B07">
              <w:rPr>
                <w:rFonts w:eastAsia="Times New Roman" w:cs="Arial"/>
                <w:b/>
                <w:bCs/>
                <w:color w:val="FFFFFF" w:themeColor="background1"/>
                <w:sz w:val="18"/>
                <w:szCs w:val="18"/>
                <w:lang w:eastAsia="pt-BR"/>
              </w:rPr>
              <w:t>,</w:t>
            </w:r>
            <w:r w:rsidR="00CF4FCD" w:rsidRPr="00546B07">
              <w:rPr>
                <w:rFonts w:eastAsia="Times New Roman" w:cs="Arial"/>
                <w:b/>
                <w:bCs/>
                <w:color w:val="FFFFFF" w:themeColor="background1"/>
                <w:sz w:val="18"/>
                <w:szCs w:val="18"/>
                <w:lang w:eastAsia="pt-BR"/>
              </w:rPr>
              <w:t>7</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7F7F7F" w:themeFill="text1" w:themeFillTint="80"/>
            <w:noWrap/>
            <w:vAlign w:val="center"/>
            <w:hideMark/>
          </w:tcPr>
          <w:p w14:paraId="3AB272B5" w14:textId="73FE5E93" w:rsidR="00AA738A" w:rsidRPr="00546B07" w:rsidRDefault="00AA738A" w:rsidP="005C7BAE">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9.6</w:t>
            </w:r>
            <w:r w:rsidR="00CF4FCD" w:rsidRPr="00546B07">
              <w:rPr>
                <w:rFonts w:eastAsia="Times New Roman" w:cs="Arial"/>
                <w:b/>
                <w:bCs/>
                <w:color w:val="FFFFFF" w:themeColor="background1"/>
                <w:sz w:val="18"/>
                <w:szCs w:val="18"/>
                <w:lang w:eastAsia="pt-BR"/>
              </w:rPr>
              <w:t>17</w:t>
            </w:r>
            <w:r w:rsidRPr="00546B07">
              <w:rPr>
                <w:rFonts w:eastAsia="Times New Roman" w:cs="Arial"/>
                <w:b/>
                <w:bCs/>
                <w:color w:val="FFFFFF" w:themeColor="background1"/>
                <w:sz w:val="18"/>
                <w:szCs w:val="18"/>
                <w:lang w:eastAsia="pt-BR"/>
              </w:rPr>
              <w:t>,6</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7F7F7F" w:themeFill="text1" w:themeFillTint="80"/>
            <w:noWrap/>
            <w:vAlign w:val="center"/>
            <w:hideMark/>
          </w:tcPr>
          <w:p w14:paraId="6AE759A0" w14:textId="783AD878" w:rsidR="00AA738A" w:rsidRPr="00546B07" w:rsidRDefault="00AA738A" w:rsidP="005C7BAE">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10.36</w:t>
            </w:r>
            <w:r w:rsidR="00CF4FCD" w:rsidRPr="00546B07">
              <w:rPr>
                <w:rFonts w:eastAsia="Times New Roman" w:cs="Arial"/>
                <w:b/>
                <w:bCs/>
                <w:color w:val="FFFFFF" w:themeColor="background1"/>
                <w:sz w:val="18"/>
                <w:szCs w:val="18"/>
                <w:lang w:eastAsia="pt-BR"/>
              </w:rPr>
              <w:t>4</w:t>
            </w:r>
            <w:r w:rsidRPr="00546B07">
              <w:rPr>
                <w:rFonts w:eastAsia="Times New Roman" w:cs="Arial"/>
                <w:b/>
                <w:bCs/>
                <w:color w:val="FFFFFF" w:themeColor="background1"/>
                <w:sz w:val="18"/>
                <w:szCs w:val="18"/>
                <w:lang w:eastAsia="pt-BR"/>
              </w:rPr>
              <w:t>,</w:t>
            </w:r>
            <w:r w:rsidR="00CF4FCD" w:rsidRPr="00546B07">
              <w:rPr>
                <w:rFonts w:eastAsia="Times New Roman" w:cs="Arial"/>
                <w:b/>
                <w:bCs/>
                <w:color w:val="FFFFFF" w:themeColor="background1"/>
                <w:sz w:val="18"/>
                <w:szCs w:val="18"/>
                <w:lang w:eastAsia="pt-BR"/>
              </w:rPr>
              <w:t>2</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7F7F7F" w:themeFill="text1" w:themeFillTint="80"/>
            <w:vAlign w:val="center"/>
          </w:tcPr>
          <w:p w14:paraId="2A6EF5C4" w14:textId="74B9A2F2" w:rsidR="00AA738A" w:rsidRPr="00546B07" w:rsidRDefault="00AA738A" w:rsidP="005C7BAE">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9.</w:t>
            </w:r>
            <w:r w:rsidR="00CF4FCD" w:rsidRPr="00546B07">
              <w:rPr>
                <w:rFonts w:eastAsia="Times New Roman" w:cs="Arial"/>
                <w:b/>
                <w:bCs/>
                <w:color w:val="FFFFFF" w:themeColor="background1"/>
                <w:sz w:val="18"/>
                <w:szCs w:val="18"/>
                <w:lang w:eastAsia="pt-BR"/>
              </w:rPr>
              <w:t>686</w:t>
            </w:r>
            <w:r w:rsidRPr="00546B07">
              <w:rPr>
                <w:rFonts w:eastAsia="Times New Roman" w:cs="Arial"/>
                <w:b/>
                <w:bCs/>
                <w:color w:val="FFFFFF" w:themeColor="background1"/>
                <w:sz w:val="18"/>
                <w:szCs w:val="18"/>
                <w:lang w:eastAsia="pt-BR"/>
              </w:rPr>
              <w:t>,</w:t>
            </w:r>
            <w:r w:rsidR="00CF4FCD" w:rsidRPr="00546B07">
              <w:rPr>
                <w:rFonts w:eastAsia="Times New Roman" w:cs="Arial"/>
                <w:b/>
                <w:bCs/>
                <w:color w:val="FFFFFF" w:themeColor="background1"/>
                <w:sz w:val="18"/>
                <w:szCs w:val="18"/>
                <w:lang w:eastAsia="pt-BR"/>
              </w:rPr>
              <w:t>8</w:t>
            </w:r>
          </w:p>
        </w:tc>
        <w:tc>
          <w:tcPr>
            <w:tcW w:w="0" w:type="auto"/>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7F7F7F" w:themeFill="text1" w:themeFillTint="80"/>
          </w:tcPr>
          <w:p w14:paraId="09588D8C" w14:textId="6B98B2AE" w:rsidR="00B813B6" w:rsidRPr="00546B07" w:rsidRDefault="00CF4FCD" w:rsidP="00AA738A">
            <w:pPr>
              <w:spacing w:after="0" w:line="240" w:lineRule="auto"/>
              <w:jc w:val="center"/>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9.982,6</w:t>
            </w:r>
          </w:p>
        </w:tc>
        <w:tc>
          <w:tcPr>
            <w:tcW w:w="0" w:type="auto"/>
            <w:gridSpan w:val="2"/>
            <w:vMerge w:val="restart"/>
            <w:tcBorders>
              <w:left w:val="single" w:sz="4" w:space="0" w:color="BFBFBF" w:themeColor="background1" w:themeShade="BF"/>
            </w:tcBorders>
            <w:shd w:val="clear" w:color="auto" w:fill="7F7F7F" w:themeFill="text1" w:themeFillTint="80"/>
            <w:noWrap/>
            <w:vAlign w:val="center"/>
          </w:tcPr>
          <w:p w14:paraId="48664117" w14:textId="0FD21411" w:rsidR="00AA738A" w:rsidRPr="00546B07" w:rsidRDefault="00AA738A" w:rsidP="00AA738A">
            <w:pPr>
              <w:spacing w:after="0" w:line="240" w:lineRule="auto"/>
              <w:jc w:val="center"/>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P</w:t>
            </w:r>
          </w:p>
        </w:tc>
      </w:tr>
      <w:tr w:rsidR="005E0FE2" w:rsidRPr="005C7BAE" w14:paraId="13AD6FF7" w14:textId="77777777" w:rsidTr="00122F91">
        <w:trPr>
          <w:trHeight w:val="20"/>
          <w:jc w:val="center"/>
        </w:trPr>
        <w:tc>
          <w:tcPr>
            <w:tcW w:w="0" w:type="auto"/>
            <w:vMerge/>
            <w:tcBorders>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693D42ED" w14:textId="77777777" w:rsidR="00AA738A" w:rsidRPr="00C778B3" w:rsidRDefault="00AA738A" w:rsidP="00F22556">
            <w:pPr>
              <w:spacing w:after="0" w:line="240" w:lineRule="auto"/>
              <w:rPr>
                <w:rFonts w:eastAsia="Times New Roman" w:cs="Arial"/>
                <w:bCs/>
                <w:color w:val="FFFFFF" w:themeColor="background1"/>
                <w:sz w:val="18"/>
                <w:szCs w:val="18"/>
                <w:lang w:eastAsia="pt-BR"/>
              </w:rPr>
            </w:pP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6E3D7DEC" w14:textId="77777777" w:rsidR="00AA738A" w:rsidRPr="00546B07" w:rsidRDefault="00AA738A" w:rsidP="00F22556">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-40,0%</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814C24A" w14:textId="59C93026" w:rsidR="00AA738A" w:rsidRPr="00546B07" w:rsidRDefault="00AA738A" w:rsidP="00F22556">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11</w:t>
            </w:r>
            <w:r w:rsidR="00CF4FCD" w:rsidRPr="00546B07">
              <w:rPr>
                <w:rFonts w:eastAsia="Times New Roman" w:cs="Arial"/>
                <w:b/>
                <w:bCs/>
                <w:color w:val="FFFFFF" w:themeColor="background1"/>
                <w:sz w:val="18"/>
                <w:szCs w:val="18"/>
                <w:lang w:eastAsia="pt-BR"/>
              </w:rPr>
              <w:t>8</w:t>
            </w:r>
            <w:r w:rsidRPr="00546B07">
              <w:rPr>
                <w:rFonts w:eastAsia="Times New Roman" w:cs="Arial"/>
                <w:b/>
                <w:bCs/>
                <w:color w:val="FFFFFF" w:themeColor="background1"/>
                <w:sz w:val="18"/>
                <w:szCs w:val="18"/>
                <w:lang w:eastAsia="pt-BR"/>
              </w:rPr>
              <w:t>,</w:t>
            </w:r>
            <w:r w:rsidR="00CF4FCD" w:rsidRPr="00546B07">
              <w:rPr>
                <w:rFonts w:eastAsia="Times New Roman" w:cs="Arial"/>
                <w:b/>
                <w:bCs/>
                <w:color w:val="FFFFFF" w:themeColor="background1"/>
                <w:sz w:val="18"/>
                <w:szCs w:val="18"/>
                <w:lang w:eastAsia="pt-BR"/>
              </w:rPr>
              <w:t>7</w:t>
            </w:r>
            <w:r w:rsidRPr="00546B07">
              <w:rPr>
                <w:rFonts w:eastAsia="Times New Roman" w:cs="Arial"/>
                <w:b/>
                <w:bCs/>
                <w:color w:val="FFFFFF" w:themeColor="background1"/>
                <w:sz w:val="18"/>
                <w:szCs w:val="18"/>
                <w:lang w:eastAsia="pt-BR"/>
              </w:rPr>
              <w:t>%</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F6E7EF3" w14:textId="4B9FDE54" w:rsidR="00AA738A" w:rsidRPr="00546B07" w:rsidRDefault="00CF4FCD" w:rsidP="00F22556">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7,</w:t>
            </w:r>
            <w:r w:rsidR="00AA738A" w:rsidRPr="00546B07">
              <w:rPr>
                <w:rFonts w:eastAsia="Times New Roman" w:cs="Arial"/>
                <w:b/>
                <w:bCs/>
                <w:color w:val="FFFFFF" w:themeColor="background1"/>
                <w:sz w:val="18"/>
                <w:szCs w:val="18"/>
                <w:lang w:eastAsia="pt-BR"/>
              </w:rPr>
              <w:t>8%</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tcPr>
          <w:p w14:paraId="2D0929F6" w14:textId="23875E32" w:rsidR="00AA738A" w:rsidRPr="00546B07" w:rsidRDefault="00AA738A" w:rsidP="00F22556">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-6,</w:t>
            </w:r>
            <w:r w:rsidR="00CF4FCD" w:rsidRPr="00546B07">
              <w:rPr>
                <w:rFonts w:eastAsia="Times New Roman" w:cs="Arial"/>
                <w:b/>
                <w:bCs/>
                <w:color w:val="FFFFFF" w:themeColor="background1"/>
                <w:sz w:val="18"/>
                <w:szCs w:val="18"/>
                <w:lang w:eastAsia="pt-BR"/>
              </w:rPr>
              <w:t>5</w:t>
            </w:r>
            <w:r w:rsidRPr="00546B07">
              <w:rPr>
                <w:rFonts w:eastAsia="Times New Roman" w:cs="Arial"/>
                <w:b/>
                <w:bCs/>
                <w:color w:val="FFFFFF" w:themeColor="background1"/>
                <w:sz w:val="18"/>
                <w:szCs w:val="18"/>
                <w:lang w:eastAsia="pt-BR"/>
              </w:rPr>
              <w:t>%</w:t>
            </w:r>
          </w:p>
        </w:tc>
        <w:tc>
          <w:tcPr>
            <w:tcW w:w="0" w:type="auto"/>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39DF07BF" w14:textId="36B65F8F" w:rsidR="00FD4CD1" w:rsidRPr="00546B07" w:rsidRDefault="00CF4FCD" w:rsidP="00F22556">
            <w:pPr>
              <w:spacing w:after="0" w:line="240" w:lineRule="auto"/>
              <w:jc w:val="right"/>
              <w:rPr>
                <w:rFonts w:eastAsia="Times New Roman" w:cs="Arial"/>
                <w:b/>
                <w:bCs/>
                <w:color w:val="FFFFFF" w:themeColor="background1"/>
                <w:sz w:val="18"/>
                <w:szCs w:val="18"/>
                <w:lang w:eastAsia="pt-BR"/>
              </w:rPr>
            </w:pPr>
            <w:r w:rsidRPr="00546B07">
              <w:rPr>
                <w:rFonts w:eastAsia="Times New Roman" w:cs="Arial"/>
                <w:b/>
                <w:bCs/>
                <w:color w:val="FFFFFF" w:themeColor="background1"/>
                <w:sz w:val="18"/>
                <w:szCs w:val="18"/>
                <w:lang w:eastAsia="pt-BR"/>
              </w:rPr>
              <w:t>3,1</w:t>
            </w:r>
            <w:r w:rsidR="00FD4CD1" w:rsidRPr="00546B07">
              <w:rPr>
                <w:rFonts w:eastAsia="Times New Roman" w:cs="Arial"/>
                <w:b/>
                <w:bCs/>
                <w:color w:val="FFFFFF" w:themeColor="background1"/>
                <w:sz w:val="18"/>
                <w:szCs w:val="18"/>
                <w:lang w:eastAsia="pt-BR"/>
              </w:rPr>
              <w:t>%</w:t>
            </w:r>
          </w:p>
        </w:tc>
        <w:tc>
          <w:tcPr>
            <w:tcW w:w="0" w:type="auto"/>
            <w:gridSpan w:val="2"/>
            <w:vMerge/>
            <w:tcBorders>
              <w:left w:val="single" w:sz="4" w:space="0" w:color="BFBFBF" w:themeColor="background1" w:themeShade="BF"/>
              <w:bottom w:val="single" w:sz="4" w:space="0" w:color="BFBFBF" w:themeColor="background1" w:themeShade="BF"/>
            </w:tcBorders>
            <w:shd w:val="clear" w:color="auto" w:fill="7F7F7F" w:themeFill="text1" w:themeFillTint="80"/>
            <w:noWrap/>
            <w:vAlign w:val="center"/>
          </w:tcPr>
          <w:p w14:paraId="539B9B9B" w14:textId="35C0A0A1" w:rsidR="00AA738A" w:rsidRPr="002B7B2D" w:rsidRDefault="00AA738A" w:rsidP="00F22556">
            <w:pPr>
              <w:spacing w:after="0" w:line="240" w:lineRule="auto"/>
              <w:jc w:val="right"/>
              <w:rPr>
                <w:rFonts w:eastAsia="Times New Roman" w:cs="Arial"/>
                <w:b/>
                <w:color w:val="000000"/>
                <w:sz w:val="18"/>
                <w:szCs w:val="18"/>
                <w:lang w:eastAsia="pt-BR"/>
              </w:rPr>
            </w:pPr>
          </w:p>
        </w:tc>
      </w:tr>
      <w:tr w:rsidR="00F416EB" w:rsidRPr="005C7BAE" w14:paraId="3481B209" w14:textId="77777777" w:rsidTr="007A2076">
        <w:trPr>
          <w:gridAfter w:val="1"/>
          <w:trHeight w:val="20"/>
          <w:jc w:val="center"/>
        </w:trPr>
        <w:tc>
          <w:tcPr>
            <w:tcW w:w="0" w:type="auto"/>
            <w:tcBorders>
              <w:top w:val="single" w:sz="4" w:space="0" w:color="BFBFBF" w:themeColor="background1" w:themeShade="BF"/>
              <w:left w:val="nil"/>
              <w:bottom w:val="nil"/>
              <w:right w:val="nil"/>
            </w:tcBorders>
          </w:tcPr>
          <w:p w14:paraId="356AA53E" w14:textId="77777777" w:rsidR="00305C69" w:rsidRPr="001F6B7A" w:rsidRDefault="00305C69" w:rsidP="00305C69">
            <w:pPr>
              <w:spacing w:after="0" w:line="240" w:lineRule="auto"/>
              <w:rPr>
                <w:rFonts w:cs="Times New Roman"/>
                <w:i/>
                <w:sz w:val="16"/>
                <w:szCs w:val="16"/>
                <w:lang w:eastAsia="pt-BR"/>
              </w:rPr>
            </w:pPr>
            <w:proofErr w:type="gramStart"/>
            <w:r w:rsidRPr="001F6B7A">
              <w:rPr>
                <w:i/>
                <w:sz w:val="16"/>
                <w:szCs w:val="16"/>
                <w:vertAlign w:val="superscript"/>
              </w:rPr>
              <w:t>1</w:t>
            </w:r>
            <w:proofErr w:type="gramEnd"/>
            <w:r w:rsidRPr="001F6B7A">
              <w:rPr>
                <w:i/>
                <w:sz w:val="16"/>
                <w:szCs w:val="16"/>
                <w:vertAlign w:val="superscript"/>
              </w:rPr>
              <w:t xml:space="preserve"> </w:t>
            </w:r>
            <w:r w:rsidRPr="001F6B7A">
              <w:rPr>
                <w:i/>
                <w:sz w:val="16"/>
                <w:szCs w:val="16"/>
              </w:rPr>
              <w:t>Variação em relação ao exercício imediatamente anterior.</w:t>
            </w:r>
          </w:p>
          <w:p w14:paraId="0BBFF5C5" w14:textId="73B00859" w:rsidR="00B813B6" w:rsidRPr="001F6B7A" w:rsidRDefault="00305C69" w:rsidP="003D56D4">
            <w:pPr>
              <w:spacing w:after="0" w:line="240" w:lineRule="auto"/>
              <w:rPr>
                <w:i/>
                <w:sz w:val="16"/>
                <w:szCs w:val="16"/>
                <w:vertAlign w:val="superscript"/>
              </w:rPr>
            </w:pPr>
            <w:r w:rsidRPr="001F6B7A">
              <w:rPr>
                <w:rFonts w:cs="Times New Roman"/>
                <w:b/>
                <w:i/>
                <w:sz w:val="16"/>
                <w:szCs w:val="16"/>
                <w:lang w:eastAsia="pt-BR"/>
              </w:rPr>
              <w:t>Fonte</w:t>
            </w:r>
            <w:r w:rsidRPr="001F6B7A">
              <w:rPr>
                <w:rFonts w:cs="Times New Roman"/>
                <w:i/>
                <w:sz w:val="16"/>
                <w:szCs w:val="16"/>
                <w:lang w:eastAsia="pt-BR"/>
              </w:rPr>
              <w:t xml:space="preserve">: RFB/ME. </w:t>
            </w:r>
            <w:r w:rsidRPr="001F6B7A">
              <w:rPr>
                <w:b/>
                <w:bCs/>
                <w:i/>
                <w:sz w:val="16"/>
                <w:szCs w:val="16"/>
              </w:rPr>
              <w:t>Elaboraçã</w:t>
            </w:r>
            <w:r w:rsidRPr="001F6B7A">
              <w:rPr>
                <w:i/>
                <w:sz w:val="16"/>
                <w:szCs w:val="16"/>
              </w:rPr>
              <w:t>o: STN/ME</w:t>
            </w:r>
            <w:r>
              <w:rPr>
                <w:i/>
                <w:sz w:val="16"/>
                <w:szCs w:val="16"/>
              </w:rPr>
              <w:t>.</w:t>
            </w:r>
          </w:p>
        </w:tc>
        <w:tc>
          <w:tcPr>
            <w:tcW w:w="0" w:type="auto"/>
            <w:gridSpan w:val="6"/>
            <w:tcBorders>
              <w:top w:val="single" w:sz="4" w:space="0" w:color="BFBFBF" w:themeColor="background1" w:themeShade="BF"/>
              <w:left w:val="nil"/>
              <w:bottom w:val="nil"/>
              <w:right w:val="nil"/>
            </w:tcBorders>
            <w:shd w:val="clear" w:color="auto" w:fill="auto"/>
            <w:noWrap/>
            <w:vAlign w:val="center"/>
            <w:hideMark/>
          </w:tcPr>
          <w:p w14:paraId="1CD1B7B7" w14:textId="0E5DA13C" w:rsidR="00F416EB" w:rsidRPr="00142E85" w:rsidRDefault="00F416EB" w:rsidP="003D56D4">
            <w:pPr>
              <w:spacing w:after="0" w:line="240" w:lineRule="auto"/>
              <w:rPr>
                <w:rFonts w:eastAsia="Times New Roman" w:cs="Arial"/>
                <w:i/>
                <w:color w:val="000000"/>
                <w:sz w:val="16"/>
                <w:szCs w:val="16"/>
                <w:lang w:eastAsia="pt-BR"/>
              </w:rPr>
            </w:pPr>
          </w:p>
        </w:tc>
      </w:tr>
    </w:tbl>
    <w:p w14:paraId="6B7E10AB" w14:textId="2EE85957" w:rsidR="00032EC9" w:rsidRDefault="00032EC9" w:rsidP="00C80212">
      <w:pPr>
        <w:spacing w:after="120" w:line="240" w:lineRule="auto"/>
        <w:jc w:val="both"/>
        <w:rPr>
          <w:rFonts w:cs="Times New Roman"/>
          <w:sz w:val="24"/>
          <w:szCs w:val="24"/>
          <w:lang w:eastAsia="pt-BR"/>
        </w:rPr>
      </w:pPr>
    </w:p>
    <w:p w14:paraId="4DDE8924" w14:textId="22FA4E3D" w:rsidR="00801E1A" w:rsidRDefault="00801E1A" w:rsidP="00801E1A">
      <w:pPr>
        <w:spacing w:after="120" w:line="240" w:lineRule="auto"/>
        <w:ind w:firstLine="1418"/>
        <w:jc w:val="both"/>
        <w:rPr>
          <w:rFonts w:cs="Times New Roman"/>
          <w:sz w:val="24"/>
          <w:szCs w:val="24"/>
          <w:lang w:eastAsia="pt-BR"/>
        </w:rPr>
      </w:pPr>
      <w:r>
        <w:rPr>
          <w:rFonts w:cs="Times New Roman"/>
          <w:sz w:val="24"/>
          <w:szCs w:val="24"/>
          <w:lang w:eastAsia="pt-BR"/>
        </w:rPr>
        <w:t>O</w:t>
      </w:r>
      <w:r w:rsidR="0031191D" w:rsidRPr="00801E1A">
        <w:rPr>
          <w:rFonts w:cs="Times New Roman"/>
          <w:sz w:val="24"/>
          <w:szCs w:val="24"/>
          <w:lang w:eastAsia="pt-BR"/>
        </w:rPr>
        <w:t>s valores dos fluxos</w:t>
      </w:r>
      <w:r w:rsidRPr="00801E1A">
        <w:rPr>
          <w:rFonts w:cs="Times New Roman"/>
          <w:sz w:val="24"/>
          <w:szCs w:val="24"/>
          <w:lang w:eastAsia="pt-BR"/>
        </w:rPr>
        <w:t xml:space="preserve"> estimados de depósitos judiciais por exerc</w:t>
      </w:r>
      <w:r>
        <w:rPr>
          <w:rFonts w:cs="Times New Roman"/>
          <w:sz w:val="24"/>
          <w:szCs w:val="24"/>
          <w:lang w:eastAsia="pt-BR"/>
        </w:rPr>
        <w:t>ício</w:t>
      </w:r>
      <w:r w:rsidR="00297B06" w:rsidRPr="00801E1A">
        <w:rPr>
          <w:sz w:val="24"/>
          <w:szCs w:val="24"/>
        </w:rPr>
        <w:t xml:space="preserve"> </w:t>
      </w:r>
      <w:r w:rsidRPr="00801E1A">
        <w:rPr>
          <w:sz w:val="24"/>
          <w:szCs w:val="24"/>
        </w:rPr>
        <w:t>são apresentados na</w:t>
      </w:r>
      <w:r w:rsidR="00846D4D">
        <w:rPr>
          <w:sz w:val="24"/>
          <w:szCs w:val="24"/>
        </w:rPr>
        <w:t xml:space="preserve"> </w:t>
      </w:r>
      <w:r w:rsidR="00846D4D">
        <w:rPr>
          <w:sz w:val="24"/>
          <w:szCs w:val="24"/>
        </w:rPr>
        <w:fldChar w:fldCharType="begin"/>
      </w:r>
      <w:r w:rsidR="00846D4D">
        <w:rPr>
          <w:sz w:val="24"/>
          <w:szCs w:val="24"/>
        </w:rPr>
        <w:instrText xml:space="preserve"> REF _Ref67996006  \* MERGEFORMAT </w:instrText>
      </w:r>
      <w:r w:rsidR="00846D4D">
        <w:rPr>
          <w:sz w:val="24"/>
          <w:szCs w:val="24"/>
        </w:rPr>
        <w:fldChar w:fldCharType="separate"/>
      </w:r>
      <w:r w:rsidR="00304F5F" w:rsidRPr="00304F5F">
        <w:rPr>
          <w:sz w:val="24"/>
          <w:szCs w:val="24"/>
        </w:rPr>
        <w:t>Tabela 40</w:t>
      </w:r>
      <w:r w:rsidR="00846D4D">
        <w:rPr>
          <w:sz w:val="24"/>
          <w:szCs w:val="24"/>
        </w:rPr>
        <w:fldChar w:fldCharType="end"/>
      </w:r>
      <w:r>
        <w:rPr>
          <w:sz w:val="24"/>
          <w:szCs w:val="24"/>
        </w:rPr>
        <w:t>, c</w:t>
      </w:r>
      <w:r w:rsidRPr="00846D4D">
        <w:rPr>
          <w:sz w:val="24"/>
          <w:szCs w:val="24"/>
        </w:rPr>
        <w:t>onforme revisão das estimativas de receita, com base nos parâmetros da SPE e</w:t>
      </w:r>
      <w:r w:rsidRPr="00801E1A">
        <w:rPr>
          <w:rFonts w:cs="Times New Roman"/>
          <w:sz w:val="24"/>
          <w:szCs w:val="24"/>
          <w:lang w:eastAsia="pt-BR"/>
        </w:rPr>
        <w:t xml:space="preserve"> comportamento dos levantamentos de depósitos nos últimos doze meses</w:t>
      </w:r>
      <w:r>
        <w:rPr>
          <w:rFonts w:cs="Times New Roman"/>
          <w:sz w:val="24"/>
          <w:szCs w:val="24"/>
          <w:lang w:eastAsia="pt-BR"/>
        </w:rPr>
        <w:t>.</w:t>
      </w:r>
    </w:p>
    <w:p w14:paraId="0B90D973" w14:textId="747CC0E4" w:rsidR="00801E1A" w:rsidRPr="00801E1A" w:rsidRDefault="00801E1A" w:rsidP="000B087F">
      <w:pPr>
        <w:spacing w:before="240" w:after="120" w:line="240" w:lineRule="auto"/>
        <w:jc w:val="center"/>
        <w:rPr>
          <w:sz w:val="24"/>
          <w:szCs w:val="24"/>
        </w:rPr>
      </w:pPr>
      <w:bookmarkStart w:id="333" w:name="_Ref67996006"/>
      <w:bookmarkStart w:id="334" w:name="_Toc69121386"/>
      <w:r w:rsidRPr="00801E1A">
        <w:t xml:space="preserve">Tabela </w:t>
      </w:r>
      <w:fldSimple w:instr=" SEQ Tabela \* ARABIC ">
        <w:r w:rsidR="00304F5F">
          <w:rPr>
            <w:noProof/>
          </w:rPr>
          <w:t>40</w:t>
        </w:r>
      </w:fldSimple>
      <w:bookmarkEnd w:id="333"/>
      <w:r w:rsidR="00BB658B">
        <w:t xml:space="preserve"> </w:t>
      </w:r>
      <w:r w:rsidR="00122F91">
        <w:t>-</w:t>
      </w:r>
      <w:r w:rsidRPr="00801E1A">
        <w:t xml:space="preserve"> Fluxos estimados de depósitos judiciais por exercício</w:t>
      </w:r>
      <w:bookmarkEnd w:id="334"/>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127"/>
        <w:gridCol w:w="546"/>
        <w:gridCol w:w="546"/>
        <w:gridCol w:w="546"/>
        <w:gridCol w:w="546"/>
        <w:gridCol w:w="1248"/>
      </w:tblGrid>
      <w:tr w:rsidR="0075722C" w:rsidRPr="005E5CE5" w14:paraId="64765043" w14:textId="77777777" w:rsidTr="0075722C">
        <w:trPr>
          <w:trHeight w:val="20"/>
          <w:tblHeader/>
          <w:jc w:val="center"/>
        </w:trPr>
        <w:tc>
          <w:tcPr>
            <w:tcW w:w="6559" w:type="dxa"/>
            <w:gridSpan w:val="6"/>
            <w:tcBorders>
              <w:top w:val="nil"/>
              <w:left w:val="nil"/>
              <w:right w:val="nil"/>
            </w:tcBorders>
            <w:shd w:val="clear" w:color="auto" w:fill="auto"/>
            <w:noWrap/>
            <w:vAlign w:val="center"/>
          </w:tcPr>
          <w:p w14:paraId="05FD60C6" w14:textId="6E8E8E4B" w:rsidR="0075722C" w:rsidRPr="00E200B9" w:rsidRDefault="0075722C" w:rsidP="0075722C">
            <w:pPr>
              <w:spacing w:after="0" w:line="240" w:lineRule="auto"/>
              <w:jc w:val="right"/>
              <w:rPr>
                <w:rFonts w:eastAsia="Times New Roman" w:cs="Times New Roman"/>
                <w:b/>
                <w:color w:val="FFFFFF" w:themeColor="background1"/>
                <w:sz w:val="20"/>
                <w:szCs w:val="20"/>
                <w:lang w:eastAsia="pt-BR"/>
              </w:rPr>
            </w:pPr>
            <w:r w:rsidRPr="0031191D">
              <w:rPr>
                <w:i/>
                <w:sz w:val="16"/>
                <w:szCs w:val="16"/>
              </w:rPr>
              <w:t>Em R$ bilhões</w:t>
            </w:r>
          </w:p>
        </w:tc>
      </w:tr>
      <w:tr w:rsidR="00E200B9" w:rsidRPr="005E5CE5" w14:paraId="7A9F54C0" w14:textId="77777777" w:rsidTr="0075722C">
        <w:trPr>
          <w:trHeight w:val="566"/>
          <w:tblHeader/>
          <w:jc w:val="center"/>
        </w:trPr>
        <w:tc>
          <w:tcPr>
            <w:tcW w:w="3127" w:type="dxa"/>
            <w:vMerge w:val="restart"/>
            <w:shd w:val="clear" w:color="auto" w:fill="404040" w:themeFill="text1" w:themeFillTint="BF"/>
            <w:noWrap/>
            <w:vAlign w:val="center"/>
            <w:hideMark/>
          </w:tcPr>
          <w:p w14:paraId="21BF348B" w14:textId="68836005" w:rsidR="00E200B9" w:rsidRPr="00E200B9" w:rsidRDefault="00D60B5A" w:rsidP="005E5CE5">
            <w:pPr>
              <w:spacing w:after="0" w:line="240" w:lineRule="auto"/>
              <w:jc w:val="center"/>
              <w:rPr>
                <w:rFonts w:eastAsia="Times New Roman" w:cs="Times New Roman"/>
                <w:color w:val="FFFFFF" w:themeColor="background1"/>
                <w:sz w:val="20"/>
                <w:szCs w:val="20"/>
                <w:lang w:eastAsia="pt-BR"/>
              </w:rPr>
            </w:pPr>
            <w:r>
              <w:rPr>
                <w:rFonts w:cs="Times New Roman"/>
                <w:b/>
                <w:color w:val="FFFFFF" w:themeColor="background1"/>
                <w:sz w:val="20"/>
                <w:szCs w:val="20"/>
              </w:rPr>
              <w:t>Item</w:t>
            </w:r>
          </w:p>
        </w:tc>
        <w:tc>
          <w:tcPr>
            <w:tcW w:w="0" w:type="auto"/>
            <w:gridSpan w:val="4"/>
            <w:tcBorders>
              <w:right w:val="nil"/>
            </w:tcBorders>
            <w:shd w:val="clear" w:color="auto" w:fill="404040" w:themeFill="text1" w:themeFillTint="BF"/>
            <w:noWrap/>
            <w:vAlign w:val="center"/>
            <w:hideMark/>
          </w:tcPr>
          <w:p w14:paraId="1157E97C" w14:textId="24E3C4CA" w:rsidR="00E200B9" w:rsidRPr="00E200B9" w:rsidRDefault="00E200B9" w:rsidP="00122F91">
            <w:pPr>
              <w:spacing w:after="0" w:line="240" w:lineRule="auto"/>
              <w:jc w:val="center"/>
              <w:rPr>
                <w:rFonts w:eastAsia="Times New Roman" w:cs="Times New Roman"/>
                <w:color w:val="FFFFFF" w:themeColor="background1"/>
                <w:sz w:val="20"/>
                <w:szCs w:val="20"/>
                <w:lang w:eastAsia="pt-BR"/>
              </w:rPr>
            </w:pPr>
            <w:r w:rsidRPr="00801E1A">
              <w:rPr>
                <w:rFonts w:eastAsia="Times New Roman" w:cs="Times New Roman"/>
                <w:b/>
                <w:color w:val="FFFFFF" w:themeColor="background1"/>
                <w:sz w:val="20"/>
                <w:szCs w:val="20"/>
                <w:lang w:eastAsia="pt-BR"/>
              </w:rPr>
              <w:t xml:space="preserve">Valor </w:t>
            </w:r>
            <w:r w:rsidR="00801E1A" w:rsidRPr="00801E1A">
              <w:rPr>
                <w:rFonts w:eastAsia="Times New Roman" w:cs="Times New Roman"/>
                <w:b/>
                <w:color w:val="FFFFFF" w:themeColor="background1"/>
                <w:sz w:val="20"/>
                <w:szCs w:val="20"/>
                <w:lang w:eastAsia="pt-BR"/>
              </w:rPr>
              <w:t>Estim</w:t>
            </w:r>
            <w:r w:rsidR="00801E1A">
              <w:rPr>
                <w:rFonts w:eastAsia="Times New Roman" w:cs="Times New Roman"/>
                <w:b/>
                <w:color w:val="FFFFFF" w:themeColor="background1"/>
                <w:sz w:val="20"/>
                <w:szCs w:val="20"/>
                <w:lang w:eastAsia="pt-BR"/>
              </w:rPr>
              <w:t>ado</w:t>
            </w:r>
          </w:p>
        </w:tc>
        <w:tc>
          <w:tcPr>
            <w:tcW w:w="0" w:type="auto"/>
            <w:vMerge w:val="restart"/>
            <w:tcBorders>
              <w:left w:val="single" w:sz="4" w:space="0" w:color="BFBFBF" w:themeColor="background1" w:themeShade="BF"/>
            </w:tcBorders>
            <w:shd w:val="clear" w:color="auto" w:fill="404040" w:themeFill="text1" w:themeFillTint="BF"/>
            <w:noWrap/>
            <w:vAlign w:val="center"/>
          </w:tcPr>
          <w:p w14:paraId="76CB98C1" w14:textId="77777777" w:rsidR="00E200B9" w:rsidRPr="00E200B9" w:rsidRDefault="00E200B9" w:rsidP="005E5CE5">
            <w:pPr>
              <w:spacing w:after="0" w:line="240" w:lineRule="auto"/>
              <w:jc w:val="center"/>
              <w:rPr>
                <w:rFonts w:eastAsia="Times New Roman" w:cs="Times New Roman"/>
                <w:b/>
                <w:color w:val="FFFFFF" w:themeColor="background1"/>
                <w:sz w:val="20"/>
                <w:szCs w:val="20"/>
                <w:lang w:eastAsia="pt-BR"/>
              </w:rPr>
            </w:pPr>
            <w:r w:rsidRPr="00E200B9">
              <w:rPr>
                <w:rFonts w:eastAsia="Times New Roman" w:cs="Times New Roman"/>
                <w:b/>
                <w:color w:val="FFFFFF" w:themeColor="background1"/>
                <w:sz w:val="20"/>
                <w:szCs w:val="20"/>
                <w:lang w:eastAsia="pt-BR"/>
              </w:rPr>
              <w:t>Impacto</w:t>
            </w:r>
          </w:p>
          <w:p w14:paraId="7BB01195" w14:textId="77777777" w:rsidR="00E200B9" w:rsidRPr="00E200B9" w:rsidRDefault="00E200B9" w:rsidP="005E5CE5">
            <w:pPr>
              <w:spacing w:after="0" w:line="240" w:lineRule="auto"/>
              <w:jc w:val="center"/>
              <w:rPr>
                <w:rFonts w:eastAsia="Times New Roman" w:cs="Times New Roman"/>
                <w:color w:val="FFFFFF" w:themeColor="background1"/>
                <w:sz w:val="20"/>
                <w:szCs w:val="20"/>
                <w:lang w:eastAsia="pt-BR"/>
              </w:rPr>
            </w:pPr>
            <w:r w:rsidRPr="00E200B9">
              <w:rPr>
                <w:rFonts w:eastAsia="Times New Roman" w:cs="Times New Roman"/>
                <w:color w:val="FFFFFF" w:themeColor="background1"/>
                <w:sz w:val="20"/>
                <w:szCs w:val="20"/>
                <w:lang w:eastAsia="pt-BR"/>
              </w:rPr>
              <w:t>Financeiro (F)</w:t>
            </w:r>
          </w:p>
          <w:p w14:paraId="2C9F6981" w14:textId="77777777" w:rsidR="00E200B9" w:rsidRPr="00E200B9" w:rsidRDefault="00E200B9" w:rsidP="005E5CE5">
            <w:pPr>
              <w:spacing w:after="0" w:line="240" w:lineRule="auto"/>
              <w:jc w:val="center"/>
              <w:rPr>
                <w:rFonts w:eastAsia="Times New Roman" w:cs="Times New Roman"/>
                <w:color w:val="FFFFFF" w:themeColor="background1"/>
                <w:sz w:val="20"/>
                <w:szCs w:val="20"/>
                <w:lang w:eastAsia="pt-BR"/>
              </w:rPr>
            </w:pPr>
            <w:r w:rsidRPr="00E200B9">
              <w:rPr>
                <w:rFonts w:eastAsia="Times New Roman" w:cs="Times New Roman"/>
                <w:color w:val="FFFFFF" w:themeColor="background1"/>
                <w:sz w:val="20"/>
                <w:szCs w:val="20"/>
                <w:lang w:eastAsia="pt-BR"/>
              </w:rPr>
              <w:t>Primário (P)</w:t>
            </w:r>
          </w:p>
        </w:tc>
      </w:tr>
      <w:tr w:rsidR="00E200B9" w:rsidRPr="005E5CE5" w14:paraId="3589B9AB" w14:textId="77777777" w:rsidTr="0075722C">
        <w:trPr>
          <w:trHeight w:val="20"/>
          <w:tblHeader/>
          <w:jc w:val="center"/>
        </w:trPr>
        <w:tc>
          <w:tcPr>
            <w:tcW w:w="3127" w:type="dxa"/>
            <w:vMerge/>
            <w:tcBorders>
              <w:top w:val="single" w:sz="4" w:space="0" w:color="BFBFBF" w:themeColor="background1" w:themeShade="BF"/>
            </w:tcBorders>
            <w:shd w:val="clear" w:color="auto" w:fill="404040" w:themeFill="text1" w:themeFillTint="BF"/>
            <w:noWrap/>
            <w:vAlign w:val="center"/>
            <w:hideMark/>
          </w:tcPr>
          <w:p w14:paraId="4D833040" w14:textId="77777777" w:rsidR="00E200B9" w:rsidRPr="00E200B9" w:rsidRDefault="00E200B9" w:rsidP="005E5CE5">
            <w:pPr>
              <w:spacing w:after="0" w:line="240" w:lineRule="auto"/>
              <w:jc w:val="center"/>
              <w:rPr>
                <w:rFonts w:eastAsia="Times New Roman" w:cs="Times New Roman"/>
                <w:color w:val="FFFFFF" w:themeColor="background1"/>
                <w:sz w:val="18"/>
                <w:szCs w:val="18"/>
                <w:lang w:eastAsia="pt-BR"/>
              </w:rPr>
            </w:pP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noWrap/>
            <w:vAlign w:val="center"/>
            <w:hideMark/>
          </w:tcPr>
          <w:p w14:paraId="3CDEF3AC" w14:textId="6EEF0538" w:rsidR="00E200B9" w:rsidRPr="00122F91" w:rsidRDefault="00E200B9" w:rsidP="005E5CE5">
            <w:pPr>
              <w:spacing w:after="0" w:line="240" w:lineRule="auto"/>
              <w:jc w:val="center"/>
              <w:rPr>
                <w:rFonts w:eastAsia="Times New Roman" w:cs="Arial"/>
                <w:b/>
                <w:bCs/>
                <w:color w:val="FFFFFF" w:themeColor="background1"/>
                <w:sz w:val="20"/>
                <w:szCs w:val="20"/>
                <w:lang w:eastAsia="pt-BR"/>
              </w:rPr>
            </w:pPr>
            <w:r w:rsidRPr="00122F91">
              <w:rPr>
                <w:rFonts w:eastAsia="Times New Roman" w:cs="Arial"/>
                <w:b/>
                <w:bCs/>
                <w:color w:val="FFFFFF" w:themeColor="background1"/>
                <w:sz w:val="20"/>
                <w:szCs w:val="20"/>
                <w:lang w:eastAsia="pt-BR"/>
              </w:rPr>
              <w:t>2021</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noWrap/>
            <w:vAlign w:val="center"/>
            <w:hideMark/>
          </w:tcPr>
          <w:p w14:paraId="5036E0F4" w14:textId="75A53E24" w:rsidR="00E200B9" w:rsidRPr="00122F91" w:rsidRDefault="00E200B9" w:rsidP="00E200B9">
            <w:pPr>
              <w:spacing w:after="0" w:line="240" w:lineRule="auto"/>
              <w:jc w:val="center"/>
              <w:rPr>
                <w:rFonts w:eastAsia="Times New Roman" w:cs="Arial"/>
                <w:b/>
                <w:bCs/>
                <w:color w:val="FFFFFF" w:themeColor="background1"/>
                <w:sz w:val="20"/>
                <w:szCs w:val="20"/>
                <w:lang w:eastAsia="pt-BR"/>
              </w:rPr>
            </w:pPr>
            <w:r w:rsidRPr="00122F91">
              <w:rPr>
                <w:rFonts w:eastAsia="Times New Roman" w:cs="Arial"/>
                <w:b/>
                <w:bCs/>
                <w:color w:val="FFFFFF" w:themeColor="background1"/>
                <w:sz w:val="20"/>
                <w:szCs w:val="20"/>
                <w:lang w:eastAsia="pt-BR"/>
              </w:rPr>
              <w:t>2022</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noWrap/>
            <w:vAlign w:val="center"/>
            <w:hideMark/>
          </w:tcPr>
          <w:p w14:paraId="6460D7D1" w14:textId="6159539A" w:rsidR="00E200B9" w:rsidRPr="00122F91" w:rsidRDefault="00E200B9" w:rsidP="00E200B9">
            <w:pPr>
              <w:spacing w:after="0" w:line="240" w:lineRule="auto"/>
              <w:jc w:val="center"/>
              <w:rPr>
                <w:rFonts w:eastAsia="Times New Roman" w:cs="Arial"/>
                <w:b/>
                <w:bCs/>
                <w:color w:val="FFFFFF" w:themeColor="background1"/>
                <w:sz w:val="20"/>
                <w:szCs w:val="20"/>
                <w:lang w:eastAsia="pt-BR"/>
              </w:rPr>
            </w:pPr>
            <w:r w:rsidRPr="00122F91">
              <w:rPr>
                <w:rFonts w:eastAsia="Times New Roman" w:cs="Arial"/>
                <w:b/>
                <w:bCs/>
                <w:color w:val="FFFFFF" w:themeColor="background1"/>
                <w:sz w:val="20"/>
                <w:szCs w:val="20"/>
                <w:lang w:eastAsia="pt-BR"/>
              </w:rPr>
              <w:t>2023</w:t>
            </w:r>
          </w:p>
        </w:tc>
        <w:tc>
          <w:tcPr>
            <w:tcW w:w="0" w:type="auto"/>
            <w:tcBorders>
              <w:top w:val="single" w:sz="4" w:space="0" w:color="BFBFBF" w:themeColor="background1" w:themeShade="BF"/>
              <w:bottom w:val="single" w:sz="4" w:space="0" w:color="BFBFBF" w:themeColor="background1" w:themeShade="BF"/>
            </w:tcBorders>
            <w:shd w:val="clear" w:color="auto" w:fill="404040" w:themeFill="text1" w:themeFillTint="BF"/>
            <w:vAlign w:val="center"/>
          </w:tcPr>
          <w:p w14:paraId="72444B55" w14:textId="4E553CC5" w:rsidR="00E200B9" w:rsidRPr="00122F91" w:rsidRDefault="00E200B9" w:rsidP="00E200B9">
            <w:pPr>
              <w:spacing w:after="0" w:line="240" w:lineRule="auto"/>
              <w:jc w:val="center"/>
              <w:rPr>
                <w:rFonts w:eastAsia="Times New Roman" w:cs="Arial"/>
                <w:b/>
                <w:bCs/>
                <w:color w:val="FFFFFF" w:themeColor="background1"/>
                <w:sz w:val="20"/>
                <w:szCs w:val="20"/>
                <w:lang w:eastAsia="pt-BR"/>
              </w:rPr>
            </w:pPr>
            <w:r w:rsidRPr="00122F91">
              <w:rPr>
                <w:rFonts w:eastAsia="Times New Roman" w:cs="Arial"/>
                <w:b/>
                <w:bCs/>
                <w:color w:val="FFFFFF" w:themeColor="background1"/>
                <w:sz w:val="20"/>
                <w:szCs w:val="20"/>
                <w:lang w:eastAsia="pt-BR"/>
              </w:rPr>
              <w:t>2024</w:t>
            </w:r>
          </w:p>
        </w:tc>
        <w:tc>
          <w:tcPr>
            <w:tcW w:w="0" w:type="auto"/>
            <w:vMerge/>
            <w:shd w:val="clear" w:color="auto" w:fill="404040" w:themeFill="text1" w:themeFillTint="BF"/>
            <w:noWrap/>
            <w:vAlign w:val="center"/>
          </w:tcPr>
          <w:p w14:paraId="5CB20C2B" w14:textId="77777777" w:rsidR="00E200B9" w:rsidRPr="00E200B9" w:rsidRDefault="00E200B9" w:rsidP="005E5CE5">
            <w:pPr>
              <w:spacing w:after="0" w:line="240" w:lineRule="auto"/>
              <w:jc w:val="right"/>
              <w:rPr>
                <w:rFonts w:eastAsia="Times New Roman" w:cs="Arial"/>
                <w:color w:val="FFFFFF" w:themeColor="background1"/>
                <w:sz w:val="18"/>
                <w:szCs w:val="18"/>
                <w:lang w:eastAsia="pt-BR"/>
              </w:rPr>
            </w:pPr>
          </w:p>
        </w:tc>
      </w:tr>
      <w:tr w:rsidR="00E200B9" w:rsidRPr="005E5CE5" w14:paraId="63646F16" w14:textId="77777777" w:rsidTr="0075722C">
        <w:trPr>
          <w:trHeight w:val="20"/>
          <w:jc w:val="center"/>
        </w:trPr>
        <w:tc>
          <w:tcPr>
            <w:tcW w:w="3127" w:type="dxa"/>
            <w:tcBorders>
              <w:bottom w:val="single" w:sz="4" w:space="0" w:color="BFBFBF" w:themeColor="background1" w:themeShade="BF"/>
              <w:right w:val="single" w:sz="4" w:space="0" w:color="BFBFBF" w:themeColor="background1" w:themeShade="BF"/>
            </w:tcBorders>
            <w:shd w:val="clear" w:color="auto" w:fill="auto"/>
            <w:noWrap/>
            <w:vAlign w:val="center"/>
            <w:hideMark/>
          </w:tcPr>
          <w:p w14:paraId="407E801E" w14:textId="67BABA8C" w:rsidR="00E200B9" w:rsidRPr="00E200B9" w:rsidRDefault="00405315" w:rsidP="005E5CE5">
            <w:pPr>
              <w:spacing w:after="0" w:line="240" w:lineRule="auto"/>
              <w:rPr>
                <w:rFonts w:eastAsia="Times New Roman" w:cs="Arial"/>
                <w:color w:val="000000"/>
                <w:sz w:val="18"/>
                <w:szCs w:val="18"/>
                <w:lang w:eastAsia="pt-BR"/>
              </w:rPr>
            </w:pPr>
            <w:r>
              <w:rPr>
                <w:rFonts w:eastAsia="Times New Roman" w:cs="Arial"/>
                <w:color w:val="000000"/>
                <w:sz w:val="18"/>
                <w:szCs w:val="18"/>
                <w:lang w:eastAsia="pt-BR"/>
              </w:rPr>
              <w:t>Levantamento de Depósitos Judiciais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5005CF39" w14:textId="50A4A15D" w:rsidR="00E200B9" w:rsidRPr="00E200B9" w:rsidRDefault="00405315" w:rsidP="005E5CE5">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11,9</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9EB8CC3" w14:textId="16445988" w:rsidR="00E200B9" w:rsidRPr="00E200B9" w:rsidRDefault="00405315" w:rsidP="00405315">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12</w:t>
            </w:r>
            <w:r w:rsidR="00E200B9" w:rsidRPr="00E200B9">
              <w:rPr>
                <w:rFonts w:eastAsia="Times New Roman" w:cs="Arial"/>
                <w:color w:val="000000"/>
                <w:sz w:val="18"/>
                <w:szCs w:val="18"/>
                <w:lang w:eastAsia="pt-BR"/>
              </w:rPr>
              <w:t>,</w:t>
            </w:r>
            <w:r>
              <w:rPr>
                <w:rFonts w:eastAsia="Times New Roman" w:cs="Arial"/>
                <w:color w:val="000000"/>
                <w:sz w:val="18"/>
                <w:szCs w:val="18"/>
                <w:lang w:eastAsia="pt-BR"/>
              </w:rPr>
              <w:t>6</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C83BA28" w14:textId="7C1F9A24" w:rsidR="00E200B9" w:rsidRPr="00E200B9" w:rsidRDefault="00405315" w:rsidP="00405315">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13,4</w:t>
            </w:r>
          </w:p>
        </w:tc>
        <w:tc>
          <w:tcPr>
            <w:tcW w:w="0" w:type="auto"/>
            <w:tcBorders>
              <w:top w:val="single" w:sz="4" w:space="0" w:color="BFBFBF" w:themeColor="background1" w:themeShade="BF"/>
              <w:left w:val="nil"/>
              <w:bottom w:val="single" w:sz="4" w:space="0" w:color="BFBFBF" w:themeColor="background1" w:themeShade="BF"/>
              <w:right w:val="nil"/>
            </w:tcBorders>
            <w:vAlign w:val="center"/>
          </w:tcPr>
          <w:p w14:paraId="5489558A" w14:textId="516C6373" w:rsidR="00E200B9" w:rsidRPr="00E200B9" w:rsidRDefault="00405315" w:rsidP="0031191D">
            <w:pPr>
              <w:spacing w:after="0" w:line="240" w:lineRule="auto"/>
              <w:jc w:val="right"/>
              <w:rPr>
                <w:rFonts w:eastAsia="Times New Roman" w:cs="Arial"/>
                <w:color w:val="000000"/>
                <w:sz w:val="18"/>
                <w:szCs w:val="18"/>
                <w:lang w:eastAsia="pt-BR"/>
              </w:rPr>
            </w:pPr>
            <w:r>
              <w:rPr>
                <w:rFonts w:eastAsia="Times New Roman" w:cs="Arial"/>
                <w:color w:val="000000"/>
                <w:sz w:val="18"/>
                <w:szCs w:val="18"/>
                <w:lang w:eastAsia="pt-BR"/>
              </w:rPr>
              <w:t>1</w:t>
            </w:r>
            <w:r w:rsidR="00E200B9" w:rsidRPr="00E200B9">
              <w:rPr>
                <w:rFonts w:eastAsia="Times New Roman" w:cs="Arial"/>
                <w:color w:val="000000"/>
                <w:sz w:val="18"/>
                <w:szCs w:val="18"/>
                <w:lang w:eastAsia="pt-BR"/>
              </w:rPr>
              <w:t>4,</w:t>
            </w:r>
            <w:r w:rsidR="0031191D">
              <w:rPr>
                <w:rFonts w:eastAsia="Times New Roman" w:cs="Arial"/>
                <w:color w:val="000000"/>
                <w:sz w:val="18"/>
                <w:szCs w:val="18"/>
                <w:lang w:eastAsia="pt-BR"/>
              </w:rPr>
              <w:t>2</w:t>
            </w:r>
          </w:p>
        </w:tc>
        <w:tc>
          <w:tcPr>
            <w:tcW w:w="0" w:type="auto"/>
            <w:tcBorders>
              <w:left w:val="single" w:sz="4" w:space="0" w:color="BFBFBF" w:themeColor="background1" w:themeShade="BF"/>
              <w:bottom w:val="single" w:sz="4" w:space="0" w:color="BFBFBF" w:themeColor="background1" w:themeShade="BF"/>
            </w:tcBorders>
            <w:shd w:val="clear" w:color="auto" w:fill="auto"/>
            <w:noWrap/>
            <w:vAlign w:val="center"/>
          </w:tcPr>
          <w:p w14:paraId="20AB36DD" w14:textId="77777777" w:rsidR="00E200B9" w:rsidRPr="00E200B9" w:rsidRDefault="00E200B9" w:rsidP="005E5CE5">
            <w:pPr>
              <w:spacing w:after="0" w:line="240" w:lineRule="auto"/>
              <w:jc w:val="center"/>
              <w:rPr>
                <w:rFonts w:eastAsia="Times New Roman" w:cs="Arial"/>
                <w:color w:val="000000"/>
                <w:sz w:val="18"/>
                <w:szCs w:val="18"/>
                <w:lang w:eastAsia="pt-BR"/>
              </w:rPr>
            </w:pPr>
            <w:r w:rsidRPr="00E200B9">
              <w:rPr>
                <w:rFonts w:eastAsia="Times New Roman" w:cs="Arial"/>
                <w:color w:val="000000"/>
                <w:sz w:val="18"/>
                <w:szCs w:val="18"/>
                <w:lang w:eastAsia="pt-BR"/>
              </w:rPr>
              <w:t>P</w:t>
            </w:r>
          </w:p>
        </w:tc>
      </w:tr>
      <w:tr w:rsidR="0075722C" w:rsidRPr="005E5CE5" w14:paraId="1903094F" w14:textId="77777777" w:rsidTr="0075722C">
        <w:trPr>
          <w:trHeight w:val="20"/>
          <w:jc w:val="center"/>
        </w:trPr>
        <w:tc>
          <w:tcPr>
            <w:tcW w:w="6559" w:type="dxa"/>
            <w:gridSpan w:val="6"/>
            <w:tcBorders>
              <w:left w:val="nil"/>
              <w:bottom w:val="nil"/>
              <w:right w:val="nil"/>
            </w:tcBorders>
            <w:shd w:val="clear" w:color="auto" w:fill="auto"/>
            <w:noWrap/>
            <w:vAlign w:val="center"/>
          </w:tcPr>
          <w:p w14:paraId="20B69F1E" w14:textId="70A708CF" w:rsidR="0075722C" w:rsidRPr="00E200B9" w:rsidRDefault="0075722C" w:rsidP="0075722C">
            <w:pPr>
              <w:spacing w:after="0" w:line="240" w:lineRule="auto"/>
              <w:rPr>
                <w:rFonts w:eastAsia="Times New Roman" w:cs="Arial"/>
                <w:color w:val="000000"/>
                <w:sz w:val="18"/>
                <w:szCs w:val="18"/>
                <w:lang w:eastAsia="pt-BR"/>
              </w:rPr>
            </w:pPr>
            <w:r w:rsidRPr="00E200B9">
              <w:rPr>
                <w:rFonts w:cs="Times New Roman"/>
                <w:b/>
                <w:i/>
                <w:sz w:val="16"/>
                <w:szCs w:val="16"/>
                <w:lang w:eastAsia="pt-BR"/>
              </w:rPr>
              <w:t>Fonte</w:t>
            </w:r>
            <w:r w:rsidRPr="00E200B9">
              <w:rPr>
                <w:rFonts w:cs="Times New Roman"/>
                <w:i/>
                <w:sz w:val="16"/>
                <w:szCs w:val="16"/>
                <w:lang w:eastAsia="pt-BR"/>
              </w:rPr>
              <w:t xml:space="preserve">: RFB/ME. </w:t>
            </w:r>
            <w:r w:rsidRPr="00E200B9">
              <w:rPr>
                <w:b/>
                <w:bCs/>
                <w:i/>
                <w:sz w:val="16"/>
                <w:szCs w:val="16"/>
              </w:rPr>
              <w:t>Elaboraçã</w:t>
            </w:r>
            <w:r w:rsidRPr="00E200B9">
              <w:rPr>
                <w:i/>
                <w:sz w:val="16"/>
                <w:szCs w:val="16"/>
              </w:rPr>
              <w:t>o: STN/ME.</w:t>
            </w:r>
          </w:p>
        </w:tc>
      </w:tr>
    </w:tbl>
    <w:p w14:paraId="22B83A65" w14:textId="77777777" w:rsidR="00032EC9" w:rsidRPr="00C80212" w:rsidRDefault="00032EC9" w:rsidP="00C80212">
      <w:pPr>
        <w:spacing w:after="120" w:line="240" w:lineRule="auto"/>
        <w:jc w:val="both"/>
        <w:rPr>
          <w:rFonts w:cs="Times New Roman"/>
          <w:sz w:val="24"/>
          <w:szCs w:val="24"/>
          <w:lang w:eastAsia="pt-BR"/>
        </w:rPr>
      </w:pPr>
    </w:p>
    <w:p w14:paraId="70EABB4A" w14:textId="5B7F45D3" w:rsidR="00EA236C" w:rsidRPr="0022645B" w:rsidRDefault="00EA236C" w:rsidP="006763AE">
      <w:pPr>
        <w:pStyle w:val="Ttulo3"/>
        <w:keepNext w:val="0"/>
        <w:numPr>
          <w:ilvl w:val="2"/>
          <w:numId w:val="36"/>
        </w:numPr>
        <w:spacing w:before="240" w:after="120"/>
        <w:ind w:left="720" w:hanging="720"/>
        <w:rPr>
          <w:rFonts w:asciiTheme="minorHAnsi" w:hAnsiTheme="minorHAnsi"/>
          <w:b/>
          <w:smallCaps w:val="0"/>
        </w:rPr>
      </w:pPr>
      <w:bookmarkStart w:id="335" w:name="_Toc67318004"/>
      <w:bookmarkStart w:id="336" w:name="_Toc67929658"/>
      <w:bookmarkStart w:id="337" w:name="_Ref68689639"/>
      <w:bookmarkStart w:id="338" w:name="_Toc69121237"/>
      <w:bookmarkStart w:id="339" w:name="_Toc5180291"/>
      <w:r w:rsidRPr="7B03A1CE">
        <w:rPr>
          <w:rFonts w:asciiTheme="minorHAnsi" w:hAnsiTheme="minorHAnsi"/>
          <w:b/>
          <w:smallCaps w:val="0"/>
        </w:rPr>
        <w:t>Créditos do Banco Central do Brasil</w:t>
      </w:r>
      <w:bookmarkEnd w:id="335"/>
      <w:bookmarkEnd w:id="336"/>
      <w:bookmarkEnd w:id="337"/>
      <w:bookmarkEnd w:id="338"/>
      <w:r w:rsidR="4909E72C" w:rsidRPr="7B03A1CE">
        <w:rPr>
          <w:rFonts w:asciiTheme="minorHAnsi" w:hAnsiTheme="minorHAnsi"/>
          <w:b/>
          <w:smallCaps w:val="0"/>
        </w:rPr>
        <w:t xml:space="preserve"> </w:t>
      </w:r>
      <w:bookmarkEnd w:id="339"/>
    </w:p>
    <w:p w14:paraId="553E677A" w14:textId="79BCBADF" w:rsidR="0D915351" w:rsidRPr="004F2323" w:rsidRDefault="0D915351" w:rsidP="6039F223">
      <w:pPr>
        <w:spacing w:after="120" w:line="240" w:lineRule="auto"/>
        <w:ind w:firstLine="1418"/>
        <w:jc w:val="both"/>
        <w:rPr>
          <w:rFonts w:eastAsiaTheme="minorEastAsia"/>
          <w:sz w:val="24"/>
          <w:szCs w:val="24"/>
        </w:rPr>
      </w:pPr>
      <w:r w:rsidRPr="004F2323">
        <w:rPr>
          <w:rFonts w:cs="Times New Roman"/>
          <w:sz w:val="24"/>
          <w:szCs w:val="24"/>
          <w:lang w:eastAsia="pt-BR"/>
        </w:rPr>
        <w:t>Para compor os Ativos Contingentes desta sessão</w:t>
      </w:r>
      <w:r w:rsidR="00083BD0">
        <w:rPr>
          <w:rFonts w:cs="Times New Roman"/>
          <w:sz w:val="24"/>
          <w:szCs w:val="24"/>
          <w:lang w:eastAsia="pt-BR"/>
        </w:rPr>
        <w:t xml:space="preserve"> do ARF</w:t>
      </w:r>
      <w:r w:rsidRPr="004F2323">
        <w:rPr>
          <w:rFonts w:cs="Times New Roman"/>
          <w:sz w:val="24"/>
          <w:szCs w:val="24"/>
          <w:lang w:eastAsia="pt-BR"/>
        </w:rPr>
        <w:t xml:space="preserve">, o </w:t>
      </w:r>
      <w:r w:rsidR="7AA757F1" w:rsidRPr="004F2323">
        <w:rPr>
          <w:rFonts w:cs="Times New Roman"/>
          <w:sz w:val="24"/>
          <w:szCs w:val="24"/>
          <w:lang w:eastAsia="pt-BR"/>
        </w:rPr>
        <w:t>Banco Central do Brasil (</w:t>
      </w:r>
      <w:r w:rsidRPr="004F2323">
        <w:rPr>
          <w:rFonts w:eastAsiaTheme="minorEastAsia"/>
          <w:sz w:val="24"/>
          <w:szCs w:val="24"/>
        </w:rPr>
        <w:t>BCB</w:t>
      </w:r>
      <w:r w:rsidR="5940BDC4" w:rsidRPr="004F2323">
        <w:rPr>
          <w:rFonts w:eastAsiaTheme="minorEastAsia"/>
          <w:sz w:val="24"/>
          <w:szCs w:val="24"/>
        </w:rPr>
        <w:t>)</w:t>
      </w:r>
      <w:r w:rsidRPr="004F2323">
        <w:rPr>
          <w:rFonts w:eastAsiaTheme="minorEastAsia"/>
          <w:sz w:val="24"/>
          <w:szCs w:val="24"/>
        </w:rPr>
        <w:t xml:space="preserve"> </w:t>
      </w:r>
      <w:r w:rsidR="7AAE884F" w:rsidRPr="004F2323">
        <w:rPr>
          <w:rFonts w:eastAsiaTheme="minorEastAsia"/>
          <w:sz w:val="24"/>
          <w:szCs w:val="24"/>
        </w:rPr>
        <w:t xml:space="preserve">encaminhava regularmente </w:t>
      </w:r>
      <w:r w:rsidRPr="004F2323">
        <w:rPr>
          <w:rFonts w:eastAsiaTheme="minorEastAsia"/>
          <w:sz w:val="24"/>
          <w:szCs w:val="24"/>
        </w:rPr>
        <w:t xml:space="preserve">as informações referentes às perdas por ajuste a valor recuperável dos créditos com as Instituições em Liquidação Extrajudicial, </w:t>
      </w:r>
      <w:r w:rsidR="3DB40A03" w:rsidRPr="004F2323">
        <w:rPr>
          <w:rFonts w:eastAsiaTheme="minorEastAsia"/>
          <w:sz w:val="24"/>
          <w:szCs w:val="24"/>
        </w:rPr>
        <w:t xml:space="preserve">até </w:t>
      </w:r>
      <w:r w:rsidR="6C93F21C" w:rsidRPr="004F2323">
        <w:rPr>
          <w:rFonts w:eastAsiaTheme="minorEastAsia"/>
          <w:sz w:val="24"/>
          <w:szCs w:val="24"/>
        </w:rPr>
        <w:t xml:space="preserve">o ano de </w:t>
      </w:r>
      <w:r w:rsidR="3DB40A03" w:rsidRPr="004F2323">
        <w:rPr>
          <w:rFonts w:eastAsiaTheme="minorEastAsia"/>
          <w:sz w:val="24"/>
          <w:szCs w:val="24"/>
        </w:rPr>
        <w:t>2020.</w:t>
      </w:r>
    </w:p>
    <w:p w14:paraId="02A3AF5D" w14:textId="47566165" w:rsidR="63E36C1C" w:rsidRPr="004F2323" w:rsidRDefault="63E36C1C" w:rsidP="7B03A1CE">
      <w:pPr>
        <w:spacing w:after="120" w:line="240" w:lineRule="auto"/>
        <w:ind w:firstLine="1418"/>
        <w:jc w:val="both"/>
        <w:rPr>
          <w:rFonts w:eastAsiaTheme="minorEastAsia"/>
          <w:sz w:val="24"/>
          <w:szCs w:val="24"/>
        </w:rPr>
      </w:pPr>
      <w:r w:rsidRPr="004F2323">
        <w:rPr>
          <w:rFonts w:eastAsiaTheme="minorEastAsia"/>
          <w:sz w:val="24"/>
          <w:szCs w:val="24"/>
        </w:rPr>
        <w:t>Considerando que as perdas esperadas dos créditos com as Instituições em Liquidação Extrajudicial</w:t>
      </w:r>
      <w:r w:rsidR="0069B7EA" w:rsidRPr="004F2323">
        <w:rPr>
          <w:rFonts w:eastAsiaTheme="minorEastAsia"/>
          <w:sz w:val="24"/>
          <w:szCs w:val="24"/>
        </w:rPr>
        <w:t xml:space="preserve"> apresentadas </w:t>
      </w:r>
      <w:r w:rsidR="687DD8A2" w:rsidRPr="004F2323">
        <w:rPr>
          <w:rFonts w:eastAsiaTheme="minorEastAsia"/>
          <w:sz w:val="24"/>
          <w:szCs w:val="24"/>
        </w:rPr>
        <w:t xml:space="preserve">até então </w:t>
      </w:r>
      <w:r w:rsidR="0069B7EA" w:rsidRPr="004F2323">
        <w:rPr>
          <w:rFonts w:eastAsiaTheme="minorEastAsia"/>
          <w:sz w:val="24"/>
          <w:szCs w:val="24"/>
        </w:rPr>
        <w:t>nesta seção</w:t>
      </w:r>
      <w:r w:rsidRPr="004F2323">
        <w:rPr>
          <w:rFonts w:eastAsiaTheme="minorEastAsia"/>
          <w:sz w:val="24"/>
          <w:szCs w:val="24"/>
        </w:rPr>
        <w:t xml:space="preserve"> são reconhecidas pelo BCB </w:t>
      </w:r>
      <w:r w:rsidR="12381958" w:rsidRPr="004F2323">
        <w:rPr>
          <w:rFonts w:eastAsiaTheme="minorEastAsia"/>
          <w:sz w:val="24"/>
          <w:szCs w:val="24"/>
        </w:rPr>
        <w:t xml:space="preserve">em sua </w:t>
      </w:r>
      <w:r w:rsidRPr="004F2323">
        <w:rPr>
          <w:rFonts w:eastAsiaTheme="minorEastAsia"/>
          <w:sz w:val="24"/>
          <w:szCs w:val="24"/>
        </w:rPr>
        <w:t xml:space="preserve">contabilidade, </w:t>
      </w:r>
      <w:r w:rsidR="4CC50576" w:rsidRPr="004F2323">
        <w:rPr>
          <w:rFonts w:eastAsiaTheme="minorEastAsia"/>
          <w:sz w:val="24"/>
          <w:szCs w:val="24"/>
        </w:rPr>
        <w:t>com vistas a</w:t>
      </w:r>
      <w:r w:rsidRPr="004F2323">
        <w:rPr>
          <w:rFonts w:eastAsiaTheme="minorEastAsia"/>
          <w:sz w:val="24"/>
          <w:szCs w:val="24"/>
        </w:rPr>
        <w:t xml:space="preserve"> atend</w:t>
      </w:r>
      <w:r w:rsidR="6B66D84E" w:rsidRPr="004F2323">
        <w:rPr>
          <w:rFonts w:eastAsiaTheme="minorEastAsia"/>
          <w:sz w:val="24"/>
          <w:szCs w:val="24"/>
        </w:rPr>
        <w:t>er</w:t>
      </w:r>
      <w:r w:rsidRPr="004F2323">
        <w:rPr>
          <w:rFonts w:eastAsiaTheme="minorEastAsia"/>
          <w:sz w:val="24"/>
          <w:szCs w:val="24"/>
        </w:rPr>
        <w:t xml:space="preserve"> às Normas Internacionais de Informações Financeiras (IFRS), sendo consolidadas no BGU, identific</w:t>
      </w:r>
      <w:r w:rsidR="7A991ED7" w:rsidRPr="004F2323">
        <w:rPr>
          <w:rFonts w:eastAsiaTheme="minorEastAsia"/>
          <w:sz w:val="24"/>
          <w:szCs w:val="24"/>
        </w:rPr>
        <w:t>ou-se</w:t>
      </w:r>
      <w:r w:rsidRPr="004F2323">
        <w:rPr>
          <w:rFonts w:eastAsiaTheme="minorEastAsia"/>
          <w:sz w:val="24"/>
          <w:szCs w:val="24"/>
        </w:rPr>
        <w:t xml:space="preserve"> que </w:t>
      </w:r>
      <w:r w:rsidR="1A74674A" w:rsidRPr="004F2323">
        <w:rPr>
          <w:rFonts w:eastAsiaTheme="minorEastAsia"/>
          <w:sz w:val="24"/>
          <w:szCs w:val="24"/>
        </w:rPr>
        <w:t>a divulgação dessas informações</w:t>
      </w:r>
      <w:r w:rsidR="546009B7" w:rsidRPr="004F2323">
        <w:rPr>
          <w:rFonts w:eastAsiaTheme="minorEastAsia"/>
          <w:sz w:val="24"/>
          <w:szCs w:val="24"/>
        </w:rPr>
        <w:t xml:space="preserve"> resulta</w:t>
      </w:r>
      <w:r w:rsidR="35AA3D18" w:rsidRPr="004F2323">
        <w:rPr>
          <w:rFonts w:eastAsiaTheme="minorEastAsia"/>
          <w:sz w:val="24"/>
          <w:szCs w:val="24"/>
        </w:rPr>
        <w:t>ria</w:t>
      </w:r>
      <w:r w:rsidR="546009B7" w:rsidRPr="004F2323">
        <w:rPr>
          <w:rFonts w:eastAsiaTheme="minorEastAsia"/>
          <w:sz w:val="24"/>
          <w:szCs w:val="24"/>
        </w:rPr>
        <w:t xml:space="preserve"> em </w:t>
      </w:r>
      <w:r w:rsidRPr="004F2323">
        <w:rPr>
          <w:rFonts w:eastAsiaTheme="minorEastAsia"/>
          <w:sz w:val="24"/>
          <w:szCs w:val="24"/>
        </w:rPr>
        <w:t xml:space="preserve">sobreposição de </w:t>
      </w:r>
      <w:r w:rsidR="2366CF5E" w:rsidRPr="004F2323">
        <w:rPr>
          <w:rFonts w:eastAsiaTheme="minorEastAsia"/>
          <w:sz w:val="24"/>
          <w:szCs w:val="24"/>
        </w:rPr>
        <w:t>dados</w:t>
      </w:r>
      <w:r w:rsidRPr="004F2323">
        <w:rPr>
          <w:rFonts w:eastAsiaTheme="minorEastAsia"/>
          <w:sz w:val="24"/>
          <w:szCs w:val="24"/>
        </w:rPr>
        <w:t>.</w:t>
      </w:r>
    </w:p>
    <w:p w14:paraId="480313C3" w14:textId="4040998B" w:rsidR="63E36C1C" w:rsidRPr="004F2323" w:rsidRDefault="63E36C1C" w:rsidP="6039F223">
      <w:pPr>
        <w:spacing w:after="120" w:line="240" w:lineRule="auto"/>
        <w:ind w:firstLine="1418"/>
        <w:jc w:val="both"/>
        <w:rPr>
          <w:rFonts w:eastAsiaTheme="minorEastAsia"/>
          <w:sz w:val="24"/>
          <w:szCs w:val="24"/>
        </w:rPr>
      </w:pPr>
      <w:r w:rsidRPr="004F2323">
        <w:rPr>
          <w:rFonts w:eastAsiaTheme="minorEastAsia"/>
          <w:sz w:val="24"/>
          <w:szCs w:val="24"/>
        </w:rPr>
        <w:lastRenderedPageBreak/>
        <w:t xml:space="preserve">Por essa razão, </w:t>
      </w:r>
      <w:r w:rsidR="178F5DF9" w:rsidRPr="004F2323">
        <w:rPr>
          <w:rFonts w:eastAsiaTheme="minorEastAsia"/>
          <w:sz w:val="24"/>
          <w:szCs w:val="24"/>
        </w:rPr>
        <w:t>tais</w:t>
      </w:r>
      <w:r w:rsidRPr="004F2323">
        <w:rPr>
          <w:rFonts w:eastAsiaTheme="minorEastAsia"/>
          <w:sz w:val="24"/>
          <w:szCs w:val="24"/>
        </w:rPr>
        <w:t xml:space="preserve"> informações não serão mais apresentadas.</w:t>
      </w:r>
      <w:r w:rsidR="75AB34CF" w:rsidRPr="004F2323">
        <w:rPr>
          <w:rFonts w:eastAsiaTheme="minorEastAsia"/>
          <w:sz w:val="24"/>
          <w:szCs w:val="24"/>
        </w:rPr>
        <w:t xml:space="preserve"> Ademais</w:t>
      </w:r>
      <w:r w:rsidR="71E74C26" w:rsidRPr="004F2323">
        <w:rPr>
          <w:rFonts w:eastAsiaTheme="minorEastAsia"/>
          <w:sz w:val="24"/>
          <w:szCs w:val="24"/>
        </w:rPr>
        <w:t>,</w:t>
      </w:r>
      <w:r w:rsidR="75AB34CF" w:rsidRPr="004F2323">
        <w:rPr>
          <w:rFonts w:eastAsiaTheme="minorEastAsia"/>
          <w:sz w:val="24"/>
          <w:szCs w:val="24"/>
        </w:rPr>
        <w:t xml:space="preserve"> o BCB não identificou nenhum ativo contingente na sua contabilidade que atenda aos requisitos de divulgação no ARF.</w:t>
      </w:r>
    </w:p>
    <w:p w14:paraId="439844B1" w14:textId="3470655D" w:rsidR="004E1713" w:rsidRDefault="004E1713" w:rsidP="6039F223">
      <w:pPr>
        <w:spacing w:after="120" w:line="240" w:lineRule="auto"/>
        <w:ind w:firstLine="1418"/>
        <w:jc w:val="both"/>
        <w:rPr>
          <w:rFonts w:eastAsiaTheme="minorEastAsia"/>
          <w:sz w:val="24"/>
          <w:szCs w:val="24"/>
        </w:rPr>
      </w:pPr>
    </w:p>
    <w:p w14:paraId="39CA82C4" w14:textId="77777777" w:rsidR="00EA236C" w:rsidRPr="009B04B3" w:rsidRDefault="00EA236C" w:rsidP="006763AE">
      <w:pPr>
        <w:pStyle w:val="Ttulo3"/>
        <w:keepNext w:val="0"/>
        <w:numPr>
          <w:ilvl w:val="2"/>
          <w:numId w:val="36"/>
        </w:numPr>
        <w:spacing w:before="240" w:after="120"/>
        <w:ind w:left="720" w:hanging="720"/>
        <w:rPr>
          <w:rFonts w:asciiTheme="minorHAnsi" w:hAnsiTheme="minorHAnsi"/>
          <w:b/>
          <w:smallCaps w:val="0"/>
        </w:rPr>
      </w:pPr>
      <w:bookmarkStart w:id="340" w:name="_Toc67318005"/>
      <w:bookmarkStart w:id="341" w:name="_Toc67929659"/>
      <w:bookmarkStart w:id="342" w:name="_Toc69121238"/>
      <w:r w:rsidRPr="009B04B3">
        <w:rPr>
          <w:rFonts w:asciiTheme="minorHAnsi" w:hAnsiTheme="minorHAnsi"/>
          <w:b/>
          <w:smallCaps w:val="0"/>
        </w:rPr>
        <w:t>Haveres Financeiros Relacionados aos Entes Federativos</w:t>
      </w:r>
      <w:bookmarkEnd w:id="340"/>
      <w:bookmarkEnd w:id="341"/>
      <w:bookmarkEnd w:id="342"/>
    </w:p>
    <w:p w14:paraId="5AC2D26B" w14:textId="6F64872E" w:rsidR="00727034" w:rsidRPr="009B04B3" w:rsidRDefault="00727034" w:rsidP="00727034">
      <w:pPr>
        <w:spacing w:after="120" w:line="240" w:lineRule="auto"/>
        <w:ind w:firstLine="1418"/>
        <w:jc w:val="both"/>
        <w:rPr>
          <w:rFonts w:cs="Times New Roman"/>
          <w:sz w:val="24"/>
          <w:szCs w:val="24"/>
          <w:lang w:eastAsia="pt-BR"/>
        </w:rPr>
      </w:pPr>
      <w:r w:rsidRPr="009B04B3">
        <w:rPr>
          <w:rFonts w:cs="Times New Roman"/>
          <w:sz w:val="24"/>
          <w:szCs w:val="24"/>
          <w:lang w:eastAsia="pt-BR"/>
        </w:rPr>
        <w:t xml:space="preserve">Os créditos financeiros da União perante Estados e Municípios decorrem de programas de financiamento e refinanciamento de dívidas, </w:t>
      </w:r>
      <w:proofErr w:type="gramStart"/>
      <w:r w:rsidRPr="009B04B3">
        <w:rPr>
          <w:rFonts w:cs="Times New Roman"/>
          <w:sz w:val="24"/>
          <w:szCs w:val="24"/>
          <w:lang w:eastAsia="pt-BR"/>
        </w:rPr>
        <w:t>implementados</w:t>
      </w:r>
      <w:proofErr w:type="gramEnd"/>
      <w:r w:rsidRPr="009B04B3">
        <w:rPr>
          <w:rFonts w:cs="Times New Roman"/>
          <w:sz w:val="24"/>
          <w:szCs w:val="24"/>
          <w:lang w:eastAsia="pt-BR"/>
        </w:rPr>
        <w:t xml:space="preserve"> de acordo com legislações específicas e formalizados mediante a celebração de contratos entre as partes.</w:t>
      </w:r>
    </w:p>
    <w:p w14:paraId="7F0F3732" w14:textId="0E68830C" w:rsidR="00EA236C" w:rsidRPr="009B04B3" w:rsidRDefault="00EA236C" w:rsidP="00704C72">
      <w:pPr>
        <w:spacing w:after="120" w:line="240" w:lineRule="auto"/>
        <w:ind w:firstLine="1418"/>
        <w:jc w:val="both"/>
        <w:rPr>
          <w:rFonts w:cs="Times New Roman"/>
          <w:sz w:val="24"/>
          <w:szCs w:val="24"/>
          <w:lang w:eastAsia="pt-BR"/>
        </w:rPr>
      </w:pPr>
      <w:r w:rsidRPr="0D6D20DC">
        <w:rPr>
          <w:rFonts w:cs="Times New Roman"/>
          <w:sz w:val="24"/>
          <w:szCs w:val="24"/>
          <w:lang w:eastAsia="pt-BR"/>
        </w:rPr>
        <w:t>Ao longo deste tópico utiliza-se a denominação “programa” para cada conjunto de contratos firmados com entes subnacionais ao amparo de uma mesma norma, sendo que tais contratos apresentam aspectos contratuais e financeiros em comum. Por exemplo, ao se referir ao programa “Lei nº 9.496/</w:t>
      </w:r>
      <w:r w:rsidR="00727034" w:rsidRPr="0D6D20DC">
        <w:rPr>
          <w:rFonts w:cs="Times New Roman"/>
          <w:sz w:val="24"/>
          <w:szCs w:val="24"/>
          <w:lang w:eastAsia="pt-BR"/>
        </w:rPr>
        <w:t>97</w:t>
      </w:r>
      <w:r w:rsidRPr="0D6D20DC">
        <w:rPr>
          <w:rFonts w:cs="Times New Roman"/>
          <w:sz w:val="24"/>
          <w:szCs w:val="24"/>
          <w:lang w:eastAsia="pt-BR"/>
        </w:rPr>
        <w:t>”, faz-se referência aos contratos de entes subnacionais firmados sob a égide da Lei em questão.</w:t>
      </w:r>
    </w:p>
    <w:p w14:paraId="359FBB41" w14:textId="08A3ED5B" w:rsidR="3865AE85" w:rsidRDefault="3865AE85" w:rsidP="0D6D20DC">
      <w:pPr>
        <w:ind w:firstLine="1418"/>
        <w:jc w:val="both"/>
      </w:pPr>
      <w:r w:rsidRPr="71B7BA98">
        <w:rPr>
          <w:rFonts w:ascii="Calibri" w:eastAsia="Calibri" w:hAnsi="Calibri" w:cs="Calibri"/>
          <w:color w:val="000000" w:themeColor="text1"/>
          <w:sz w:val="24"/>
          <w:szCs w:val="24"/>
        </w:rPr>
        <w:t>Os haveres financeiros da União relacionados aos entes federativos são categorizados segundo as normas ou atos que lhe deram origem em:</w:t>
      </w:r>
    </w:p>
    <w:p w14:paraId="7DD90311" w14:textId="08A3ED5B" w:rsidR="0D6D20DC" w:rsidRDefault="3865AE85" w:rsidP="25917DB9">
      <w:pPr>
        <w:spacing w:after="120" w:line="240" w:lineRule="auto"/>
        <w:ind w:left="714" w:hanging="714"/>
        <w:jc w:val="both"/>
      </w:pP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I.</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Retorno de Operações de Financiamento e de Refinanciamento de Dívidas</w:t>
      </w:r>
    </w:p>
    <w:p w14:paraId="017F94F6" w14:textId="08A3ED5B" w:rsidR="0D6D20DC" w:rsidRDefault="3865AE85" w:rsidP="0D6D20DC">
      <w:pPr>
        <w:spacing w:after="120" w:line="240" w:lineRule="auto"/>
        <w:ind w:firstLine="1418"/>
        <w:jc w:val="both"/>
      </w:pPr>
      <w:r w:rsidRPr="71B7BA98">
        <w:rPr>
          <w:rFonts w:ascii="Calibri" w:eastAsia="Calibri" w:hAnsi="Calibri" w:cs="Calibri"/>
          <w:color w:val="000000" w:themeColor="text1"/>
          <w:sz w:val="24"/>
          <w:szCs w:val="24"/>
        </w:rPr>
        <w:t xml:space="preserve">Trata-se de operações de financiamento e refinanciamento de dívidas internas efetuadas ao longo do período de 1993 a 2000, amparadas por Leis e Medidas Provisórias, e que correspondem aos principais créditos relacionados aos entes federativos </w:t>
      </w:r>
      <w:proofErr w:type="gramStart"/>
      <w:r w:rsidRPr="71B7BA98">
        <w:rPr>
          <w:rFonts w:ascii="Calibri" w:eastAsia="Calibri" w:hAnsi="Calibri" w:cs="Calibri"/>
          <w:color w:val="000000" w:themeColor="text1"/>
          <w:sz w:val="24"/>
          <w:szCs w:val="24"/>
        </w:rPr>
        <w:t>sob gestão</w:t>
      </w:r>
      <w:proofErr w:type="gramEnd"/>
      <w:r w:rsidRPr="71B7BA98">
        <w:rPr>
          <w:rFonts w:ascii="Calibri" w:eastAsia="Calibri" w:hAnsi="Calibri" w:cs="Calibri"/>
          <w:color w:val="000000" w:themeColor="text1"/>
          <w:sz w:val="24"/>
          <w:szCs w:val="24"/>
        </w:rPr>
        <w:t xml:space="preserve"> da STN:</w:t>
      </w:r>
    </w:p>
    <w:p w14:paraId="56EF5018" w14:textId="620B8DC3" w:rsidR="0D6D20DC" w:rsidRDefault="3865AE85" w:rsidP="00C07BAD">
      <w:pPr>
        <w:spacing w:after="120" w:line="240" w:lineRule="auto"/>
        <w:ind w:left="1773" w:hanging="357"/>
        <w:jc w:val="both"/>
      </w:pPr>
      <w:r w:rsidRPr="71B7BA98">
        <w:rPr>
          <w:rFonts w:ascii="Calibri" w:eastAsia="Calibri" w:hAnsi="Calibri" w:cs="Calibri"/>
          <w:color w:val="000000" w:themeColor="text1"/>
          <w:sz w:val="24"/>
          <w:szCs w:val="24"/>
        </w:rPr>
        <w:t>a)</w:t>
      </w:r>
      <w:proofErr w:type="gramStart"/>
      <w:r w:rsidRPr="71B7BA98">
        <w:rPr>
          <w:rFonts w:ascii="Times New Roman" w:eastAsia="Times New Roman" w:hAnsi="Times New Roman" w:cs="Times New Roman"/>
          <w:color w:val="000000" w:themeColor="text1"/>
          <w:sz w:val="14"/>
          <w:szCs w:val="14"/>
        </w:rPr>
        <w:t xml:space="preserve">   </w:t>
      </w:r>
      <w:proofErr w:type="gramEnd"/>
      <w:r w:rsidRPr="71B7BA98">
        <w:rPr>
          <w:rFonts w:ascii="Calibri" w:eastAsia="Calibri" w:hAnsi="Calibri" w:cs="Calibri"/>
          <w:color w:val="000000" w:themeColor="text1"/>
          <w:sz w:val="24"/>
          <w:szCs w:val="24"/>
        </w:rPr>
        <w:t>Lei nº 8.727/1993 - Refinanciamento, pela União, de dívidas internas de origem contratual, de responsabilidade das administrações direta e indireta dos Estados e dos Municípios com a União e sua administração indireta;</w:t>
      </w:r>
    </w:p>
    <w:p w14:paraId="00F73BAD" w14:textId="16B7A8D4" w:rsidR="0D6D20DC" w:rsidRDefault="3865AE85" w:rsidP="00C07BAD">
      <w:pPr>
        <w:spacing w:after="120" w:line="240" w:lineRule="auto"/>
        <w:ind w:left="1773" w:hanging="357"/>
        <w:jc w:val="both"/>
      </w:pPr>
      <w:r w:rsidRPr="71B7BA98">
        <w:rPr>
          <w:rFonts w:ascii="Calibri" w:eastAsia="Calibri" w:hAnsi="Calibri" w:cs="Calibri"/>
          <w:color w:val="000000" w:themeColor="text1"/>
          <w:sz w:val="24"/>
          <w:szCs w:val="24"/>
        </w:rPr>
        <w:t>b)</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color w:val="000000" w:themeColor="text1"/>
          <w:sz w:val="24"/>
          <w:szCs w:val="24"/>
        </w:rPr>
        <w:t xml:space="preserve">Lei nº 9.496/1997 e alterações posteriores (Leis Complementares - </w:t>
      </w:r>
      <w:proofErr w:type="spellStart"/>
      <w:r w:rsidRPr="71B7BA98">
        <w:rPr>
          <w:rFonts w:ascii="Calibri" w:eastAsia="Calibri" w:hAnsi="Calibri" w:cs="Calibri"/>
          <w:color w:val="000000" w:themeColor="text1"/>
          <w:sz w:val="24"/>
          <w:szCs w:val="24"/>
        </w:rPr>
        <w:t>LCs</w:t>
      </w:r>
      <w:proofErr w:type="spellEnd"/>
      <w:r w:rsidRPr="71B7BA98">
        <w:rPr>
          <w:rFonts w:ascii="Calibri" w:eastAsia="Calibri" w:hAnsi="Calibri" w:cs="Calibri"/>
          <w:color w:val="000000" w:themeColor="text1"/>
          <w:sz w:val="24"/>
          <w:szCs w:val="24"/>
        </w:rPr>
        <w:t xml:space="preserve"> </w:t>
      </w:r>
      <w:proofErr w:type="spellStart"/>
      <w:r w:rsidRPr="71B7BA98">
        <w:rPr>
          <w:rFonts w:ascii="Calibri" w:eastAsia="Calibri" w:hAnsi="Calibri" w:cs="Calibri"/>
          <w:color w:val="000000" w:themeColor="text1"/>
          <w:sz w:val="24"/>
          <w:szCs w:val="24"/>
        </w:rPr>
        <w:t>nº</w:t>
      </w:r>
      <w:r w:rsidRPr="71B7BA98">
        <w:rPr>
          <w:rFonts w:ascii="Calibri" w:eastAsia="Calibri" w:hAnsi="Calibri" w:cs="Calibri"/>
          <w:color w:val="000000" w:themeColor="text1"/>
          <w:sz w:val="24"/>
          <w:szCs w:val="24"/>
          <w:vertAlign w:val="superscript"/>
        </w:rPr>
        <w:t>s</w:t>
      </w:r>
      <w:proofErr w:type="spellEnd"/>
      <w:r w:rsidRPr="71B7BA98">
        <w:rPr>
          <w:rFonts w:ascii="Calibri" w:eastAsia="Calibri" w:hAnsi="Calibri" w:cs="Calibri"/>
          <w:color w:val="000000" w:themeColor="text1"/>
          <w:sz w:val="24"/>
          <w:szCs w:val="24"/>
        </w:rPr>
        <w:t xml:space="preserve"> 148/2014, 156/2016, 173/2020 e 178/2021) - Consolidação, assunção e refinanciamento, pela União, da dívida pública mobiliária e da dívida decorrente de operações de crédito de natureza interna, de responsabilidade dos Estados e do Distrito Federal;</w:t>
      </w:r>
    </w:p>
    <w:p w14:paraId="7314A370" w14:textId="2471D275" w:rsidR="0D6D20DC" w:rsidRPr="00FB1DC4" w:rsidRDefault="3865AE85" w:rsidP="00C07BAD">
      <w:pPr>
        <w:spacing w:after="120" w:line="240" w:lineRule="auto"/>
        <w:ind w:left="1842" w:hanging="426"/>
        <w:jc w:val="both"/>
        <w:rPr>
          <w:rFonts w:ascii="Calibri" w:eastAsia="Calibri" w:hAnsi="Calibri" w:cs="Calibri"/>
          <w:color w:val="000000" w:themeColor="text1"/>
          <w:sz w:val="24"/>
          <w:szCs w:val="24"/>
        </w:rPr>
      </w:pPr>
      <w:r w:rsidRPr="71B7BA98">
        <w:rPr>
          <w:rFonts w:ascii="Calibri" w:eastAsia="Calibri" w:hAnsi="Calibri" w:cs="Calibri"/>
          <w:color w:val="000000" w:themeColor="text1"/>
          <w:sz w:val="24"/>
          <w:szCs w:val="24"/>
        </w:rPr>
        <w:t>c)</w:t>
      </w:r>
      <w:r w:rsidRPr="71B7BA98">
        <w:rPr>
          <w:rFonts w:ascii="Times New Roman" w:eastAsia="Times New Roman" w:hAnsi="Times New Roman" w:cs="Times New Roman"/>
          <w:color w:val="000000" w:themeColor="text1"/>
          <w:sz w:val="14"/>
          <w:szCs w:val="14"/>
        </w:rPr>
        <w:t xml:space="preserve">  </w:t>
      </w:r>
      <w:r w:rsidR="00FB1DC4">
        <w:rPr>
          <w:rFonts w:ascii="Times New Roman" w:eastAsia="Times New Roman" w:hAnsi="Times New Roman" w:cs="Times New Roman"/>
          <w:color w:val="000000" w:themeColor="text1"/>
          <w:sz w:val="14"/>
          <w:szCs w:val="14"/>
        </w:rPr>
        <w:t xml:space="preserve"> </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color w:val="000000" w:themeColor="text1"/>
          <w:sz w:val="24"/>
          <w:szCs w:val="24"/>
        </w:rPr>
        <w:t>MP nº 2.185/2001 e alterações posteriores (</w:t>
      </w:r>
      <w:proofErr w:type="spellStart"/>
      <w:r w:rsidRPr="71B7BA98">
        <w:rPr>
          <w:rFonts w:ascii="Calibri" w:eastAsia="Calibri" w:hAnsi="Calibri" w:cs="Calibri"/>
          <w:color w:val="000000" w:themeColor="text1"/>
          <w:sz w:val="24"/>
          <w:szCs w:val="24"/>
        </w:rPr>
        <w:t>LCs</w:t>
      </w:r>
      <w:proofErr w:type="spellEnd"/>
      <w:r w:rsidRPr="71B7BA98">
        <w:rPr>
          <w:rFonts w:ascii="Calibri" w:eastAsia="Calibri" w:hAnsi="Calibri" w:cs="Calibri"/>
          <w:color w:val="000000" w:themeColor="text1"/>
          <w:sz w:val="24"/>
          <w:szCs w:val="24"/>
        </w:rPr>
        <w:t xml:space="preserve"> </w:t>
      </w:r>
      <w:proofErr w:type="spellStart"/>
      <w:r w:rsidRPr="71B7BA98">
        <w:rPr>
          <w:rFonts w:ascii="Calibri" w:eastAsia="Calibri" w:hAnsi="Calibri" w:cs="Calibri"/>
          <w:color w:val="000000" w:themeColor="text1"/>
          <w:sz w:val="24"/>
          <w:szCs w:val="24"/>
        </w:rPr>
        <w:t>nº</w:t>
      </w:r>
      <w:r w:rsidRPr="00FB1DC4">
        <w:rPr>
          <w:rFonts w:ascii="Calibri" w:eastAsia="Calibri" w:hAnsi="Calibri" w:cs="Calibri"/>
          <w:color w:val="000000" w:themeColor="text1"/>
          <w:sz w:val="24"/>
          <w:szCs w:val="24"/>
        </w:rPr>
        <w:t>s</w:t>
      </w:r>
      <w:proofErr w:type="spellEnd"/>
      <w:r w:rsidRPr="71B7BA98">
        <w:rPr>
          <w:rFonts w:ascii="Calibri" w:eastAsia="Calibri" w:hAnsi="Calibri" w:cs="Calibri"/>
          <w:color w:val="000000" w:themeColor="text1"/>
          <w:sz w:val="24"/>
          <w:szCs w:val="24"/>
        </w:rPr>
        <w:t xml:space="preserve"> 148/2014, 173/2020 e 178/2021) - Consolidação, assunção e refinanciamento, pela União, da dívida pública mobiliária e da dívida decorrente de operações de crédito com instituições financeiras, de natureza interna, de responsabilidade dos Municípios;</w:t>
      </w:r>
    </w:p>
    <w:p w14:paraId="52DE2A7E" w14:textId="3DA3A334" w:rsidR="0D6D20DC" w:rsidRDefault="3865AE85" w:rsidP="00C07BAD">
      <w:pPr>
        <w:spacing w:after="120" w:line="240" w:lineRule="auto"/>
        <w:ind w:left="1773" w:hanging="357"/>
        <w:jc w:val="both"/>
      </w:pPr>
      <w:r w:rsidRPr="71B7BA98">
        <w:rPr>
          <w:rFonts w:ascii="Calibri" w:eastAsia="Calibri" w:hAnsi="Calibri" w:cs="Calibri"/>
          <w:color w:val="000000" w:themeColor="text1"/>
          <w:sz w:val="24"/>
          <w:szCs w:val="24"/>
        </w:rPr>
        <w:t>d)</w:t>
      </w:r>
      <w:proofErr w:type="gramStart"/>
      <w:r w:rsidRPr="71B7BA98">
        <w:rPr>
          <w:rFonts w:ascii="Times New Roman" w:eastAsia="Times New Roman" w:hAnsi="Times New Roman" w:cs="Times New Roman"/>
          <w:color w:val="000000" w:themeColor="text1"/>
          <w:sz w:val="14"/>
          <w:szCs w:val="14"/>
        </w:rPr>
        <w:t xml:space="preserve">   </w:t>
      </w:r>
      <w:proofErr w:type="gramEnd"/>
      <w:r w:rsidRPr="71B7BA98">
        <w:rPr>
          <w:rFonts w:ascii="Calibri" w:eastAsia="Calibri" w:hAnsi="Calibri" w:cs="Calibri"/>
          <w:color w:val="000000" w:themeColor="text1"/>
          <w:sz w:val="24"/>
          <w:szCs w:val="24"/>
        </w:rPr>
        <w:t>MP nº 2.179/2001 - Crédito do Banco Central do Brasil adquirido pela União em 29/7/2002, originário de empréstimo concedido pela Autarquia ao Banco do Estado do Rio de Janeiro S.A. – contrato BACEN-BANERJ, cujo saldo devedor foi assumido pelo Estado do Rio de Janeiro em 16/7/1998.</w:t>
      </w:r>
    </w:p>
    <w:p w14:paraId="71E51B71" w14:textId="08A3ED5B" w:rsidR="0D6D20DC" w:rsidRDefault="3865AE85" w:rsidP="25917DB9">
      <w:pPr>
        <w:spacing w:after="120" w:line="240" w:lineRule="auto"/>
        <w:ind w:left="714" w:hanging="714"/>
        <w:jc w:val="both"/>
      </w:pP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II.</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Renegociação da Dívida Externa do Setor Público</w:t>
      </w:r>
    </w:p>
    <w:p w14:paraId="1A28463B" w14:textId="08A3ED5B" w:rsidR="0D6D20DC" w:rsidRDefault="3865AE85" w:rsidP="0D6D20DC">
      <w:pPr>
        <w:spacing w:after="120" w:line="240" w:lineRule="auto"/>
        <w:ind w:firstLine="1418"/>
        <w:jc w:val="both"/>
      </w:pPr>
      <w:r w:rsidRPr="71B7BA98">
        <w:rPr>
          <w:rFonts w:ascii="Calibri" w:eastAsia="Calibri" w:hAnsi="Calibri" w:cs="Calibri"/>
          <w:color w:val="000000" w:themeColor="text1"/>
          <w:sz w:val="24"/>
          <w:szCs w:val="24"/>
        </w:rPr>
        <w:t xml:space="preserve">Acordo que reestruturou a dívida de </w:t>
      </w:r>
      <w:proofErr w:type="gramStart"/>
      <w:r w:rsidRPr="71B7BA98">
        <w:rPr>
          <w:rFonts w:ascii="Calibri" w:eastAsia="Calibri" w:hAnsi="Calibri" w:cs="Calibri"/>
          <w:color w:val="000000" w:themeColor="text1"/>
          <w:sz w:val="24"/>
          <w:szCs w:val="24"/>
        </w:rPr>
        <w:t>médio e longo prazos</w:t>
      </w:r>
      <w:proofErr w:type="gramEnd"/>
      <w:r w:rsidRPr="71B7BA98">
        <w:rPr>
          <w:rFonts w:ascii="Calibri" w:eastAsia="Calibri" w:hAnsi="Calibri" w:cs="Calibri"/>
          <w:color w:val="000000" w:themeColor="text1"/>
          <w:sz w:val="24"/>
          <w:szCs w:val="24"/>
        </w:rPr>
        <w:t xml:space="preserve"> - parcelas vencidas e vincendas de principal e juros devidos e não pagos no período de 1/1/1991 a 15/4/1994 - do setor público brasileiro junto a credores privados estrangeiros (Dívida de Médio e Longo Prazos - DMLP).</w:t>
      </w:r>
    </w:p>
    <w:p w14:paraId="376EF04D" w14:textId="08A3ED5B" w:rsidR="0D6D20DC" w:rsidRDefault="3865AE85" w:rsidP="25917DB9">
      <w:pPr>
        <w:spacing w:after="120" w:line="240" w:lineRule="auto"/>
        <w:ind w:left="714" w:hanging="714"/>
        <w:jc w:val="both"/>
      </w:pP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III.</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Retorno de Repasses de Recursos Externos</w:t>
      </w:r>
    </w:p>
    <w:p w14:paraId="3D423782" w14:textId="08A3ED5B" w:rsidR="0D6D20DC" w:rsidRDefault="3865AE85" w:rsidP="0D6D20DC">
      <w:pPr>
        <w:spacing w:after="120" w:line="240" w:lineRule="auto"/>
        <w:ind w:firstLine="1418"/>
        <w:jc w:val="both"/>
      </w:pPr>
      <w:r w:rsidRPr="71B7BA98">
        <w:rPr>
          <w:rFonts w:ascii="Calibri" w:eastAsia="Calibri" w:hAnsi="Calibri" w:cs="Calibri"/>
          <w:color w:val="000000" w:themeColor="text1"/>
          <w:sz w:val="24"/>
          <w:szCs w:val="24"/>
        </w:rPr>
        <w:lastRenderedPageBreak/>
        <w:t>Financiamento a diversas entidades nacionais com recursos externos captados ou garantidos pela União perante a República da França, mediante Protocolos Financeiros, para a importação de equipamentos e serviços (Acordo Brasil-França).</w:t>
      </w:r>
    </w:p>
    <w:p w14:paraId="172AFF0A" w14:textId="08A3ED5B" w:rsidR="0D6D20DC" w:rsidRDefault="3865AE85" w:rsidP="25917DB9">
      <w:pPr>
        <w:spacing w:after="120" w:line="240" w:lineRule="auto"/>
        <w:ind w:left="714" w:hanging="714"/>
        <w:jc w:val="both"/>
      </w:pP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IV.</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Saneamento de Instituições Financeiras Federais</w:t>
      </w:r>
    </w:p>
    <w:p w14:paraId="0B4AC064" w14:textId="08A3ED5B" w:rsidR="0D6D20DC" w:rsidRDefault="3865AE85" w:rsidP="0D6D20DC">
      <w:pPr>
        <w:spacing w:after="120" w:line="240" w:lineRule="auto"/>
        <w:ind w:firstLine="1418"/>
        <w:jc w:val="both"/>
      </w:pPr>
      <w:r w:rsidRPr="71B7BA98">
        <w:rPr>
          <w:rFonts w:ascii="Calibri" w:eastAsia="Calibri" w:hAnsi="Calibri" w:cs="Calibri"/>
          <w:color w:val="000000" w:themeColor="text1"/>
          <w:sz w:val="24"/>
          <w:szCs w:val="24"/>
        </w:rPr>
        <w:t>Créditos adquiridos pela União no âmbito do Programa de Fortalecimento das Instituições Financeiras Federais, conforme disposto na MP nº 2.196, de 2001, originários de contratos de financiamento celebrados entre a Caixa Econômica Federal e Estados, Prefeituras e Companhias Estaduais e Municipais de Saneamento (Carteira de Saneamento).</w:t>
      </w:r>
    </w:p>
    <w:p w14:paraId="555D5CE4" w14:textId="08A3ED5B" w:rsidR="0D6D20DC" w:rsidRDefault="3865AE85" w:rsidP="25917DB9">
      <w:pPr>
        <w:spacing w:after="120" w:line="240" w:lineRule="auto"/>
        <w:ind w:left="714" w:hanging="714"/>
        <w:jc w:val="both"/>
      </w:pP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V.</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 xml:space="preserve">Aquisição de Créditos Relativos a Participações </w:t>
      </w:r>
      <w:proofErr w:type="gramStart"/>
      <w:r w:rsidRPr="71B7BA98">
        <w:rPr>
          <w:rFonts w:ascii="Calibri" w:eastAsia="Calibri" w:hAnsi="Calibri" w:cs="Calibri"/>
          <w:i/>
          <w:iCs/>
          <w:color w:val="000000" w:themeColor="text1"/>
          <w:sz w:val="24"/>
          <w:szCs w:val="24"/>
        </w:rPr>
        <w:t>Governamentais</w:t>
      </w:r>
      <w:proofErr w:type="gramEnd"/>
    </w:p>
    <w:p w14:paraId="589E6D5D" w14:textId="08A3ED5B" w:rsidR="0D6D20DC" w:rsidRDefault="3865AE85" w:rsidP="0D6D20DC">
      <w:pPr>
        <w:spacing w:after="120" w:line="240" w:lineRule="auto"/>
        <w:ind w:firstLine="1418"/>
        <w:jc w:val="both"/>
      </w:pPr>
      <w:r w:rsidRPr="71B7BA98">
        <w:rPr>
          <w:rFonts w:ascii="Calibri" w:eastAsia="Calibri" w:hAnsi="Calibri" w:cs="Calibri"/>
          <w:color w:val="000000" w:themeColor="text1"/>
          <w:sz w:val="24"/>
          <w:szCs w:val="24"/>
        </w:rPr>
        <w:t>Créditos originários de participações governamentais devidas ao Estado do Rio de Janeiro (originárias da exploração de petróleo e gás natural), e aos Estados do Paraná e do Mato Grosso do Sul (decorrentes da exploração de recursos hídricos para fins de geração de energia elétrica).</w:t>
      </w:r>
    </w:p>
    <w:p w14:paraId="3FECC1DD" w14:textId="08A3ED5B" w:rsidR="0D6D20DC" w:rsidRDefault="3865AE85" w:rsidP="25917DB9">
      <w:pPr>
        <w:spacing w:after="120" w:line="240" w:lineRule="auto"/>
        <w:ind w:left="714" w:hanging="714"/>
        <w:jc w:val="both"/>
      </w:pP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VI.</w:t>
      </w:r>
      <w:r w:rsidRPr="71B7BA98">
        <w:rPr>
          <w:rFonts w:ascii="Times New Roman" w:eastAsia="Times New Roman" w:hAnsi="Times New Roman" w:cs="Times New Roman"/>
          <w:color w:val="000000" w:themeColor="text1"/>
          <w:sz w:val="14"/>
          <w:szCs w:val="14"/>
        </w:rPr>
        <w:t xml:space="preserve">         </w:t>
      </w:r>
      <w:r w:rsidRPr="71B7BA98">
        <w:rPr>
          <w:rFonts w:ascii="Calibri" w:eastAsia="Calibri" w:hAnsi="Calibri" w:cs="Calibri"/>
          <w:i/>
          <w:iCs/>
          <w:color w:val="000000" w:themeColor="text1"/>
          <w:sz w:val="24"/>
          <w:szCs w:val="24"/>
        </w:rPr>
        <w:t>Regime de Recuperação Fiscal (RRF)</w:t>
      </w:r>
    </w:p>
    <w:p w14:paraId="538479B0" w14:textId="08A3ED5B" w:rsidR="0D6D20DC" w:rsidRDefault="3865AE85" w:rsidP="0D6D20DC">
      <w:pPr>
        <w:spacing w:after="120" w:line="240" w:lineRule="auto"/>
        <w:ind w:firstLine="1418"/>
        <w:jc w:val="both"/>
      </w:pPr>
      <w:r w:rsidRPr="71B7BA98">
        <w:rPr>
          <w:rFonts w:ascii="Calibri" w:eastAsia="Calibri" w:hAnsi="Calibri" w:cs="Calibri"/>
          <w:color w:val="000000" w:themeColor="text1"/>
          <w:sz w:val="24"/>
          <w:szCs w:val="24"/>
        </w:rPr>
        <w:t xml:space="preserve">Valores a receber decorrentes das obrigações não pagas por Estados no âmbito do Regime de Recuperação Fiscal de que tratam as </w:t>
      </w:r>
      <w:proofErr w:type="spellStart"/>
      <w:r w:rsidRPr="71B7BA98">
        <w:rPr>
          <w:rFonts w:ascii="Calibri" w:eastAsia="Calibri" w:hAnsi="Calibri" w:cs="Calibri"/>
          <w:color w:val="000000" w:themeColor="text1"/>
          <w:sz w:val="24"/>
          <w:szCs w:val="24"/>
        </w:rPr>
        <w:t>LCs</w:t>
      </w:r>
      <w:proofErr w:type="spellEnd"/>
      <w:r w:rsidRPr="71B7BA98">
        <w:rPr>
          <w:rFonts w:ascii="Calibri" w:eastAsia="Calibri" w:hAnsi="Calibri" w:cs="Calibri"/>
          <w:color w:val="000000" w:themeColor="text1"/>
          <w:sz w:val="24"/>
          <w:szCs w:val="24"/>
        </w:rPr>
        <w:t xml:space="preserve"> </w:t>
      </w:r>
      <w:proofErr w:type="spellStart"/>
      <w:r w:rsidRPr="71B7BA98">
        <w:rPr>
          <w:rFonts w:ascii="Calibri" w:eastAsia="Calibri" w:hAnsi="Calibri" w:cs="Calibri"/>
          <w:color w:val="000000" w:themeColor="text1"/>
          <w:sz w:val="24"/>
          <w:szCs w:val="24"/>
        </w:rPr>
        <w:t>nº</w:t>
      </w:r>
      <w:r w:rsidRPr="71B7BA98">
        <w:rPr>
          <w:rFonts w:ascii="Calibri" w:eastAsia="Calibri" w:hAnsi="Calibri" w:cs="Calibri"/>
          <w:color w:val="000000" w:themeColor="text1"/>
          <w:sz w:val="24"/>
          <w:szCs w:val="24"/>
          <w:vertAlign w:val="superscript"/>
        </w:rPr>
        <w:t>s</w:t>
      </w:r>
      <w:proofErr w:type="spellEnd"/>
      <w:r w:rsidRPr="71B7BA98">
        <w:rPr>
          <w:rFonts w:ascii="Calibri" w:eastAsia="Calibri" w:hAnsi="Calibri" w:cs="Calibri"/>
          <w:color w:val="000000" w:themeColor="text1"/>
          <w:sz w:val="24"/>
          <w:szCs w:val="24"/>
        </w:rPr>
        <w:t xml:space="preserve"> 159/2017 e 178/2021, as chamadas “Contas Gráficas”.</w:t>
      </w:r>
    </w:p>
    <w:p w14:paraId="4637C262" w14:textId="08D872C1" w:rsidR="0D6D20DC" w:rsidRDefault="0D6D20DC" w:rsidP="00E355F7">
      <w:pPr>
        <w:spacing w:after="120" w:line="240" w:lineRule="auto"/>
        <w:jc w:val="both"/>
        <w:rPr>
          <w:rFonts w:cs="Times New Roman"/>
          <w:sz w:val="24"/>
          <w:szCs w:val="24"/>
          <w:lang w:eastAsia="pt-BR"/>
        </w:rPr>
      </w:pPr>
    </w:p>
    <w:p w14:paraId="410CF9E8" w14:textId="77777777" w:rsidR="003C71B5" w:rsidRPr="009B04B3" w:rsidRDefault="003C71B5" w:rsidP="004B6E26">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Evolução dos haveres e créditos</w:t>
      </w:r>
    </w:p>
    <w:p w14:paraId="29DC13CC" w14:textId="56F669CB" w:rsidR="003C71B5" w:rsidRPr="009B04B3" w:rsidRDefault="003C71B5" w:rsidP="003C71B5">
      <w:pPr>
        <w:spacing w:after="120" w:line="240" w:lineRule="auto"/>
        <w:ind w:firstLine="1418"/>
        <w:jc w:val="both"/>
        <w:rPr>
          <w:rFonts w:cs="Times New Roman"/>
          <w:sz w:val="24"/>
          <w:szCs w:val="24"/>
          <w:lang w:eastAsia="pt-BR"/>
        </w:rPr>
      </w:pPr>
      <w:r w:rsidRPr="009B04B3">
        <w:rPr>
          <w:rFonts w:cs="Times New Roman"/>
          <w:sz w:val="24"/>
          <w:szCs w:val="24"/>
          <w:lang w:eastAsia="pt-BR"/>
        </w:rPr>
        <w:t>No tocante à evolução dos haveres e créditos, a</w:t>
      </w:r>
      <w:r w:rsidR="009C57BC" w:rsidRPr="009B04B3">
        <w:rPr>
          <w:rFonts w:cs="Times New Roman"/>
          <w:sz w:val="24"/>
          <w:szCs w:val="24"/>
          <w:lang w:eastAsia="pt-BR"/>
        </w:rPr>
        <w:t xml:space="preserve"> </w:t>
      </w:r>
      <w:r w:rsidR="00B01F22" w:rsidRPr="00B01F22">
        <w:rPr>
          <w:rFonts w:cs="Times New Roman"/>
          <w:sz w:val="24"/>
          <w:szCs w:val="24"/>
          <w:lang w:eastAsia="pt-BR"/>
        </w:rPr>
        <w:fldChar w:fldCharType="begin"/>
      </w:r>
      <w:r w:rsidR="00B01F22" w:rsidRPr="00B01F22">
        <w:rPr>
          <w:rFonts w:cs="Times New Roman"/>
          <w:sz w:val="24"/>
          <w:szCs w:val="24"/>
          <w:lang w:eastAsia="pt-BR"/>
        </w:rPr>
        <w:instrText xml:space="preserve"> REF _Ref67429210 \h  \* MERGEFORMAT </w:instrText>
      </w:r>
      <w:r w:rsidR="00B01F22" w:rsidRPr="00B01F22">
        <w:rPr>
          <w:rFonts w:cs="Times New Roman"/>
          <w:sz w:val="24"/>
          <w:szCs w:val="24"/>
          <w:lang w:eastAsia="pt-BR"/>
        </w:rPr>
      </w:r>
      <w:r w:rsidR="00B01F22" w:rsidRPr="00B01F22">
        <w:rPr>
          <w:rFonts w:cs="Times New Roman"/>
          <w:sz w:val="24"/>
          <w:szCs w:val="24"/>
          <w:lang w:eastAsia="pt-BR"/>
        </w:rPr>
        <w:fldChar w:fldCharType="separate"/>
      </w:r>
      <w:r w:rsidR="00304F5F" w:rsidRPr="00304F5F">
        <w:rPr>
          <w:iCs/>
          <w:color w:val="000000" w:themeColor="text1"/>
          <w:sz w:val="24"/>
          <w:szCs w:val="24"/>
        </w:rPr>
        <w:t xml:space="preserve">Tabela </w:t>
      </w:r>
      <w:r w:rsidR="00304F5F" w:rsidRPr="00304F5F">
        <w:rPr>
          <w:iCs/>
          <w:noProof/>
          <w:color w:val="000000" w:themeColor="text1"/>
          <w:sz w:val="24"/>
          <w:szCs w:val="24"/>
        </w:rPr>
        <w:t>41</w:t>
      </w:r>
      <w:r w:rsidR="00B01F22" w:rsidRPr="00B01F22">
        <w:rPr>
          <w:rFonts w:cs="Times New Roman"/>
          <w:sz w:val="24"/>
          <w:szCs w:val="24"/>
          <w:lang w:eastAsia="pt-BR"/>
        </w:rPr>
        <w:fldChar w:fldCharType="end"/>
      </w:r>
      <w:r w:rsidR="00F83AB5" w:rsidRPr="003B4E5A">
        <w:rPr>
          <w:rFonts w:cs="Times New Roman"/>
          <w:sz w:val="24"/>
          <w:szCs w:val="24"/>
          <w:lang w:eastAsia="pt-BR"/>
        </w:rPr>
        <w:t xml:space="preserve"> </w:t>
      </w:r>
      <w:r w:rsidRPr="009B04B3">
        <w:rPr>
          <w:rFonts w:cs="Times New Roman"/>
          <w:sz w:val="24"/>
          <w:szCs w:val="24"/>
          <w:lang w:eastAsia="pt-BR"/>
        </w:rPr>
        <w:t xml:space="preserve">apresenta o histórico dos valores do estoque, por exercício, segundo </w:t>
      </w:r>
      <w:r w:rsidR="00477099" w:rsidRPr="009B04B3">
        <w:rPr>
          <w:rFonts w:cs="Times New Roman"/>
          <w:sz w:val="24"/>
          <w:szCs w:val="24"/>
          <w:lang w:eastAsia="pt-BR"/>
        </w:rPr>
        <w:t>ativo</w:t>
      </w:r>
      <w:r w:rsidR="00653173" w:rsidRPr="009B04B3">
        <w:rPr>
          <w:rFonts w:cs="Times New Roman"/>
          <w:sz w:val="24"/>
          <w:szCs w:val="24"/>
          <w:lang w:eastAsia="pt-BR"/>
        </w:rPr>
        <w:t>/programa</w:t>
      </w:r>
      <w:r w:rsidRPr="009B04B3">
        <w:rPr>
          <w:rFonts w:cs="Times New Roman"/>
          <w:sz w:val="24"/>
          <w:szCs w:val="24"/>
          <w:lang w:eastAsia="pt-BR"/>
        </w:rPr>
        <w:t xml:space="preserve"> </w:t>
      </w:r>
      <w:proofErr w:type="gramStart"/>
      <w:r w:rsidRPr="009B04B3">
        <w:rPr>
          <w:rFonts w:cs="Times New Roman"/>
          <w:sz w:val="24"/>
          <w:szCs w:val="24"/>
          <w:lang w:eastAsia="pt-BR"/>
        </w:rPr>
        <w:t>sob gestão</w:t>
      </w:r>
      <w:proofErr w:type="gramEnd"/>
      <w:r w:rsidRPr="009B04B3">
        <w:rPr>
          <w:rFonts w:cs="Times New Roman"/>
          <w:sz w:val="24"/>
          <w:szCs w:val="24"/>
          <w:lang w:eastAsia="pt-BR"/>
        </w:rPr>
        <w:t xml:space="preserve"> da STN.</w:t>
      </w:r>
    </w:p>
    <w:p w14:paraId="3F5B998F" w14:textId="63D0C9AB" w:rsidR="00E72A1B" w:rsidRPr="008F2486" w:rsidRDefault="006F4329" w:rsidP="00351524">
      <w:pPr>
        <w:spacing w:before="240" w:after="120" w:line="240" w:lineRule="auto"/>
        <w:jc w:val="center"/>
        <w:rPr>
          <w:color w:val="000000" w:themeColor="text1"/>
        </w:rPr>
      </w:pPr>
      <w:bookmarkStart w:id="343" w:name="_Ref67429210"/>
      <w:bookmarkStart w:id="344" w:name="_Toc69121387"/>
      <w:r w:rsidRPr="008F2486">
        <w:t xml:space="preserve">Tabela </w:t>
      </w:r>
      <w:r w:rsidRPr="008F2486">
        <w:fldChar w:fldCharType="begin"/>
      </w:r>
      <w:r w:rsidRPr="008F2486">
        <w:rPr>
          <w:color w:val="000000" w:themeColor="text1"/>
        </w:rPr>
        <w:instrText xml:space="preserve"> SEQ Tabela \* ARABIC </w:instrText>
      </w:r>
      <w:r w:rsidRPr="008F2486">
        <w:fldChar w:fldCharType="separate"/>
      </w:r>
      <w:r w:rsidR="00304F5F">
        <w:rPr>
          <w:noProof/>
          <w:color w:val="000000" w:themeColor="text1"/>
        </w:rPr>
        <w:t>41</w:t>
      </w:r>
      <w:r w:rsidRPr="008F2486">
        <w:fldChar w:fldCharType="end"/>
      </w:r>
      <w:bookmarkEnd w:id="343"/>
      <w:r w:rsidRPr="008F2486">
        <w:rPr>
          <w:color w:val="000000" w:themeColor="text1"/>
        </w:rPr>
        <w:t xml:space="preserve"> - Evolução do estoque, segundo ativo/programa </w:t>
      </w:r>
      <w:proofErr w:type="gramStart"/>
      <w:r w:rsidRPr="008F2486">
        <w:rPr>
          <w:color w:val="000000" w:themeColor="text1"/>
        </w:rPr>
        <w:t>sob gestão</w:t>
      </w:r>
      <w:proofErr w:type="gramEnd"/>
      <w:r w:rsidRPr="008F2486">
        <w:rPr>
          <w:color w:val="000000" w:themeColor="text1"/>
        </w:rPr>
        <w:t xml:space="preserve"> da STN, por </w:t>
      </w:r>
      <w:r w:rsidR="003C71B5" w:rsidRPr="008F2486">
        <w:rPr>
          <w:color w:val="000000" w:themeColor="text1"/>
        </w:rPr>
        <w:t>exercício</w:t>
      </w:r>
      <w:bookmarkEnd w:id="344"/>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4396"/>
        <w:gridCol w:w="950"/>
        <w:gridCol w:w="950"/>
        <w:gridCol w:w="950"/>
      </w:tblGrid>
      <w:tr w:rsidR="009B69E4" w:rsidRPr="008953C8" w14:paraId="6A8D3D1F" w14:textId="77777777" w:rsidTr="00771BEE">
        <w:trPr>
          <w:trHeight w:val="20"/>
          <w:tblHeader/>
          <w:jc w:val="center"/>
        </w:trPr>
        <w:tc>
          <w:tcPr>
            <w:tcW w:w="0" w:type="auto"/>
            <w:gridSpan w:val="4"/>
            <w:tcBorders>
              <w:top w:val="nil"/>
              <w:left w:val="nil"/>
              <w:right w:val="nil"/>
            </w:tcBorders>
            <w:shd w:val="clear" w:color="auto" w:fill="auto"/>
            <w:vAlign w:val="center"/>
          </w:tcPr>
          <w:p w14:paraId="25C3FB52" w14:textId="7723122C" w:rsidR="009B69E4" w:rsidRPr="008953C8" w:rsidRDefault="009B69E4" w:rsidP="008953C8">
            <w:pPr>
              <w:spacing w:after="0" w:line="240" w:lineRule="auto"/>
              <w:jc w:val="right"/>
              <w:rPr>
                <w:rFonts w:eastAsia="Calibri" w:cstheme="minorHAnsi"/>
                <w:b/>
                <w:bCs/>
                <w:color w:val="FFFFFF" w:themeColor="background1"/>
                <w:sz w:val="16"/>
                <w:szCs w:val="16"/>
              </w:rPr>
            </w:pPr>
            <w:r w:rsidRPr="008953C8">
              <w:rPr>
                <w:rFonts w:eastAsia="Times New Roman" w:cstheme="minorHAnsi"/>
                <w:i/>
                <w:iCs/>
                <w:color w:val="000000"/>
                <w:sz w:val="16"/>
                <w:szCs w:val="16"/>
                <w:lang w:eastAsia="pt-BR"/>
              </w:rPr>
              <w:t>Em</w:t>
            </w:r>
            <w:r w:rsidR="008953C8">
              <w:rPr>
                <w:rFonts w:eastAsia="Times New Roman" w:cstheme="minorHAnsi"/>
                <w:i/>
                <w:iCs/>
                <w:color w:val="000000"/>
                <w:sz w:val="16"/>
                <w:szCs w:val="16"/>
                <w:lang w:eastAsia="pt-BR"/>
              </w:rPr>
              <w:t xml:space="preserve"> R$</w:t>
            </w:r>
            <w:r w:rsidRPr="008953C8">
              <w:rPr>
                <w:rFonts w:eastAsia="Times New Roman" w:cstheme="minorHAnsi"/>
                <w:i/>
                <w:iCs/>
                <w:color w:val="000000"/>
                <w:sz w:val="16"/>
                <w:szCs w:val="16"/>
                <w:lang w:eastAsia="pt-BR"/>
              </w:rPr>
              <w:t xml:space="preserve"> milhões</w:t>
            </w:r>
          </w:p>
        </w:tc>
      </w:tr>
      <w:tr w:rsidR="25917DB9" w:rsidRPr="0021468A" w14:paraId="53A65D6D" w14:textId="77777777" w:rsidTr="00771BEE">
        <w:trPr>
          <w:trHeight w:val="244"/>
          <w:tblHeader/>
          <w:jc w:val="center"/>
        </w:trPr>
        <w:tc>
          <w:tcPr>
            <w:tcW w:w="0" w:type="auto"/>
            <w:vMerge w:val="restart"/>
            <w:shd w:val="clear" w:color="auto" w:fill="404040" w:themeFill="text1" w:themeFillTint="BF"/>
            <w:vAlign w:val="center"/>
          </w:tcPr>
          <w:p w14:paraId="7D66617B" w14:textId="10FBF55C" w:rsidR="25917DB9" w:rsidRPr="008953C8" w:rsidRDefault="25917DB9" w:rsidP="0021468A">
            <w:pPr>
              <w:spacing w:after="0" w:line="240" w:lineRule="auto"/>
              <w:jc w:val="center"/>
              <w:rPr>
                <w:rFonts w:cstheme="minorHAnsi"/>
                <w:color w:val="FFFFFF" w:themeColor="background1"/>
                <w:sz w:val="20"/>
                <w:szCs w:val="20"/>
              </w:rPr>
            </w:pPr>
            <w:r w:rsidRPr="008953C8">
              <w:rPr>
                <w:rFonts w:eastAsia="Calibri" w:cstheme="minorHAnsi"/>
                <w:b/>
                <w:bCs/>
                <w:color w:val="FFFFFF" w:themeColor="background1"/>
                <w:sz w:val="20"/>
                <w:szCs w:val="20"/>
              </w:rPr>
              <w:t>Ativo</w:t>
            </w:r>
            <w:r w:rsidR="0021468A" w:rsidRPr="008953C8">
              <w:rPr>
                <w:rFonts w:eastAsia="Calibri" w:cstheme="minorHAnsi"/>
                <w:b/>
                <w:bCs/>
                <w:color w:val="FFFFFF" w:themeColor="background1"/>
                <w:sz w:val="20"/>
                <w:szCs w:val="20"/>
              </w:rPr>
              <w:t xml:space="preserve"> </w:t>
            </w:r>
            <w:r w:rsidRPr="008953C8">
              <w:rPr>
                <w:rFonts w:eastAsia="Calibri" w:cstheme="minorHAnsi"/>
                <w:b/>
                <w:bCs/>
                <w:color w:val="FFFFFF" w:themeColor="background1"/>
                <w:sz w:val="20"/>
                <w:szCs w:val="20"/>
              </w:rPr>
              <w:t>/ Programa</w:t>
            </w:r>
          </w:p>
        </w:tc>
        <w:tc>
          <w:tcPr>
            <w:tcW w:w="0" w:type="auto"/>
            <w:gridSpan w:val="3"/>
            <w:vMerge w:val="restart"/>
            <w:shd w:val="clear" w:color="auto" w:fill="404040" w:themeFill="text1" w:themeFillTint="BF"/>
            <w:vAlign w:val="center"/>
          </w:tcPr>
          <w:p w14:paraId="20E1E332" w14:textId="77777777" w:rsidR="0021468A" w:rsidRPr="008953C8" w:rsidRDefault="0065503E" w:rsidP="0021468A">
            <w:pPr>
              <w:spacing w:after="0" w:line="240" w:lineRule="auto"/>
              <w:jc w:val="center"/>
              <w:rPr>
                <w:rFonts w:eastAsia="Calibri" w:cstheme="minorHAnsi"/>
                <w:b/>
                <w:bCs/>
                <w:color w:val="FFFFFF" w:themeColor="background1"/>
                <w:sz w:val="20"/>
                <w:szCs w:val="20"/>
              </w:rPr>
            </w:pPr>
            <w:r w:rsidRPr="008953C8">
              <w:rPr>
                <w:rFonts w:eastAsia="Calibri" w:cstheme="minorHAnsi"/>
                <w:b/>
                <w:bCs/>
                <w:color w:val="FFFFFF" w:themeColor="background1"/>
                <w:sz w:val="20"/>
                <w:szCs w:val="20"/>
              </w:rPr>
              <w:t>Estoque</w:t>
            </w:r>
          </w:p>
          <w:p w14:paraId="0E89F5CB" w14:textId="77777777" w:rsidR="0021468A" w:rsidRPr="008953C8" w:rsidRDefault="25917DB9" w:rsidP="0021468A">
            <w:pPr>
              <w:spacing w:after="0" w:line="240" w:lineRule="auto"/>
              <w:jc w:val="center"/>
              <w:rPr>
                <w:rFonts w:eastAsia="Calibri" w:cstheme="minorHAnsi"/>
                <w:color w:val="FFFFFF" w:themeColor="background1"/>
                <w:sz w:val="20"/>
                <w:szCs w:val="20"/>
              </w:rPr>
            </w:pPr>
            <w:r w:rsidRPr="008953C8">
              <w:rPr>
                <w:rFonts w:eastAsia="Calibri" w:cstheme="minorHAnsi"/>
                <w:color w:val="FFFFFF" w:themeColor="background1"/>
                <w:sz w:val="20"/>
                <w:szCs w:val="20"/>
              </w:rPr>
              <w:t>Valor ($)</w:t>
            </w:r>
          </w:p>
          <w:p w14:paraId="1BF97611" w14:textId="6AD53916" w:rsidR="25917DB9" w:rsidRPr="008953C8" w:rsidRDefault="25917DB9" w:rsidP="0021468A">
            <w:pPr>
              <w:spacing w:after="0" w:line="240" w:lineRule="auto"/>
              <w:jc w:val="center"/>
              <w:rPr>
                <w:rFonts w:cstheme="minorHAnsi"/>
                <w:color w:val="FFFFFF" w:themeColor="background1"/>
                <w:sz w:val="20"/>
                <w:szCs w:val="20"/>
              </w:rPr>
            </w:pPr>
            <w:r w:rsidRPr="008953C8">
              <w:rPr>
                <w:rFonts w:eastAsia="Calibri" w:cstheme="minorHAnsi"/>
                <w:color w:val="FFFFFF" w:themeColor="background1"/>
                <w:sz w:val="20"/>
                <w:szCs w:val="20"/>
              </w:rPr>
              <w:t xml:space="preserve">Variação </w:t>
            </w:r>
            <w:r w:rsidR="0021468A" w:rsidRPr="008953C8">
              <w:rPr>
                <w:rFonts w:eastAsia="Calibri" w:cstheme="minorHAnsi"/>
                <w:color w:val="FFFFFF" w:themeColor="background1"/>
                <w:sz w:val="20"/>
                <w:szCs w:val="20"/>
                <w:vertAlign w:val="superscript"/>
              </w:rPr>
              <w:t>(1)</w:t>
            </w:r>
            <w:r w:rsidRPr="008953C8">
              <w:rPr>
                <w:rFonts w:eastAsia="Calibri" w:cstheme="minorHAnsi"/>
                <w:color w:val="FFFFFF" w:themeColor="background1"/>
                <w:sz w:val="20"/>
                <w:szCs w:val="20"/>
              </w:rPr>
              <w:t xml:space="preserve"> (%)</w:t>
            </w:r>
          </w:p>
        </w:tc>
      </w:tr>
      <w:tr w:rsidR="25917DB9" w:rsidRPr="0021468A" w14:paraId="116AB9D6" w14:textId="77777777" w:rsidTr="00771BEE">
        <w:trPr>
          <w:trHeight w:val="220"/>
          <w:tblHeader/>
          <w:jc w:val="center"/>
        </w:trPr>
        <w:tc>
          <w:tcPr>
            <w:tcW w:w="0" w:type="auto"/>
            <w:vMerge/>
            <w:vAlign w:val="center"/>
          </w:tcPr>
          <w:p w14:paraId="0C0E51D5" w14:textId="77777777" w:rsidR="008B02C4" w:rsidRPr="0021468A" w:rsidRDefault="008B02C4" w:rsidP="0021468A">
            <w:pPr>
              <w:spacing w:after="0" w:line="240" w:lineRule="auto"/>
              <w:rPr>
                <w:rFonts w:cstheme="minorHAnsi"/>
                <w:sz w:val="18"/>
                <w:szCs w:val="18"/>
              </w:rPr>
            </w:pPr>
          </w:p>
        </w:tc>
        <w:tc>
          <w:tcPr>
            <w:tcW w:w="0" w:type="auto"/>
            <w:gridSpan w:val="3"/>
            <w:vMerge/>
            <w:vAlign w:val="center"/>
          </w:tcPr>
          <w:p w14:paraId="28041C2A" w14:textId="77777777" w:rsidR="008B02C4" w:rsidRPr="008953C8" w:rsidRDefault="008B02C4" w:rsidP="0021468A">
            <w:pPr>
              <w:spacing w:after="0" w:line="240" w:lineRule="auto"/>
              <w:rPr>
                <w:rFonts w:cstheme="minorHAnsi"/>
                <w:color w:val="FFFFFF" w:themeColor="background1"/>
                <w:sz w:val="20"/>
                <w:szCs w:val="20"/>
              </w:rPr>
            </w:pPr>
          </w:p>
        </w:tc>
      </w:tr>
      <w:tr w:rsidR="25917DB9" w:rsidRPr="0021468A" w14:paraId="2043CFC5" w14:textId="77777777" w:rsidTr="00771BEE">
        <w:trPr>
          <w:trHeight w:val="220"/>
          <w:tblHeader/>
          <w:jc w:val="center"/>
        </w:trPr>
        <w:tc>
          <w:tcPr>
            <w:tcW w:w="0" w:type="auto"/>
            <w:vMerge/>
            <w:vAlign w:val="center"/>
          </w:tcPr>
          <w:p w14:paraId="5DCB947D" w14:textId="77777777" w:rsidR="008B02C4" w:rsidRPr="0021468A" w:rsidRDefault="008B02C4" w:rsidP="0021468A">
            <w:pPr>
              <w:spacing w:after="0" w:line="240" w:lineRule="auto"/>
              <w:rPr>
                <w:rFonts w:cstheme="minorHAnsi"/>
                <w:sz w:val="18"/>
                <w:szCs w:val="18"/>
              </w:rPr>
            </w:pPr>
          </w:p>
        </w:tc>
        <w:tc>
          <w:tcPr>
            <w:tcW w:w="0" w:type="auto"/>
            <w:gridSpan w:val="3"/>
            <w:vMerge/>
            <w:vAlign w:val="center"/>
          </w:tcPr>
          <w:p w14:paraId="40927F2F" w14:textId="77777777" w:rsidR="008B02C4" w:rsidRPr="008953C8" w:rsidRDefault="008B02C4" w:rsidP="0021468A">
            <w:pPr>
              <w:spacing w:after="0" w:line="240" w:lineRule="auto"/>
              <w:rPr>
                <w:rFonts w:cstheme="minorHAnsi"/>
                <w:color w:val="FFFFFF" w:themeColor="background1"/>
                <w:sz w:val="20"/>
                <w:szCs w:val="20"/>
              </w:rPr>
            </w:pPr>
          </w:p>
        </w:tc>
      </w:tr>
      <w:tr w:rsidR="25917DB9" w:rsidRPr="0021468A" w14:paraId="50EBC5C3" w14:textId="77777777" w:rsidTr="00771BEE">
        <w:trPr>
          <w:trHeight w:val="20"/>
          <w:tblHeader/>
          <w:jc w:val="center"/>
        </w:trPr>
        <w:tc>
          <w:tcPr>
            <w:tcW w:w="0" w:type="auto"/>
            <w:vMerge/>
            <w:vAlign w:val="center"/>
          </w:tcPr>
          <w:p w14:paraId="620E8AA9" w14:textId="77777777" w:rsidR="008B02C4" w:rsidRPr="0021468A" w:rsidRDefault="008B02C4" w:rsidP="0021468A">
            <w:pPr>
              <w:spacing w:after="0" w:line="240" w:lineRule="auto"/>
              <w:rPr>
                <w:rFonts w:cstheme="minorHAnsi"/>
                <w:sz w:val="18"/>
                <w:szCs w:val="18"/>
              </w:rPr>
            </w:pPr>
          </w:p>
        </w:tc>
        <w:tc>
          <w:tcPr>
            <w:tcW w:w="0" w:type="auto"/>
            <w:tcBorders>
              <w:bottom w:val="single" w:sz="4" w:space="0" w:color="BFBFBF" w:themeColor="background1" w:themeShade="BF"/>
            </w:tcBorders>
            <w:shd w:val="clear" w:color="auto" w:fill="404040" w:themeFill="text1" w:themeFillTint="BF"/>
            <w:vAlign w:val="center"/>
          </w:tcPr>
          <w:p w14:paraId="14A2AD68" w14:textId="5E040FD5" w:rsidR="25917DB9" w:rsidRPr="008953C8" w:rsidRDefault="25917DB9" w:rsidP="0021468A">
            <w:pPr>
              <w:spacing w:after="0" w:line="240" w:lineRule="auto"/>
              <w:jc w:val="center"/>
              <w:rPr>
                <w:rFonts w:cstheme="minorHAnsi"/>
                <w:color w:val="FFFFFF" w:themeColor="background1"/>
                <w:sz w:val="20"/>
                <w:szCs w:val="20"/>
              </w:rPr>
            </w:pPr>
            <w:r w:rsidRPr="008953C8">
              <w:rPr>
                <w:rFonts w:eastAsia="Calibri" w:cstheme="minorHAnsi"/>
                <w:b/>
                <w:bCs/>
                <w:color w:val="FFFFFF" w:themeColor="background1"/>
                <w:sz w:val="20"/>
                <w:szCs w:val="20"/>
              </w:rPr>
              <w:t>2018</w:t>
            </w:r>
          </w:p>
        </w:tc>
        <w:tc>
          <w:tcPr>
            <w:tcW w:w="0" w:type="auto"/>
            <w:tcBorders>
              <w:bottom w:val="single" w:sz="4" w:space="0" w:color="BFBFBF" w:themeColor="background1" w:themeShade="BF"/>
            </w:tcBorders>
            <w:shd w:val="clear" w:color="auto" w:fill="404040" w:themeFill="text1" w:themeFillTint="BF"/>
            <w:vAlign w:val="center"/>
          </w:tcPr>
          <w:p w14:paraId="2D55BF95" w14:textId="6816B501" w:rsidR="25917DB9" w:rsidRPr="008953C8" w:rsidRDefault="25917DB9" w:rsidP="0021468A">
            <w:pPr>
              <w:spacing w:after="0" w:line="240" w:lineRule="auto"/>
              <w:jc w:val="center"/>
              <w:rPr>
                <w:rFonts w:eastAsia="Calibri" w:cstheme="minorHAnsi"/>
                <w:b/>
                <w:color w:val="FFFFFF" w:themeColor="background1"/>
                <w:sz w:val="20"/>
                <w:szCs w:val="20"/>
              </w:rPr>
            </w:pPr>
            <w:r w:rsidRPr="008953C8">
              <w:rPr>
                <w:rFonts w:eastAsia="Calibri" w:cstheme="minorHAnsi"/>
                <w:b/>
                <w:bCs/>
                <w:color w:val="FFFFFF" w:themeColor="background1"/>
                <w:sz w:val="20"/>
                <w:szCs w:val="20"/>
              </w:rPr>
              <w:t>2019</w:t>
            </w:r>
          </w:p>
        </w:tc>
        <w:tc>
          <w:tcPr>
            <w:tcW w:w="0" w:type="auto"/>
            <w:tcBorders>
              <w:bottom w:val="single" w:sz="4" w:space="0" w:color="BFBFBF" w:themeColor="background1" w:themeShade="BF"/>
            </w:tcBorders>
            <w:shd w:val="clear" w:color="auto" w:fill="404040" w:themeFill="text1" w:themeFillTint="BF"/>
            <w:vAlign w:val="center"/>
          </w:tcPr>
          <w:p w14:paraId="3E728AAE" w14:textId="41E39C0A" w:rsidR="25917DB9" w:rsidRPr="008953C8" w:rsidRDefault="25917DB9" w:rsidP="0021468A">
            <w:pPr>
              <w:spacing w:after="0" w:line="240" w:lineRule="auto"/>
              <w:jc w:val="center"/>
              <w:rPr>
                <w:rFonts w:eastAsia="Calibri" w:cstheme="minorHAnsi"/>
                <w:b/>
                <w:color w:val="FFFFFF" w:themeColor="background1"/>
                <w:sz w:val="20"/>
                <w:szCs w:val="20"/>
              </w:rPr>
            </w:pPr>
            <w:r w:rsidRPr="008953C8">
              <w:rPr>
                <w:rFonts w:eastAsia="Calibri" w:cstheme="minorHAnsi"/>
                <w:b/>
                <w:bCs/>
                <w:color w:val="FFFFFF" w:themeColor="background1"/>
                <w:sz w:val="20"/>
                <w:szCs w:val="20"/>
              </w:rPr>
              <w:t>2020</w:t>
            </w:r>
          </w:p>
        </w:tc>
      </w:tr>
      <w:tr w:rsidR="25917DB9" w:rsidRPr="0021468A" w14:paraId="70D29A01" w14:textId="77777777" w:rsidTr="00771BEE">
        <w:trPr>
          <w:trHeight w:val="20"/>
          <w:jc w:val="center"/>
        </w:trPr>
        <w:tc>
          <w:tcPr>
            <w:tcW w:w="0" w:type="auto"/>
            <w:vMerge w:val="restart"/>
            <w:shd w:val="clear" w:color="auto" w:fill="F2F2F2" w:themeFill="background1" w:themeFillShade="F2"/>
            <w:vAlign w:val="center"/>
          </w:tcPr>
          <w:p w14:paraId="388B98C6" w14:textId="17EB2EA7"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Ac. Brasil-França</w:t>
            </w:r>
          </w:p>
        </w:tc>
        <w:tc>
          <w:tcPr>
            <w:tcW w:w="0" w:type="auto"/>
            <w:tcBorders>
              <w:bottom w:val="nil"/>
            </w:tcBorders>
            <w:shd w:val="clear" w:color="auto" w:fill="F2F2F2" w:themeFill="background1" w:themeFillShade="F2"/>
          </w:tcPr>
          <w:p w14:paraId="75CFCA28" w14:textId="62160AF2"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9,6</w:t>
            </w:r>
          </w:p>
        </w:tc>
        <w:tc>
          <w:tcPr>
            <w:tcW w:w="0" w:type="auto"/>
            <w:tcBorders>
              <w:bottom w:val="nil"/>
            </w:tcBorders>
            <w:shd w:val="clear" w:color="auto" w:fill="F2F2F2" w:themeFill="background1" w:themeFillShade="F2"/>
          </w:tcPr>
          <w:p w14:paraId="22E090D9" w14:textId="02AEDE54"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5,3</w:t>
            </w:r>
          </w:p>
        </w:tc>
        <w:tc>
          <w:tcPr>
            <w:tcW w:w="0" w:type="auto"/>
            <w:tcBorders>
              <w:bottom w:val="nil"/>
            </w:tcBorders>
            <w:shd w:val="clear" w:color="auto" w:fill="F2F2F2" w:themeFill="background1" w:themeFillShade="F2"/>
          </w:tcPr>
          <w:p w14:paraId="4DDED5DB" w14:textId="0993EC06"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1,1</w:t>
            </w:r>
          </w:p>
        </w:tc>
      </w:tr>
      <w:tr w:rsidR="25917DB9" w:rsidRPr="0021468A" w14:paraId="19048F73" w14:textId="77777777" w:rsidTr="00771BEE">
        <w:trPr>
          <w:trHeight w:val="20"/>
          <w:jc w:val="center"/>
        </w:trPr>
        <w:tc>
          <w:tcPr>
            <w:tcW w:w="0" w:type="auto"/>
            <w:vMerge/>
            <w:vAlign w:val="center"/>
          </w:tcPr>
          <w:p w14:paraId="400C4832"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shd w:val="clear" w:color="auto" w:fill="F2F2F2" w:themeFill="background1" w:themeFillShade="F2"/>
          </w:tcPr>
          <w:p w14:paraId="756C0186" w14:textId="244CF723"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23,2</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28EE1DE0" w14:textId="388CE89C"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44,8</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42B13544" w14:textId="5AF58E1C"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78,4</w:t>
            </w:r>
            <w:r w:rsidR="00B436AC">
              <w:rPr>
                <w:rFonts w:eastAsia="Calibri" w:cstheme="minorHAnsi"/>
                <w:color w:val="000000" w:themeColor="text1"/>
                <w:sz w:val="18"/>
                <w:szCs w:val="18"/>
              </w:rPr>
              <w:t>%</w:t>
            </w:r>
          </w:p>
        </w:tc>
      </w:tr>
      <w:tr w:rsidR="25917DB9" w:rsidRPr="0021468A" w14:paraId="51133F71" w14:textId="77777777" w:rsidTr="00771BEE">
        <w:trPr>
          <w:trHeight w:val="20"/>
          <w:jc w:val="center"/>
        </w:trPr>
        <w:tc>
          <w:tcPr>
            <w:tcW w:w="0" w:type="auto"/>
            <w:vMerge w:val="restart"/>
            <w:vAlign w:val="center"/>
          </w:tcPr>
          <w:p w14:paraId="5E41DAE0" w14:textId="41ADDEB0"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Carteira de Saneamento</w:t>
            </w:r>
          </w:p>
        </w:tc>
        <w:tc>
          <w:tcPr>
            <w:tcW w:w="0" w:type="auto"/>
            <w:tcBorders>
              <w:bottom w:val="nil"/>
            </w:tcBorders>
          </w:tcPr>
          <w:p w14:paraId="0C973A8B" w14:textId="17C607B8"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433,3</w:t>
            </w:r>
          </w:p>
        </w:tc>
        <w:tc>
          <w:tcPr>
            <w:tcW w:w="0" w:type="auto"/>
            <w:tcBorders>
              <w:bottom w:val="nil"/>
            </w:tcBorders>
          </w:tcPr>
          <w:p w14:paraId="6B5BF526" w14:textId="2322D152"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387,5</w:t>
            </w:r>
          </w:p>
        </w:tc>
        <w:tc>
          <w:tcPr>
            <w:tcW w:w="0" w:type="auto"/>
            <w:tcBorders>
              <w:bottom w:val="nil"/>
            </w:tcBorders>
          </w:tcPr>
          <w:p w14:paraId="5C939805" w14:textId="09C50877"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346,1</w:t>
            </w:r>
          </w:p>
        </w:tc>
      </w:tr>
      <w:tr w:rsidR="25917DB9" w:rsidRPr="0021468A" w14:paraId="1139CAB3" w14:textId="77777777" w:rsidTr="00771BEE">
        <w:trPr>
          <w:trHeight w:val="20"/>
          <w:jc w:val="center"/>
        </w:trPr>
        <w:tc>
          <w:tcPr>
            <w:tcW w:w="0" w:type="auto"/>
            <w:vMerge/>
            <w:vAlign w:val="center"/>
          </w:tcPr>
          <w:p w14:paraId="6E2512B8"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tcPr>
          <w:p w14:paraId="60805BDF" w14:textId="203B8CA9"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20,9</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6D1909AD" w14:textId="55B49A0C"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10,6</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62ABF2B6" w14:textId="2147BCB0"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10,7</w:t>
            </w:r>
            <w:r w:rsidR="00B436AC">
              <w:rPr>
                <w:rFonts w:eastAsia="Calibri" w:cstheme="minorHAnsi"/>
                <w:color w:val="000000" w:themeColor="text1"/>
                <w:sz w:val="18"/>
                <w:szCs w:val="18"/>
              </w:rPr>
              <w:t>%</w:t>
            </w:r>
          </w:p>
        </w:tc>
      </w:tr>
      <w:tr w:rsidR="25917DB9" w:rsidRPr="0021468A" w14:paraId="7C0E1878" w14:textId="77777777" w:rsidTr="00771BEE">
        <w:trPr>
          <w:trHeight w:val="20"/>
          <w:jc w:val="center"/>
        </w:trPr>
        <w:tc>
          <w:tcPr>
            <w:tcW w:w="0" w:type="auto"/>
            <w:vMerge w:val="restart"/>
            <w:shd w:val="clear" w:color="auto" w:fill="F2F2F2" w:themeFill="background1" w:themeFillShade="F2"/>
            <w:vAlign w:val="center"/>
          </w:tcPr>
          <w:p w14:paraId="1EAA28E0" w14:textId="05220EF9"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DMLP</w:t>
            </w:r>
          </w:p>
        </w:tc>
        <w:tc>
          <w:tcPr>
            <w:tcW w:w="0" w:type="auto"/>
            <w:tcBorders>
              <w:bottom w:val="nil"/>
            </w:tcBorders>
            <w:shd w:val="clear" w:color="auto" w:fill="F2F2F2" w:themeFill="background1" w:themeFillShade="F2"/>
          </w:tcPr>
          <w:p w14:paraId="1E8E66BD" w14:textId="0E0BF5EC"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5.866,3</w:t>
            </w:r>
          </w:p>
        </w:tc>
        <w:tc>
          <w:tcPr>
            <w:tcW w:w="0" w:type="auto"/>
            <w:tcBorders>
              <w:bottom w:val="nil"/>
            </w:tcBorders>
            <w:shd w:val="clear" w:color="auto" w:fill="F2F2F2" w:themeFill="background1" w:themeFillShade="F2"/>
          </w:tcPr>
          <w:p w14:paraId="6764358E" w14:textId="7BE61940"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6.090,2</w:t>
            </w:r>
          </w:p>
        </w:tc>
        <w:tc>
          <w:tcPr>
            <w:tcW w:w="0" w:type="auto"/>
            <w:tcBorders>
              <w:bottom w:val="nil"/>
            </w:tcBorders>
            <w:shd w:val="clear" w:color="auto" w:fill="F2F2F2" w:themeFill="background1" w:themeFillShade="F2"/>
          </w:tcPr>
          <w:p w14:paraId="66429680" w14:textId="4563A722"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5.142,6</w:t>
            </w:r>
          </w:p>
        </w:tc>
      </w:tr>
      <w:tr w:rsidR="25917DB9" w:rsidRPr="0021468A" w14:paraId="131DE7FD" w14:textId="77777777" w:rsidTr="00771BEE">
        <w:trPr>
          <w:trHeight w:val="20"/>
          <w:jc w:val="center"/>
        </w:trPr>
        <w:tc>
          <w:tcPr>
            <w:tcW w:w="0" w:type="auto"/>
            <w:vMerge/>
            <w:vAlign w:val="center"/>
          </w:tcPr>
          <w:p w14:paraId="2E919ECC"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shd w:val="clear" w:color="auto" w:fill="F2F2F2" w:themeFill="background1" w:themeFillShade="F2"/>
          </w:tcPr>
          <w:p w14:paraId="6B36FDB5" w14:textId="1B0F98FF"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14,9</w:t>
            </w:r>
          </w:p>
        </w:tc>
        <w:tc>
          <w:tcPr>
            <w:tcW w:w="0" w:type="auto"/>
            <w:tcBorders>
              <w:top w:val="nil"/>
              <w:bottom w:val="single" w:sz="4" w:space="0" w:color="BFBFBF" w:themeColor="background1" w:themeShade="BF"/>
            </w:tcBorders>
            <w:shd w:val="clear" w:color="auto" w:fill="F2F2F2" w:themeFill="background1" w:themeFillShade="F2"/>
          </w:tcPr>
          <w:p w14:paraId="330A66DD" w14:textId="406D39B7"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3,8</w:t>
            </w:r>
          </w:p>
        </w:tc>
        <w:tc>
          <w:tcPr>
            <w:tcW w:w="0" w:type="auto"/>
            <w:tcBorders>
              <w:top w:val="nil"/>
              <w:bottom w:val="single" w:sz="4" w:space="0" w:color="BFBFBF" w:themeColor="background1" w:themeShade="BF"/>
            </w:tcBorders>
            <w:shd w:val="clear" w:color="auto" w:fill="F2F2F2" w:themeFill="background1" w:themeFillShade="F2"/>
          </w:tcPr>
          <w:p w14:paraId="2F2195AB" w14:textId="205BF5E3"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15,6</w:t>
            </w:r>
            <w:r w:rsidR="00B436AC">
              <w:rPr>
                <w:rFonts w:eastAsia="Calibri" w:cstheme="minorHAnsi"/>
                <w:color w:val="000000" w:themeColor="text1"/>
                <w:sz w:val="18"/>
                <w:szCs w:val="18"/>
              </w:rPr>
              <w:t>%</w:t>
            </w:r>
          </w:p>
        </w:tc>
      </w:tr>
      <w:tr w:rsidR="25917DB9" w:rsidRPr="0021468A" w14:paraId="3F9058A1" w14:textId="77777777" w:rsidTr="00771BEE">
        <w:trPr>
          <w:trHeight w:val="20"/>
          <w:jc w:val="center"/>
        </w:trPr>
        <w:tc>
          <w:tcPr>
            <w:tcW w:w="0" w:type="auto"/>
            <w:vMerge w:val="restart"/>
            <w:vAlign w:val="center"/>
          </w:tcPr>
          <w:p w14:paraId="279EEC48" w14:textId="53DD7F83"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Contratos de Cessão –</w:t>
            </w:r>
            <w:r w:rsidRPr="0021468A">
              <w:rPr>
                <w:rFonts w:eastAsia="Calibri" w:cstheme="minorHAnsi"/>
                <w:i/>
                <w:color w:val="000000" w:themeColor="text1"/>
                <w:sz w:val="18"/>
                <w:szCs w:val="18"/>
              </w:rPr>
              <w:t xml:space="preserve"> Royalties</w:t>
            </w:r>
          </w:p>
        </w:tc>
        <w:tc>
          <w:tcPr>
            <w:tcW w:w="0" w:type="auto"/>
            <w:tcBorders>
              <w:bottom w:val="nil"/>
            </w:tcBorders>
          </w:tcPr>
          <w:p w14:paraId="70FEC07C" w14:textId="32FB0A34"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1.212,5</w:t>
            </w:r>
          </w:p>
        </w:tc>
        <w:tc>
          <w:tcPr>
            <w:tcW w:w="0" w:type="auto"/>
            <w:tcBorders>
              <w:bottom w:val="nil"/>
            </w:tcBorders>
          </w:tcPr>
          <w:p w14:paraId="37893FE8" w14:textId="63C33E09"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352,8</w:t>
            </w:r>
          </w:p>
        </w:tc>
        <w:tc>
          <w:tcPr>
            <w:tcW w:w="0" w:type="auto"/>
            <w:tcBorders>
              <w:bottom w:val="nil"/>
            </w:tcBorders>
          </w:tcPr>
          <w:p w14:paraId="2D7BC187" w14:textId="542FD49B"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10,2</w:t>
            </w:r>
          </w:p>
        </w:tc>
      </w:tr>
      <w:tr w:rsidR="25917DB9" w:rsidRPr="0021468A" w14:paraId="2D9FF402" w14:textId="77777777" w:rsidTr="00771BEE">
        <w:trPr>
          <w:trHeight w:val="20"/>
          <w:jc w:val="center"/>
        </w:trPr>
        <w:tc>
          <w:tcPr>
            <w:tcW w:w="0" w:type="auto"/>
            <w:vMerge/>
            <w:vAlign w:val="center"/>
          </w:tcPr>
          <w:p w14:paraId="661EA11B"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tcPr>
          <w:p w14:paraId="47AFAC05" w14:textId="06A90AB4"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45,5</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5D38B5FC" w14:textId="5796D632"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70,9</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47060DC3" w14:textId="4225038D"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97,1</w:t>
            </w:r>
            <w:r w:rsidR="00B436AC">
              <w:rPr>
                <w:rFonts w:eastAsia="Calibri" w:cstheme="minorHAnsi"/>
                <w:color w:val="000000" w:themeColor="text1"/>
                <w:sz w:val="18"/>
                <w:szCs w:val="18"/>
              </w:rPr>
              <w:t>%</w:t>
            </w:r>
          </w:p>
        </w:tc>
      </w:tr>
      <w:tr w:rsidR="25917DB9" w:rsidRPr="0021468A" w14:paraId="280FFD74" w14:textId="77777777" w:rsidTr="00771BEE">
        <w:trPr>
          <w:trHeight w:val="20"/>
          <w:jc w:val="center"/>
        </w:trPr>
        <w:tc>
          <w:tcPr>
            <w:tcW w:w="0" w:type="auto"/>
            <w:vMerge w:val="restart"/>
            <w:shd w:val="clear" w:color="auto" w:fill="F2F2F2" w:themeFill="background1" w:themeFillShade="F2"/>
            <w:vAlign w:val="center"/>
          </w:tcPr>
          <w:p w14:paraId="769D8123" w14:textId="25CB5FAE"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Lei nº 8.727/1993 - Receitas da União</w:t>
            </w:r>
          </w:p>
        </w:tc>
        <w:tc>
          <w:tcPr>
            <w:tcW w:w="0" w:type="auto"/>
            <w:tcBorders>
              <w:bottom w:val="nil"/>
            </w:tcBorders>
            <w:shd w:val="clear" w:color="auto" w:fill="F2F2F2" w:themeFill="background1" w:themeFillShade="F2"/>
          </w:tcPr>
          <w:p w14:paraId="5B26440B" w14:textId="60D972FA"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5.207,6</w:t>
            </w:r>
          </w:p>
        </w:tc>
        <w:tc>
          <w:tcPr>
            <w:tcW w:w="0" w:type="auto"/>
            <w:tcBorders>
              <w:bottom w:val="nil"/>
            </w:tcBorders>
            <w:shd w:val="clear" w:color="auto" w:fill="F2F2F2" w:themeFill="background1" w:themeFillShade="F2"/>
          </w:tcPr>
          <w:p w14:paraId="3D606027" w14:textId="111CCE98"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5.364,3</w:t>
            </w:r>
          </w:p>
        </w:tc>
        <w:tc>
          <w:tcPr>
            <w:tcW w:w="0" w:type="auto"/>
            <w:tcBorders>
              <w:bottom w:val="nil"/>
            </w:tcBorders>
            <w:shd w:val="clear" w:color="auto" w:fill="F2F2F2" w:themeFill="background1" w:themeFillShade="F2"/>
          </w:tcPr>
          <w:p w14:paraId="7AD1AE72" w14:textId="192E54AB"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6.335,0</w:t>
            </w:r>
          </w:p>
        </w:tc>
      </w:tr>
      <w:tr w:rsidR="25917DB9" w:rsidRPr="0021468A" w14:paraId="6A6C5CE0" w14:textId="77777777" w:rsidTr="00771BEE">
        <w:trPr>
          <w:trHeight w:val="20"/>
          <w:jc w:val="center"/>
        </w:trPr>
        <w:tc>
          <w:tcPr>
            <w:tcW w:w="0" w:type="auto"/>
            <w:vMerge/>
            <w:vAlign w:val="center"/>
          </w:tcPr>
          <w:p w14:paraId="448E46D4"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shd w:val="clear" w:color="auto" w:fill="F2F2F2" w:themeFill="background1" w:themeFillShade="F2"/>
          </w:tcPr>
          <w:p w14:paraId="62560D95" w14:textId="00D8C286"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2,3</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4E59C325" w14:textId="3E4F0B5A"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3,0</w:t>
            </w:r>
            <w:r w:rsidR="008B6E25">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4857544E" w14:textId="79735861"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18,1</w:t>
            </w:r>
            <w:r w:rsidR="008B6E25">
              <w:rPr>
                <w:rFonts w:eastAsia="Calibri" w:cstheme="minorHAnsi"/>
                <w:color w:val="000000" w:themeColor="text1"/>
                <w:sz w:val="18"/>
                <w:szCs w:val="18"/>
              </w:rPr>
              <w:t>%</w:t>
            </w:r>
          </w:p>
        </w:tc>
      </w:tr>
      <w:tr w:rsidR="25917DB9" w:rsidRPr="0021468A" w14:paraId="0382E484" w14:textId="77777777" w:rsidTr="00771BEE">
        <w:trPr>
          <w:trHeight w:val="20"/>
          <w:jc w:val="center"/>
        </w:trPr>
        <w:tc>
          <w:tcPr>
            <w:tcW w:w="0" w:type="auto"/>
            <w:vMerge w:val="restart"/>
            <w:shd w:val="clear" w:color="auto" w:fill="F2F2F2" w:themeFill="background1" w:themeFillShade="F2"/>
            <w:vAlign w:val="center"/>
          </w:tcPr>
          <w:p w14:paraId="5BC66CED" w14:textId="6C7C35F4"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Lei nº 8.727/1993 - Demais Credores</w:t>
            </w:r>
          </w:p>
        </w:tc>
        <w:tc>
          <w:tcPr>
            <w:tcW w:w="0" w:type="auto"/>
            <w:tcBorders>
              <w:bottom w:val="nil"/>
            </w:tcBorders>
            <w:shd w:val="clear" w:color="auto" w:fill="F2F2F2" w:themeFill="background1" w:themeFillShade="F2"/>
          </w:tcPr>
          <w:p w14:paraId="596D83B6" w14:textId="50286493"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2.769,2</w:t>
            </w:r>
          </w:p>
        </w:tc>
        <w:tc>
          <w:tcPr>
            <w:tcW w:w="0" w:type="auto"/>
            <w:tcBorders>
              <w:bottom w:val="nil"/>
            </w:tcBorders>
            <w:shd w:val="clear" w:color="auto" w:fill="F2F2F2" w:themeFill="background1" w:themeFillShade="F2"/>
          </w:tcPr>
          <w:p w14:paraId="6428CBE0" w14:textId="38A73BD6"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2.679,9</w:t>
            </w:r>
          </w:p>
        </w:tc>
        <w:tc>
          <w:tcPr>
            <w:tcW w:w="0" w:type="auto"/>
            <w:tcBorders>
              <w:bottom w:val="nil"/>
            </w:tcBorders>
            <w:shd w:val="clear" w:color="auto" w:fill="F2F2F2" w:themeFill="background1" w:themeFillShade="F2"/>
          </w:tcPr>
          <w:p w14:paraId="21DFAD9E" w14:textId="02AF51D2"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2.754,1</w:t>
            </w:r>
          </w:p>
        </w:tc>
      </w:tr>
      <w:tr w:rsidR="25917DB9" w:rsidRPr="0021468A" w14:paraId="33D029B5" w14:textId="77777777" w:rsidTr="00771BEE">
        <w:trPr>
          <w:trHeight w:val="20"/>
          <w:jc w:val="center"/>
        </w:trPr>
        <w:tc>
          <w:tcPr>
            <w:tcW w:w="0" w:type="auto"/>
            <w:vMerge/>
            <w:vAlign w:val="center"/>
          </w:tcPr>
          <w:p w14:paraId="3108E98F"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shd w:val="clear" w:color="auto" w:fill="F2F2F2" w:themeFill="background1" w:themeFillShade="F2"/>
          </w:tcPr>
          <w:p w14:paraId="76407437" w14:textId="4235944B"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37,1</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2E0EE43A" w14:textId="7AA592C0"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3,2</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02F796E1" w14:textId="59127587"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2,8</w:t>
            </w:r>
            <w:r w:rsidR="008B6E25">
              <w:rPr>
                <w:rFonts w:eastAsia="Calibri" w:cstheme="minorHAnsi"/>
                <w:color w:val="000000" w:themeColor="text1"/>
                <w:sz w:val="18"/>
                <w:szCs w:val="18"/>
              </w:rPr>
              <w:t>%</w:t>
            </w:r>
          </w:p>
        </w:tc>
      </w:tr>
      <w:tr w:rsidR="25917DB9" w:rsidRPr="0021468A" w14:paraId="686595B0" w14:textId="77777777" w:rsidTr="00771BEE">
        <w:trPr>
          <w:trHeight w:val="20"/>
          <w:jc w:val="center"/>
        </w:trPr>
        <w:tc>
          <w:tcPr>
            <w:tcW w:w="0" w:type="auto"/>
            <w:vMerge w:val="restart"/>
            <w:vAlign w:val="center"/>
          </w:tcPr>
          <w:p w14:paraId="62469508" w14:textId="30CD08BA"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Lei nº 9.496/1997</w:t>
            </w:r>
          </w:p>
        </w:tc>
        <w:tc>
          <w:tcPr>
            <w:tcW w:w="0" w:type="auto"/>
            <w:tcBorders>
              <w:bottom w:val="nil"/>
            </w:tcBorders>
          </w:tcPr>
          <w:p w14:paraId="1C2EDA97" w14:textId="6FFF3F9D" w:rsidR="25917DB9" w:rsidRPr="0021468A" w:rsidRDefault="25917DB9" w:rsidP="0021468A">
            <w:pPr>
              <w:spacing w:after="0" w:line="240" w:lineRule="auto"/>
              <w:jc w:val="right"/>
              <w:rPr>
                <w:rFonts w:cstheme="minorHAnsi"/>
                <w:sz w:val="18"/>
                <w:szCs w:val="18"/>
              </w:rPr>
            </w:pPr>
            <w:r w:rsidRPr="0021468A">
              <w:rPr>
                <w:rFonts w:eastAsia="Calibri" w:cstheme="minorHAnsi"/>
                <w:sz w:val="18"/>
                <w:szCs w:val="18"/>
              </w:rPr>
              <w:t>528.393,3</w:t>
            </w:r>
          </w:p>
        </w:tc>
        <w:tc>
          <w:tcPr>
            <w:tcW w:w="0" w:type="auto"/>
            <w:tcBorders>
              <w:bottom w:val="nil"/>
            </w:tcBorders>
          </w:tcPr>
          <w:p w14:paraId="193E11AA" w14:textId="2E386512" w:rsidR="25917DB9" w:rsidRPr="0021468A" w:rsidRDefault="25917DB9" w:rsidP="0021468A">
            <w:pPr>
              <w:spacing w:after="0" w:line="240" w:lineRule="auto"/>
              <w:jc w:val="right"/>
              <w:rPr>
                <w:rFonts w:cstheme="minorHAnsi"/>
                <w:sz w:val="18"/>
                <w:szCs w:val="18"/>
              </w:rPr>
            </w:pPr>
            <w:r w:rsidRPr="0021468A">
              <w:rPr>
                <w:rFonts w:eastAsia="Calibri" w:cstheme="minorHAnsi"/>
                <w:sz w:val="18"/>
                <w:szCs w:val="18"/>
              </w:rPr>
              <w:t>536.327,8</w:t>
            </w:r>
          </w:p>
        </w:tc>
        <w:tc>
          <w:tcPr>
            <w:tcW w:w="0" w:type="auto"/>
            <w:tcBorders>
              <w:bottom w:val="nil"/>
            </w:tcBorders>
          </w:tcPr>
          <w:p w14:paraId="76E950A9" w14:textId="448A20E8" w:rsidR="25917DB9" w:rsidRPr="0021468A" w:rsidRDefault="25917DB9" w:rsidP="0021468A">
            <w:pPr>
              <w:spacing w:after="0" w:line="240" w:lineRule="auto"/>
              <w:jc w:val="right"/>
              <w:rPr>
                <w:rFonts w:cstheme="minorHAnsi"/>
                <w:sz w:val="18"/>
                <w:szCs w:val="18"/>
              </w:rPr>
            </w:pPr>
            <w:r w:rsidRPr="0021468A">
              <w:rPr>
                <w:rFonts w:eastAsia="Calibri" w:cstheme="minorHAnsi"/>
                <w:color w:val="000000" w:themeColor="text1"/>
                <w:sz w:val="18"/>
                <w:szCs w:val="18"/>
              </w:rPr>
              <w:t>567.786,8</w:t>
            </w:r>
          </w:p>
        </w:tc>
      </w:tr>
      <w:tr w:rsidR="25917DB9" w:rsidRPr="0021468A" w14:paraId="244CF800" w14:textId="77777777" w:rsidTr="00771BEE">
        <w:trPr>
          <w:trHeight w:val="20"/>
          <w:jc w:val="center"/>
        </w:trPr>
        <w:tc>
          <w:tcPr>
            <w:tcW w:w="0" w:type="auto"/>
            <w:vMerge/>
            <w:vAlign w:val="center"/>
          </w:tcPr>
          <w:p w14:paraId="15653AD8"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tcPr>
          <w:p w14:paraId="51BE85FC" w14:textId="34339249" w:rsidR="25917DB9" w:rsidRPr="0021468A" w:rsidRDefault="0065503E" w:rsidP="0021468A">
            <w:pPr>
              <w:spacing w:after="0" w:line="240" w:lineRule="auto"/>
              <w:jc w:val="right"/>
              <w:rPr>
                <w:rFonts w:cstheme="minorHAnsi"/>
                <w:sz w:val="18"/>
                <w:szCs w:val="18"/>
              </w:rPr>
            </w:pPr>
            <w:r w:rsidRPr="0021468A">
              <w:rPr>
                <w:rFonts w:eastAsia="Calibri" w:cstheme="minorHAnsi"/>
                <w:sz w:val="18"/>
                <w:szCs w:val="18"/>
              </w:rPr>
              <w:t>5,0</w:t>
            </w:r>
            <w:r w:rsidR="008B6E25">
              <w:rPr>
                <w:rFonts w:eastAsia="Calibri" w:cstheme="minorHAnsi"/>
                <w:sz w:val="18"/>
                <w:szCs w:val="18"/>
              </w:rPr>
              <w:t>%</w:t>
            </w:r>
          </w:p>
        </w:tc>
        <w:tc>
          <w:tcPr>
            <w:tcW w:w="0" w:type="auto"/>
            <w:tcBorders>
              <w:top w:val="nil"/>
              <w:bottom w:val="single" w:sz="4" w:space="0" w:color="BFBFBF" w:themeColor="background1" w:themeShade="BF"/>
            </w:tcBorders>
          </w:tcPr>
          <w:p w14:paraId="3606BC89" w14:textId="718C2000" w:rsidR="25917DB9" w:rsidRPr="0021468A" w:rsidRDefault="0065503E" w:rsidP="0021468A">
            <w:pPr>
              <w:spacing w:after="0" w:line="240" w:lineRule="auto"/>
              <w:jc w:val="right"/>
              <w:rPr>
                <w:rFonts w:cstheme="minorHAnsi"/>
                <w:sz w:val="18"/>
                <w:szCs w:val="18"/>
              </w:rPr>
            </w:pPr>
            <w:r w:rsidRPr="0021468A">
              <w:rPr>
                <w:rFonts w:eastAsia="Calibri" w:cstheme="minorHAnsi"/>
                <w:sz w:val="18"/>
                <w:szCs w:val="18"/>
              </w:rPr>
              <w:t>1,5</w:t>
            </w:r>
            <w:r w:rsidR="00B31F32">
              <w:rPr>
                <w:rFonts w:eastAsia="Calibri" w:cstheme="minorHAnsi"/>
                <w:sz w:val="18"/>
                <w:szCs w:val="18"/>
              </w:rPr>
              <w:t>%</w:t>
            </w:r>
          </w:p>
        </w:tc>
        <w:tc>
          <w:tcPr>
            <w:tcW w:w="0" w:type="auto"/>
            <w:tcBorders>
              <w:top w:val="nil"/>
              <w:bottom w:val="single" w:sz="4" w:space="0" w:color="BFBFBF" w:themeColor="background1" w:themeShade="BF"/>
            </w:tcBorders>
          </w:tcPr>
          <w:p w14:paraId="591D7E58" w14:textId="27B49B1C" w:rsidR="25917DB9" w:rsidRPr="0021468A" w:rsidRDefault="0065503E" w:rsidP="0021468A">
            <w:pPr>
              <w:spacing w:after="0" w:line="240" w:lineRule="auto"/>
              <w:jc w:val="right"/>
              <w:rPr>
                <w:rFonts w:cstheme="minorHAnsi"/>
                <w:sz w:val="18"/>
                <w:szCs w:val="18"/>
              </w:rPr>
            </w:pPr>
            <w:r w:rsidRPr="0021468A">
              <w:rPr>
                <w:rFonts w:eastAsia="Calibri" w:cstheme="minorHAnsi"/>
                <w:sz w:val="18"/>
                <w:szCs w:val="18"/>
              </w:rPr>
              <w:t>5,9</w:t>
            </w:r>
            <w:r w:rsidR="00B31F32">
              <w:rPr>
                <w:rFonts w:eastAsia="Calibri" w:cstheme="minorHAnsi"/>
                <w:sz w:val="18"/>
                <w:szCs w:val="18"/>
              </w:rPr>
              <w:t>%</w:t>
            </w:r>
          </w:p>
        </w:tc>
      </w:tr>
      <w:tr w:rsidR="25917DB9" w:rsidRPr="0021468A" w14:paraId="13D468C0" w14:textId="77777777" w:rsidTr="00771BEE">
        <w:trPr>
          <w:trHeight w:val="20"/>
          <w:jc w:val="center"/>
        </w:trPr>
        <w:tc>
          <w:tcPr>
            <w:tcW w:w="0" w:type="auto"/>
            <w:vMerge w:val="restart"/>
            <w:shd w:val="clear" w:color="auto" w:fill="F2F2F2" w:themeFill="background1" w:themeFillShade="F2"/>
            <w:vAlign w:val="center"/>
          </w:tcPr>
          <w:p w14:paraId="371A0ADB" w14:textId="0815E2E5"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MP nº 2.185/2001</w:t>
            </w:r>
          </w:p>
        </w:tc>
        <w:tc>
          <w:tcPr>
            <w:tcW w:w="0" w:type="auto"/>
            <w:tcBorders>
              <w:bottom w:val="nil"/>
            </w:tcBorders>
            <w:shd w:val="clear" w:color="auto" w:fill="F2F2F2" w:themeFill="background1" w:themeFillShade="F2"/>
          </w:tcPr>
          <w:p w14:paraId="222D631D" w14:textId="51C2D8AC"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31.292,9</w:t>
            </w:r>
          </w:p>
        </w:tc>
        <w:tc>
          <w:tcPr>
            <w:tcW w:w="0" w:type="auto"/>
            <w:tcBorders>
              <w:bottom w:val="nil"/>
            </w:tcBorders>
            <w:shd w:val="clear" w:color="auto" w:fill="F2F2F2" w:themeFill="background1" w:themeFillShade="F2"/>
          </w:tcPr>
          <w:p w14:paraId="6E6E1AB6" w14:textId="3AFF2BA8"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30.084,5</w:t>
            </w:r>
          </w:p>
        </w:tc>
        <w:tc>
          <w:tcPr>
            <w:tcW w:w="0" w:type="auto"/>
            <w:tcBorders>
              <w:bottom w:val="nil"/>
            </w:tcBorders>
            <w:shd w:val="clear" w:color="auto" w:fill="F2F2F2" w:themeFill="background1" w:themeFillShade="F2"/>
          </w:tcPr>
          <w:p w14:paraId="51CBA03A" w14:textId="6A3A9875"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30.523,7</w:t>
            </w:r>
          </w:p>
        </w:tc>
      </w:tr>
      <w:tr w:rsidR="25917DB9" w:rsidRPr="0021468A" w14:paraId="04B26167" w14:textId="77777777" w:rsidTr="00771BEE">
        <w:trPr>
          <w:trHeight w:val="20"/>
          <w:jc w:val="center"/>
        </w:trPr>
        <w:tc>
          <w:tcPr>
            <w:tcW w:w="0" w:type="auto"/>
            <w:vMerge/>
            <w:vAlign w:val="center"/>
          </w:tcPr>
          <w:p w14:paraId="1C2AF5D1"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shd w:val="clear" w:color="auto" w:fill="F2F2F2" w:themeFill="background1" w:themeFillShade="F2"/>
          </w:tcPr>
          <w:p w14:paraId="14A598EA" w14:textId="1FEA7D7B"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1,4</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58DA4AA0" w14:textId="07883667"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3,9</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726F6875" w14:textId="56AF456E"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1,5</w:t>
            </w:r>
            <w:r w:rsidR="00B31F32">
              <w:rPr>
                <w:rFonts w:eastAsia="Calibri" w:cstheme="minorHAnsi"/>
                <w:color w:val="000000" w:themeColor="text1"/>
                <w:sz w:val="18"/>
                <w:szCs w:val="18"/>
              </w:rPr>
              <w:t>%</w:t>
            </w:r>
          </w:p>
        </w:tc>
      </w:tr>
      <w:tr w:rsidR="25917DB9" w:rsidRPr="0021468A" w14:paraId="451B3DA5" w14:textId="77777777" w:rsidTr="00771BEE">
        <w:trPr>
          <w:trHeight w:val="20"/>
          <w:jc w:val="center"/>
        </w:trPr>
        <w:tc>
          <w:tcPr>
            <w:tcW w:w="0" w:type="auto"/>
            <w:vMerge w:val="restart"/>
            <w:vAlign w:val="center"/>
          </w:tcPr>
          <w:p w14:paraId="3914788A" w14:textId="10B2B166"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Contrato BACEN-BANERJ</w:t>
            </w:r>
          </w:p>
        </w:tc>
        <w:tc>
          <w:tcPr>
            <w:tcW w:w="0" w:type="auto"/>
            <w:tcBorders>
              <w:bottom w:val="nil"/>
            </w:tcBorders>
          </w:tcPr>
          <w:p w14:paraId="23464C45" w14:textId="63DBDBB4"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14.931,9</w:t>
            </w:r>
          </w:p>
        </w:tc>
        <w:tc>
          <w:tcPr>
            <w:tcW w:w="0" w:type="auto"/>
            <w:tcBorders>
              <w:bottom w:val="nil"/>
            </w:tcBorders>
          </w:tcPr>
          <w:p w14:paraId="1E032A7E" w14:textId="04888034"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14.634,3</w:t>
            </w:r>
          </w:p>
        </w:tc>
        <w:tc>
          <w:tcPr>
            <w:tcW w:w="0" w:type="auto"/>
            <w:tcBorders>
              <w:bottom w:val="nil"/>
            </w:tcBorders>
          </w:tcPr>
          <w:p w14:paraId="164AD354" w14:textId="03AB0F61"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27.188,4</w:t>
            </w:r>
          </w:p>
        </w:tc>
      </w:tr>
      <w:tr w:rsidR="25917DB9" w:rsidRPr="0021468A" w14:paraId="626B4047" w14:textId="77777777" w:rsidTr="00771BEE">
        <w:trPr>
          <w:trHeight w:val="20"/>
          <w:jc w:val="center"/>
        </w:trPr>
        <w:tc>
          <w:tcPr>
            <w:tcW w:w="0" w:type="auto"/>
            <w:vMerge/>
            <w:vAlign w:val="center"/>
          </w:tcPr>
          <w:p w14:paraId="01A584BF"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tcPr>
          <w:p w14:paraId="222C36DA" w14:textId="65D69342"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1,2</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15106E44" w14:textId="64866D8E"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2,0</w:t>
            </w:r>
            <w:r w:rsidR="00B436AC">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6ACDDDD6" w14:textId="1D077903"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85,8</w:t>
            </w:r>
            <w:r w:rsidR="00B31F32">
              <w:rPr>
                <w:rFonts w:eastAsia="Calibri" w:cstheme="minorHAnsi"/>
                <w:color w:val="000000" w:themeColor="text1"/>
                <w:sz w:val="18"/>
                <w:szCs w:val="18"/>
              </w:rPr>
              <w:t>%</w:t>
            </w:r>
          </w:p>
        </w:tc>
      </w:tr>
      <w:tr w:rsidR="25917DB9" w:rsidRPr="0021468A" w14:paraId="3F4AB530" w14:textId="77777777" w:rsidTr="00771BEE">
        <w:trPr>
          <w:trHeight w:val="20"/>
          <w:jc w:val="center"/>
        </w:trPr>
        <w:tc>
          <w:tcPr>
            <w:tcW w:w="0" w:type="auto"/>
            <w:vMerge w:val="restart"/>
            <w:vAlign w:val="center"/>
          </w:tcPr>
          <w:p w14:paraId="3659D684" w14:textId="0ACA6DFE"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t>Regime de Recuperação Fiscal - Lei nº 9.496/1997</w:t>
            </w:r>
          </w:p>
        </w:tc>
        <w:tc>
          <w:tcPr>
            <w:tcW w:w="0" w:type="auto"/>
            <w:tcBorders>
              <w:bottom w:val="nil"/>
            </w:tcBorders>
          </w:tcPr>
          <w:p w14:paraId="7EF4884F" w14:textId="16A4C434"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12.366,4</w:t>
            </w:r>
          </w:p>
        </w:tc>
        <w:tc>
          <w:tcPr>
            <w:tcW w:w="0" w:type="auto"/>
            <w:tcBorders>
              <w:bottom w:val="nil"/>
            </w:tcBorders>
          </w:tcPr>
          <w:p w14:paraId="461BEB5A" w14:textId="4A07CDF1"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19.974,4</w:t>
            </w:r>
          </w:p>
        </w:tc>
        <w:tc>
          <w:tcPr>
            <w:tcW w:w="0" w:type="auto"/>
            <w:tcBorders>
              <w:bottom w:val="nil"/>
            </w:tcBorders>
          </w:tcPr>
          <w:p w14:paraId="2401F7F0" w14:textId="2874623B"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6.065,8</w:t>
            </w:r>
          </w:p>
        </w:tc>
      </w:tr>
      <w:tr w:rsidR="25917DB9" w:rsidRPr="0021468A" w14:paraId="7A29904E" w14:textId="77777777" w:rsidTr="00771BEE">
        <w:trPr>
          <w:trHeight w:val="20"/>
          <w:jc w:val="center"/>
        </w:trPr>
        <w:tc>
          <w:tcPr>
            <w:tcW w:w="0" w:type="auto"/>
            <w:vMerge/>
            <w:vAlign w:val="center"/>
          </w:tcPr>
          <w:p w14:paraId="11D40FEA" w14:textId="77777777" w:rsidR="008B02C4" w:rsidRPr="00B50FCC" w:rsidRDefault="008B02C4" w:rsidP="0021468A">
            <w:pPr>
              <w:spacing w:after="0" w:line="240" w:lineRule="auto"/>
              <w:rPr>
                <w:sz w:val="18"/>
                <w:szCs w:val="18"/>
              </w:rPr>
            </w:pPr>
          </w:p>
        </w:tc>
        <w:tc>
          <w:tcPr>
            <w:tcW w:w="0" w:type="auto"/>
            <w:tcBorders>
              <w:top w:val="nil"/>
              <w:bottom w:val="single" w:sz="4" w:space="0" w:color="BFBFBF" w:themeColor="background1" w:themeShade="BF"/>
            </w:tcBorders>
          </w:tcPr>
          <w:p w14:paraId="4A3D2A60" w14:textId="42BA18B8"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64,5</w:t>
            </w:r>
            <w:r w:rsidR="00B31F32">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557E87E3" w14:textId="78532042"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61,5</w:t>
            </w:r>
            <w:r w:rsidR="00B31F32">
              <w:rPr>
                <w:rFonts w:eastAsia="Calibri" w:cstheme="minorHAnsi"/>
                <w:color w:val="000000" w:themeColor="text1"/>
                <w:sz w:val="18"/>
                <w:szCs w:val="18"/>
              </w:rPr>
              <w:t>%</w:t>
            </w:r>
          </w:p>
        </w:tc>
        <w:tc>
          <w:tcPr>
            <w:tcW w:w="0" w:type="auto"/>
            <w:tcBorders>
              <w:top w:val="nil"/>
              <w:bottom w:val="single" w:sz="4" w:space="0" w:color="BFBFBF" w:themeColor="background1" w:themeShade="BF"/>
            </w:tcBorders>
          </w:tcPr>
          <w:p w14:paraId="1F9F9E56" w14:textId="0A8F89AE"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69,6</w:t>
            </w:r>
            <w:r w:rsidR="00B436AC">
              <w:rPr>
                <w:rFonts w:eastAsia="Calibri" w:cstheme="minorHAnsi"/>
                <w:color w:val="000000" w:themeColor="text1"/>
                <w:sz w:val="18"/>
                <w:szCs w:val="18"/>
              </w:rPr>
              <w:t>%</w:t>
            </w:r>
          </w:p>
        </w:tc>
      </w:tr>
      <w:tr w:rsidR="25917DB9" w:rsidRPr="0021468A" w14:paraId="6E1DD157" w14:textId="77777777" w:rsidTr="00771BEE">
        <w:trPr>
          <w:trHeight w:val="20"/>
          <w:jc w:val="center"/>
        </w:trPr>
        <w:tc>
          <w:tcPr>
            <w:tcW w:w="0" w:type="auto"/>
            <w:vMerge w:val="restart"/>
            <w:shd w:val="clear" w:color="auto" w:fill="F2F2F2" w:themeFill="background1" w:themeFillShade="F2"/>
            <w:vAlign w:val="center"/>
          </w:tcPr>
          <w:p w14:paraId="42EF6240" w14:textId="2510348B" w:rsidR="25917DB9" w:rsidRPr="00B50FCC" w:rsidRDefault="25917DB9" w:rsidP="0021468A">
            <w:pPr>
              <w:spacing w:after="0" w:line="240" w:lineRule="auto"/>
              <w:rPr>
                <w:sz w:val="18"/>
                <w:szCs w:val="18"/>
              </w:rPr>
            </w:pPr>
            <w:r w:rsidRPr="0021468A">
              <w:rPr>
                <w:rFonts w:eastAsia="Calibri" w:cstheme="minorHAnsi"/>
                <w:color w:val="000000" w:themeColor="text1"/>
                <w:sz w:val="18"/>
                <w:szCs w:val="18"/>
              </w:rPr>
              <w:lastRenderedPageBreak/>
              <w:t>Regime de Recuperação Fiscal – Contrato BACEN-BANERJ</w:t>
            </w:r>
          </w:p>
        </w:tc>
        <w:tc>
          <w:tcPr>
            <w:tcW w:w="0" w:type="auto"/>
            <w:tcBorders>
              <w:bottom w:val="nil"/>
            </w:tcBorders>
            <w:shd w:val="clear" w:color="auto" w:fill="F2F2F2" w:themeFill="background1" w:themeFillShade="F2"/>
          </w:tcPr>
          <w:p w14:paraId="312ABF84" w14:textId="3A5D4BAD"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4.086,4</w:t>
            </w:r>
          </w:p>
        </w:tc>
        <w:tc>
          <w:tcPr>
            <w:tcW w:w="0" w:type="auto"/>
            <w:tcBorders>
              <w:bottom w:val="nil"/>
            </w:tcBorders>
            <w:shd w:val="clear" w:color="auto" w:fill="F2F2F2" w:themeFill="background1" w:themeFillShade="F2"/>
          </w:tcPr>
          <w:p w14:paraId="46BD9978" w14:textId="282CEC36"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6.866,6</w:t>
            </w:r>
          </w:p>
        </w:tc>
        <w:tc>
          <w:tcPr>
            <w:tcW w:w="0" w:type="auto"/>
            <w:tcBorders>
              <w:bottom w:val="nil"/>
            </w:tcBorders>
            <w:shd w:val="clear" w:color="auto" w:fill="F2F2F2" w:themeFill="background1" w:themeFillShade="F2"/>
          </w:tcPr>
          <w:p w14:paraId="4EA4F502" w14:textId="5E6EAE94"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1.397,7</w:t>
            </w:r>
          </w:p>
        </w:tc>
      </w:tr>
      <w:tr w:rsidR="25917DB9" w:rsidRPr="0021468A" w14:paraId="34A3AA41" w14:textId="77777777" w:rsidTr="00771BEE">
        <w:trPr>
          <w:trHeight w:val="20"/>
          <w:jc w:val="center"/>
        </w:trPr>
        <w:tc>
          <w:tcPr>
            <w:tcW w:w="0" w:type="auto"/>
            <w:vMerge/>
            <w:vAlign w:val="center"/>
          </w:tcPr>
          <w:p w14:paraId="4EE2E5E7" w14:textId="77777777" w:rsidR="008B02C4" w:rsidRPr="0021468A" w:rsidRDefault="008B02C4" w:rsidP="0021468A">
            <w:pPr>
              <w:spacing w:after="0" w:line="240" w:lineRule="auto"/>
              <w:rPr>
                <w:rFonts w:cstheme="minorHAnsi"/>
                <w:sz w:val="18"/>
                <w:szCs w:val="18"/>
              </w:rPr>
            </w:pPr>
          </w:p>
        </w:tc>
        <w:tc>
          <w:tcPr>
            <w:tcW w:w="0" w:type="auto"/>
            <w:tcBorders>
              <w:top w:val="nil"/>
              <w:bottom w:val="single" w:sz="4" w:space="0" w:color="BFBFBF" w:themeColor="background1" w:themeShade="BF"/>
            </w:tcBorders>
            <w:shd w:val="clear" w:color="auto" w:fill="F2F2F2" w:themeFill="background1" w:themeFillShade="F2"/>
          </w:tcPr>
          <w:p w14:paraId="44314729" w14:textId="280986E1"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135,5</w:t>
            </w:r>
            <w:r w:rsidR="00B31F32">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0EE0035F" w14:textId="108825CE" w:rsidR="25917DB9" w:rsidRPr="0021468A" w:rsidRDefault="0065503E" w:rsidP="0021468A">
            <w:pPr>
              <w:spacing w:after="0" w:line="240" w:lineRule="auto"/>
              <w:jc w:val="right"/>
              <w:rPr>
                <w:rFonts w:cstheme="minorHAnsi"/>
                <w:sz w:val="18"/>
                <w:szCs w:val="18"/>
              </w:rPr>
            </w:pPr>
            <w:r w:rsidRPr="0021468A">
              <w:rPr>
                <w:rFonts w:eastAsia="Calibri" w:cstheme="minorHAnsi"/>
                <w:color w:val="000000" w:themeColor="text1"/>
                <w:sz w:val="18"/>
                <w:szCs w:val="18"/>
              </w:rPr>
              <w:t>68,0</w:t>
            </w:r>
            <w:r w:rsidR="00B31F32">
              <w:rPr>
                <w:rFonts w:eastAsia="Calibri" w:cstheme="minorHAnsi"/>
                <w:color w:val="000000" w:themeColor="text1"/>
                <w:sz w:val="18"/>
                <w:szCs w:val="18"/>
              </w:rPr>
              <w:t>%</w:t>
            </w:r>
          </w:p>
        </w:tc>
        <w:tc>
          <w:tcPr>
            <w:tcW w:w="0" w:type="auto"/>
            <w:tcBorders>
              <w:top w:val="nil"/>
              <w:bottom w:val="single" w:sz="4" w:space="0" w:color="BFBFBF" w:themeColor="background1" w:themeShade="BF"/>
            </w:tcBorders>
            <w:shd w:val="clear" w:color="auto" w:fill="F2F2F2" w:themeFill="background1" w:themeFillShade="F2"/>
          </w:tcPr>
          <w:p w14:paraId="6CD466A3" w14:textId="36195259" w:rsidR="25917DB9" w:rsidRPr="0021468A" w:rsidRDefault="009165D2" w:rsidP="0021468A">
            <w:pPr>
              <w:spacing w:after="0" w:line="240" w:lineRule="auto"/>
              <w:jc w:val="right"/>
              <w:rPr>
                <w:rFonts w:cstheme="minorHAnsi"/>
                <w:sz w:val="18"/>
                <w:szCs w:val="18"/>
              </w:rPr>
            </w:pPr>
            <w:r>
              <w:rPr>
                <w:rFonts w:eastAsia="Calibri" w:cstheme="minorHAnsi"/>
                <w:color w:val="000000" w:themeColor="text1"/>
                <w:sz w:val="18"/>
                <w:szCs w:val="18"/>
              </w:rPr>
              <w:t>-</w:t>
            </w:r>
            <w:r w:rsidR="0065503E" w:rsidRPr="0021468A">
              <w:rPr>
                <w:rFonts w:eastAsia="Calibri" w:cstheme="minorHAnsi"/>
                <w:color w:val="000000" w:themeColor="text1"/>
                <w:sz w:val="18"/>
                <w:szCs w:val="18"/>
              </w:rPr>
              <w:t>79,6</w:t>
            </w:r>
            <w:r w:rsidR="00B436AC">
              <w:rPr>
                <w:rFonts w:eastAsia="Calibri" w:cstheme="minorHAnsi"/>
                <w:color w:val="000000" w:themeColor="text1"/>
                <w:sz w:val="18"/>
                <w:szCs w:val="18"/>
              </w:rPr>
              <w:t>%</w:t>
            </w:r>
          </w:p>
        </w:tc>
      </w:tr>
      <w:tr w:rsidR="00010B82" w:rsidRPr="00010B82" w14:paraId="098805A7" w14:textId="77777777" w:rsidTr="00126325">
        <w:trPr>
          <w:trHeight w:val="449"/>
          <w:jc w:val="center"/>
        </w:trPr>
        <w:tc>
          <w:tcPr>
            <w:tcW w:w="0" w:type="auto"/>
            <w:shd w:val="clear" w:color="auto" w:fill="808080" w:themeFill="background1" w:themeFillShade="80"/>
            <w:vAlign w:val="center"/>
          </w:tcPr>
          <w:p w14:paraId="258FBA60" w14:textId="3FE6A7C4" w:rsidR="25917DB9" w:rsidRPr="00010B82" w:rsidRDefault="25917DB9" w:rsidP="0021468A">
            <w:pPr>
              <w:spacing w:after="0" w:line="240" w:lineRule="auto"/>
              <w:rPr>
                <w:rFonts w:cstheme="minorHAnsi"/>
                <w:color w:val="FFFFFF" w:themeColor="background1"/>
                <w:sz w:val="18"/>
                <w:szCs w:val="18"/>
              </w:rPr>
            </w:pPr>
            <w:r w:rsidRPr="00010B82">
              <w:rPr>
                <w:rFonts w:eastAsia="Calibri" w:cstheme="minorHAnsi"/>
                <w:b/>
                <w:bCs/>
                <w:color w:val="FFFFFF" w:themeColor="background1"/>
                <w:sz w:val="18"/>
                <w:szCs w:val="18"/>
              </w:rPr>
              <w:t>Total</w:t>
            </w:r>
          </w:p>
        </w:tc>
        <w:tc>
          <w:tcPr>
            <w:tcW w:w="0" w:type="auto"/>
            <w:shd w:val="clear" w:color="auto" w:fill="808080" w:themeFill="background1" w:themeFillShade="80"/>
          </w:tcPr>
          <w:p w14:paraId="3F79D53E" w14:textId="77777777" w:rsidR="00B436AC" w:rsidRPr="00010B82" w:rsidRDefault="25917DB9" w:rsidP="0021468A">
            <w:pPr>
              <w:spacing w:after="0" w:line="240" w:lineRule="auto"/>
              <w:jc w:val="right"/>
              <w:rPr>
                <w:rFonts w:cstheme="minorHAnsi"/>
                <w:color w:val="FFFFFF" w:themeColor="background1"/>
                <w:sz w:val="18"/>
                <w:szCs w:val="18"/>
              </w:rPr>
            </w:pPr>
            <w:r w:rsidRPr="00010B82">
              <w:rPr>
                <w:rFonts w:eastAsia="Calibri" w:cstheme="minorHAnsi"/>
                <w:b/>
                <w:bCs/>
                <w:color w:val="FFFFFF" w:themeColor="background1"/>
                <w:sz w:val="18"/>
                <w:szCs w:val="18"/>
              </w:rPr>
              <w:t>606.569,5</w:t>
            </w:r>
          </w:p>
          <w:p w14:paraId="0951D12A" w14:textId="7B2A585A" w:rsidR="25917DB9" w:rsidRPr="00010B82" w:rsidRDefault="00B436AC" w:rsidP="0021468A">
            <w:pPr>
              <w:spacing w:after="0" w:line="240" w:lineRule="auto"/>
              <w:jc w:val="right"/>
              <w:rPr>
                <w:rFonts w:cstheme="minorHAnsi"/>
                <w:color w:val="FFFFFF" w:themeColor="background1"/>
                <w:sz w:val="18"/>
                <w:szCs w:val="18"/>
              </w:rPr>
            </w:pPr>
            <w:r w:rsidRPr="00010B82">
              <w:rPr>
                <w:rFonts w:eastAsia="Calibri" w:cstheme="minorHAnsi"/>
                <w:b/>
                <w:bCs/>
                <w:color w:val="FFFFFF" w:themeColor="background1"/>
                <w:sz w:val="18"/>
                <w:szCs w:val="18"/>
              </w:rPr>
              <w:t>5,1</w:t>
            </w:r>
            <w:r w:rsidR="003B6654">
              <w:rPr>
                <w:rFonts w:eastAsia="Calibri" w:cstheme="minorHAnsi"/>
                <w:b/>
                <w:bCs/>
                <w:color w:val="FFFFFF" w:themeColor="background1"/>
                <w:sz w:val="18"/>
                <w:szCs w:val="18"/>
              </w:rPr>
              <w:t>%</w:t>
            </w:r>
          </w:p>
        </w:tc>
        <w:tc>
          <w:tcPr>
            <w:tcW w:w="0" w:type="auto"/>
            <w:shd w:val="clear" w:color="auto" w:fill="808080" w:themeFill="background1" w:themeFillShade="80"/>
          </w:tcPr>
          <w:p w14:paraId="07FB69EE" w14:textId="77777777" w:rsidR="00B436AC" w:rsidRPr="00010B82" w:rsidRDefault="25917DB9" w:rsidP="0021468A">
            <w:pPr>
              <w:spacing w:after="0" w:line="240" w:lineRule="auto"/>
              <w:jc w:val="right"/>
              <w:rPr>
                <w:rFonts w:cstheme="minorHAnsi"/>
                <w:color w:val="FFFFFF" w:themeColor="background1"/>
                <w:sz w:val="18"/>
                <w:szCs w:val="18"/>
              </w:rPr>
            </w:pPr>
            <w:r w:rsidRPr="00010B82">
              <w:rPr>
                <w:rFonts w:eastAsia="Calibri" w:cstheme="minorHAnsi"/>
                <w:b/>
                <w:bCs/>
                <w:color w:val="FFFFFF" w:themeColor="background1"/>
                <w:sz w:val="18"/>
                <w:szCs w:val="18"/>
              </w:rPr>
              <w:t>622.767,5</w:t>
            </w:r>
          </w:p>
          <w:p w14:paraId="0BE67338" w14:textId="228C81B6" w:rsidR="25917DB9" w:rsidRPr="00010B82" w:rsidRDefault="00B436AC" w:rsidP="0021468A">
            <w:pPr>
              <w:spacing w:after="0" w:line="240" w:lineRule="auto"/>
              <w:jc w:val="right"/>
              <w:rPr>
                <w:rFonts w:cstheme="minorHAnsi"/>
                <w:color w:val="FFFFFF" w:themeColor="background1"/>
                <w:sz w:val="18"/>
                <w:szCs w:val="18"/>
              </w:rPr>
            </w:pPr>
            <w:r w:rsidRPr="00010B82">
              <w:rPr>
                <w:rFonts w:eastAsia="Calibri" w:cstheme="minorHAnsi"/>
                <w:b/>
                <w:bCs/>
                <w:color w:val="FFFFFF" w:themeColor="background1"/>
                <w:sz w:val="18"/>
                <w:szCs w:val="18"/>
              </w:rPr>
              <w:t>2,7</w:t>
            </w:r>
            <w:r w:rsidR="003B6654">
              <w:rPr>
                <w:rFonts w:eastAsia="Calibri" w:cstheme="minorHAnsi"/>
                <w:b/>
                <w:bCs/>
                <w:color w:val="FFFFFF" w:themeColor="background1"/>
                <w:sz w:val="18"/>
                <w:szCs w:val="18"/>
              </w:rPr>
              <w:t>%</w:t>
            </w:r>
          </w:p>
        </w:tc>
        <w:tc>
          <w:tcPr>
            <w:tcW w:w="0" w:type="auto"/>
            <w:shd w:val="clear" w:color="auto" w:fill="808080" w:themeFill="background1" w:themeFillShade="80"/>
          </w:tcPr>
          <w:p w14:paraId="5FC4582C" w14:textId="77777777" w:rsidR="00B436AC" w:rsidRPr="00010B82" w:rsidRDefault="25917DB9" w:rsidP="0021468A">
            <w:pPr>
              <w:spacing w:after="0" w:line="240" w:lineRule="auto"/>
              <w:jc w:val="right"/>
              <w:rPr>
                <w:rFonts w:cstheme="minorHAnsi"/>
                <w:color w:val="FFFFFF" w:themeColor="background1"/>
                <w:sz w:val="18"/>
                <w:szCs w:val="18"/>
              </w:rPr>
            </w:pPr>
            <w:r w:rsidRPr="00010B82">
              <w:rPr>
                <w:rFonts w:eastAsia="Calibri" w:cstheme="minorHAnsi"/>
                <w:b/>
                <w:bCs/>
                <w:color w:val="FFFFFF" w:themeColor="background1"/>
                <w:sz w:val="18"/>
                <w:szCs w:val="18"/>
              </w:rPr>
              <w:t>647.551,4</w:t>
            </w:r>
          </w:p>
          <w:p w14:paraId="602DB14E" w14:textId="4ABE8D1D" w:rsidR="25917DB9" w:rsidRPr="00010B82" w:rsidRDefault="00B436AC" w:rsidP="0021468A">
            <w:pPr>
              <w:spacing w:after="0" w:line="240" w:lineRule="auto"/>
              <w:jc w:val="right"/>
              <w:rPr>
                <w:rFonts w:cstheme="minorHAnsi"/>
                <w:color w:val="FFFFFF" w:themeColor="background1"/>
                <w:sz w:val="18"/>
                <w:szCs w:val="18"/>
              </w:rPr>
            </w:pPr>
            <w:r w:rsidRPr="00010B82">
              <w:rPr>
                <w:rFonts w:eastAsia="Calibri" w:cstheme="minorHAnsi"/>
                <w:b/>
                <w:bCs/>
                <w:color w:val="FFFFFF" w:themeColor="background1"/>
                <w:sz w:val="18"/>
                <w:szCs w:val="18"/>
              </w:rPr>
              <w:t>4,0</w:t>
            </w:r>
            <w:r w:rsidR="00126325">
              <w:rPr>
                <w:rFonts w:eastAsia="Calibri" w:cstheme="minorHAnsi"/>
                <w:b/>
                <w:bCs/>
                <w:color w:val="FFFFFF" w:themeColor="background1"/>
                <w:sz w:val="18"/>
                <w:szCs w:val="18"/>
              </w:rPr>
              <w:t>%</w:t>
            </w:r>
          </w:p>
        </w:tc>
      </w:tr>
      <w:tr w:rsidR="008953C8" w:rsidRPr="00010B82" w14:paraId="5BABDF63" w14:textId="77777777" w:rsidTr="00771BEE">
        <w:trPr>
          <w:trHeight w:val="20"/>
          <w:jc w:val="center"/>
        </w:trPr>
        <w:tc>
          <w:tcPr>
            <w:tcW w:w="0" w:type="auto"/>
            <w:gridSpan w:val="4"/>
            <w:tcBorders>
              <w:left w:val="nil"/>
              <w:bottom w:val="nil"/>
              <w:right w:val="nil"/>
            </w:tcBorders>
            <w:vAlign w:val="center"/>
          </w:tcPr>
          <w:p w14:paraId="29FCDA9A" w14:textId="77777777" w:rsidR="008953C8" w:rsidRPr="00010B82" w:rsidRDefault="008953C8" w:rsidP="008953C8">
            <w:pPr>
              <w:spacing w:after="0" w:line="240" w:lineRule="auto"/>
              <w:rPr>
                <w:rFonts w:eastAsia="Calibri" w:cstheme="minorHAnsi"/>
                <w:i/>
                <w:iCs/>
                <w:color w:val="000000" w:themeColor="text1"/>
                <w:sz w:val="16"/>
                <w:szCs w:val="16"/>
              </w:rPr>
            </w:pPr>
            <w:proofErr w:type="gramStart"/>
            <w:r w:rsidRPr="00010B82">
              <w:rPr>
                <w:rFonts w:eastAsia="Calibri" w:cstheme="minorHAnsi"/>
                <w:i/>
                <w:color w:val="000000" w:themeColor="text1"/>
                <w:sz w:val="16"/>
                <w:szCs w:val="16"/>
                <w:vertAlign w:val="superscript"/>
              </w:rPr>
              <w:t>1</w:t>
            </w:r>
            <w:proofErr w:type="gramEnd"/>
            <w:r w:rsidRPr="00010B82">
              <w:rPr>
                <w:rFonts w:eastAsia="Calibri" w:cstheme="minorHAnsi"/>
                <w:i/>
                <w:iCs/>
                <w:color w:val="000000" w:themeColor="text1"/>
                <w:sz w:val="16"/>
                <w:szCs w:val="16"/>
              </w:rPr>
              <w:t xml:space="preserve"> Variação em relação ao exercício imediatamente anterior.</w:t>
            </w:r>
          </w:p>
          <w:p w14:paraId="66BC2A33" w14:textId="7BE1D5B5" w:rsidR="008953C8" w:rsidRPr="00010B82" w:rsidRDefault="008953C8" w:rsidP="008953C8">
            <w:pPr>
              <w:spacing w:after="0" w:line="240" w:lineRule="auto"/>
              <w:rPr>
                <w:rFonts w:eastAsia="Calibri" w:cstheme="minorHAnsi"/>
                <w:b/>
                <w:bCs/>
                <w:color w:val="FFFFFF" w:themeColor="background1"/>
                <w:sz w:val="16"/>
                <w:szCs w:val="16"/>
              </w:rPr>
            </w:pPr>
            <w:r w:rsidRPr="00010B82">
              <w:rPr>
                <w:rFonts w:eastAsia="Calibri" w:cstheme="minorHAnsi"/>
                <w:b/>
                <w:bCs/>
                <w:i/>
                <w:iCs/>
                <w:color w:val="000000" w:themeColor="text1"/>
                <w:sz w:val="16"/>
                <w:szCs w:val="16"/>
              </w:rPr>
              <w:t>Fonte e elaboração:</w:t>
            </w:r>
            <w:r w:rsidRPr="00010B82">
              <w:rPr>
                <w:rFonts w:eastAsia="Calibri" w:cstheme="minorHAnsi"/>
                <w:i/>
                <w:iCs/>
                <w:color w:val="000000" w:themeColor="text1"/>
                <w:sz w:val="16"/>
                <w:szCs w:val="16"/>
              </w:rPr>
              <w:t xml:space="preserve"> STN/ME.</w:t>
            </w:r>
          </w:p>
        </w:tc>
      </w:tr>
    </w:tbl>
    <w:p w14:paraId="2D8E113C" w14:textId="77777777" w:rsidR="00010B82" w:rsidRDefault="00010B82" w:rsidP="25917DB9">
      <w:pPr>
        <w:ind w:firstLine="1418"/>
        <w:jc w:val="both"/>
        <w:rPr>
          <w:rFonts w:ascii="Calibri" w:eastAsia="Calibri" w:hAnsi="Calibri" w:cs="Calibri"/>
          <w:color w:val="000000" w:themeColor="text1"/>
          <w:sz w:val="24"/>
          <w:szCs w:val="24"/>
        </w:rPr>
      </w:pPr>
    </w:p>
    <w:p w14:paraId="79F53FD2" w14:textId="48B8C97C" w:rsidR="162E2D88" w:rsidRDefault="162E2D88" w:rsidP="25917DB9">
      <w:pPr>
        <w:ind w:firstLine="1418"/>
        <w:jc w:val="both"/>
      </w:pPr>
      <w:r w:rsidRPr="71B7BA98">
        <w:rPr>
          <w:rFonts w:ascii="Calibri" w:eastAsia="Calibri" w:hAnsi="Calibri" w:cs="Calibri"/>
          <w:color w:val="000000" w:themeColor="text1"/>
          <w:sz w:val="24"/>
          <w:szCs w:val="24"/>
        </w:rPr>
        <w:t xml:space="preserve">A principal variação de estoque observada diz respeito aos </w:t>
      </w:r>
      <w:r w:rsidRPr="71B7BA98">
        <w:rPr>
          <w:rFonts w:ascii="Calibri" w:eastAsia="Calibri" w:hAnsi="Calibri" w:cs="Calibri"/>
          <w:i/>
          <w:iCs/>
          <w:color w:val="000000" w:themeColor="text1"/>
          <w:sz w:val="24"/>
          <w:szCs w:val="24"/>
        </w:rPr>
        <w:t>royalties</w:t>
      </w:r>
      <w:r w:rsidRPr="71B7BA98">
        <w:rPr>
          <w:rFonts w:ascii="Calibri" w:eastAsia="Calibri" w:hAnsi="Calibri" w:cs="Calibri"/>
          <w:color w:val="000000" w:themeColor="text1"/>
          <w:sz w:val="24"/>
          <w:szCs w:val="24"/>
        </w:rPr>
        <w:t>, que apresentaram redução de saldo de 97,1%, tendo em vista que esses contratos se encerram até fevereiro de 2021. No caso, a dívida do Estado de Mato Grosso do Sul foi quitada durante o exercício de 2020, ao passo que a dívida do Estado do Paraná foi liquidada nesse período em decorrência de decisão liminar judicial. Da mesma forma, o Acordo Brasil-Franca apresentou redução de estoque de 78,44%, visto que também está próximo do encerramento do contrato, previsto para dezembro/2021.</w:t>
      </w:r>
    </w:p>
    <w:p w14:paraId="07BCD102" w14:textId="1276AD84" w:rsidR="162E2D88" w:rsidRDefault="162E2D88" w:rsidP="25917DB9">
      <w:pPr>
        <w:ind w:firstLine="1418"/>
        <w:jc w:val="both"/>
      </w:pPr>
      <w:r w:rsidRPr="71B7BA98">
        <w:rPr>
          <w:rFonts w:ascii="Calibri" w:eastAsia="Calibri" w:hAnsi="Calibri" w:cs="Calibri"/>
          <w:color w:val="000000" w:themeColor="text1"/>
          <w:sz w:val="24"/>
          <w:szCs w:val="24"/>
        </w:rPr>
        <w:t xml:space="preserve">Destaca-se ainda a redução nos saldos do programa DMLP (-15,6%), oriundo principalmente de quitações antecipadas que ocorreram durante o exercício de 2020. A quitação dos contratos da DMLP se dá pelo valor líquido entre os saldos devedores e os saldos das respectivas garantias, as quais são atualizadas mensalmente a partir de cotações de títulos do Tesouro </w:t>
      </w:r>
      <w:proofErr w:type="gramStart"/>
      <w:r w:rsidRPr="71B7BA98">
        <w:rPr>
          <w:rFonts w:ascii="Calibri" w:eastAsia="Calibri" w:hAnsi="Calibri" w:cs="Calibri"/>
          <w:color w:val="000000" w:themeColor="text1"/>
          <w:sz w:val="24"/>
          <w:szCs w:val="24"/>
        </w:rPr>
        <w:t>do Estados</w:t>
      </w:r>
      <w:proofErr w:type="gramEnd"/>
      <w:r w:rsidRPr="71B7BA98">
        <w:rPr>
          <w:rFonts w:ascii="Calibri" w:eastAsia="Calibri" w:hAnsi="Calibri" w:cs="Calibri"/>
          <w:color w:val="000000" w:themeColor="text1"/>
          <w:sz w:val="24"/>
          <w:szCs w:val="24"/>
        </w:rPr>
        <w:t xml:space="preserve"> Unidos da América, sendo registradas pela STN em contas de passivo e de controle. Como a diferença entre os saldos devedores da DMLP e os saldos das respectivas garantias tem se tornado gradativamente menor, à medida que nos aproximamos do encerramento do programa, previsto para abril/2024, a quitação antecipada se torna mais vantajosa para os mutuários, o que explica as ocorrências desse tipo ao longo do exercício.</w:t>
      </w:r>
    </w:p>
    <w:p w14:paraId="71B342DB" w14:textId="047248B6" w:rsidR="162E2D88" w:rsidRDefault="162E2D88" w:rsidP="25917DB9">
      <w:pPr>
        <w:ind w:firstLine="1418"/>
        <w:jc w:val="both"/>
      </w:pPr>
      <w:r w:rsidRPr="71B7BA98">
        <w:rPr>
          <w:rFonts w:ascii="Calibri" w:eastAsia="Calibri" w:hAnsi="Calibri" w:cs="Calibri"/>
          <w:color w:val="000000" w:themeColor="text1"/>
          <w:sz w:val="24"/>
          <w:szCs w:val="24"/>
        </w:rPr>
        <w:t xml:space="preserve">Por sua vez, o estoque da parcela de receitas da União da Lei nº 8.727/1993 apresentou variação positiva de estoque de 18,1% em relação ao exercício anterior em virtude do impacto de decisões liminares judiciais sobre os contratos das dívidas vencidas do Estado de Goiás, que correspondem </w:t>
      </w:r>
      <w:proofErr w:type="gramStart"/>
      <w:r w:rsidRPr="71B7BA98">
        <w:rPr>
          <w:rFonts w:ascii="Calibri" w:eastAsia="Calibri" w:hAnsi="Calibri" w:cs="Calibri"/>
          <w:color w:val="000000" w:themeColor="text1"/>
          <w:sz w:val="24"/>
          <w:szCs w:val="24"/>
        </w:rPr>
        <w:t>a significativo</w:t>
      </w:r>
      <w:proofErr w:type="gramEnd"/>
      <w:r w:rsidRPr="71B7BA98">
        <w:rPr>
          <w:rFonts w:ascii="Calibri" w:eastAsia="Calibri" w:hAnsi="Calibri" w:cs="Calibri"/>
          <w:color w:val="000000" w:themeColor="text1"/>
          <w:sz w:val="24"/>
          <w:szCs w:val="24"/>
        </w:rPr>
        <w:t xml:space="preserve"> percentual do saldo devedor do programa. Ademais, parte dos contratos do Estado de Goiás é indexada ao IGP-M, sendo que a alta acumulada nesse indexador foi de 23,13% ao longo de 2020, o que também impactou, em menor medida, o saldo da parcela de Receitas da União da Lei nº 8.727/1993.</w:t>
      </w:r>
    </w:p>
    <w:p w14:paraId="76B67108" w14:textId="4CB3F062" w:rsidR="162E2D88" w:rsidRDefault="162E2D88" w:rsidP="25917DB9">
      <w:pPr>
        <w:ind w:firstLine="1418"/>
        <w:jc w:val="both"/>
      </w:pPr>
      <w:r w:rsidRPr="71B7BA98">
        <w:rPr>
          <w:rFonts w:ascii="Calibri" w:eastAsia="Calibri" w:hAnsi="Calibri" w:cs="Calibri"/>
          <w:color w:val="000000" w:themeColor="text1"/>
          <w:sz w:val="24"/>
          <w:szCs w:val="24"/>
        </w:rPr>
        <w:t>Já os créditos da Lei nº 9.496/1997 não registrados em conta gráfica no âmbito do Regime de Recuperação Fiscal - RRF</w:t>
      </w:r>
      <w:proofErr w:type="gramStart"/>
      <w:r w:rsidRPr="71B7BA98">
        <w:rPr>
          <w:rFonts w:ascii="Calibri" w:eastAsia="Calibri" w:hAnsi="Calibri" w:cs="Calibri"/>
          <w:color w:val="000000" w:themeColor="text1"/>
          <w:sz w:val="24"/>
          <w:szCs w:val="24"/>
        </w:rPr>
        <w:t>, apresentaram</w:t>
      </w:r>
      <w:proofErr w:type="gramEnd"/>
      <w:r w:rsidRPr="71B7BA98">
        <w:rPr>
          <w:rFonts w:ascii="Calibri" w:eastAsia="Calibri" w:hAnsi="Calibri" w:cs="Calibri"/>
          <w:color w:val="000000" w:themeColor="text1"/>
          <w:sz w:val="24"/>
          <w:szCs w:val="24"/>
        </w:rPr>
        <w:t xml:space="preserve"> incremento no estoque de 5,9%, por conta do impacto decorrente da postergação do pagamento das prestações mensais no âmbito da LC nº 173/2020, no período de abril/2020 a dezembro/2020. No que se refere às variações apresentadas para os montantes registrados em contas gráficas no âmbito do RRF ao amparo da LC nº 159/2017, cabe uma breve explicação a respeito do mecanismo do referido Regime: a 1ª fase do RRF do Estado do Rio de Janeiro, iniciada em outubro/2017, contemplando suspensão de pagamentos ao longo de 36 meses, foi finalizada em setembro/2020. Durante esse período, os valores não pagos pelo ente foram registrados e atualizados em conta gráfica, denominada “Conta Gráfica – RRF1”, sendo que ao final da 1ª fase, o saldo acumulado foi reincorporado ao montante de principal de seu programa original.</w:t>
      </w:r>
    </w:p>
    <w:p w14:paraId="56B0393A" w14:textId="274E1A82" w:rsidR="162E2D88" w:rsidRDefault="162E2D88" w:rsidP="25917DB9">
      <w:pPr>
        <w:ind w:firstLine="1418"/>
        <w:jc w:val="both"/>
      </w:pPr>
      <w:r w:rsidRPr="71B7BA98">
        <w:rPr>
          <w:rFonts w:ascii="Calibri" w:eastAsia="Calibri" w:hAnsi="Calibri" w:cs="Calibri"/>
          <w:color w:val="000000" w:themeColor="text1"/>
          <w:sz w:val="24"/>
          <w:szCs w:val="24"/>
        </w:rPr>
        <w:lastRenderedPageBreak/>
        <w:t>Por sua vez, com o início da 2ª fase do RRF, correspondente à sua prorrogação e de retomada dos pagamentos, o Estado passou a pagar mensalmente valores mensais crescentes, na proporção de 1/36 avos no 1º mês, 2/36 avos no 2º mês, e assim por diante, até o pagamento integral da parcela devida ao final da 2ª fase de 36 meses. Durante esse período adicional, os valores não pagos pelo Estado em decorrência dessa estrutura de pagamentos serão acumulados em outra Conta Gráfica, denominada “Conta Gráfica – RRF2”, para nova reincorporação ao saldo do programa de origem ao final da 2ª fase. Adicionalmente, cabe ressaltar que o Estado do Rio de Janeiro foi mantido no referido Regime em virtude da decisão judicial ACO 3.457 TP – RJ, de 24/12/2020.</w:t>
      </w:r>
    </w:p>
    <w:p w14:paraId="17E55394" w14:textId="37585F9D" w:rsidR="162E2D88" w:rsidRDefault="162E2D88" w:rsidP="25917DB9">
      <w:pPr>
        <w:ind w:firstLine="1418"/>
        <w:jc w:val="both"/>
      </w:pPr>
      <w:r w:rsidRPr="71B7BA98">
        <w:rPr>
          <w:rFonts w:ascii="Calibri" w:eastAsia="Calibri" w:hAnsi="Calibri" w:cs="Calibri"/>
          <w:color w:val="000000" w:themeColor="text1"/>
          <w:sz w:val="24"/>
          <w:szCs w:val="24"/>
        </w:rPr>
        <w:t xml:space="preserve">Nesse sentido, os créditos da Lei nº 9.496/1997 registrados em Conta Gráfica no âmbito do RRF apresentaram redução de (69,6%) em seu estoque, em decorrência do final da 1ª fase do RRF, e com a reincorporação total do saldo da Conta Gráfica - RRF </w:t>
      </w:r>
      <w:proofErr w:type="gramStart"/>
      <w:r w:rsidRPr="71B7BA98">
        <w:rPr>
          <w:rFonts w:ascii="Calibri" w:eastAsia="Calibri" w:hAnsi="Calibri" w:cs="Calibri"/>
          <w:color w:val="000000" w:themeColor="text1"/>
          <w:sz w:val="24"/>
          <w:szCs w:val="24"/>
        </w:rPr>
        <w:t>1</w:t>
      </w:r>
      <w:proofErr w:type="gramEnd"/>
      <w:r w:rsidRPr="71B7BA98">
        <w:rPr>
          <w:rFonts w:ascii="Calibri" w:eastAsia="Calibri" w:hAnsi="Calibri" w:cs="Calibri"/>
          <w:color w:val="000000" w:themeColor="text1"/>
          <w:sz w:val="24"/>
          <w:szCs w:val="24"/>
        </w:rPr>
        <w:t xml:space="preserve"> em setembro/2020. Assim, o saldo remanescente em 31/12/2020 corresponde apenas ao saldo da Conta Gráfica – RRF </w:t>
      </w:r>
      <w:proofErr w:type="gramStart"/>
      <w:r w:rsidRPr="71B7BA98">
        <w:rPr>
          <w:rFonts w:ascii="Calibri" w:eastAsia="Calibri" w:hAnsi="Calibri" w:cs="Calibri"/>
          <w:color w:val="000000" w:themeColor="text1"/>
          <w:sz w:val="24"/>
          <w:szCs w:val="24"/>
        </w:rPr>
        <w:t>2</w:t>
      </w:r>
      <w:proofErr w:type="gramEnd"/>
      <w:r w:rsidRPr="71B7BA98">
        <w:rPr>
          <w:rFonts w:ascii="Calibri" w:eastAsia="Calibri" w:hAnsi="Calibri" w:cs="Calibri"/>
          <w:color w:val="000000" w:themeColor="text1"/>
          <w:sz w:val="24"/>
          <w:szCs w:val="24"/>
        </w:rPr>
        <w:t>, para a Lei nº 9.496/1997.</w:t>
      </w:r>
    </w:p>
    <w:p w14:paraId="14E72B95" w14:textId="0392BF28" w:rsidR="162E2D88" w:rsidRDefault="162E2D88" w:rsidP="25917DB9">
      <w:pPr>
        <w:ind w:firstLine="1418"/>
        <w:jc w:val="both"/>
        <w:rPr>
          <w:rFonts w:ascii="Calibri" w:eastAsia="Calibri" w:hAnsi="Calibri" w:cs="Calibri"/>
          <w:color w:val="000000" w:themeColor="text1"/>
          <w:sz w:val="24"/>
          <w:szCs w:val="24"/>
        </w:rPr>
      </w:pPr>
      <w:r w:rsidRPr="71B7BA98">
        <w:rPr>
          <w:rFonts w:ascii="Calibri" w:eastAsia="Calibri" w:hAnsi="Calibri" w:cs="Calibri"/>
          <w:color w:val="000000" w:themeColor="text1"/>
          <w:sz w:val="24"/>
          <w:szCs w:val="24"/>
        </w:rPr>
        <w:t xml:space="preserve">Da mesma forma, para o contrato BACEN-BANERJ, a redução de (79,6%) no saldo devedor registrado em conta gráfica se deve ao final da 1ª fase do RRF, com a reincorporação total do saldo da Conta Gráfica - RRF </w:t>
      </w:r>
      <w:proofErr w:type="gramStart"/>
      <w:r w:rsidRPr="71B7BA98">
        <w:rPr>
          <w:rFonts w:ascii="Calibri" w:eastAsia="Calibri" w:hAnsi="Calibri" w:cs="Calibri"/>
          <w:color w:val="000000" w:themeColor="text1"/>
          <w:sz w:val="24"/>
          <w:szCs w:val="24"/>
        </w:rPr>
        <w:t>1</w:t>
      </w:r>
      <w:proofErr w:type="gramEnd"/>
      <w:r w:rsidRPr="71B7BA98">
        <w:rPr>
          <w:rFonts w:ascii="Calibri" w:eastAsia="Calibri" w:hAnsi="Calibri" w:cs="Calibri"/>
          <w:color w:val="000000" w:themeColor="text1"/>
          <w:sz w:val="24"/>
          <w:szCs w:val="24"/>
        </w:rPr>
        <w:t xml:space="preserve"> em setembro/2020, de forma que o saldo devedor de conta gráfica para o contrato em 31/12/2020 também corresponde somente ao saldo da Conta Gráfica – RRF 2.</w:t>
      </w:r>
    </w:p>
    <w:p w14:paraId="478E4D5E" w14:textId="4539B188" w:rsidR="25917DB9" w:rsidRDefault="162E2D88" w:rsidP="00BC2629">
      <w:pPr>
        <w:ind w:firstLine="1418"/>
        <w:jc w:val="both"/>
        <w:rPr>
          <w:rFonts w:ascii="Calibri" w:eastAsia="Calibri" w:hAnsi="Calibri" w:cs="Calibri"/>
          <w:color w:val="000000" w:themeColor="text1"/>
          <w:sz w:val="24"/>
          <w:szCs w:val="24"/>
        </w:rPr>
      </w:pPr>
      <w:r w:rsidRPr="71B7BA98">
        <w:rPr>
          <w:rFonts w:ascii="Calibri" w:eastAsia="Calibri" w:hAnsi="Calibri" w:cs="Calibri"/>
          <w:color w:val="000000" w:themeColor="text1"/>
          <w:sz w:val="24"/>
          <w:szCs w:val="24"/>
        </w:rPr>
        <w:t>No mais, destaca</w:t>
      </w:r>
      <w:r w:rsidR="00D66FF3">
        <w:rPr>
          <w:rFonts w:ascii="Calibri" w:eastAsia="Calibri" w:hAnsi="Calibri" w:cs="Calibri"/>
          <w:color w:val="000000" w:themeColor="text1"/>
          <w:sz w:val="24"/>
          <w:szCs w:val="24"/>
        </w:rPr>
        <w:t>-se</w:t>
      </w:r>
      <w:r w:rsidRPr="71B7BA98">
        <w:rPr>
          <w:rFonts w:ascii="Calibri" w:eastAsia="Calibri" w:hAnsi="Calibri" w:cs="Calibri"/>
          <w:color w:val="000000" w:themeColor="text1"/>
          <w:sz w:val="24"/>
          <w:szCs w:val="24"/>
        </w:rPr>
        <w:t xml:space="preserve"> a variação positiva de 26,45% no estoque global</w:t>
      </w:r>
      <w:r w:rsidRPr="637761CC">
        <w:rPr>
          <w:rStyle w:val="Refdenotaderodap"/>
          <w:rFonts w:ascii="Calibri" w:eastAsia="Calibri" w:hAnsi="Calibri" w:cs="Calibri"/>
          <w:color w:val="000000" w:themeColor="text1"/>
          <w:sz w:val="24"/>
          <w:szCs w:val="24"/>
        </w:rPr>
        <w:footnoteReference w:id="17"/>
      </w:r>
      <w:r w:rsidRPr="71B7BA98">
        <w:rPr>
          <w:rFonts w:ascii="Calibri" w:eastAsia="Calibri" w:hAnsi="Calibri" w:cs="Calibri"/>
          <w:color w:val="000000" w:themeColor="text1"/>
          <w:sz w:val="24"/>
          <w:szCs w:val="24"/>
        </w:rPr>
        <w:t xml:space="preserve"> do contrato BACEN-BANERJ, o qual passou de R$ 21,5 bilhões para 28,58 bilhões, em sua maior parte em decorrência do comportamento de seu indexador, o IGP-DI, o qual acumulou alta no ano de 23,08%. Por fim, o mecanismo de reincorporação da Conta Gráfica – RRF </w:t>
      </w:r>
      <w:proofErr w:type="gramStart"/>
      <w:r w:rsidRPr="71B7BA98">
        <w:rPr>
          <w:rFonts w:ascii="Calibri" w:eastAsia="Calibri" w:hAnsi="Calibri" w:cs="Calibri"/>
          <w:color w:val="000000" w:themeColor="text1"/>
          <w:sz w:val="24"/>
          <w:szCs w:val="24"/>
        </w:rPr>
        <w:t>1</w:t>
      </w:r>
      <w:proofErr w:type="gramEnd"/>
      <w:r w:rsidRPr="71B7BA98">
        <w:rPr>
          <w:rFonts w:ascii="Calibri" w:eastAsia="Calibri" w:hAnsi="Calibri" w:cs="Calibri"/>
          <w:color w:val="000000" w:themeColor="text1"/>
          <w:sz w:val="24"/>
          <w:szCs w:val="24"/>
        </w:rPr>
        <w:t xml:space="preserve"> ao saldo de principal do contrato BACEN-BANERJ explica a variação de 85,8% no saldo devedor da parcela desse ativo não registrada em conta gráfica. Esse efeito não foi verificado para a Lei nº 9.496/1997, visto que a carteira desse programa é composta de contratos devidos por vários Estados, o que não ocorre no caso do contrato BACEN-BANERJ, composto por um único contrato devido pelo Estado do Rio de Janeiro.</w:t>
      </w:r>
    </w:p>
    <w:p w14:paraId="241B0556" w14:textId="77777777" w:rsidR="002030A9" w:rsidRPr="00956292" w:rsidRDefault="002030A9" w:rsidP="002030A9">
      <w:pPr>
        <w:spacing w:after="120"/>
        <w:jc w:val="both"/>
        <w:rPr>
          <w:rFonts w:ascii="Calibri" w:eastAsia="Calibri" w:hAnsi="Calibri" w:cs="Calibri"/>
          <w:color w:val="000000" w:themeColor="text1"/>
          <w:sz w:val="24"/>
          <w:szCs w:val="24"/>
        </w:rPr>
      </w:pPr>
    </w:p>
    <w:p w14:paraId="480BF259" w14:textId="77777777" w:rsidR="008B5762" w:rsidRDefault="008B5762" w:rsidP="004B6E26">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Evolução e estimativas dos fluxos</w:t>
      </w:r>
    </w:p>
    <w:p w14:paraId="5A1570CB" w14:textId="2D8C314A" w:rsidR="0062543E" w:rsidRPr="00370403" w:rsidRDefault="008B5762" w:rsidP="00370403">
      <w:pPr>
        <w:ind w:firstLine="1560"/>
        <w:jc w:val="both"/>
        <w:rPr>
          <w:rFonts w:ascii="Calibri" w:eastAsia="Calibri" w:hAnsi="Calibri" w:cs="Calibri"/>
          <w:color w:val="000000" w:themeColor="text1"/>
          <w:sz w:val="24"/>
          <w:szCs w:val="24"/>
        </w:rPr>
      </w:pPr>
      <w:r w:rsidRPr="00370403">
        <w:rPr>
          <w:rFonts w:ascii="Calibri" w:eastAsia="Calibri" w:hAnsi="Calibri" w:cs="Calibri"/>
          <w:color w:val="000000" w:themeColor="text1"/>
          <w:sz w:val="24"/>
          <w:szCs w:val="24"/>
        </w:rPr>
        <w:t>Quanto à evolução dos fluxos, a</w:t>
      </w:r>
      <w:r w:rsidR="00370403" w:rsidRPr="00370403">
        <w:rPr>
          <w:rFonts w:ascii="Calibri" w:eastAsia="Calibri" w:hAnsi="Calibri" w:cs="Calibri"/>
          <w:color w:val="000000" w:themeColor="text1"/>
          <w:sz w:val="24"/>
          <w:szCs w:val="24"/>
        </w:rPr>
        <w:t xml:space="preserve"> </w:t>
      </w:r>
      <w:r w:rsidR="00370403" w:rsidRPr="00370403">
        <w:rPr>
          <w:rFonts w:ascii="Calibri" w:eastAsia="Calibri" w:hAnsi="Calibri" w:cs="Calibri"/>
          <w:color w:val="000000" w:themeColor="text1"/>
          <w:sz w:val="24"/>
          <w:szCs w:val="24"/>
        </w:rPr>
        <w:fldChar w:fldCharType="begin"/>
      </w:r>
      <w:r w:rsidR="00370403" w:rsidRPr="00370403">
        <w:rPr>
          <w:rFonts w:ascii="Calibri" w:eastAsia="Calibri" w:hAnsi="Calibri" w:cs="Calibri"/>
          <w:color w:val="000000" w:themeColor="text1"/>
          <w:sz w:val="24"/>
          <w:szCs w:val="24"/>
        </w:rPr>
        <w:instrText xml:space="preserve"> REF _Ref67925946 \h  \* MERGEFORMAT </w:instrText>
      </w:r>
      <w:r w:rsidR="00370403" w:rsidRPr="00370403">
        <w:rPr>
          <w:rFonts w:ascii="Calibri" w:eastAsia="Calibri" w:hAnsi="Calibri" w:cs="Calibri"/>
          <w:color w:val="000000" w:themeColor="text1"/>
          <w:sz w:val="24"/>
          <w:szCs w:val="24"/>
        </w:rPr>
      </w:r>
      <w:r w:rsidR="00370403" w:rsidRPr="00370403">
        <w:rPr>
          <w:rFonts w:ascii="Calibri" w:eastAsia="Calibri" w:hAnsi="Calibri" w:cs="Calibri"/>
          <w:color w:val="000000" w:themeColor="text1"/>
          <w:sz w:val="24"/>
          <w:szCs w:val="24"/>
        </w:rPr>
        <w:fldChar w:fldCharType="separate"/>
      </w:r>
      <w:r w:rsidR="00304F5F" w:rsidRPr="00304F5F">
        <w:rPr>
          <w:rFonts w:ascii="Calibri" w:eastAsia="Calibri" w:hAnsi="Calibri" w:cs="Calibri"/>
          <w:color w:val="000000" w:themeColor="text1"/>
          <w:sz w:val="24"/>
          <w:szCs w:val="24"/>
        </w:rPr>
        <w:t>Tabela 42</w:t>
      </w:r>
      <w:r w:rsidR="00370403" w:rsidRPr="00370403">
        <w:rPr>
          <w:rFonts w:ascii="Calibri" w:eastAsia="Calibri" w:hAnsi="Calibri" w:cs="Calibri"/>
          <w:color w:val="000000" w:themeColor="text1"/>
          <w:sz w:val="24"/>
          <w:szCs w:val="24"/>
        </w:rPr>
        <w:fldChar w:fldCharType="end"/>
      </w:r>
      <w:r w:rsidR="00370403" w:rsidRPr="00370403">
        <w:rPr>
          <w:rFonts w:ascii="Calibri" w:eastAsia="Calibri" w:hAnsi="Calibri" w:cs="Calibri"/>
          <w:color w:val="000000" w:themeColor="text1"/>
          <w:sz w:val="24"/>
          <w:szCs w:val="24"/>
        </w:rPr>
        <w:t xml:space="preserve"> </w:t>
      </w:r>
      <w:r w:rsidRPr="00370403">
        <w:rPr>
          <w:rFonts w:ascii="Calibri" w:eastAsia="Calibri" w:hAnsi="Calibri" w:cs="Calibri"/>
          <w:color w:val="000000" w:themeColor="text1"/>
          <w:sz w:val="24"/>
          <w:szCs w:val="24"/>
        </w:rPr>
        <w:t xml:space="preserve">apresenta uma comparação entre os fluxos, estimados e realizados, por exercício, segundo </w:t>
      </w:r>
      <w:r w:rsidR="0026739B" w:rsidRPr="00370403">
        <w:rPr>
          <w:rFonts w:ascii="Calibri" w:eastAsia="Calibri" w:hAnsi="Calibri" w:cs="Calibri"/>
          <w:color w:val="000000" w:themeColor="text1"/>
          <w:sz w:val="24"/>
          <w:szCs w:val="24"/>
        </w:rPr>
        <w:t>ativo/programa</w:t>
      </w:r>
      <w:r w:rsidRPr="00370403">
        <w:rPr>
          <w:rFonts w:ascii="Calibri" w:eastAsia="Calibri" w:hAnsi="Calibri" w:cs="Calibri"/>
          <w:color w:val="000000" w:themeColor="text1"/>
          <w:sz w:val="24"/>
          <w:szCs w:val="24"/>
        </w:rPr>
        <w:t xml:space="preserve"> </w:t>
      </w:r>
      <w:proofErr w:type="gramStart"/>
      <w:r w:rsidRPr="00370403">
        <w:rPr>
          <w:rFonts w:ascii="Calibri" w:eastAsia="Calibri" w:hAnsi="Calibri" w:cs="Calibri"/>
          <w:color w:val="000000" w:themeColor="text1"/>
          <w:sz w:val="24"/>
          <w:szCs w:val="24"/>
        </w:rPr>
        <w:t>sob gestão</w:t>
      </w:r>
      <w:proofErr w:type="gramEnd"/>
      <w:r w:rsidRPr="00370403">
        <w:rPr>
          <w:rFonts w:ascii="Calibri" w:eastAsia="Calibri" w:hAnsi="Calibri" w:cs="Calibri"/>
          <w:color w:val="000000" w:themeColor="text1"/>
          <w:sz w:val="24"/>
          <w:szCs w:val="24"/>
        </w:rPr>
        <w:t xml:space="preserve"> da STN.</w:t>
      </w:r>
    </w:p>
    <w:p w14:paraId="7EC3B10F" w14:textId="4E57BFD5" w:rsidR="006E2E51" w:rsidRPr="00D71BE5" w:rsidRDefault="008B5762" w:rsidP="00194373">
      <w:pPr>
        <w:pStyle w:val="Legenda"/>
        <w:spacing w:before="240" w:after="120"/>
        <w:jc w:val="center"/>
        <w:rPr>
          <w:rFonts w:asciiTheme="minorHAnsi" w:hAnsiTheme="minorHAnsi"/>
          <w:i w:val="0"/>
          <w:iCs w:val="0"/>
          <w:color w:val="000000" w:themeColor="text1"/>
          <w:sz w:val="22"/>
          <w:szCs w:val="22"/>
        </w:rPr>
      </w:pPr>
      <w:bookmarkStart w:id="345" w:name="_Ref67925946"/>
      <w:bookmarkStart w:id="346" w:name="_Toc69121388"/>
      <w:r w:rsidRPr="003D7924">
        <w:rPr>
          <w:rFonts w:asciiTheme="minorHAnsi" w:hAnsiTheme="minorHAnsi"/>
          <w:i w:val="0"/>
          <w:color w:val="000000" w:themeColor="text1"/>
          <w:sz w:val="22"/>
          <w:szCs w:val="22"/>
        </w:rPr>
        <w:t xml:space="preserve">Tabela </w:t>
      </w:r>
      <w:r w:rsidRPr="003D7924">
        <w:rPr>
          <w:rFonts w:asciiTheme="minorHAnsi" w:hAnsiTheme="minorHAnsi"/>
          <w:i w:val="0"/>
          <w:color w:val="000000" w:themeColor="text1"/>
          <w:sz w:val="22"/>
          <w:szCs w:val="22"/>
        </w:rPr>
        <w:fldChar w:fldCharType="begin"/>
      </w:r>
      <w:r w:rsidRPr="7CF53619">
        <w:rPr>
          <w:rFonts w:asciiTheme="minorHAnsi" w:hAnsiTheme="minorHAnsi"/>
          <w:i w:val="0"/>
          <w:iCs w:val="0"/>
          <w:color w:val="auto"/>
          <w:sz w:val="22"/>
          <w:szCs w:val="22"/>
        </w:rPr>
        <w:instrText xml:space="preserve"> SEQ Tabela \* ARABIC </w:instrText>
      </w:r>
      <w:r w:rsidRPr="003D7924">
        <w:rPr>
          <w:rFonts w:asciiTheme="minorHAnsi" w:hAnsiTheme="minorHAnsi"/>
          <w:i w:val="0"/>
          <w:color w:val="000000" w:themeColor="text1"/>
          <w:sz w:val="22"/>
          <w:szCs w:val="22"/>
        </w:rPr>
        <w:fldChar w:fldCharType="separate"/>
      </w:r>
      <w:r w:rsidR="00304F5F">
        <w:rPr>
          <w:rFonts w:asciiTheme="minorHAnsi" w:hAnsiTheme="minorHAnsi"/>
          <w:i w:val="0"/>
          <w:iCs w:val="0"/>
          <w:noProof/>
          <w:color w:val="auto"/>
          <w:sz w:val="22"/>
          <w:szCs w:val="22"/>
        </w:rPr>
        <w:t>42</w:t>
      </w:r>
      <w:r w:rsidRPr="003D7924">
        <w:rPr>
          <w:rFonts w:asciiTheme="minorHAnsi" w:hAnsiTheme="minorHAnsi"/>
          <w:i w:val="0"/>
          <w:color w:val="000000" w:themeColor="text1"/>
          <w:sz w:val="22"/>
          <w:szCs w:val="22"/>
        </w:rPr>
        <w:fldChar w:fldCharType="end"/>
      </w:r>
      <w:bookmarkEnd w:id="345"/>
      <w:r w:rsidR="00E432F8" w:rsidRPr="003D7924">
        <w:rPr>
          <w:rFonts w:asciiTheme="minorHAnsi" w:hAnsiTheme="minorHAnsi"/>
          <w:i w:val="0"/>
          <w:iCs w:val="0"/>
          <w:color w:val="000000" w:themeColor="text1"/>
          <w:sz w:val="22"/>
          <w:szCs w:val="22"/>
        </w:rPr>
        <w:t xml:space="preserve"> - Comparação entre os fluxos, estimados e realizados, segundo ativo/</w:t>
      </w:r>
      <w:proofErr w:type="gramStart"/>
      <w:r w:rsidR="00E432F8" w:rsidRPr="003D7924">
        <w:rPr>
          <w:rFonts w:asciiTheme="minorHAnsi" w:hAnsiTheme="minorHAnsi"/>
          <w:i w:val="0"/>
          <w:iCs w:val="0"/>
          <w:color w:val="000000" w:themeColor="text1"/>
          <w:sz w:val="22"/>
          <w:szCs w:val="22"/>
        </w:rPr>
        <w:t>programa</w:t>
      </w:r>
      <w:bookmarkEnd w:id="346"/>
      <w:proofErr w:type="gramEnd"/>
    </w:p>
    <w:tbl>
      <w:tblPr>
        <w:tblW w:w="8504" w:type="dxa"/>
        <w:jc w:val="center"/>
        <w:tblCellMar>
          <w:left w:w="70" w:type="dxa"/>
          <w:right w:w="70" w:type="dxa"/>
        </w:tblCellMar>
        <w:tblLook w:val="04A0" w:firstRow="1" w:lastRow="0" w:firstColumn="1" w:lastColumn="0" w:noHBand="0" w:noVBand="1"/>
      </w:tblPr>
      <w:tblGrid>
        <w:gridCol w:w="4188"/>
        <w:gridCol w:w="269"/>
        <w:gridCol w:w="1337"/>
        <w:gridCol w:w="1368"/>
        <w:gridCol w:w="1342"/>
      </w:tblGrid>
      <w:tr w:rsidR="0015177C" w:rsidRPr="00E06845" w14:paraId="3A61D85C" w14:textId="77777777" w:rsidTr="00BA42B9">
        <w:trPr>
          <w:trHeight w:val="20"/>
          <w:tblHeader/>
          <w:jc w:val="center"/>
        </w:trPr>
        <w:tc>
          <w:tcPr>
            <w:tcW w:w="8504" w:type="dxa"/>
            <w:gridSpan w:val="5"/>
            <w:tcBorders>
              <w:top w:val="nil"/>
              <w:left w:val="nil"/>
              <w:bottom w:val="single" w:sz="4" w:space="0" w:color="BFBFBF" w:themeColor="background1" w:themeShade="BF"/>
              <w:right w:val="nil"/>
            </w:tcBorders>
            <w:shd w:val="clear" w:color="auto" w:fill="auto"/>
            <w:noWrap/>
            <w:vAlign w:val="bottom"/>
            <w:hideMark/>
          </w:tcPr>
          <w:p w14:paraId="0EF3CF3C" w14:textId="77777777" w:rsidR="0015177C" w:rsidRPr="0015177C" w:rsidRDefault="0015177C" w:rsidP="00E06845">
            <w:pPr>
              <w:spacing w:after="0" w:line="240" w:lineRule="auto"/>
              <w:jc w:val="right"/>
              <w:rPr>
                <w:rFonts w:eastAsia="Times New Roman" w:cstheme="minorHAnsi"/>
                <w:i/>
                <w:iCs/>
                <w:color w:val="000000"/>
                <w:sz w:val="16"/>
                <w:szCs w:val="16"/>
                <w:lang w:eastAsia="pt-BR"/>
              </w:rPr>
            </w:pPr>
            <w:r w:rsidRPr="0015177C">
              <w:rPr>
                <w:rFonts w:eastAsia="Times New Roman" w:cstheme="minorHAnsi"/>
                <w:i/>
                <w:iCs/>
                <w:color w:val="000000"/>
                <w:sz w:val="16"/>
                <w:szCs w:val="16"/>
                <w:lang w:eastAsia="pt-BR"/>
              </w:rPr>
              <w:t>Em R$ milhões</w:t>
            </w:r>
          </w:p>
        </w:tc>
      </w:tr>
      <w:tr w:rsidR="00E06845" w:rsidRPr="00E06845" w14:paraId="4AF2122D" w14:textId="77777777" w:rsidTr="00BA42B9">
        <w:trPr>
          <w:trHeight w:val="909"/>
          <w:tblHeader/>
          <w:jc w:val="center"/>
        </w:trPr>
        <w:tc>
          <w:tcPr>
            <w:tcW w:w="418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vAlign w:val="center"/>
            <w:hideMark/>
          </w:tcPr>
          <w:p w14:paraId="56B617AA" w14:textId="293D6A62" w:rsidR="00E06845" w:rsidRPr="00BA42B9" w:rsidRDefault="00E06845" w:rsidP="00E06845">
            <w:pPr>
              <w:spacing w:after="0" w:line="240" w:lineRule="auto"/>
              <w:jc w:val="center"/>
              <w:rPr>
                <w:rFonts w:eastAsia="Times New Roman" w:cstheme="minorHAnsi"/>
                <w:b/>
                <w:bCs/>
                <w:color w:val="FFFFFF"/>
                <w:sz w:val="20"/>
                <w:szCs w:val="20"/>
                <w:lang w:eastAsia="pt-BR"/>
              </w:rPr>
            </w:pPr>
            <w:r w:rsidRPr="00BA42B9">
              <w:rPr>
                <w:rFonts w:eastAsia="Times New Roman" w:cstheme="minorHAnsi"/>
                <w:b/>
                <w:bCs/>
                <w:color w:val="FFFFFF"/>
                <w:sz w:val="20"/>
                <w:szCs w:val="20"/>
                <w:lang w:eastAsia="pt-BR"/>
              </w:rPr>
              <w:t>Ativo</w:t>
            </w:r>
            <w:r w:rsidR="0015177C" w:rsidRPr="00BA42B9">
              <w:rPr>
                <w:rFonts w:eastAsia="Times New Roman" w:cstheme="minorHAnsi"/>
                <w:b/>
                <w:bCs/>
                <w:color w:val="FFFFFF"/>
                <w:sz w:val="20"/>
                <w:szCs w:val="20"/>
                <w:lang w:eastAsia="pt-BR"/>
              </w:rPr>
              <w:t xml:space="preserve"> </w:t>
            </w:r>
            <w:r w:rsidRPr="00BA42B9">
              <w:rPr>
                <w:rFonts w:eastAsia="Times New Roman" w:cstheme="minorHAnsi"/>
                <w:b/>
                <w:bCs/>
                <w:color w:val="FFFFFF"/>
                <w:sz w:val="20"/>
                <w:szCs w:val="20"/>
                <w:lang w:eastAsia="pt-BR"/>
              </w:rPr>
              <w:t>/ Programa</w:t>
            </w:r>
          </w:p>
        </w:tc>
        <w:tc>
          <w:tcPr>
            <w:tcW w:w="431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tcPr>
          <w:p w14:paraId="242ABB86" w14:textId="77777777" w:rsidR="00E06845" w:rsidRPr="00BA42B9" w:rsidRDefault="00E06845" w:rsidP="00E06845">
            <w:pPr>
              <w:spacing w:after="0" w:line="240" w:lineRule="auto"/>
              <w:jc w:val="center"/>
              <w:rPr>
                <w:rFonts w:eastAsia="Times New Roman" w:cstheme="minorHAnsi"/>
                <w:b/>
                <w:bCs/>
                <w:color w:val="FFFFFF"/>
                <w:sz w:val="20"/>
                <w:szCs w:val="20"/>
                <w:lang w:eastAsia="pt-BR"/>
              </w:rPr>
            </w:pPr>
            <w:r w:rsidRPr="00BA42B9">
              <w:rPr>
                <w:rFonts w:eastAsia="Times New Roman" w:cstheme="minorHAnsi"/>
                <w:b/>
                <w:bCs/>
                <w:color w:val="FFFFFF"/>
                <w:sz w:val="20"/>
                <w:szCs w:val="20"/>
                <w:lang w:eastAsia="pt-BR"/>
              </w:rPr>
              <w:t>Fluxo</w:t>
            </w:r>
          </w:p>
          <w:p w14:paraId="2423FBB5" w14:textId="77777777" w:rsidR="00E06845" w:rsidRPr="00BA42B9" w:rsidRDefault="00E06845" w:rsidP="00E06845">
            <w:pPr>
              <w:spacing w:after="0" w:line="240" w:lineRule="auto"/>
              <w:jc w:val="center"/>
              <w:rPr>
                <w:rFonts w:eastAsia="Times New Roman" w:cstheme="minorHAnsi"/>
                <w:color w:val="FFFFFF"/>
                <w:sz w:val="20"/>
                <w:szCs w:val="20"/>
                <w:lang w:eastAsia="pt-BR"/>
              </w:rPr>
            </w:pPr>
            <w:r w:rsidRPr="00BA42B9">
              <w:rPr>
                <w:rFonts w:eastAsia="Times New Roman" w:cstheme="minorHAnsi"/>
                <w:color w:val="FFFFFF"/>
                <w:sz w:val="20"/>
                <w:szCs w:val="20"/>
                <w:lang w:eastAsia="pt-BR"/>
              </w:rPr>
              <w:t>Valor Estimado (E)</w:t>
            </w:r>
          </w:p>
          <w:p w14:paraId="137C09BA" w14:textId="346E631E" w:rsidR="00E06845" w:rsidRPr="00BA42B9" w:rsidRDefault="00E06845" w:rsidP="00E06845">
            <w:pPr>
              <w:spacing w:after="0" w:line="240" w:lineRule="auto"/>
              <w:jc w:val="center"/>
              <w:rPr>
                <w:rFonts w:eastAsia="Times New Roman" w:cstheme="minorHAnsi"/>
                <w:color w:val="FFFFFF"/>
                <w:sz w:val="20"/>
                <w:szCs w:val="20"/>
                <w:lang w:eastAsia="pt-BR"/>
              </w:rPr>
            </w:pPr>
            <w:r w:rsidRPr="00BA42B9">
              <w:rPr>
                <w:rFonts w:eastAsia="Times New Roman" w:cstheme="minorHAnsi"/>
                <w:color w:val="FFFFFF"/>
                <w:sz w:val="20"/>
                <w:szCs w:val="20"/>
                <w:lang w:eastAsia="pt-BR"/>
              </w:rPr>
              <w:t>Valor Realizado (</w:t>
            </w:r>
            <w:r w:rsidR="0015177C" w:rsidRPr="00BA42B9">
              <w:rPr>
                <w:rFonts w:eastAsia="Times New Roman" w:cstheme="minorHAnsi"/>
                <w:color w:val="FFFFFF"/>
                <w:sz w:val="20"/>
                <w:szCs w:val="20"/>
                <w:lang w:eastAsia="pt-BR"/>
              </w:rPr>
              <w:t>R</w:t>
            </w:r>
            <w:r w:rsidRPr="00BA42B9">
              <w:rPr>
                <w:rFonts w:eastAsia="Times New Roman" w:cstheme="minorHAnsi"/>
                <w:color w:val="FFFFFF"/>
                <w:sz w:val="20"/>
                <w:szCs w:val="20"/>
                <w:lang w:eastAsia="pt-BR"/>
              </w:rPr>
              <w:t>)</w:t>
            </w:r>
          </w:p>
          <w:p w14:paraId="55B990BA" w14:textId="7FAADCC3" w:rsidR="00E06845" w:rsidRPr="00BA42B9" w:rsidRDefault="00E06845" w:rsidP="00E06845">
            <w:pPr>
              <w:spacing w:after="0" w:line="240" w:lineRule="auto"/>
              <w:jc w:val="center"/>
              <w:rPr>
                <w:rFonts w:eastAsia="Times New Roman" w:cstheme="minorHAnsi"/>
                <w:b/>
                <w:bCs/>
                <w:color w:val="FFFFFF"/>
                <w:sz w:val="20"/>
                <w:szCs w:val="20"/>
                <w:lang w:eastAsia="pt-BR"/>
              </w:rPr>
            </w:pPr>
            <w:r w:rsidRPr="00BA42B9">
              <w:rPr>
                <w:rFonts w:eastAsia="Times New Roman" w:cstheme="minorHAnsi"/>
                <w:color w:val="FFFFFF"/>
                <w:sz w:val="20"/>
                <w:szCs w:val="20"/>
                <w:lang w:eastAsia="pt-BR"/>
              </w:rPr>
              <w:t>Variação</w:t>
            </w:r>
            <w:r w:rsidR="00FD638E">
              <w:rPr>
                <w:rFonts w:eastAsia="Times New Roman" w:cstheme="minorHAnsi"/>
                <w:color w:val="FFFFFF"/>
                <w:sz w:val="20"/>
                <w:szCs w:val="20"/>
                <w:lang w:eastAsia="pt-BR"/>
              </w:rPr>
              <w:t xml:space="preserve"> </w:t>
            </w:r>
            <w:r w:rsidR="008965A5">
              <w:rPr>
                <w:rFonts w:eastAsia="Times New Roman" w:cstheme="minorHAnsi"/>
                <w:color w:val="FFFFFF"/>
                <w:sz w:val="20"/>
                <w:szCs w:val="20"/>
                <w:vertAlign w:val="superscript"/>
                <w:lang w:eastAsia="pt-BR"/>
              </w:rPr>
              <w:t>(1)</w:t>
            </w:r>
            <w:r w:rsidRPr="00BA42B9">
              <w:rPr>
                <w:rFonts w:eastAsia="Times New Roman" w:cstheme="minorHAnsi"/>
                <w:color w:val="FFFFFF"/>
                <w:sz w:val="20"/>
                <w:szCs w:val="20"/>
                <w:vertAlign w:val="superscript"/>
                <w:lang w:eastAsia="pt-BR"/>
              </w:rPr>
              <w:t xml:space="preserve"> </w:t>
            </w:r>
            <w:r w:rsidRPr="00BA42B9">
              <w:rPr>
                <w:rFonts w:eastAsia="Times New Roman" w:cstheme="minorHAnsi"/>
                <w:color w:val="FFFFFF"/>
                <w:sz w:val="20"/>
                <w:szCs w:val="20"/>
                <w:lang w:eastAsia="pt-BR"/>
              </w:rPr>
              <w:t>(%)</w:t>
            </w:r>
          </w:p>
        </w:tc>
      </w:tr>
      <w:tr w:rsidR="00D71BE5" w:rsidRPr="00E06845" w14:paraId="6F152511" w14:textId="77777777" w:rsidTr="00BA42B9">
        <w:trPr>
          <w:trHeight w:val="20"/>
          <w:tblHeader/>
          <w:jc w:val="center"/>
        </w:trPr>
        <w:tc>
          <w:tcPr>
            <w:tcW w:w="418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E5909E" w14:textId="77777777" w:rsidR="00D71BE5" w:rsidRPr="00BA42B9" w:rsidRDefault="00D71BE5" w:rsidP="00E06845">
            <w:pPr>
              <w:spacing w:after="0" w:line="240" w:lineRule="auto"/>
              <w:rPr>
                <w:rFonts w:eastAsia="Times New Roman" w:cstheme="minorHAnsi"/>
                <w:b/>
                <w:bCs/>
                <w:color w:val="FFFFFF"/>
                <w:sz w:val="20"/>
                <w:szCs w:val="20"/>
                <w:lang w:eastAsia="pt-BR"/>
              </w:rPr>
            </w:pPr>
          </w:p>
        </w:tc>
        <w:tc>
          <w:tcPr>
            <w:tcW w:w="2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tcPr>
          <w:p w14:paraId="48E9EFAA" w14:textId="77777777" w:rsidR="00D71BE5" w:rsidRPr="00BA42B9" w:rsidRDefault="00D71BE5" w:rsidP="00E06845">
            <w:pPr>
              <w:spacing w:after="0" w:line="240" w:lineRule="auto"/>
              <w:jc w:val="center"/>
              <w:rPr>
                <w:rFonts w:eastAsia="Times New Roman" w:cstheme="minorHAnsi"/>
                <w:b/>
                <w:bCs/>
                <w:color w:val="FFFFFF"/>
                <w:sz w:val="20"/>
                <w:szCs w:val="20"/>
                <w:lang w:eastAsia="pt-BR"/>
              </w:rPr>
            </w:pPr>
          </w:p>
        </w:tc>
        <w:tc>
          <w:tcPr>
            <w:tcW w:w="1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noWrap/>
            <w:vAlign w:val="center"/>
            <w:hideMark/>
          </w:tcPr>
          <w:p w14:paraId="519C26BF" w14:textId="77777777" w:rsidR="00D71BE5" w:rsidRPr="00BA42B9" w:rsidRDefault="00D71BE5" w:rsidP="00E06845">
            <w:pPr>
              <w:spacing w:after="0" w:line="240" w:lineRule="auto"/>
              <w:jc w:val="center"/>
              <w:rPr>
                <w:rFonts w:eastAsia="Times New Roman" w:cstheme="minorHAnsi"/>
                <w:b/>
                <w:bCs/>
                <w:color w:val="FFFFFF"/>
                <w:sz w:val="20"/>
                <w:szCs w:val="20"/>
                <w:lang w:eastAsia="pt-BR"/>
              </w:rPr>
            </w:pPr>
            <w:r w:rsidRPr="00BA42B9">
              <w:rPr>
                <w:rFonts w:eastAsia="Times New Roman" w:cstheme="minorHAnsi"/>
                <w:b/>
                <w:bCs/>
                <w:color w:val="FFFFFF"/>
                <w:sz w:val="20"/>
                <w:szCs w:val="20"/>
                <w:lang w:eastAsia="pt-BR"/>
              </w:rPr>
              <w:t>2018</w:t>
            </w:r>
          </w:p>
        </w:tc>
        <w:tc>
          <w:tcPr>
            <w:tcW w:w="13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noWrap/>
            <w:vAlign w:val="center"/>
            <w:hideMark/>
          </w:tcPr>
          <w:p w14:paraId="6E874CFE" w14:textId="77777777" w:rsidR="00D71BE5" w:rsidRPr="00BA42B9" w:rsidRDefault="00D71BE5" w:rsidP="00E06845">
            <w:pPr>
              <w:spacing w:after="0" w:line="240" w:lineRule="auto"/>
              <w:jc w:val="center"/>
              <w:rPr>
                <w:rFonts w:eastAsia="Times New Roman" w:cstheme="minorHAnsi"/>
                <w:b/>
                <w:bCs/>
                <w:color w:val="FFFFFF"/>
                <w:sz w:val="20"/>
                <w:szCs w:val="20"/>
                <w:lang w:eastAsia="pt-BR"/>
              </w:rPr>
            </w:pPr>
            <w:r w:rsidRPr="00BA42B9">
              <w:rPr>
                <w:rFonts w:eastAsia="Times New Roman" w:cstheme="minorHAnsi"/>
                <w:b/>
                <w:bCs/>
                <w:color w:val="FFFFFF"/>
                <w:sz w:val="20"/>
                <w:szCs w:val="20"/>
                <w:lang w:eastAsia="pt-BR"/>
              </w:rPr>
              <w:t>2019</w:t>
            </w:r>
          </w:p>
        </w:tc>
        <w:tc>
          <w:tcPr>
            <w:tcW w:w="13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404040"/>
            <w:noWrap/>
            <w:vAlign w:val="center"/>
            <w:hideMark/>
          </w:tcPr>
          <w:p w14:paraId="57A1A3C8" w14:textId="77777777" w:rsidR="00D71BE5" w:rsidRPr="00BA42B9" w:rsidRDefault="00D71BE5" w:rsidP="00E06845">
            <w:pPr>
              <w:spacing w:after="0" w:line="240" w:lineRule="auto"/>
              <w:jc w:val="center"/>
              <w:rPr>
                <w:rFonts w:eastAsia="Times New Roman" w:cstheme="minorHAnsi"/>
                <w:b/>
                <w:bCs/>
                <w:color w:val="FFFFFF"/>
                <w:sz w:val="20"/>
                <w:szCs w:val="20"/>
                <w:lang w:eastAsia="pt-BR"/>
              </w:rPr>
            </w:pPr>
            <w:r w:rsidRPr="00BA42B9">
              <w:rPr>
                <w:rFonts w:eastAsia="Times New Roman" w:cstheme="minorHAnsi"/>
                <w:b/>
                <w:bCs/>
                <w:color w:val="FFFFFF"/>
                <w:sz w:val="20"/>
                <w:szCs w:val="20"/>
                <w:lang w:eastAsia="pt-BR"/>
              </w:rPr>
              <w:t>2020</w:t>
            </w:r>
          </w:p>
        </w:tc>
      </w:tr>
      <w:tr w:rsidR="00D71BE5" w:rsidRPr="00E06845" w14:paraId="3AABED1A" w14:textId="77777777" w:rsidTr="0015177C">
        <w:trPr>
          <w:trHeight w:val="20"/>
          <w:jc w:val="center"/>
        </w:trPr>
        <w:tc>
          <w:tcPr>
            <w:tcW w:w="4188" w:type="dxa"/>
            <w:vMerge w:val="restart"/>
            <w:tcBorders>
              <w:top w:val="single" w:sz="4" w:space="0" w:color="BFBFBF" w:themeColor="background1" w:themeShade="BF"/>
              <w:left w:val="single" w:sz="4" w:space="0" w:color="BFBFBF"/>
              <w:bottom w:val="single" w:sz="4" w:space="0" w:color="BFBFBF"/>
              <w:right w:val="single" w:sz="4" w:space="0" w:color="A6A6A6" w:themeColor="background1" w:themeShade="A6"/>
            </w:tcBorders>
            <w:shd w:val="clear" w:color="000000" w:fill="F2F2F2"/>
            <w:vAlign w:val="center"/>
            <w:hideMark/>
          </w:tcPr>
          <w:p w14:paraId="193BEF38"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Ac. Brasil-França</w:t>
            </w:r>
          </w:p>
        </w:tc>
        <w:tc>
          <w:tcPr>
            <w:tcW w:w="269" w:type="dxa"/>
            <w:tcBorders>
              <w:top w:val="single" w:sz="4" w:space="0" w:color="BFBFBF" w:themeColor="background1" w:themeShade="BF"/>
              <w:left w:val="single" w:sz="4" w:space="0" w:color="A6A6A6" w:themeColor="background1" w:themeShade="A6"/>
              <w:right w:val="single" w:sz="4" w:space="0" w:color="A6A6A6" w:themeColor="background1" w:themeShade="A6"/>
            </w:tcBorders>
            <w:shd w:val="clear" w:color="000000" w:fill="F2F2F2"/>
            <w:vAlign w:val="center"/>
          </w:tcPr>
          <w:p w14:paraId="2B54FC81" w14:textId="77777777" w:rsidR="00D71BE5" w:rsidRPr="00E06845" w:rsidRDefault="00D71BE5" w:rsidP="00E06845">
            <w:pPr>
              <w:spacing w:after="0" w:line="240" w:lineRule="auto"/>
              <w:jc w:val="center"/>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single" w:sz="4" w:space="0" w:color="BFBFBF" w:themeColor="background1" w:themeShade="BF"/>
              <w:left w:val="single" w:sz="4" w:space="0" w:color="A6A6A6" w:themeColor="background1" w:themeShade="A6"/>
              <w:right w:val="single" w:sz="4" w:space="0" w:color="BFBFBF"/>
            </w:tcBorders>
            <w:shd w:val="clear" w:color="000000" w:fill="F2F2F2"/>
            <w:noWrap/>
            <w:hideMark/>
          </w:tcPr>
          <w:p w14:paraId="7667AD70"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4,4</w:t>
            </w:r>
          </w:p>
        </w:tc>
        <w:tc>
          <w:tcPr>
            <w:tcW w:w="1368" w:type="dxa"/>
            <w:tcBorders>
              <w:top w:val="single" w:sz="4" w:space="0" w:color="BFBFBF" w:themeColor="background1" w:themeShade="BF"/>
              <w:left w:val="nil"/>
              <w:right w:val="single" w:sz="4" w:space="0" w:color="BFBFBF"/>
            </w:tcBorders>
            <w:shd w:val="clear" w:color="000000" w:fill="F2F2F2"/>
            <w:noWrap/>
            <w:hideMark/>
          </w:tcPr>
          <w:p w14:paraId="027593F5"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4,1</w:t>
            </w:r>
          </w:p>
        </w:tc>
        <w:tc>
          <w:tcPr>
            <w:tcW w:w="1342" w:type="dxa"/>
            <w:tcBorders>
              <w:top w:val="single" w:sz="4" w:space="0" w:color="BFBFBF" w:themeColor="background1" w:themeShade="BF"/>
              <w:left w:val="nil"/>
              <w:right w:val="single" w:sz="4" w:space="0" w:color="BFBFBF"/>
            </w:tcBorders>
            <w:shd w:val="clear" w:color="000000" w:fill="F2F2F2"/>
            <w:noWrap/>
            <w:hideMark/>
          </w:tcPr>
          <w:p w14:paraId="73B9D1A0"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5,9</w:t>
            </w:r>
          </w:p>
        </w:tc>
      </w:tr>
      <w:tr w:rsidR="00D71BE5" w:rsidRPr="00E06845" w14:paraId="5813CAEE"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70B3C04E"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shd w:val="clear" w:color="000000" w:fill="F2F2F2"/>
            <w:vAlign w:val="center"/>
          </w:tcPr>
          <w:p w14:paraId="3AE56394" w14:textId="77777777" w:rsidR="00D71BE5" w:rsidRPr="00E06845" w:rsidRDefault="00D71BE5" w:rsidP="00E06845">
            <w:pPr>
              <w:spacing w:after="0" w:line="240" w:lineRule="auto"/>
              <w:jc w:val="center"/>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000000" w:fill="F2F2F2"/>
            <w:noWrap/>
            <w:hideMark/>
          </w:tcPr>
          <w:p w14:paraId="0D29E655"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4,7</w:t>
            </w:r>
          </w:p>
        </w:tc>
        <w:tc>
          <w:tcPr>
            <w:tcW w:w="1368" w:type="dxa"/>
            <w:tcBorders>
              <w:left w:val="nil"/>
              <w:right w:val="single" w:sz="4" w:space="0" w:color="BFBFBF"/>
            </w:tcBorders>
            <w:shd w:val="clear" w:color="000000" w:fill="F2F2F2"/>
            <w:noWrap/>
            <w:hideMark/>
          </w:tcPr>
          <w:p w14:paraId="1B75FBE2"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4,6</w:t>
            </w:r>
          </w:p>
        </w:tc>
        <w:tc>
          <w:tcPr>
            <w:tcW w:w="1342" w:type="dxa"/>
            <w:tcBorders>
              <w:left w:val="nil"/>
              <w:right w:val="single" w:sz="4" w:space="0" w:color="BFBFBF"/>
            </w:tcBorders>
            <w:shd w:val="clear" w:color="000000" w:fill="F2F2F2"/>
            <w:noWrap/>
            <w:hideMark/>
          </w:tcPr>
          <w:p w14:paraId="184CDF00"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6,3</w:t>
            </w:r>
          </w:p>
        </w:tc>
      </w:tr>
      <w:tr w:rsidR="00D71BE5" w:rsidRPr="00E06845" w14:paraId="1085E454"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0A5CF4B1"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tcPr>
          <w:p w14:paraId="2B23D0D1" w14:textId="77777777" w:rsidR="00D71BE5" w:rsidRPr="00E06845" w:rsidRDefault="00D71BE5" w:rsidP="00E06845">
            <w:pPr>
              <w:spacing w:after="0" w:line="240" w:lineRule="auto"/>
              <w:jc w:val="center"/>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000000" w:fill="F2F2F2"/>
            <w:noWrap/>
            <w:hideMark/>
          </w:tcPr>
          <w:p w14:paraId="180EA357"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6,8</w:t>
            </w:r>
          </w:p>
        </w:tc>
        <w:tc>
          <w:tcPr>
            <w:tcW w:w="1368" w:type="dxa"/>
            <w:tcBorders>
              <w:left w:val="nil"/>
              <w:bottom w:val="single" w:sz="4" w:space="0" w:color="BFBFBF"/>
              <w:right w:val="single" w:sz="4" w:space="0" w:color="BFBFBF"/>
            </w:tcBorders>
            <w:shd w:val="clear" w:color="000000" w:fill="F2F2F2"/>
            <w:noWrap/>
            <w:hideMark/>
          </w:tcPr>
          <w:p w14:paraId="049D0A0A"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10,6</w:t>
            </w:r>
          </w:p>
        </w:tc>
        <w:tc>
          <w:tcPr>
            <w:tcW w:w="1342" w:type="dxa"/>
            <w:tcBorders>
              <w:left w:val="nil"/>
              <w:bottom w:val="single" w:sz="4" w:space="0" w:color="BFBFBF"/>
              <w:right w:val="single" w:sz="4" w:space="0" w:color="BFBFBF"/>
            </w:tcBorders>
            <w:shd w:val="clear" w:color="000000" w:fill="F2F2F2"/>
            <w:noWrap/>
            <w:hideMark/>
          </w:tcPr>
          <w:p w14:paraId="1796D569"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7,7</w:t>
            </w:r>
          </w:p>
        </w:tc>
      </w:tr>
      <w:tr w:rsidR="00D71BE5" w:rsidRPr="00E06845" w14:paraId="0B57C024" w14:textId="77777777" w:rsidTr="00E06845">
        <w:trPr>
          <w:trHeight w:val="20"/>
          <w:jc w:val="center"/>
        </w:trPr>
        <w:tc>
          <w:tcPr>
            <w:tcW w:w="4188" w:type="dxa"/>
            <w:vMerge w:val="restart"/>
            <w:tcBorders>
              <w:top w:val="nil"/>
              <w:left w:val="single" w:sz="4" w:space="0" w:color="BFBFBF"/>
              <w:bottom w:val="single" w:sz="4" w:space="0" w:color="BFBFBF"/>
              <w:right w:val="single" w:sz="4" w:space="0" w:color="A6A6A6" w:themeColor="background1" w:themeShade="A6"/>
            </w:tcBorders>
            <w:shd w:val="clear" w:color="000000" w:fill="FFFFFF"/>
            <w:vAlign w:val="center"/>
            <w:hideMark/>
          </w:tcPr>
          <w:p w14:paraId="7B95336B"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Carteira de Saneamento</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25E285F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nil"/>
              <w:left w:val="single" w:sz="4" w:space="0" w:color="A6A6A6" w:themeColor="background1" w:themeShade="A6"/>
              <w:right w:val="single" w:sz="4" w:space="0" w:color="BFBFBF"/>
            </w:tcBorders>
            <w:shd w:val="clear" w:color="auto" w:fill="auto"/>
            <w:noWrap/>
            <w:hideMark/>
          </w:tcPr>
          <w:p w14:paraId="7E39EC08"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115,8</w:t>
            </w:r>
          </w:p>
        </w:tc>
        <w:tc>
          <w:tcPr>
            <w:tcW w:w="1368" w:type="dxa"/>
            <w:tcBorders>
              <w:top w:val="nil"/>
              <w:left w:val="nil"/>
              <w:right w:val="single" w:sz="4" w:space="0" w:color="BFBFBF"/>
            </w:tcBorders>
            <w:shd w:val="clear" w:color="auto" w:fill="auto"/>
            <w:noWrap/>
            <w:hideMark/>
          </w:tcPr>
          <w:p w14:paraId="0F20DB8E"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78,6</w:t>
            </w:r>
          </w:p>
        </w:tc>
        <w:tc>
          <w:tcPr>
            <w:tcW w:w="1342" w:type="dxa"/>
            <w:tcBorders>
              <w:top w:val="nil"/>
              <w:left w:val="nil"/>
              <w:right w:val="single" w:sz="4" w:space="0" w:color="BFBFBF"/>
            </w:tcBorders>
            <w:shd w:val="clear" w:color="auto" w:fill="auto"/>
            <w:noWrap/>
            <w:hideMark/>
          </w:tcPr>
          <w:p w14:paraId="7A9398BF"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71,5</w:t>
            </w:r>
          </w:p>
        </w:tc>
      </w:tr>
      <w:tr w:rsidR="00D71BE5" w:rsidRPr="00E06845" w14:paraId="10725B76"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4072D628"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vAlign w:val="center"/>
          </w:tcPr>
          <w:p w14:paraId="108E956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auto" w:fill="auto"/>
            <w:noWrap/>
            <w:hideMark/>
          </w:tcPr>
          <w:p w14:paraId="49062DDD"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154,9</w:t>
            </w:r>
          </w:p>
        </w:tc>
        <w:tc>
          <w:tcPr>
            <w:tcW w:w="1368" w:type="dxa"/>
            <w:tcBorders>
              <w:left w:val="nil"/>
              <w:right w:val="single" w:sz="4" w:space="0" w:color="BFBFBF"/>
            </w:tcBorders>
            <w:shd w:val="clear" w:color="auto" w:fill="auto"/>
            <w:noWrap/>
            <w:hideMark/>
          </w:tcPr>
          <w:p w14:paraId="0D1A5FE3"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79,7</w:t>
            </w:r>
          </w:p>
        </w:tc>
        <w:tc>
          <w:tcPr>
            <w:tcW w:w="1342" w:type="dxa"/>
            <w:tcBorders>
              <w:left w:val="nil"/>
              <w:right w:val="single" w:sz="4" w:space="0" w:color="BFBFBF"/>
            </w:tcBorders>
            <w:shd w:val="clear" w:color="auto" w:fill="auto"/>
            <w:noWrap/>
            <w:hideMark/>
          </w:tcPr>
          <w:p w14:paraId="47DD50D2"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71,8</w:t>
            </w:r>
          </w:p>
        </w:tc>
      </w:tr>
      <w:tr w:rsidR="00D71BE5" w:rsidRPr="00E06845" w14:paraId="33A79FB9"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0E2B892C"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3A258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auto" w:fill="auto"/>
            <w:noWrap/>
            <w:hideMark/>
          </w:tcPr>
          <w:p w14:paraId="4CBE0C33"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33,8</w:t>
            </w:r>
          </w:p>
        </w:tc>
        <w:tc>
          <w:tcPr>
            <w:tcW w:w="1368" w:type="dxa"/>
            <w:tcBorders>
              <w:left w:val="nil"/>
              <w:bottom w:val="single" w:sz="4" w:space="0" w:color="BFBFBF"/>
              <w:right w:val="single" w:sz="4" w:space="0" w:color="BFBFBF"/>
            </w:tcBorders>
            <w:shd w:val="clear" w:color="auto" w:fill="auto"/>
            <w:noWrap/>
            <w:hideMark/>
          </w:tcPr>
          <w:p w14:paraId="31E6D2CD"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1,4</w:t>
            </w:r>
          </w:p>
        </w:tc>
        <w:tc>
          <w:tcPr>
            <w:tcW w:w="1342" w:type="dxa"/>
            <w:tcBorders>
              <w:left w:val="nil"/>
              <w:bottom w:val="single" w:sz="4" w:space="0" w:color="BFBFBF"/>
              <w:right w:val="single" w:sz="4" w:space="0" w:color="BFBFBF"/>
            </w:tcBorders>
            <w:shd w:val="clear" w:color="auto" w:fill="auto"/>
            <w:noWrap/>
            <w:hideMark/>
          </w:tcPr>
          <w:p w14:paraId="7F31C6E1"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0,4</w:t>
            </w:r>
          </w:p>
        </w:tc>
      </w:tr>
      <w:tr w:rsidR="00D71BE5" w:rsidRPr="00E06845" w14:paraId="36C729DA" w14:textId="77777777" w:rsidTr="00E06845">
        <w:trPr>
          <w:trHeight w:val="20"/>
          <w:jc w:val="center"/>
        </w:trPr>
        <w:tc>
          <w:tcPr>
            <w:tcW w:w="4188" w:type="dxa"/>
            <w:vMerge w:val="restart"/>
            <w:tcBorders>
              <w:top w:val="nil"/>
              <w:left w:val="single" w:sz="4" w:space="0" w:color="BFBFBF"/>
              <w:bottom w:val="single" w:sz="4" w:space="0" w:color="BFBFBF"/>
              <w:right w:val="single" w:sz="4" w:space="0" w:color="A6A6A6" w:themeColor="background1" w:themeShade="A6"/>
            </w:tcBorders>
            <w:shd w:val="clear" w:color="000000" w:fill="F2F2F2"/>
            <w:vAlign w:val="center"/>
            <w:hideMark/>
          </w:tcPr>
          <w:p w14:paraId="40A74AF5"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DMLP</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000000" w:fill="F2F2F2"/>
            <w:vAlign w:val="center"/>
          </w:tcPr>
          <w:p w14:paraId="6CF36F2B"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nil"/>
              <w:left w:val="single" w:sz="4" w:space="0" w:color="A6A6A6" w:themeColor="background1" w:themeShade="A6"/>
              <w:right w:val="single" w:sz="4" w:space="0" w:color="BFBFBF"/>
            </w:tcBorders>
            <w:shd w:val="clear" w:color="000000" w:fill="F2F2F2"/>
            <w:noWrap/>
            <w:hideMark/>
          </w:tcPr>
          <w:p w14:paraId="51FCC07A"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230,9</w:t>
            </w:r>
          </w:p>
        </w:tc>
        <w:tc>
          <w:tcPr>
            <w:tcW w:w="1368" w:type="dxa"/>
            <w:tcBorders>
              <w:top w:val="nil"/>
              <w:left w:val="nil"/>
              <w:right w:val="single" w:sz="4" w:space="0" w:color="BFBFBF"/>
            </w:tcBorders>
            <w:shd w:val="clear" w:color="000000" w:fill="F2F2F2"/>
            <w:noWrap/>
            <w:hideMark/>
          </w:tcPr>
          <w:p w14:paraId="6870EBE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256,5</w:t>
            </w:r>
          </w:p>
        </w:tc>
        <w:tc>
          <w:tcPr>
            <w:tcW w:w="1342" w:type="dxa"/>
            <w:tcBorders>
              <w:top w:val="nil"/>
              <w:left w:val="nil"/>
              <w:right w:val="single" w:sz="4" w:space="0" w:color="BFBFBF"/>
            </w:tcBorders>
            <w:shd w:val="clear" w:color="000000" w:fill="F2F2F2"/>
            <w:noWrap/>
            <w:hideMark/>
          </w:tcPr>
          <w:p w14:paraId="4F16BFC1"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338,4</w:t>
            </w:r>
          </w:p>
        </w:tc>
      </w:tr>
      <w:tr w:rsidR="00D71BE5" w:rsidRPr="00E06845" w14:paraId="524949ED"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119D68C4"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shd w:val="clear" w:color="000000" w:fill="F2F2F2"/>
            <w:vAlign w:val="center"/>
          </w:tcPr>
          <w:p w14:paraId="5EC8CF23"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000000" w:fill="F2F2F2"/>
            <w:noWrap/>
            <w:hideMark/>
          </w:tcPr>
          <w:p w14:paraId="58BF6ACC"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273,6</w:t>
            </w:r>
          </w:p>
        </w:tc>
        <w:tc>
          <w:tcPr>
            <w:tcW w:w="1368" w:type="dxa"/>
            <w:tcBorders>
              <w:left w:val="nil"/>
              <w:right w:val="single" w:sz="4" w:space="0" w:color="BFBFBF"/>
            </w:tcBorders>
            <w:shd w:val="clear" w:color="000000" w:fill="F2F2F2"/>
            <w:noWrap/>
            <w:hideMark/>
          </w:tcPr>
          <w:p w14:paraId="4271025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271,8</w:t>
            </w:r>
          </w:p>
        </w:tc>
        <w:tc>
          <w:tcPr>
            <w:tcW w:w="1342" w:type="dxa"/>
            <w:tcBorders>
              <w:left w:val="nil"/>
              <w:right w:val="single" w:sz="4" w:space="0" w:color="BFBFBF"/>
            </w:tcBorders>
            <w:shd w:val="clear" w:color="000000" w:fill="F2F2F2"/>
            <w:noWrap/>
            <w:hideMark/>
          </w:tcPr>
          <w:p w14:paraId="047331C7"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437,5</w:t>
            </w:r>
          </w:p>
        </w:tc>
      </w:tr>
      <w:tr w:rsidR="00D71BE5" w:rsidRPr="00E06845" w14:paraId="09049B43"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60A5F07F"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tcPr>
          <w:p w14:paraId="59082B73"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000000" w:fill="F2F2F2"/>
            <w:noWrap/>
            <w:hideMark/>
          </w:tcPr>
          <w:p w14:paraId="2977C98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18,5</w:t>
            </w:r>
          </w:p>
        </w:tc>
        <w:tc>
          <w:tcPr>
            <w:tcW w:w="1368" w:type="dxa"/>
            <w:tcBorders>
              <w:left w:val="nil"/>
              <w:bottom w:val="single" w:sz="4" w:space="0" w:color="BFBFBF"/>
              <w:right w:val="single" w:sz="4" w:space="0" w:color="BFBFBF"/>
            </w:tcBorders>
            <w:shd w:val="clear" w:color="000000" w:fill="F2F2F2"/>
            <w:noWrap/>
            <w:hideMark/>
          </w:tcPr>
          <w:p w14:paraId="737ADEFC"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6,0</w:t>
            </w:r>
          </w:p>
        </w:tc>
        <w:tc>
          <w:tcPr>
            <w:tcW w:w="1342" w:type="dxa"/>
            <w:tcBorders>
              <w:left w:val="nil"/>
              <w:bottom w:val="single" w:sz="4" w:space="0" w:color="BFBFBF"/>
              <w:right w:val="single" w:sz="4" w:space="0" w:color="BFBFBF"/>
            </w:tcBorders>
            <w:shd w:val="clear" w:color="000000" w:fill="F2F2F2"/>
            <w:noWrap/>
            <w:hideMark/>
          </w:tcPr>
          <w:p w14:paraId="4BC96A6C"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29,3</w:t>
            </w:r>
          </w:p>
        </w:tc>
      </w:tr>
      <w:tr w:rsidR="00D71BE5" w:rsidRPr="00E06845" w14:paraId="7CA52E76" w14:textId="77777777" w:rsidTr="00E06845">
        <w:trPr>
          <w:trHeight w:val="20"/>
          <w:jc w:val="center"/>
        </w:trPr>
        <w:tc>
          <w:tcPr>
            <w:tcW w:w="4188" w:type="dxa"/>
            <w:vMerge w:val="restart"/>
            <w:tcBorders>
              <w:top w:val="nil"/>
              <w:left w:val="single" w:sz="4" w:space="0" w:color="BFBFBF"/>
              <w:bottom w:val="single" w:sz="4" w:space="0" w:color="BFBFBF"/>
              <w:right w:val="single" w:sz="4" w:space="0" w:color="A6A6A6" w:themeColor="background1" w:themeShade="A6"/>
            </w:tcBorders>
            <w:shd w:val="clear" w:color="000000" w:fill="FFFFFF"/>
            <w:vAlign w:val="center"/>
            <w:hideMark/>
          </w:tcPr>
          <w:p w14:paraId="10C50DA5"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Contratos de Cessão –</w:t>
            </w:r>
            <w:r w:rsidRPr="00E06845">
              <w:rPr>
                <w:rFonts w:eastAsia="Times New Roman" w:cstheme="minorHAnsi"/>
                <w:i/>
                <w:iCs/>
                <w:color w:val="000000"/>
                <w:sz w:val="18"/>
                <w:szCs w:val="18"/>
                <w:lang w:eastAsia="pt-BR"/>
              </w:rPr>
              <w:t xml:space="preserve"> Royalties</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72A91E2C"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nil"/>
              <w:left w:val="single" w:sz="4" w:space="0" w:color="A6A6A6" w:themeColor="background1" w:themeShade="A6"/>
              <w:right w:val="single" w:sz="4" w:space="0" w:color="BFBFBF"/>
            </w:tcBorders>
            <w:shd w:val="clear" w:color="auto" w:fill="auto"/>
            <w:noWrap/>
            <w:hideMark/>
          </w:tcPr>
          <w:p w14:paraId="5CF776C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411,3</w:t>
            </w:r>
          </w:p>
        </w:tc>
        <w:tc>
          <w:tcPr>
            <w:tcW w:w="1368" w:type="dxa"/>
            <w:tcBorders>
              <w:top w:val="nil"/>
              <w:left w:val="nil"/>
              <w:right w:val="single" w:sz="4" w:space="0" w:color="BFBFBF"/>
            </w:tcBorders>
            <w:shd w:val="clear" w:color="auto" w:fill="auto"/>
            <w:noWrap/>
            <w:hideMark/>
          </w:tcPr>
          <w:p w14:paraId="1C9435EA"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1.158,3</w:t>
            </w:r>
          </w:p>
        </w:tc>
        <w:tc>
          <w:tcPr>
            <w:tcW w:w="1342" w:type="dxa"/>
            <w:tcBorders>
              <w:top w:val="nil"/>
              <w:left w:val="nil"/>
              <w:right w:val="single" w:sz="4" w:space="0" w:color="BFBFBF"/>
            </w:tcBorders>
            <w:shd w:val="clear" w:color="auto" w:fill="auto"/>
            <w:noWrap/>
            <w:hideMark/>
          </w:tcPr>
          <w:p w14:paraId="7CE51D62"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607,0</w:t>
            </w:r>
          </w:p>
        </w:tc>
      </w:tr>
      <w:tr w:rsidR="00D71BE5" w:rsidRPr="00E06845" w14:paraId="36FD5932"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67F45A6D"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vAlign w:val="center"/>
          </w:tcPr>
          <w:p w14:paraId="243E07A7"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auto" w:fill="auto"/>
            <w:noWrap/>
            <w:hideMark/>
          </w:tcPr>
          <w:p w14:paraId="7AB8556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1.322,8</w:t>
            </w:r>
          </w:p>
        </w:tc>
        <w:tc>
          <w:tcPr>
            <w:tcW w:w="1368" w:type="dxa"/>
            <w:tcBorders>
              <w:left w:val="nil"/>
              <w:right w:val="single" w:sz="4" w:space="0" w:color="BFBFBF"/>
            </w:tcBorders>
            <w:shd w:val="clear" w:color="auto" w:fill="auto"/>
            <w:noWrap/>
            <w:hideMark/>
          </w:tcPr>
          <w:p w14:paraId="0CB1320E"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995,8</w:t>
            </w:r>
          </w:p>
        </w:tc>
        <w:tc>
          <w:tcPr>
            <w:tcW w:w="1342" w:type="dxa"/>
            <w:tcBorders>
              <w:left w:val="nil"/>
              <w:right w:val="single" w:sz="4" w:space="0" w:color="BFBFBF"/>
            </w:tcBorders>
            <w:shd w:val="clear" w:color="auto" w:fill="auto"/>
            <w:noWrap/>
            <w:hideMark/>
          </w:tcPr>
          <w:p w14:paraId="04D9EA47"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334,8</w:t>
            </w:r>
          </w:p>
        </w:tc>
      </w:tr>
      <w:tr w:rsidR="00D71BE5" w:rsidRPr="00E06845" w14:paraId="44DD0FD4"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30539DDE"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DC2B29"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auto" w:fill="auto"/>
            <w:noWrap/>
            <w:hideMark/>
          </w:tcPr>
          <w:p w14:paraId="237091BF"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221,6</w:t>
            </w:r>
          </w:p>
        </w:tc>
        <w:tc>
          <w:tcPr>
            <w:tcW w:w="1368" w:type="dxa"/>
            <w:tcBorders>
              <w:left w:val="nil"/>
              <w:bottom w:val="single" w:sz="4" w:space="0" w:color="BFBFBF"/>
              <w:right w:val="single" w:sz="4" w:space="0" w:color="BFBFBF"/>
            </w:tcBorders>
            <w:shd w:val="clear" w:color="auto" w:fill="auto"/>
            <w:noWrap/>
            <w:hideMark/>
          </w:tcPr>
          <w:p w14:paraId="30941BAA" w14:textId="16B7E6E3"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14,0</w:t>
            </w:r>
          </w:p>
        </w:tc>
        <w:tc>
          <w:tcPr>
            <w:tcW w:w="1342" w:type="dxa"/>
            <w:tcBorders>
              <w:left w:val="nil"/>
              <w:bottom w:val="single" w:sz="4" w:space="0" w:color="BFBFBF"/>
              <w:right w:val="single" w:sz="4" w:space="0" w:color="BFBFBF"/>
            </w:tcBorders>
            <w:shd w:val="clear" w:color="auto" w:fill="auto"/>
            <w:noWrap/>
            <w:hideMark/>
          </w:tcPr>
          <w:p w14:paraId="3CF602FA" w14:textId="28216231"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44,8</w:t>
            </w:r>
          </w:p>
        </w:tc>
      </w:tr>
      <w:tr w:rsidR="00D71BE5" w:rsidRPr="00E06845" w14:paraId="67158D8D" w14:textId="77777777" w:rsidTr="00E06845">
        <w:trPr>
          <w:trHeight w:val="20"/>
          <w:jc w:val="center"/>
        </w:trPr>
        <w:tc>
          <w:tcPr>
            <w:tcW w:w="4188" w:type="dxa"/>
            <w:vMerge w:val="restart"/>
            <w:tcBorders>
              <w:top w:val="nil"/>
              <w:left w:val="single" w:sz="4" w:space="0" w:color="BFBFBF"/>
              <w:bottom w:val="single" w:sz="4" w:space="0" w:color="BFBFBF"/>
              <w:right w:val="single" w:sz="4" w:space="0" w:color="A6A6A6" w:themeColor="background1" w:themeShade="A6"/>
            </w:tcBorders>
            <w:shd w:val="clear" w:color="000000" w:fill="F2F2F2"/>
            <w:vAlign w:val="center"/>
            <w:hideMark/>
          </w:tcPr>
          <w:p w14:paraId="6FB51E24"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Lei nº 8.727/1993 - Receitas da União</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000000" w:fill="F2F2F2"/>
            <w:vAlign w:val="center"/>
          </w:tcPr>
          <w:p w14:paraId="12523B0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nil"/>
              <w:left w:val="single" w:sz="4" w:space="0" w:color="A6A6A6" w:themeColor="background1" w:themeShade="A6"/>
              <w:right w:val="single" w:sz="4" w:space="0" w:color="BFBFBF"/>
            </w:tcBorders>
            <w:shd w:val="clear" w:color="000000" w:fill="F2F2F2"/>
            <w:noWrap/>
            <w:hideMark/>
          </w:tcPr>
          <w:p w14:paraId="77AF170A"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566,7</w:t>
            </w:r>
          </w:p>
        </w:tc>
        <w:tc>
          <w:tcPr>
            <w:tcW w:w="1368" w:type="dxa"/>
            <w:tcBorders>
              <w:top w:val="nil"/>
              <w:left w:val="nil"/>
              <w:right w:val="single" w:sz="4" w:space="0" w:color="BFBFBF"/>
            </w:tcBorders>
            <w:shd w:val="clear" w:color="000000" w:fill="F2F2F2"/>
            <w:noWrap/>
            <w:hideMark/>
          </w:tcPr>
          <w:p w14:paraId="1313CDE0"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452,3</w:t>
            </w:r>
          </w:p>
        </w:tc>
        <w:tc>
          <w:tcPr>
            <w:tcW w:w="1342" w:type="dxa"/>
            <w:tcBorders>
              <w:top w:val="nil"/>
              <w:left w:val="nil"/>
              <w:right w:val="single" w:sz="4" w:space="0" w:color="BFBFBF"/>
            </w:tcBorders>
            <w:shd w:val="clear" w:color="000000" w:fill="F2F2F2"/>
            <w:noWrap/>
            <w:hideMark/>
          </w:tcPr>
          <w:p w14:paraId="79CDCBEF"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r>
      <w:tr w:rsidR="00D71BE5" w:rsidRPr="00E06845" w14:paraId="5CB689A5"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40E452A2"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shd w:val="clear" w:color="000000" w:fill="F2F2F2"/>
            <w:vAlign w:val="center"/>
          </w:tcPr>
          <w:p w14:paraId="1242E6B9"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000000" w:fill="F2F2F2"/>
            <w:noWrap/>
            <w:hideMark/>
          </w:tcPr>
          <w:p w14:paraId="2B9A00D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481,7</w:t>
            </w:r>
          </w:p>
        </w:tc>
        <w:tc>
          <w:tcPr>
            <w:tcW w:w="1368" w:type="dxa"/>
            <w:tcBorders>
              <w:left w:val="nil"/>
              <w:right w:val="single" w:sz="4" w:space="0" w:color="BFBFBF"/>
            </w:tcBorders>
            <w:shd w:val="clear" w:color="000000" w:fill="F2F2F2"/>
            <w:noWrap/>
            <w:hideMark/>
          </w:tcPr>
          <w:p w14:paraId="4E1E92A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310,7</w:t>
            </w:r>
          </w:p>
        </w:tc>
        <w:tc>
          <w:tcPr>
            <w:tcW w:w="1342" w:type="dxa"/>
            <w:tcBorders>
              <w:left w:val="nil"/>
              <w:right w:val="single" w:sz="4" w:space="0" w:color="BFBFBF"/>
            </w:tcBorders>
            <w:shd w:val="clear" w:color="000000" w:fill="F2F2F2"/>
            <w:noWrap/>
            <w:hideMark/>
          </w:tcPr>
          <w:p w14:paraId="05EC7E50"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r>
      <w:tr w:rsidR="00D71BE5" w:rsidRPr="00E06845" w14:paraId="2152231C"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61CB5CD3"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tcPr>
          <w:p w14:paraId="51B4FB58"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000000" w:fill="F2F2F2"/>
            <w:noWrap/>
            <w:hideMark/>
          </w:tcPr>
          <w:p w14:paraId="271B4001" w14:textId="23C0AF78"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15,0</w:t>
            </w:r>
          </w:p>
        </w:tc>
        <w:tc>
          <w:tcPr>
            <w:tcW w:w="1368" w:type="dxa"/>
            <w:tcBorders>
              <w:left w:val="nil"/>
              <w:bottom w:val="single" w:sz="4" w:space="0" w:color="BFBFBF"/>
              <w:right w:val="single" w:sz="4" w:space="0" w:color="BFBFBF"/>
            </w:tcBorders>
            <w:shd w:val="clear" w:color="000000" w:fill="F2F2F2"/>
            <w:noWrap/>
            <w:hideMark/>
          </w:tcPr>
          <w:p w14:paraId="5B732274" w14:textId="321854E1"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31,3</w:t>
            </w:r>
          </w:p>
        </w:tc>
        <w:tc>
          <w:tcPr>
            <w:tcW w:w="1342" w:type="dxa"/>
            <w:tcBorders>
              <w:left w:val="nil"/>
              <w:bottom w:val="single" w:sz="4" w:space="0" w:color="BFBFBF"/>
              <w:right w:val="single" w:sz="4" w:space="0" w:color="BFBFBF"/>
            </w:tcBorders>
            <w:shd w:val="clear" w:color="000000" w:fill="F2F2F2"/>
            <w:noWrap/>
            <w:hideMark/>
          </w:tcPr>
          <w:p w14:paraId="6AFDAFE7"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r>
      <w:tr w:rsidR="00D71BE5" w:rsidRPr="00E06845" w14:paraId="05B5A765" w14:textId="77777777" w:rsidTr="00E06845">
        <w:trPr>
          <w:trHeight w:val="20"/>
          <w:jc w:val="center"/>
        </w:trPr>
        <w:tc>
          <w:tcPr>
            <w:tcW w:w="4188" w:type="dxa"/>
            <w:vMerge w:val="restart"/>
            <w:tcBorders>
              <w:top w:val="nil"/>
              <w:left w:val="single" w:sz="4" w:space="0" w:color="BFBFBF"/>
              <w:bottom w:val="single" w:sz="4" w:space="0" w:color="BFBFBF"/>
              <w:right w:val="single" w:sz="4" w:space="0" w:color="A6A6A6" w:themeColor="background1" w:themeShade="A6"/>
            </w:tcBorders>
            <w:shd w:val="clear" w:color="000000" w:fill="FFFFFF"/>
            <w:vAlign w:val="center"/>
            <w:hideMark/>
          </w:tcPr>
          <w:p w14:paraId="6719BC1E"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Lei nº 8.727/1993 - Demais Credores</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6152A7A8"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nil"/>
              <w:left w:val="single" w:sz="4" w:space="0" w:color="A6A6A6" w:themeColor="background1" w:themeShade="A6"/>
              <w:right w:val="single" w:sz="4" w:space="0" w:color="BFBFBF"/>
            </w:tcBorders>
            <w:shd w:val="clear" w:color="auto" w:fill="auto"/>
            <w:noWrap/>
            <w:hideMark/>
          </w:tcPr>
          <w:p w14:paraId="3AF6D34A"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1.211,6</w:t>
            </w:r>
          </w:p>
        </w:tc>
        <w:tc>
          <w:tcPr>
            <w:tcW w:w="1368" w:type="dxa"/>
            <w:tcBorders>
              <w:top w:val="nil"/>
              <w:left w:val="nil"/>
              <w:right w:val="single" w:sz="4" w:space="0" w:color="BFBFBF"/>
            </w:tcBorders>
            <w:shd w:val="clear" w:color="auto" w:fill="auto"/>
            <w:noWrap/>
            <w:hideMark/>
          </w:tcPr>
          <w:p w14:paraId="2A149002"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505,0</w:t>
            </w:r>
          </w:p>
        </w:tc>
        <w:tc>
          <w:tcPr>
            <w:tcW w:w="1342" w:type="dxa"/>
            <w:tcBorders>
              <w:top w:val="nil"/>
              <w:left w:val="nil"/>
              <w:right w:val="single" w:sz="4" w:space="0" w:color="BFBFBF"/>
            </w:tcBorders>
            <w:shd w:val="clear" w:color="auto" w:fill="auto"/>
            <w:noWrap/>
            <w:hideMark/>
          </w:tcPr>
          <w:p w14:paraId="71E55332"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237,8</w:t>
            </w:r>
          </w:p>
        </w:tc>
      </w:tr>
      <w:tr w:rsidR="00D71BE5" w:rsidRPr="00E06845" w14:paraId="2EBF5869"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24E3757B"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vAlign w:val="center"/>
          </w:tcPr>
          <w:p w14:paraId="451EB478"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auto" w:fill="auto"/>
            <w:noWrap/>
            <w:hideMark/>
          </w:tcPr>
          <w:p w14:paraId="45FE2FB1"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598,1</w:t>
            </w:r>
          </w:p>
        </w:tc>
        <w:tc>
          <w:tcPr>
            <w:tcW w:w="1368" w:type="dxa"/>
            <w:tcBorders>
              <w:left w:val="nil"/>
              <w:right w:val="single" w:sz="4" w:space="0" w:color="BFBFBF"/>
            </w:tcBorders>
            <w:shd w:val="clear" w:color="auto" w:fill="auto"/>
            <w:noWrap/>
            <w:hideMark/>
          </w:tcPr>
          <w:p w14:paraId="437879CF"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330,2</w:t>
            </w:r>
          </w:p>
        </w:tc>
        <w:tc>
          <w:tcPr>
            <w:tcW w:w="1342" w:type="dxa"/>
            <w:tcBorders>
              <w:left w:val="nil"/>
              <w:right w:val="single" w:sz="4" w:space="0" w:color="BFBFBF"/>
            </w:tcBorders>
            <w:shd w:val="clear" w:color="auto" w:fill="auto"/>
            <w:noWrap/>
            <w:hideMark/>
          </w:tcPr>
          <w:p w14:paraId="7FE5D23D"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177,0</w:t>
            </w:r>
          </w:p>
        </w:tc>
      </w:tr>
      <w:tr w:rsidR="00D71BE5" w:rsidRPr="00E06845" w14:paraId="7126985D"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7DAF7D7F"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6E6AAB"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auto" w:fill="auto"/>
            <w:noWrap/>
            <w:hideMark/>
          </w:tcPr>
          <w:p w14:paraId="36FF13F0" w14:textId="6A7CFDBF"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50,6</w:t>
            </w:r>
          </w:p>
        </w:tc>
        <w:tc>
          <w:tcPr>
            <w:tcW w:w="1368" w:type="dxa"/>
            <w:tcBorders>
              <w:left w:val="nil"/>
              <w:bottom w:val="single" w:sz="4" w:space="0" w:color="BFBFBF"/>
              <w:right w:val="single" w:sz="4" w:space="0" w:color="BFBFBF"/>
            </w:tcBorders>
            <w:shd w:val="clear" w:color="auto" w:fill="auto"/>
            <w:noWrap/>
            <w:hideMark/>
          </w:tcPr>
          <w:p w14:paraId="72ACB4A7" w14:textId="581F8990"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34,6</w:t>
            </w:r>
          </w:p>
        </w:tc>
        <w:tc>
          <w:tcPr>
            <w:tcW w:w="1342" w:type="dxa"/>
            <w:tcBorders>
              <w:left w:val="nil"/>
              <w:bottom w:val="single" w:sz="4" w:space="0" w:color="BFBFBF"/>
              <w:right w:val="single" w:sz="4" w:space="0" w:color="BFBFBF"/>
            </w:tcBorders>
            <w:shd w:val="clear" w:color="auto" w:fill="auto"/>
            <w:noWrap/>
            <w:hideMark/>
          </w:tcPr>
          <w:p w14:paraId="669B5C08" w14:textId="4CED38D8"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25,5</w:t>
            </w:r>
          </w:p>
        </w:tc>
      </w:tr>
      <w:tr w:rsidR="00D71BE5" w:rsidRPr="00E06845" w14:paraId="516C1448" w14:textId="77777777" w:rsidTr="00E06845">
        <w:trPr>
          <w:trHeight w:val="20"/>
          <w:jc w:val="center"/>
        </w:trPr>
        <w:tc>
          <w:tcPr>
            <w:tcW w:w="4188" w:type="dxa"/>
            <w:vMerge w:val="restart"/>
            <w:tcBorders>
              <w:top w:val="nil"/>
              <w:left w:val="single" w:sz="4" w:space="0" w:color="BFBFBF"/>
              <w:bottom w:val="single" w:sz="4" w:space="0" w:color="BFBFBF"/>
              <w:right w:val="single" w:sz="4" w:space="0" w:color="A6A6A6" w:themeColor="background1" w:themeShade="A6"/>
            </w:tcBorders>
            <w:shd w:val="clear" w:color="000000" w:fill="F2F2F2"/>
            <w:vAlign w:val="center"/>
            <w:hideMark/>
          </w:tcPr>
          <w:p w14:paraId="70B0127B"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Lei nº 9.496/1997</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000000" w:fill="F2F2F2"/>
            <w:vAlign w:val="center"/>
          </w:tcPr>
          <w:p w14:paraId="2DC1EBB3"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nil"/>
              <w:left w:val="single" w:sz="4" w:space="0" w:color="A6A6A6" w:themeColor="background1" w:themeShade="A6"/>
              <w:right w:val="single" w:sz="4" w:space="0" w:color="BFBFBF"/>
            </w:tcBorders>
            <w:shd w:val="clear" w:color="000000" w:fill="F2F2F2"/>
            <w:noWrap/>
            <w:hideMark/>
          </w:tcPr>
          <w:p w14:paraId="037C04FA"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22.230,5</w:t>
            </w:r>
          </w:p>
        </w:tc>
        <w:tc>
          <w:tcPr>
            <w:tcW w:w="1368" w:type="dxa"/>
            <w:tcBorders>
              <w:top w:val="nil"/>
              <w:left w:val="nil"/>
              <w:right w:val="single" w:sz="4" w:space="0" w:color="BFBFBF"/>
            </w:tcBorders>
            <w:shd w:val="clear" w:color="000000" w:fill="F2F2F2"/>
            <w:noWrap/>
            <w:hideMark/>
          </w:tcPr>
          <w:p w14:paraId="47D7A138"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18.249,5</w:t>
            </w:r>
          </w:p>
        </w:tc>
        <w:tc>
          <w:tcPr>
            <w:tcW w:w="1342" w:type="dxa"/>
            <w:tcBorders>
              <w:top w:val="nil"/>
              <w:left w:val="nil"/>
              <w:right w:val="single" w:sz="4" w:space="0" w:color="BFBFBF"/>
            </w:tcBorders>
            <w:shd w:val="clear" w:color="000000" w:fill="F2F2F2"/>
            <w:noWrap/>
            <w:hideMark/>
          </w:tcPr>
          <w:p w14:paraId="3650B63D"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4.611,4</w:t>
            </w:r>
          </w:p>
        </w:tc>
      </w:tr>
      <w:tr w:rsidR="00D71BE5" w:rsidRPr="00E06845" w14:paraId="7CC87468"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3A52EAFE"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shd w:val="clear" w:color="000000" w:fill="F2F2F2"/>
            <w:vAlign w:val="center"/>
          </w:tcPr>
          <w:p w14:paraId="1A0DEE23"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000000" w:fill="F2F2F2"/>
            <w:noWrap/>
            <w:hideMark/>
          </w:tcPr>
          <w:p w14:paraId="237582B8"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19.098,5</w:t>
            </w:r>
          </w:p>
        </w:tc>
        <w:tc>
          <w:tcPr>
            <w:tcW w:w="1368" w:type="dxa"/>
            <w:tcBorders>
              <w:left w:val="nil"/>
              <w:right w:val="single" w:sz="4" w:space="0" w:color="BFBFBF"/>
            </w:tcBorders>
            <w:shd w:val="clear" w:color="000000" w:fill="F2F2F2"/>
            <w:noWrap/>
            <w:hideMark/>
          </w:tcPr>
          <w:p w14:paraId="6E2483B0"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18.225,2</w:t>
            </w:r>
          </w:p>
        </w:tc>
        <w:tc>
          <w:tcPr>
            <w:tcW w:w="1342" w:type="dxa"/>
            <w:tcBorders>
              <w:left w:val="nil"/>
              <w:right w:val="single" w:sz="4" w:space="0" w:color="BFBFBF"/>
            </w:tcBorders>
            <w:shd w:val="clear" w:color="000000" w:fill="F2F2F2"/>
            <w:noWrap/>
            <w:hideMark/>
          </w:tcPr>
          <w:p w14:paraId="09DCF5A5"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3.153,0</w:t>
            </w:r>
          </w:p>
        </w:tc>
      </w:tr>
      <w:tr w:rsidR="00D71BE5" w:rsidRPr="00E06845" w14:paraId="5A717BCA"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3126C633"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tcPr>
          <w:p w14:paraId="378E554A"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000000" w:fill="F2F2F2"/>
            <w:noWrap/>
            <w:hideMark/>
          </w:tcPr>
          <w:p w14:paraId="6A6ACBA6" w14:textId="43AAA703"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14,1</w:t>
            </w:r>
          </w:p>
        </w:tc>
        <w:tc>
          <w:tcPr>
            <w:tcW w:w="1368" w:type="dxa"/>
            <w:tcBorders>
              <w:left w:val="nil"/>
              <w:bottom w:val="single" w:sz="4" w:space="0" w:color="BFBFBF"/>
              <w:right w:val="single" w:sz="4" w:space="0" w:color="BFBFBF"/>
            </w:tcBorders>
            <w:shd w:val="clear" w:color="000000" w:fill="F2F2F2"/>
            <w:noWrap/>
            <w:hideMark/>
          </w:tcPr>
          <w:p w14:paraId="1E13A25B" w14:textId="04D5F130"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0,1</w:t>
            </w:r>
          </w:p>
        </w:tc>
        <w:tc>
          <w:tcPr>
            <w:tcW w:w="1342" w:type="dxa"/>
            <w:tcBorders>
              <w:left w:val="nil"/>
              <w:bottom w:val="single" w:sz="4" w:space="0" w:color="BFBFBF"/>
              <w:right w:val="single" w:sz="4" w:space="0" w:color="BFBFBF"/>
            </w:tcBorders>
            <w:shd w:val="clear" w:color="000000" w:fill="F2F2F2"/>
            <w:noWrap/>
            <w:hideMark/>
          </w:tcPr>
          <w:p w14:paraId="72484AFB" w14:textId="1E9282C6"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31,6</w:t>
            </w:r>
          </w:p>
        </w:tc>
      </w:tr>
      <w:tr w:rsidR="00D71BE5" w:rsidRPr="00E06845" w14:paraId="6DA08E4B" w14:textId="77777777" w:rsidTr="00E06845">
        <w:trPr>
          <w:trHeight w:val="20"/>
          <w:jc w:val="center"/>
        </w:trPr>
        <w:tc>
          <w:tcPr>
            <w:tcW w:w="4188" w:type="dxa"/>
            <w:vMerge w:val="restart"/>
            <w:tcBorders>
              <w:top w:val="nil"/>
              <w:left w:val="single" w:sz="4" w:space="0" w:color="BFBFBF"/>
              <w:bottom w:val="single" w:sz="4" w:space="0" w:color="BFBFBF"/>
              <w:right w:val="single" w:sz="4" w:space="0" w:color="A6A6A6" w:themeColor="background1" w:themeShade="A6"/>
            </w:tcBorders>
            <w:shd w:val="clear" w:color="000000" w:fill="FFFFFF"/>
            <w:vAlign w:val="center"/>
            <w:hideMark/>
          </w:tcPr>
          <w:p w14:paraId="4EA6D0EB"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MP nº 2.185/2001</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70A9ADB8"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tc>
        <w:tc>
          <w:tcPr>
            <w:tcW w:w="1337" w:type="dxa"/>
            <w:tcBorders>
              <w:top w:val="nil"/>
              <w:left w:val="single" w:sz="4" w:space="0" w:color="A6A6A6" w:themeColor="background1" w:themeShade="A6"/>
              <w:right w:val="single" w:sz="4" w:space="0" w:color="BFBFBF"/>
            </w:tcBorders>
            <w:shd w:val="clear" w:color="auto" w:fill="auto"/>
            <w:noWrap/>
            <w:hideMark/>
          </w:tcPr>
          <w:p w14:paraId="387A70B1"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3.095,5</w:t>
            </w:r>
          </w:p>
        </w:tc>
        <w:tc>
          <w:tcPr>
            <w:tcW w:w="1368" w:type="dxa"/>
            <w:tcBorders>
              <w:top w:val="nil"/>
              <w:left w:val="nil"/>
              <w:right w:val="single" w:sz="4" w:space="0" w:color="BFBFBF"/>
            </w:tcBorders>
            <w:shd w:val="clear" w:color="auto" w:fill="auto"/>
            <w:noWrap/>
            <w:hideMark/>
          </w:tcPr>
          <w:p w14:paraId="4C42121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3.209,0</w:t>
            </w:r>
          </w:p>
        </w:tc>
        <w:tc>
          <w:tcPr>
            <w:tcW w:w="1342" w:type="dxa"/>
            <w:tcBorders>
              <w:top w:val="nil"/>
              <w:left w:val="nil"/>
              <w:right w:val="single" w:sz="4" w:space="0" w:color="BFBFBF"/>
            </w:tcBorders>
            <w:shd w:val="clear" w:color="auto" w:fill="auto"/>
            <w:noWrap/>
            <w:hideMark/>
          </w:tcPr>
          <w:p w14:paraId="1DBCC36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1.344,3</w:t>
            </w:r>
          </w:p>
        </w:tc>
      </w:tr>
      <w:tr w:rsidR="00D71BE5" w:rsidRPr="00E06845" w14:paraId="206D306B"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437FD193"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right w:val="single" w:sz="4" w:space="0" w:color="A6A6A6" w:themeColor="background1" w:themeShade="A6"/>
            </w:tcBorders>
            <w:vAlign w:val="center"/>
          </w:tcPr>
          <w:p w14:paraId="1997D7D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tc>
        <w:tc>
          <w:tcPr>
            <w:tcW w:w="1337" w:type="dxa"/>
            <w:tcBorders>
              <w:left w:val="single" w:sz="4" w:space="0" w:color="A6A6A6" w:themeColor="background1" w:themeShade="A6"/>
              <w:right w:val="single" w:sz="4" w:space="0" w:color="BFBFBF"/>
            </w:tcBorders>
            <w:shd w:val="clear" w:color="auto" w:fill="auto"/>
            <w:noWrap/>
            <w:hideMark/>
          </w:tcPr>
          <w:p w14:paraId="713FE1A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3.141,1</w:t>
            </w:r>
          </w:p>
        </w:tc>
        <w:tc>
          <w:tcPr>
            <w:tcW w:w="1368" w:type="dxa"/>
            <w:tcBorders>
              <w:left w:val="nil"/>
              <w:right w:val="single" w:sz="4" w:space="0" w:color="BFBFBF"/>
            </w:tcBorders>
            <w:shd w:val="clear" w:color="auto" w:fill="auto"/>
            <w:noWrap/>
            <w:hideMark/>
          </w:tcPr>
          <w:p w14:paraId="3AC0338F"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3.248,4</w:t>
            </w:r>
          </w:p>
        </w:tc>
        <w:tc>
          <w:tcPr>
            <w:tcW w:w="1342" w:type="dxa"/>
            <w:tcBorders>
              <w:left w:val="nil"/>
              <w:right w:val="single" w:sz="4" w:space="0" w:color="BFBFBF"/>
            </w:tcBorders>
            <w:shd w:val="clear" w:color="auto" w:fill="auto"/>
            <w:noWrap/>
            <w:hideMark/>
          </w:tcPr>
          <w:p w14:paraId="7A86CCD6"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853,2</w:t>
            </w:r>
          </w:p>
        </w:tc>
      </w:tr>
      <w:tr w:rsidR="00D71BE5" w:rsidRPr="00E06845" w14:paraId="2037E9FA" w14:textId="77777777" w:rsidTr="00E06845">
        <w:trPr>
          <w:trHeight w:val="20"/>
          <w:jc w:val="center"/>
        </w:trPr>
        <w:tc>
          <w:tcPr>
            <w:tcW w:w="4188" w:type="dxa"/>
            <w:vMerge/>
            <w:tcBorders>
              <w:top w:val="nil"/>
              <w:left w:val="single" w:sz="4" w:space="0" w:color="BFBFBF"/>
              <w:bottom w:val="single" w:sz="4" w:space="0" w:color="BFBFBF"/>
              <w:right w:val="single" w:sz="4" w:space="0" w:color="A6A6A6" w:themeColor="background1" w:themeShade="A6"/>
            </w:tcBorders>
            <w:vAlign w:val="center"/>
            <w:hideMark/>
          </w:tcPr>
          <w:p w14:paraId="17E74A52" w14:textId="77777777" w:rsidR="00D71BE5" w:rsidRPr="00E06845" w:rsidRDefault="00D71BE5" w:rsidP="00E06845">
            <w:pPr>
              <w:spacing w:after="0" w:line="240" w:lineRule="auto"/>
              <w:rPr>
                <w:rFonts w:eastAsia="Times New Roman" w:cstheme="minorHAnsi"/>
                <w:color w:val="000000"/>
                <w:sz w:val="18"/>
                <w:szCs w:val="18"/>
                <w:lang w:eastAsia="pt-BR"/>
              </w:rPr>
            </w:pPr>
          </w:p>
        </w:tc>
        <w:tc>
          <w:tcPr>
            <w:tcW w:w="269"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1AF047"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left w:val="single" w:sz="4" w:space="0" w:color="A6A6A6" w:themeColor="background1" w:themeShade="A6"/>
              <w:bottom w:val="single" w:sz="4" w:space="0" w:color="BFBFBF"/>
              <w:right w:val="single" w:sz="4" w:space="0" w:color="BFBFBF"/>
            </w:tcBorders>
            <w:shd w:val="clear" w:color="auto" w:fill="auto"/>
            <w:noWrap/>
            <w:hideMark/>
          </w:tcPr>
          <w:p w14:paraId="67808804"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1,5</w:t>
            </w:r>
          </w:p>
        </w:tc>
        <w:tc>
          <w:tcPr>
            <w:tcW w:w="1368" w:type="dxa"/>
            <w:tcBorders>
              <w:left w:val="nil"/>
              <w:bottom w:val="single" w:sz="4" w:space="0" w:color="BFBFBF"/>
              <w:right w:val="single" w:sz="4" w:space="0" w:color="BFBFBF"/>
            </w:tcBorders>
            <w:shd w:val="clear" w:color="auto" w:fill="auto"/>
            <w:noWrap/>
            <w:hideMark/>
          </w:tcPr>
          <w:p w14:paraId="48EEF272" w14:textId="77777777"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1,2</w:t>
            </w:r>
          </w:p>
        </w:tc>
        <w:tc>
          <w:tcPr>
            <w:tcW w:w="1342" w:type="dxa"/>
            <w:tcBorders>
              <w:left w:val="nil"/>
              <w:bottom w:val="single" w:sz="4" w:space="0" w:color="BFBFBF"/>
              <w:right w:val="single" w:sz="4" w:space="0" w:color="BFBFBF"/>
            </w:tcBorders>
            <w:shd w:val="clear" w:color="auto" w:fill="auto"/>
            <w:noWrap/>
            <w:hideMark/>
          </w:tcPr>
          <w:p w14:paraId="11D7D5F6" w14:textId="75AFB294" w:rsidR="00D71BE5" w:rsidRPr="00E06845" w:rsidRDefault="006742E5" w:rsidP="00E06845">
            <w:pPr>
              <w:spacing w:after="0" w:line="240" w:lineRule="auto"/>
              <w:jc w:val="right"/>
              <w:rPr>
                <w:rFonts w:eastAsia="Times New Roman" w:cstheme="minorHAnsi"/>
                <w:color w:val="000000"/>
                <w:sz w:val="18"/>
                <w:szCs w:val="18"/>
                <w:lang w:eastAsia="pt-BR"/>
              </w:rPr>
            </w:pPr>
            <w:r>
              <w:rPr>
                <w:rFonts w:eastAsia="Times New Roman" w:cstheme="minorHAnsi"/>
                <w:color w:val="000000"/>
                <w:sz w:val="18"/>
                <w:szCs w:val="18"/>
                <w:lang w:eastAsia="pt-BR"/>
              </w:rPr>
              <w:t>-</w:t>
            </w:r>
            <w:r w:rsidR="00D71BE5" w:rsidRPr="00E06845">
              <w:rPr>
                <w:rFonts w:eastAsia="Times New Roman" w:cstheme="minorHAnsi"/>
                <w:color w:val="000000"/>
                <w:sz w:val="18"/>
                <w:szCs w:val="18"/>
                <w:lang w:eastAsia="pt-BR"/>
              </w:rPr>
              <w:t>36,5</w:t>
            </w:r>
          </w:p>
        </w:tc>
      </w:tr>
      <w:tr w:rsidR="00D71BE5" w:rsidRPr="00E06845" w14:paraId="0F7E5620" w14:textId="77777777" w:rsidTr="00A405E7">
        <w:trPr>
          <w:trHeight w:val="679"/>
          <w:jc w:val="center"/>
        </w:trPr>
        <w:tc>
          <w:tcPr>
            <w:tcW w:w="4188" w:type="dxa"/>
            <w:tcBorders>
              <w:top w:val="nil"/>
              <w:left w:val="single" w:sz="4" w:space="0" w:color="BFBFBF"/>
              <w:bottom w:val="single" w:sz="4" w:space="0" w:color="BFBFBF"/>
              <w:right w:val="single" w:sz="4" w:space="0" w:color="A6A6A6" w:themeColor="background1" w:themeShade="A6"/>
            </w:tcBorders>
            <w:shd w:val="clear" w:color="000000" w:fill="F2F2F2"/>
            <w:vAlign w:val="center"/>
            <w:hideMark/>
          </w:tcPr>
          <w:p w14:paraId="1C17EAB9"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Contrato BACEN-BANERJ</w:t>
            </w:r>
          </w:p>
        </w:tc>
        <w:tc>
          <w:tcPr>
            <w:tcW w:w="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tcPr>
          <w:p w14:paraId="47A0F6A4" w14:textId="77777777" w:rsidR="002C652F"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p w14:paraId="0522D3D0" w14:textId="77777777" w:rsidR="002C652F"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p w14:paraId="5C9478F2" w14:textId="24248B0F" w:rsidR="00D71BE5"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top w:val="single" w:sz="4" w:space="0" w:color="BFBFBF"/>
              <w:left w:val="single" w:sz="4" w:space="0" w:color="A6A6A6" w:themeColor="background1" w:themeShade="A6"/>
              <w:bottom w:val="single" w:sz="4" w:space="0" w:color="BFBFBF" w:themeColor="background1" w:themeShade="BF"/>
              <w:right w:val="single" w:sz="4" w:space="0" w:color="BFBFBF"/>
            </w:tcBorders>
            <w:shd w:val="clear" w:color="000000" w:fill="F2F2F2"/>
            <w:noWrap/>
            <w:hideMark/>
          </w:tcPr>
          <w:p w14:paraId="0C27D2A2" w14:textId="77777777" w:rsidR="002C652F"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6EC839F2" w14:textId="77777777" w:rsidR="002C652F"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46F0CF87" w14:textId="1263FE1A"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68" w:type="dxa"/>
            <w:tcBorders>
              <w:top w:val="single" w:sz="4" w:space="0" w:color="BFBFBF"/>
              <w:left w:val="nil"/>
              <w:bottom w:val="single" w:sz="4" w:space="0" w:color="BFBFBF" w:themeColor="background1" w:themeShade="BF"/>
              <w:right w:val="single" w:sz="4" w:space="0" w:color="BFBFBF"/>
            </w:tcBorders>
            <w:shd w:val="clear" w:color="000000" w:fill="F2F2F2"/>
            <w:noWrap/>
            <w:hideMark/>
          </w:tcPr>
          <w:p w14:paraId="05173240" w14:textId="77777777" w:rsidR="002C652F"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65EF873B" w14:textId="77777777" w:rsidR="002C652F"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1F56524D" w14:textId="3123D54D"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42" w:type="dxa"/>
            <w:tcBorders>
              <w:top w:val="single" w:sz="4" w:space="0" w:color="BFBFBF"/>
              <w:left w:val="nil"/>
              <w:bottom w:val="single" w:sz="4" w:space="0" w:color="BFBFBF" w:themeColor="background1" w:themeShade="BF"/>
              <w:right w:val="single" w:sz="4" w:space="0" w:color="BFBFBF"/>
            </w:tcBorders>
            <w:shd w:val="clear" w:color="000000" w:fill="F2F2F2"/>
            <w:noWrap/>
            <w:hideMark/>
          </w:tcPr>
          <w:p w14:paraId="3CD8FC3A" w14:textId="77777777" w:rsidR="002C652F"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6B510C44" w14:textId="77777777" w:rsidR="002C652F" w:rsidRPr="00E06845" w:rsidRDefault="002C652F"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4DA008CC" w14:textId="1F508CAF"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r>
      <w:tr w:rsidR="00D71BE5" w:rsidRPr="00E06845" w14:paraId="6E919BB2" w14:textId="77777777" w:rsidTr="00A405E7">
        <w:trPr>
          <w:trHeight w:val="679"/>
          <w:jc w:val="center"/>
        </w:trPr>
        <w:tc>
          <w:tcPr>
            <w:tcW w:w="4188" w:type="dxa"/>
            <w:tcBorders>
              <w:top w:val="nil"/>
              <w:left w:val="single" w:sz="4" w:space="0" w:color="BFBFBF"/>
              <w:bottom w:val="single" w:sz="4" w:space="0" w:color="BFBFBF"/>
              <w:right w:val="single" w:sz="4" w:space="0" w:color="A6A6A6" w:themeColor="background1" w:themeShade="A6"/>
            </w:tcBorders>
            <w:shd w:val="clear" w:color="000000" w:fill="F2F2F2"/>
            <w:vAlign w:val="center"/>
            <w:hideMark/>
          </w:tcPr>
          <w:p w14:paraId="4BB94C53"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Regime de Recuperação Fiscal - Lei nº 9.496/1997</w:t>
            </w:r>
          </w:p>
        </w:tc>
        <w:tc>
          <w:tcPr>
            <w:tcW w:w="269" w:type="dxa"/>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000000" w:fill="F2F2F2"/>
          </w:tcPr>
          <w:p w14:paraId="2CE10F8B" w14:textId="77777777" w:rsidR="009165D2"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p w14:paraId="511E1BA4" w14:textId="77777777" w:rsidR="009165D2"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p w14:paraId="1EB1FC06" w14:textId="0B173BBF" w:rsidR="00D71BE5"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BFBFBF"/>
            </w:tcBorders>
            <w:shd w:val="clear" w:color="000000" w:fill="F2F2F2"/>
            <w:noWrap/>
            <w:hideMark/>
          </w:tcPr>
          <w:p w14:paraId="1B0B38D7" w14:textId="77777777" w:rsidR="009165D2"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18904934" w14:textId="77777777" w:rsidR="009165D2"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2D1E2CED" w14:textId="72551319"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68" w:type="dxa"/>
            <w:tcBorders>
              <w:top w:val="single" w:sz="4" w:space="0" w:color="BFBFBF" w:themeColor="background1" w:themeShade="BF"/>
              <w:left w:val="nil"/>
              <w:bottom w:val="single" w:sz="4" w:space="0" w:color="BFBFBF" w:themeColor="background1" w:themeShade="BF"/>
              <w:right w:val="single" w:sz="4" w:space="0" w:color="BFBFBF"/>
            </w:tcBorders>
            <w:shd w:val="clear" w:color="000000" w:fill="F2F2F2"/>
            <w:noWrap/>
            <w:hideMark/>
          </w:tcPr>
          <w:p w14:paraId="282F35C9" w14:textId="77777777" w:rsidR="009165D2"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362F1B83" w14:textId="77777777" w:rsidR="009165D2"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79AE4328" w14:textId="483F52F8"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42" w:type="dxa"/>
            <w:tcBorders>
              <w:top w:val="single" w:sz="4" w:space="0" w:color="BFBFBF" w:themeColor="background1" w:themeShade="BF"/>
              <w:left w:val="nil"/>
              <w:bottom w:val="single" w:sz="4" w:space="0" w:color="BFBFBF" w:themeColor="background1" w:themeShade="BF"/>
              <w:right w:val="single" w:sz="4" w:space="0" w:color="BFBFBF"/>
            </w:tcBorders>
            <w:shd w:val="clear" w:color="000000" w:fill="F2F2F2"/>
            <w:noWrap/>
            <w:hideMark/>
          </w:tcPr>
          <w:p w14:paraId="23F05D70" w14:textId="77777777" w:rsidR="009165D2"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573D54E6" w14:textId="77777777" w:rsidR="009165D2" w:rsidRPr="00E06845" w:rsidRDefault="009165D2"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2D53452D" w14:textId="66EED2C5"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r>
      <w:tr w:rsidR="00D71BE5" w:rsidRPr="00E06845" w14:paraId="6F0C09E3" w14:textId="77777777" w:rsidTr="00A405E7">
        <w:trPr>
          <w:trHeight w:val="679"/>
          <w:jc w:val="center"/>
        </w:trPr>
        <w:tc>
          <w:tcPr>
            <w:tcW w:w="4188" w:type="dxa"/>
            <w:tcBorders>
              <w:top w:val="single" w:sz="4" w:space="0" w:color="BFBFBF"/>
              <w:left w:val="single" w:sz="4" w:space="0" w:color="BFBFBF"/>
              <w:bottom w:val="single" w:sz="4" w:space="0" w:color="BFBFBF"/>
              <w:right w:val="single" w:sz="4" w:space="0" w:color="A6A6A6" w:themeColor="background1" w:themeShade="A6"/>
            </w:tcBorders>
            <w:shd w:val="clear" w:color="000000" w:fill="FFFFFF"/>
            <w:vAlign w:val="center"/>
            <w:hideMark/>
          </w:tcPr>
          <w:p w14:paraId="5F466CDB" w14:textId="77777777" w:rsidR="00D71BE5" w:rsidRPr="00E06845" w:rsidRDefault="00D71BE5" w:rsidP="00E06845">
            <w:pPr>
              <w:spacing w:after="0" w:line="240" w:lineRule="auto"/>
              <w:rPr>
                <w:rFonts w:eastAsia="Times New Roman" w:cstheme="minorHAnsi"/>
                <w:color w:val="000000"/>
                <w:sz w:val="18"/>
                <w:szCs w:val="18"/>
                <w:lang w:eastAsia="pt-BR"/>
              </w:rPr>
            </w:pPr>
            <w:r w:rsidRPr="00E06845">
              <w:rPr>
                <w:rFonts w:eastAsia="Times New Roman" w:cstheme="minorHAnsi"/>
                <w:color w:val="000000"/>
                <w:sz w:val="18"/>
                <w:szCs w:val="18"/>
                <w:lang w:eastAsia="pt-BR"/>
              </w:rPr>
              <w:t>Regime de Recuperação Fiscal – Contrato BACEN-BANERJ</w:t>
            </w:r>
          </w:p>
        </w:tc>
        <w:tc>
          <w:tcPr>
            <w:tcW w:w="269" w:type="dxa"/>
            <w:tcBorders>
              <w:top w:val="single" w:sz="4" w:space="0" w:color="BFBFBF" w:themeColor="background1" w:themeShade="BF"/>
              <w:left w:val="single" w:sz="4" w:space="0" w:color="A6A6A6" w:themeColor="background1" w:themeShade="A6"/>
              <w:right w:val="single" w:sz="4" w:space="0" w:color="A6A6A6" w:themeColor="background1" w:themeShade="A6"/>
            </w:tcBorders>
            <w:vAlign w:val="center"/>
          </w:tcPr>
          <w:p w14:paraId="1241A986" w14:textId="77777777" w:rsidR="00B401DD"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E</w:t>
            </w:r>
          </w:p>
          <w:p w14:paraId="7C112AD4" w14:textId="77777777" w:rsidR="00B401DD"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R</w:t>
            </w:r>
          </w:p>
          <w:p w14:paraId="2BCAE3BA" w14:textId="39A50D37" w:rsidR="00D71BE5"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37" w:type="dxa"/>
            <w:tcBorders>
              <w:top w:val="single" w:sz="4" w:space="0" w:color="BFBFBF" w:themeColor="background1" w:themeShade="BF"/>
              <w:left w:val="single" w:sz="4" w:space="0" w:color="A6A6A6" w:themeColor="background1" w:themeShade="A6"/>
              <w:right w:val="single" w:sz="4" w:space="0" w:color="BFBFBF"/>
            </w:tcBorders>
            <w:shd w:val="clear" w:color="auto" w:fill="auto"/>
            <w:noWrap/>
            <w:hideMark/>
          </w:tcPr>
          <w:p w14:paraId="2A34B1D8" w14:textId="77777777" w:rsidR="00B401DD"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429765B0" w14:textId="77777777" w:rsidR="00B401DD"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218F2C11" w14:textId="4524EFF2"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68" w:type="dxa"/>
            <w:tcBorders>
              <w:top w:val="single" w:sz="4" w:space="0" w:color="BFBFBF" w:themeColor="background1" w:themeShade="BF"/>
              <w:left w:val="nil"/>
              <w:right w:val="single" w:sz="4" w:space="0" w:color="BFBFBF"/>
            </w:tcBorders>
            <w:shd w:val="clear" w:color="auto" w:fill="auto"/>
            <w:noWrap/>
            <w:hideMark/>
          </w:tcPr>
          <w:p w14:paraId="0916DE45" w14:textId="77777777" w:rsidR="00B401DD"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4D59B2F0" w14:textId="77777777" w:rsidR="00B401DD"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p w14:paraId="0C9A4552" w14:textId="05329209" w:rsidR="00D71BE5"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w:t>
            </w:r>
          </w:p>
        </w:tc>
        <w:tc>
          <w:tcPr>
            <w:tcW w:w="1342" w:type="dxa"/>
            <w:tcBorders>
              <w:top w:val="single" w:sz="4" w:space="0" w:color="BFBFBF" w:themeColor="background1" w:themeShade="BF"/>
              <w:left w:val="nil"/>
              <w:right w:val="single" w:sz="4" w:space="0" w:color="BFBFBF"/>
            </w:tcBorders>
            <w:shd w:val="clear" w:color="auto" w:fill="auto"/>
            <w:noWrap/>
            <w:hideMark/>
          </w:tcPr>
          <w:p w14:paraId="42467CB6" w14:textId="77777777" w:rsidR="00B401DD" w:rsidRPr="00E06845" w:rsidRDefault="00D71BE5"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95,6</w:t>
            </w:r>
          </w:p>
          <w:p w14:paraId="252B1734" w14:textId="77777777" w:rsidR="00B401DD"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98,9</w:t>
            </w:r>
          </w:p>
          <w:p w14:paraId="156216A9" w14:textId="0125EB81" w:rsidR="00D71BE5" w:rsidRPr="00E06845" w:rsidRDefault="00B401DD" w:rsidP="00E06845">
            <w:pPr>
              <w:spacing w:after="0" w:line="240" w:lineRule="auto"/>
              <w:jc w:val="right"/>
              <w:rPr>
                <w:rFonts w:eastAsia="Times New Roman" w:cstheme="minorHAnsi"/>
                <w:color w:val="000000"/>
                <w:sz w:val="18"/>
                <w:szCs w:val="18"/>
                <w:lang w:eastAsia="pt-BR"/>
              </w:rPr>
            </w:pPr>
            <w:r w:rsidRPr="00E06845">
              <w:rPr>
                <w:rFonts w:eastAsia="Times New Roman" w:cstheme="minorHAnsi"/>
                <w:color w:val="000000"/>
                <w:sz w:val="18"/>
                <w:szCs w:val="18"/>
                <w:lang w:eastAsia="pt-BR"/>
              </w:rPr>
              <w:t>3,5</w:t>
            </w:r>
          </w:p>
        </w:tc>
      </w:tr>
      <w:tr w:rsidR="00D71BE5" w:rsidRPr="00E06845" w14:paraId="73526295" w14:textId="77777777" w:rsidTr="00126325">
        <w:trPr>
          <w:trHeight w:val="669"/>
          <w:jc w:val="center"/>
        </w:trPr>
        <w:tc>
          <w:tcPr>
            <w:tcW w:w="4188" w:type="dxa"/>
            <w:tcBorders>
              <w:top w:val="nil"/>
              <w:left w:val="single" w:sz="4" w:space="0" w:color="BFBFBF"/>
              <w:bottom w:val="nil"/>
              <w:right w:val="single" w:sz="4" w:space="0" w:color="A6A6A6" w:themeColor="background1" w:themeShade="A6"/>
            </w:tcBorders>
            <w:shd w:val="clear" w:color="000000" w:fill="808080"/>
            <w:vAlign w:val="center"/>
            <w:hideMark/>
          </w:tcPr>
          <w:p w14:paraId="6042FD26" w14:textId="77777777" w:rsidR="00D71BE5" w:rsidRPr="00E06845" w:rsidRDefault="00D71BE5" w:rsidP="00BC0898">
            <w:pPr>
              <w:spacing w:after="0" w:line="240" w:lineRule="auto"/>
              <w:rPr>
                <w:rFonts w:eastAsia="Times New Roman" w:cstheme="minorHAnsi"/>
                <w:b/>
                <w:bCs/>
                <w:color w:val="FFFFFF"/>
                <w:sz w:val="18"/>
                <w:szCs w:val="18"/>
                <w:lang w:eastAsia="pt-BR"/>
              </w:rPr>
            </w:pPr>
            <w:r w:rsidRPr="00E06845">
              <w:rPr>
                <w:rFonts w:eastAsia="Times New Roman" w:cstheme="minorHAnsi"/>
                <w:b/>
                <w:bCs/>
                <w:color w:val="FFFFFF"/>
                <w:sz w:val="18"/>
                <w:szCs w:val="18"/>
                <w:lang w:eastAsia="pt-BR"/>
              </w:rPr>
              <w:t>Total</w:t>
            </w:r>
          </w:p>
        </w:tc>
        <w:tc>
          <w:tcPr>
            <w:tcW w:w="26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000000" w:fill="808080"/>
            <w:vAlign w:val="center"/>
          </w:tcPr>
          <w:p w14:paraId="6F780EEC" w14:textId="77777777" w:rsidR="009165D2" w:rsidRPr="00E06845" w:rsidRDefault="00D71BE5" w:rsidP="00E06845">
            <w:pPr>
              <w:spacing w:after="0" w:line="240" w:lineRule="auto"/>
              <w:jc w:val="right"/>
              <w:rPr>
                <w:rFonts w:eastAsia="Times New Roman" w:cstheme="minorHAnsi"/>
                <w:b/>
                <w:color w:val="FFFFFF" w:themeColor="background1"/>
                <w:sz w:val="18"/>
                <w:szCs w:val="18"/>
                <w:lang w:eastAsia="pt-BR"/>
              </w:rPr>
            </w:pPr>
            <w:r w:rsidRPr="00E06845">
              <w:rPr>
                <w:rFonts w:eastAsia="Times New Roman" w:cstheme="minorHAnsi"/>
                <w:color w:val="FFFFFF" w:themeColor="background1"/>
                <w:sz w:val="18"/>
                <w:szCs w:val="18"/>
                <w:lang w:eastAsia="pt-BR"/>
              </w:rPr>
              <w:t>E</w:t>
            </w:r>
          </w:p>
          <w:p w14:paraId="6BE15C7B" w14:textId="77777777" w:rsidR="009165D2" w:rsidRPr="00E06845" w:rsidRDefault="009165D2" w:rsidP="00E06845">
            <w:pPr>
              <w:spacing w:after="0" w:line="240" w:lineRule="auto"/>
              <w:jc w:val="right"/>
              <w:rPr>
                <w:rFonts w:eastAsia="Times New Roman" w:cstheme="minorHAnsi"/>
                <w:b/>
                <w:color w:val="FFFFFF" w:themeColor="background1"/>
                <w:sz w:val="18"/>
                <w:szCs w:val="18"/>
                <w:lang w:eastAsia="pt-BR"/>
              </w:rPr>
            </w:pPr>
            <w:r w:rsidRPr="00E06845">
              <w:rPr>
                <w:rFonts w:eastAsia="Times New Roman" w:cstheme="minorHAnsi"/>
                <w:color w:val="FFFFFF" w:themeColor="background1"/>
                <w:sz w:val="18"/>
                <w:szCs w:val="18"/>
                <w:lang w:eastAsia="pt-BR"/>
              </w:rPr>
              <w:t>R</w:t>
            </w:r>
          </w:p>
          <w:p w14:paraId="04F673E6" w14:textId="3FA5D87D" w:rsidR="00D71BE5" w:rsidRPr="00E06845" w:rsidRDefault="009165D2" w:rsidP="00E06845">
            <w:pPr>
              <w:spacing w:after="0" w:line="240" w:lineRule="auto"/>
              <w:jc w:val="right"/>
              <w:rPr>
                <w:rFonts w:eastAsia="Times New Roman" w:cstheme="minorHAnsi"/>
                <w:b/>
                <w:color w:val="FFFFFF" w:themeColor="background1"/>
                <w:sz w:val="18"/>
                <w:szCs w:val="18"/>
                <w:lang w:eastAsia="pt-BR"/>
              </w:rPr>
            </w:pPr>
            <w:r w:rsidRPr="00E06845">
              <w:rPr>
                <w:rFonts w:eastAsia="Times New Roman" w:cstheme="minorHAnsi"/>
                <w:color w:val="FFFFFF" w:themeColor="background1"/>
                <w:sz w:val="18"/>
                <w:szCs w:val="18"/>
                <w:lang w:eastAsia="pt-BR"/>
              </w:rPr>
              <w:t>%</w:t>
            </w:r>
          </w:p>
        </w:tc>
        <w:tc>
          <w:tcPr>
            <w:tcW w:w="1337" w:type="dxa"/>
            <w:tcBorders>
              <w:top w:val="nil"/>
              <w:left w:val="single" w:sz="4" w:space="0" w:color="A6A6A6" w:themeColor="background1" w:themeShade="A6"/>
              <w:right w:val="nil"/>
            </w:tcBorders>
            <w:shd w:val="clear" w:color="000000" w:fill="808080"/>
            <w:noWrap/>
            <w:hideMark/>
          </w:tcPr>
          <w:p w14:paraId="4562BA96" w14:textId="77777777" w:rsidR="009165D2" w:rsidRPr="00E06845" w:rsidRDefault="00D71BE5" w:rsidP="00E06845">
            <w:pPr>
              <w:spacing w:after="0" w:line="240" w:lineRule="auto"/>
              <w:jc w:val="right"/>
              <w:rPr>
                <w:rFonts w:eastAsia="Times New Roman" w:cstheme="minorHAnsi"/>
                <w:b/>
                <w:bCs/>
                <w:color w:val="FFFFFF"/>
                <w:sz w:val="18"/>
                <w:szCs w:val="18"/>
                <w:lang w:eastAsia="pt-BR"/>
              </w:rPr>
            </w:pPr>
            <w:r w:rsidRPr="00E06845">
              <w:rPr>
                <w:rFonts w:eastAsia="Times New Roman" w:cstheme="minorHAnsi"/>
                <w:b/>
                <w:bCs/>
                <w:color w:val="FFFFFF"/>
                <w:sz w:val="18"/>
                <w:szCs w:val="18"/>
                <w:lang w:eastAsia="pt-BR"/>
              </w:rPr>
              <w:t>27.866,7</w:t>
            </w:r>
          </w:p>
          <w:p w14:paraId="779CDEFC" w14:textId="77777777" w:rsidR="009165D2" w:rsidRPr="00E06845" w:rsidRDefault="009165D2" w:rsidP="00E06845">
            <w:pPr>
              <w:spacing w:after="0" w:line="240" w:lineRule="auto"/>
              <w:jc w:val="right"/>
              <w:rPr>
                <w:rFonts w:eastAsia="Times New Roman" w:cstheme="minorHAnsi"/>
                <w:b/>
                <w:bCs/>
                <w:color w:val="FFFFFF"/>
                <w:sz w:val="18"/>
                <w:szCs w:val="18"/>
                <w:lang w:eastAsia="pt-BR"/>
              </w:rPr>
            </w:pPr>
            <w:r w:rsidRPr="00E06845">
              <w:rPr>
                <w:rFonts w:eastAsia="Times New Roman" w:cstheme="minorHAnsi"/>
                <w:b/>
                <w:bCs/>
                <w:color w:val="FFFFFF"/>
                <w:sz w:val="18"/>
                <w:szCs w:val="18"/>
                <w:lang w:eastAsia="pt-BR"/>
              </w:rPr>
              <w:t>25.075,4</w:t>
            </w:r>
          </w:p>
          <w:p w14:paraId="7DC8F0E7" w14:textId="2DD73311" w:rsidR="00D71BE5" w:rsidRPr="00E06845" w:rsidRDefault="00230535" w:rsidP="00E06845">
            <w:pPr>
              <w:spacing w:after="0" w:line="240" w:lineRule="auto"/>
              <w:jc w:val="right"/>
              <w:rPr>
                <w:rFonts w:eastAsia="Times New Roman" w:cstheme="minorHAnsi"/>
                <w:b/>
                <w:bCs/>
                <w:color w:val="FFFFFF"/>
                <w:sz w:val="18"/>
                <w:szCs w:val="18"/>
                <w:lang w:eastAsia="pt-BR"/>
              </w:rPr>
            </w:pPr>
            <w:r>
              <w:rPr>
                <w:rFonts w:eastAsia="Times New Roman" w:cstheme="minorHAnsi"/>
                <w:b/>
                <w:bCs/>
                <w:color w:val="FFFFFF"/>
                <w:sz w:val="18"/>
                <w:szCs w:val="18"/>
                <w:lang w:eastAsia="pt-BR"/>
              </w:rPr>
              <w:t>-</w:t>
            </w:r>
            <w:r w:rsidR="009165D2" w:rsidRPr="00E06845">
              <w:rPr>
                <w:rFonts w:eastAsia="Times New Roman" w:cstheme="minorHAnsi"/>
                <w:b/>
                <w:bCs/>
                <w:color w:val="FFFFFF"/>
                <w:sz w:val="18"/>
                <w:szCs w:val="18"/>
                <w:lang w:eastAsia="pt-BR"/>
              </w:rPr>
              <w:t>10,0</w:t>
            </w:r>
          </w:p>
        </w:tc>
        <w:tc>
          <w:tcPr>
            <w:tcW w:w="1368" w:type="dxa"/>
            <w:tcBorders>
              <w:top w:val="nil"/>
              <w:left w:val="nil"/>
              <w:right w:val="single" w:sz="4" w:space="0" w:color="BFBFBF"/>
            </w:tcBorders>
            <w:shd w:val="clear" w:color="000000" w:fill="808080"/>
            <w:noWrap/>
            <w:hideMark/>
          </w:tcPr>
          <w:p w14:paraId="0401BE27" w14:textId="77777777" w:rsidR="009165D2" w:rsidRPr="00E06845" w:rsidRDefault="00D71BE5" w:rsidP="00E06845">
            <w:pPr>
              <w:spacing w:after="0" w:line="240" w:lineRule="auto"/>
              <w:jc w:val="right"/>
              <w:rPr>
                <w:rFonts w:eastAsia="Times New Roman" w:cstheme="minorHAnsi"/>
                <w:b/>
                <w:bCs/>
                <w:color w:val="FFFFFF"/>
                <w:sz w:val="18"/>
                <w:szCs w:val="18"/>
                <w:lang w:eastAsia="pt-BR"/>
              </w:rPr>
            </w:pPr>
            <w:r w:rsidRPr="00E06845">
              <w:rPr>
                <w:rFonts w:eastAsia="Times New Roman" w:cstheme="minorHAnsi"/>
                <w:b/>
                <w:bCs/>
                <w:color w:val="FFFFFF"/>
                <w:sz w:val="18"/>
                <w:szCs w:val="18"/>
                <w:lang w:eastAsia="pt-BR"/>
              </w:rPr>
              <w:t>23.913,4</w:t>
            </w:r>
          </w:p>
          <w:p w14:paraId="51E89610" w14:textId="77777777" w:rsidR="009165D2" w:rsidRPr="00E06845" w:rsidRDefault="009165D2" w:rsidP="00E06845">
            <w:pPr>
              <w:spacing w:after="0" w:line="240" w:lineRule="auto"/>
              <w:jc w:val="right"/>
              <w:rPr>
                <w:rFonts w:eastAsia="Times New Roman" w:cstheme="minorHAnsi"/>
                <w:b/>
                <w:bCs/>
                <w:color w:val="FFFFFF"/>
                <w:sz w:val="18"/>
                <w:szCs w:val="18"/>
                <w:lang w:eastAsia="pt-BR"/>
              </w:rPr>
            </w:pPr>
            <w:r w:rsidRPr="00E06845">
              <w:rPr>
                <w:rFonts w:eastAsia="Times New Roman" w:cstheme="minorHAnsi"/>
                <w:b/>
                <w:bCs/>
                <w:color w:val="FFFFFF"/>
                <w:sz w:val="18"/>
                <w:szCs w:val="18"/>
                <w:lang w:eastAsia="pt-BR"/>
              </w:rPr>
              <w:t>23.466,4</w:t>
            </w:r>
          </w:p>
          <w:p w14:paraId="20CED085" w14:textId="691153AF" w:rsidR="00D71BE5" w:rsidRPr="00E06845" w:rsidRDefault="00230535" w:rsidP="00E06845">
            <w:pPr>
              <w:spacing w:after="0" w:line="240" w:lineRule="auto"/>
              <w:jc w:val="right"/>
              <w:rPr>
                <w:rFonts w:eastAsia="Times New Roman" w:cstheme="minorHAnsi"/>
                <w:b/>
                <w:bCs/>
                <w:color w:val="FFFFFF"/>
                <w:sz w:val="18"/>
                <w:szCs w:val="18"/>
                <w:lang w:eastAsia="pt-BR"/>
              </w:rPr>
            </w:pPr>
            <w:r>
              <w:rPr>
                <w:rFonts w:eastAsia="Times New Roman" w:cstheme="minorHAnsi"/>
                <w:b/>
                <w:bCs/>
                <w:color w:val="FFFFFF"/>
                <w:sz w:val="18"/>
                <w:szCs w:val="18"/>
                <w:lang w:eastAsia="pt-BR"/>
              </w:rPr>
              <w:t>-</w:t>
            </w:r>
            <w:r w:rsidR="009165D2" w:rsidRPr="00E06845">
              <w:rPr>
                <w:rFonts w:eastAsia="Times New Roman" w:cstheme="minorHAnsi"/>
                <w:b/>
                <w:bCs/>
                <w:color w:val="FFFFFF"/>
                <w:sz w:val="18"/>
                <w:szCs w:val="18"/>
                <w:lang w:eastAsia="pt-BR"/>
              </w:rPr>
              <w:t>1,9</w:t>
            </w:r>
          </w:p>
        </w:tc>
        <w:tc>
          <w:tcPr>
            <w:tcW w:w="1342" w:type="dxa"/>
            <w:tcBorders>
              <w:top w:val="nil"/>
              <w:left w:val="nil"/>
              <w:right w:val="single" w:sz="4" w:space="0" w:color="BFBFBF"/>
            </w:tcBorders>
            <w:shd w:val="clear" w:color="000000" w:fill="808080"/>
            <w:noWrap/>
            <w:hideMark/>
          </w:tcPr>
          <w:p w14:paraId="3FDA353B" w14:textId="77777777" w:rsidR="009165D2" w:rsidRPr="00E06845" w:rsidRDefault="00D71BE5" w:rsidP="00E06845">
            <w:pPr>
              <w:spacing w:after="0" w:line="240" w:lineRule="auto"/>
              <w:jc w:val="right"/>
              <w:rPr>
                <w:rFonts w:eastAsia="Times New Roman" w:cstheme="minorHAnsi"/>
                <w:b/>
                <w:bCs/>
                <w:color w:val="FFFFFF"/>
                <w:sz w:val="18"/>
                <w:szCs w:val="18"/>
                <w:lang w:eastAsia="pt-BR"/>
              </w:rPr>
            </w:pPr>
            <w:r w:rsidRPr="00E06845">
              <w:rPr>
                <w:rFonts w:eastAsia="Times New Roman" w:cstheme="minorHAnsi"/>
                <w:b/>
                <w:bCs/>
                <w:color w:val="FFFFFF"/>
                <w:sz w:val="18"/>
                <w:szCs w:val="18"/>
                <w:lang w:eastAsia="pt-BR"/>
              </w:rPr>
              <w:t>7.216,2</w:t>
            </w:r>
          </w:p>
          <w:p w14:paraId="3138FC04" w14:textId="77777777" w:rsidR="009165D2" w:rsidRPr="00E06845" w:rsidRDefault="009165D2" w:rsidP="00E06845">
            <w:pPr>
              <w:spacing w:after="0" w:line="240" w:lineRule="auto"/>
              <w:jc w:val="right"/>
              <w:rPr>
                <w:rFonts w:eastAsia="Times New Roman" w:cstheme="minorHAnsi"/>
                <w:b/>
                <w:bCs/>
                <w:color w:val="FFFFFF"/>
                <w:sz w:val="18"/>
                <w:szCs w:val="18"/>
                <w:lang w:eastAsia="pt-BR"/>
              </w:rPr>
            </w:pPr>
            <w:r w:rsidRPr="00E06845">
              <w:rPr>
                <w:rFonts w:eastAsia="Times New Roman" w:cstheme="minorHAnsi"/>
                <w:b/>
                <w:bCs/>
                <w:color w:val="FFFFFF"/>
                <w:sz w:val="18"/>
                <w:szCs w:val="18"/>
                <w:lang w:eastAsia="pt-BR"/>
              </w:rPr>
              <w:t>5.033,8</w:t>
            </w:r>
          </w:p>
          <w:p w14:paraId="392248DF" w14:textId="39D0F14A" w:rsidR="00D71BE5" w:rsidRPr="00E06845" w:rsidRDefault="00AE43A8" w:rsidP="00E06845">
            <w:pPr>
              <w:spacing w:after="0" w:line="240" w:lineRule="auto"/>
              <w:jc w:val="right"/>
              <w:rPr>
                <w:rFonts w:eastAsia="Times New Roman" w:cstheme="minorHAnsi"/>
                <w:b/>
                <w:bCs/>
                <w:color w:val="FFFFFF"/>
                <w:sz w:val="18"/>
                <w:szCs w:val="18"/>
                <w:lang w:eastAsia="pt-BR"/>
              </w:rPr>
            </w:pPr>
            <w:r>
              <w:rPr>
                <w:rFonts w:eastAsia="Times New Roman" w:cstheme="minorHAnsi"/>
                <w:b/>
                <w:bCs/>
                <w:color w:val="FFFFFF"/>
                <w:sz w:val="18"/>
                <w:szCs w:val="18"/>
                <w:lang w:eastAsia="pt-BR"/>
              </w:rPr>
              <w:t>-</w:t>
            </w:r>
            <w:r w:rsidR="009165D2" w:rsidRPr="00E06845">
              <w:rPr>
                <w:rFonts w:eastAsia="Times New Roman" w:cstheme="minorHAnsi"/>
                <w:b/>
                <w:bCs/>
                <w:color w:val="FFFFFF"/>
                <w:sz w:val="18"/>
                <w:szCs w:val="18"/>
                <w:lang w:eastAsia="pt-BR"/>
              </w:rPr>
              <w:t>30,2</w:t>
            </w:r>
          </w:p>
        </w:tc>
      </w:tr>
      <w:tr w:rsidR="00B55A02" w:rsidRPr="00E06845" w14:paraId="721EDD44" w14:textId="77777777" w:rsidTr="00B55A02">
        <w:trPr>
          <w:trHeight w:val="20"/>
          <w:jc w:val="center"/>
        </w:trPr>
        <w:tc>
          <w:tcPr>
            <w:tcW w:w="8504" w:type="dxa"/>
            <w:gridSpan w:val="5"/>
            <w:tcBorders>
              <w:top w:val="nil"/>
            </w:tcBorders>
            <w:vAlign w:val="center"/>
          </w:tcPr>
          <w:p w14:paraId="1613E1F0" w14:textId="77777777" w:rsidR="00B55A02" w:rsidRPr="00B22048" w:rsidRDefault="00B55A02" w:rsidP="00B55A02">
            <w:pPr>
              <w:spacing w:after="0" w:line="240" w:lineRule="auto"/>
              <w:rPr>
                <w:i/>
                <w:sz w:val="16"/>
                <w:szCs w:val="16"/>
              </w:rPr>
            </w:pPr>
            <w:proofErr w:type="gramStart"/>
            <w:r w:rsidRPr="00F23C27">
              <w:rPr>
                <w:rFonts w:ascii="Calibri" w:eastAsia="Calibri" w:hAnsi="Calibri" w:cs="Calibri"/>
                <w:i/>
                <w:color w:val="000000" w:themeColor="text1"/>
                <w:sz w:val="16"/>
                <w:szCs w:val="16"/>
                <w:vertAlign w:val="superscript"/>
              </w:rPr>
              <w:t>1</w:t>
            </w:r>
            <w:proofErr w:type="gramEnd"/>
            <w:r w:rsidRPr="00B22048">
              <w:rPr>
                <w:rFonts w:ascii="Calibri" w:eastAsia="Calibri" w:hAnsi="Calibri" w:cs="Calibri"/>
                <w:i/>
                <w:color w:val="000000" w:themeColor="text1"/>
                <w:sz w:val="16"/>
                <w:szCs w:val="16"/>
              </w:rPr>
              <w:t xml:space="preserve"> Variação entre os valores estimados e realizados.</w:t>
            </w:r>
          </w:p>
          <w:p w14:paraId="42DB4CD2" w14:textId="1C9EE3F0" w:rsidR="00B55A02" w:rsidRPr="00E06845" w:rsidRDefault="00B55A02" w:rsidP="00B55A02">
            <w:pPr>
              <w:spacing w:after="0" w:line="240" w:lineRule="auto"/>
              <w:rPr>
                <w:rFonts w:eastAsia="Times New Roman" w:cstheme="minorHAnsi"/>
                <w:b/>
                <w:bCs/>
                <w:color w:val="FFFFFF"/>
                <w:sz w:val="18"/>
                <w:szCs w:val="18"/>
                <w:lang w:eastAsia="pt-BR"/>
              </w:rPr>
            </w:pPr>
            <w:r w:rsidRPr="00BC0898">
              <w:rPr>
                <w:rFonts w:ascii="Calibri" w:eastAsia="Calibri" w:hAnsi="Calibri" w:cs="Calibri"/>
                <w:b/>
                <w:bCs/>
                <w:i/>
                <w:color w:val="000000" w:themeColor="text1"/>
                <w:sz w:val="16"/>
                <w:szCs w:val="16"/>
              </w:rPr>
              <w:t>Fonte e elaboração:</w:t>
            </w:r>
            <w:r w:rsidRPr="00B22048">
              <w:rPr>
                <w:rFonts w:ascii="Calibri" w:eastAsia="Calibri" w:hAnsi="Calibri" w:cs="Calibri"/>
                <w:i/>
                <w:color w:val="000000" w:themeColor="text1"/>
                <w:sz w:val="16"/>
                <w:szCs w:val="16"/>
              </w:rPr>
              <w:t xml:space="preserve"> STN/ME.</w:t>
            </w:r>
          </w:p>
        </w:tc>
      </w:tr>
    </w:tbl>
    <w:p w14:paraId="2F6B6C43" w14:textId="77777777" w:rsidR="003144E8" w:rsidRDefault="003144E8" w:rsidP="00704724">
      <w:pPr>
        <w:ind w:firstLine="1416"/>
        <w:jc w:val="both"/>
        <w:rPr>
          <w:rFonts w:ascii="Calibri" w:eastAsia="Calibri" w:hAnsi="Calibri" w:cs="Calibri"/>
          <w:color w:val="000000" w:themeColor="text1"/>
          <w:sz w:val="24"/>
          <w:szCs w:val="24"/>
        </w:rPr>
      </w:pPr>
    </w:p>
    <w:p w14:paraId="70D2FC30" w14:textId="0649F24D" w:rsidR="394EC368" w:rsidRPr="00113FDF" w:rsidRDefault="394EC368" w:rsidP="00704724">
      <w:pPr>
        <w:ind w:firstLine="1416"/>
        <w:jc w:val="both"/>
        <w:rPr>
          <w:rFonts w:ascii="Calibri" w:eastAsia="Calibri" w:hAnsi="Calibri" w:cs="Calibri"/>
          <w:color w:val="000000" w:themeColor="text1"/>
          <w:sz w:val="24"/>
          <w:szCs w:val="24"/>
        </w:rPr>
      </w:pPr>
      <w:r w:rsidRPr="7CF53619">
        <w:rPr>
          <w:rFonts w:ascii="Calibri" w:eastAsia="Calibri" w:hAnsi="Calibri" w:cs="Calibri"/>
          <w:color w:val="000000" w:themeColor="text1"/>
          <w:sz w:val="24"/>
          <w:szCs w:val="24"/>
        </w:rPr>
        <w:t>No tocante à Lei nº 9.496/1997 e à MP nº 2.185/2001, as variações negativas nos recebimentos de 31,6% e 36,5%, respectivamente, em relação ao exercício de 2019, decorrem dos efeitos da LC nº 173/2020, por meio da qual os Estados e Municípios postergaram o pagamento das parcelas referentes ao período de abril/2020 a dezembro/2020. O detalhamento a respeito dos dispositivos trazidos pela referida LC é apresentado n</w:t>
      </w:r>
      <w:r w:rsidR="00C32FCA">
        <w:rPr>
          <w:rFonts w:ascii="Calibri" w:eastAsia="Calibri" w:hAnsi="Calibri" w:cs="Calibri"/>
          <w:color w:val="000000" w:themeColor="text1"/>
          <w:sz w:val="24"/>
          <w:szCs w:val="24"/>
        </w:rPr>
        <w:t xml:space="preserve">a subseção </w:t>
      </w:r>
      <w:r w:rsidR="00A16BBE">
        <w:rPr>
          <w:rFonts w:ascii="Calibri" w:eastAsia="Calibri" w:hAnsi="Calibri" w:cs="Calibri"/>
          <w:color w:val="000000" w:themeColor="text1"/>
          <w:sz w:val="24"/>
          <w:szCs w:val="24"/>
        </w:rPr>
        <w:fldChar w:fldCharType="begin"/>
      </w:r>
      <w:r w:rsidR="00A16BBE">
        <w:rPr>
          <w:rFonts w:ascii="Calibri" w:eastAsia="Calibri" w:hAnsi="Calibri" w:cs="Calibri"/>
          <w:color w:val="000000" w:themeColor="text1"/>
          <w:sz w:val="24"/>
          <w:szCs w:val="24"/>
        </w:rPr>
        <w:instrText xml:space="preserve"> REF _Ref68697638 \w </w:instrText>
      </w:r>
      <w:r w:rsidR="00113FDF">
        <w:rPr>
          <w:rFonts w:ascii="Calibri" w:eastAsia="Calibri" w:hAnsi="Calibri" w:cs="Calibri"/>
          <w:color w:val="000000" w:themeColor="text1"/>
          <w:sz w:val="24"/>
          <w:szCs w:val="24"/>
        </w:rPr>
        <w:instrText xml:space="preserve"> \* MERGEFORMAT </w:instrText>
      </w:r>
      <w:r w:rsidR="00A16BBE">
        <w:rPr>
          <w:rFonts w:ascii="Calibri" w:eastAsia="Calibri" w:hAnsi="Calibri" w:cs="Calibri"/>
          <w:color w:val="000000" w:themeColor="text1"/>
          <w:sz w:val="24"/>
          <w:szCs w:val="24"/>
        </w:rPr>
        <w:fldChar w:fldCharType="separate"/>
      </w:r>
      <w:r w:rsidR="00304F5F">
        <w:rPr>
          <w:rFonts w:ascii="Calibri" w:eastAsia="Calibri" w:hAnsi="Calibri" w:cs="Calibri"/>
          <w:color w:val="000000" w:themeColor="text1"/>
          <w:sz w:val="24"/>
          <w:szCs w:val="24"/>
        </w:rPr>
        <w:t>4.2.4.5</w:t>
      </w:r>
      <w:r w:rsidR="00A16BBE">
        <w:rPr>
          <w:rFonts w:ascii="Calibri" w:eastAsia="Calibri" w:hAnsi="Calibri" w:cs="Calibri"/>
          <w:color w:val="000000" w:themeColor="text1"/>
          <w:sz w:val="24"/>
          <w:szCs w:val="24"/>
        </w:rPr>
        <w:fldChar w:fldCharType="end"/>
      </w:r>
      <w:r w:rsidR="0016701A">
        <w:rPr>
          <w:rFonts w:ascii="Calibri" w:eastAsia="Calibri" w:hAnsi="Calibri" w:cs="Calibri"/>
          <w:color w:val="000000" w:themeColor="text1"/>
          <w:sz w:val="24"/>
          <w:szCs w:val="24"/>
        </w:rPr>
        <w:t>,</w:t>
      </w:r>
      <w:r w:rsidRPr="7CF53619">
        <w:rPr>
          <w:rFonts w:ascii="Calibri" w:eastAsia="Calibri" w:hAnsi="Calibri" w:cs="Calibri"/>
          <w:color w:val="000000" w:themeColor="text1"/>
          <w:sz w:val="24"/>
          <w:szCs w:val="24"/>
        </w:rPr>
        <w:t xml:space="preserve"> </w:t>
      </w:r>
      <w:r w:rsidR="00A16BBE">
        <w:rPr>
          <w:rFonts w:ascii="Calibri" w:eastAsia="Calibri" w:hAnsi="Calibri" w:cs="Calibri"/>
          <w:color w:val="000000" w:themeColor="text1"/>
          <w:sz w:val="24"/>
          <w:szCs w:val="24"/>
        </w:rPr>
        <w:fldChar w:fldCharType="begin"/>
      </w:r>
      <w:r w:rsidR="00A16BBE">
        <w:rPr>
          <w:rFonts w:ascii="Calibri" w:eastAsia="Calibri" w:hAnsi="Calibri" w:cs="Calibri"/>
          <w:color w:val="000000" w:themeColor="text1"/>
          <w:sz w:val="24"/>
          <w:szCs w:val="24"/>
        </w:rPr>
        <w:instrText xml:space="preserve"> REF _Ref68697638 </w:instrText>
      </w:r>
      <w:r w:rsidR="00113FDF">
        <w:rPr>
          <w:rFonts w:ascii="Calibri" w:eastAsia="Calibri" w:hAnsi="Calibri" w:cs="Calibri"/>
          <w:color w:val="000000" w:themeColor="text1"/>
          <w:sz w:val="24"/>
          <w:szCs w:val="24"/>
        </w:rPr>
        <w:instrText xml:space="preserve"> \* MERGEFORMAT </w:instrText>
      </w:r>
      <w:r w:rsidR="00A16BBE">
        <w:rPr>
          <w:rFonts w:ascii="Calibri" w:eastAsia="Calibri" w:hAnsi="Calibri" w:cs="Calibri"/>
          <w:color w:val="000000" w:themeColor="text1"/>
          <w:sz w:val="24"/>
          <w:szCs w:val="24"/>
        </w:rPr>
        <w:fldChar w:fldCharType="separate"/>
      </w:r>
      <w:r w:rsidR="00304F5F" w:rsidRPr="00304F5F">
        <w:rPr>
          <w:rFonts w:ascii="Calibri" w:eastAsia="Calibri" w:hAnsi="Calibri" w:cs="Calibri"/>
          <w:color w:val="000000" w:themeColor="text1"/>
          <w:sz w:val="24"/>
          <w:szCs w:val="24"/>
        </w:rPr>
        <w:t>Impacto nas contas públicas</w:t>
      </w:r>
      <w:r w:rsidR="00A16BBE">
        <w:rPr>
          <w:rFonts w:ascii="Calibri" w:eastAsia="Calibri" w:hAnsi="Calibri" w:cs="Calibri"/>
          <w:color w:val="000000" w:themeColor="text1"/>
          <w:sz w:val="24"/>
          <w:szCs w:val="24"/>
        </w:rPr>
        <w:fldChar w:fldCharType="end"/>
      </w:r>
      <w:r w:rsidRPr="7CF53619">
        <w:rPr>
          <w:rFonts w:ascii="Calibri" w:eastAsia="Calibri" w:hAnsi="Calibri" w:cs="Calibri"/>
          <w:color w:val="000000" w:themeColor="text1"/>
          <w:sz w:val="24"/>
          <w:szCs w:val="24"/>
        </w:rPr>
        <w:t>.</w:t>
      </w:r>
    </w:p>
    <w:p w14:paraId="6921A9DB" w14:textId="77777777" w:rsidR="394EC368" w:rsidRDefault="394EC368" w:rsidP="7CF53619">
      <w:pPr>
        <w:ind w:firstLine="1418"/>
        <w:jc w:val="both"/>
      </w:pPr>
      <w:r w:rsidRPr="7CF53619">
        <w:rPr>
          <w:rFonts w:ascii="Calibri" w:eastAsia="Calibri" w:hAnsi="Calibri" w:cs="Calibri"/>
          <w:color w:val="000000" w:themeColor="text1"/>
          <w:sz w:val="24"/>
          <w:szCs w:val="24"/>
        </w:rPr>
        <w:t xml:space="preserve">Na sequência, a variação negativa de 44,8% nos recebimentos dos </w:t>
      </w:r>
      <w:r w:rsidRPr="7CF53619">
        <w:rPr>
          <w:rFonts w:ascii="Calibri" w:eastAsia="Calibri" w:hAnsi="Calibri" w:cs="Calibri"/>
          <w:i/>
          <w:iCs/>
          <w:color w:val="000000" w:themeColor="text1"/>
          <w:sz w:val="24"/>
          <w:szCs w:val="24"/>
        </w:rPr>
        <w:t>royalties</w:t>
      </w:r>
      <w:r w:rsidRPr="7CF53619">
        <w:rPr>
          <w:rFonts w:ascii="Calibri" w:eastAsia="Calibri" w:hAnsi="Calibri" w:cs="Calibri"/>
          <w:color w:val="000000" w:themeColor="text1"/>
          <w:sz w:val="24"/>
          <w:szCs w:val="24"/>
        </w:rPr>
        <w:t xml:space="preserve"> em relação ao exercício anterior se deve à proximidade do encerramento desses créditos, principalmente por conta da curva decrescente de recebimentos para os </w:t>
      </w:r>
      <w:r w:rsidRPr="7CF53619">
        <w:rPr>
          <w:rFonts w:ascii="Calibri" w:eastAsia="Calibri" w:hAnsi="Calibri" w:cs="Calibri"/>
          <w:i/>
          <w:iCs/>
          <w:color w:val="000000" w:themeColor="text1"/>
          <w:sz w:val="24"/>
          <w:szCs w:val="24"/>
        </w:rPr>
        <w:t>royalties</w:t>
      </w:r>
      <w:r w:rsidRPr="7CF53619">
        <w:rPr>
          <w:rFonts w:ascii="Calibri" w:eastAsia="Calibri" w:hAnsi="Calibri" w:cs="Calibri"/>
          <w:color w:val="000000" w:themeColor="text1"/>
          <w:sz w:val="24"/>
          <w:szCs w:val="24"/>
        </w:rPr>
        <w:t xml:space="preserve"> do Estado do Rio de Janeiro, com finalização prevista para fevereiro/2021. Ademais, a dívida do Estado de Mato Grosso do Sul foi quitada durante o exercício, ao passo que a dívida do Estado do Paraná foi liquidada nesse período em decorrência de decisão liminar judicial.</w:t>
      </w:r>
    </w:p>
    <w:p w14:paraId="4B7E3077" w14:textId="77777777" w:rsidR="394EC368" w:rsidRDefault="394EC368" w:rsidP="7CF53619">
      <w:pPr>
        <w:ind w:firstLine="1418"/>
        <w:jc w:val="both"/>
      </w:pPr>
      <w:r w:rsidRPr="7CF53619">
        <w:rPr>
          <w:rFonts w:ascii="Calibri" w:eastAsia="Calibri" w:hAnsi="Calibri" w:cs="Calibri"/>
          <w:color w:val="000000" w:themeColor="text1"/>
          <w:sz w:val="24"/>
          <w:szCs w:val="24"/>
        </w:rPr>
        <w:lastRenderedPageBreak/>
        <w:t>No caso dos recebimentos ao amparo da Lei nº 8.727/1993, para a parcela referente às receitas da União, não foram verificados recebimentos ao longo do exercício de 2020 por conta de liminares ajuizadas contra a União pelo Estado de Goiás. Por sua vez, a parcela de demais credores da Lei nº 8.727/1993 apresentou redução de 25,5% na comparação com 2019, por conta do encerramento de diversos contratos do referido programa. Cabe ainda ressaltar que a parcela de demais credores da Lei nº 8.727/1993 também sofre grande impacto por conta de liminares judiciais, o que explica a redução nos recebimentos nos últimos anos.</w:t>
      </w:r>
    </w:p>
    <w:p w14:paraId="43163360" w14:textId="77777777" w:rsidR="394EC368" w:rsidRDefault="394EC368" w:rsidP="7CF53619">
      <w:pPr>
        <w:ind w:firstLine="1418"/>
        <w:jc w:val="both"/>
      </w:pPr>
      <w:r w:rsidRPr="7CF53619">
        <w:rPr>
          <w:rFonts w:ascii="Calibri" w:eastAsia="Calibri" w:hAnsi="Calibri" w:cs="Calibri"/>
          <w:color w:val="000000" w:themeColor="text1"/>
          <w:sz w:val="24"/>
          <w:szCs w:val="24"/>
        </w:rPr>
        <w:t>Ainda, o incremento nos recebimentos da DMLP em 2020 se deve às amortizações ocorridas em 2020, por conta das condições vantajosas para quitações antecipadas para os mutuários, por conta da atualização das garantias das DMLP, conforme descrito no item concernente à variação nos estoques.</w:t>
      </w:r>
    </w:p>
    <w:p w14:paraId="0F857525" w14:textId="77777777" w:rsidR="394EC368" w:rsidRDefault="394EC368" w:rsidP="7CF53619">
      <w:pPr>
        <w:ind w:firstLine="1418"/>
        <w:jc w:val="both"/>
        <w:rPr>
          <w:rFonts w:ascii="Calibri" w:eastAsia="Calibri" w:hAnsi="Calibri" w:cs="Calibri"/>
          <w:color w:val="000000" w:themeColor="text1"/>
          <w:sz w:val="24"/>
          <w:szCs w:val="24"/>
        </w:rPr>
      </w:pPr>
      <w:r w:rsidRPr="7CF53619">
        <w:rPr>
          <w:rFonts w:ascii="Calibri" w:eastAsia="Calibri" w:hAnsi="Calibri" w:cs="Calibri"/>
          <w:color w:val="000000" w:themeColor="text1"/>
          <w:sz w:val="24"/>
          <w:szCs w:val="24"/>
        </w:rPr>
        <w:t xml:space="preserve">Por fim, os recebimentos no âmbito do RRF do Contrato BACEN-BANERJ se devem ao final da 1ª fase do Regime, em setembro/2020, e o início da 2ª fase, com o mecanismo de pagamentos mensais crescentes, conforme descrito anteriormente. Cabe ressaltar que, no caso do RRF da Lei nº 9.496/1997, não </w:t>
      </w:r>
      <w:proofErr w:type="gramStart"/>
      <w:r w:rsidRPr="7CF53619">
        <w:rPr>
          <w:rFonts w:ascii="Calibri" w:eastAsia="Calibri" w:hAnsi="Calibri" w:cs="Calibri"/>
          <w:color w:val="000000" w:themeColor="text1"/>
          <w:sz w:val="24"/>
          <w:szCs w:val="24"/>
        </w:rPr>
        <w:t>foram</w:t>
      </w:r>
      <w:proofErr w:type="gramEnd"/>
      <w:r w:rsidRPr="7CF53619">
        <w:rPr>
          <w:rFonts w:ascii="Calibri" w:eastAsia="Calibri" w:hAnsi="Calibri" w:cs="Calibri"/>
          <w:color w:val="000000" w:themeColor="text1"/>
          <w:sz w:val="24"/>
          <w:szCs w:val="24"/>
        </w:rPr>
        <w:t xml:space="preserve"> verificados recebimentos a partir de outubro/2020 por conta dos impactos da Lei Complementar nº 173/2020.</w:t>
      </w:r>
    </w:p>
    <w:p w14:paraId="5F80CDE6" w14:textId="259455F1" w:rsidR="004E2FF2" w:rsidRDefault="00E84C54" w:rsidP="004764E2">
      <w:pPr>
        <w:pStyle w:val="TabelaARF"/>
        <w:jc w:val="center"/>
        <w:rPr>
          <w:color w:val="000000" w:themeColor="text1"/>
        </w:rPr>
      </w:pPr>
      <w:bookmarkStart w:id="347" w:name="_Ref68689231"/>
      <w:bookmarkStart w:id="348" w:name="_Toc69121389"/>
      <w:r w:rsidRPr="001C6DBA">
        <w:rPr>
          <w:color w:val="000000" w:themeColor="text1"/>
        </w:rPr>
        <w:t xml:space="preserve">Tabela </w:t>
      </w:r>
      <w:r w:rsidRPr="001C6DBA">
        <w:rPr>
          <w:color w:val="000000" w:themeColor="text1"/>
        </w:rPr>
        <w:fldChar w:fldCharType="begin"/>
      </w:r>
      <w:r w:rsidRPr="001C6DBA">
        <w:rPr>
          <w:color w:val="000000" w:themeColor="text1"/>
        </w:rPr>
        <w:instrText xml:space="preserve"> SEQ Tabela \* ARABIC </w:instrText>
      </w:r>
      <w:r w:rsidRPr="001C6DBA">
        <w:rPr>
          <w:color w:val="000000" w:themeColor="text1"/>
        </w:rPr>
        <w:fldChar w:fldCharType="separate"/>
      </w:r>
      <w:r w:rsidR="00304F5F">
        <w:rPr>
          <w:noProof/>
          <w:color w:val="000000" w:themeColor="text1"/>
        </w:rPr>
        <w:t>43</w:t>
      </w:r>
      <w:r w:rsidRPr="001C6DBA">
        <w:rPr>
          <w:color w:val="000000" w:themeColor="text1"/>
        </w:rPr>
        <w:fldChar w:fldCharType="end"/>
      </w:r>
      <w:bookmarkEnd w:id="347"/>
      <w:r w:rsidRPr="001C6DBA">
        <w:rPr>
          <w:color w:val="000000" w:themeColor="text1"/>
        </w:rPr>
        <w:t xml:space="preserve"> - Fluxos estimados, segundo Ativo/Programa, por exercício</w:t>
      </w:r>
      <w:bookmarkEnd w:id="348"/>
    </w:p>
    <w:p w14:paraId="45CD4319" w14:textId="74246B8A" w:rsidR="001C6DBA" w:rsidRPr="001C6DBA" w:rsidRDefault="001C6DBA" w:rsidP="001C6DBA">
      <w:pPr>
        <w:pStyle w:val="TabelaARF"/>
        <w:jc w:val="center"/>
        <w:rPr>
          <w:rFonts w:ascii="Calibri" w:eastAsia="Calibri" w:hAnsi="Calibri" w:cs="Calibri"/>
          <w:color w:val="000000" w:themeColor="text1"/>
          <w:sz w:val="18"/>
          <w:szCs w:val="18"/>
        </w:rPr>
      </w:pPr>
      <w:r>
        <w:rPr>
          <w:color w:val="000000" w:themeColor="text1"/>
        </w:rPr>
        <w:t xml:space="preserve">                                                                                                                                                                               </w:t>
      </w:r>
      <w:r w:rsidRPr="001C6DBA">
        <w:rPr>
          <w:color w:val="000000" w:themeColor="text1"/>
          <w:sz w:val="18"/>
          <w:szCs w:val="18"/>
        </w:rPr>
        <w:t>Em R$ milhões</w:t>
      </w:r>
    </w:p>
    <w:tbl>
      <w:tblPr>
        <w:tblW w:w="9923" w:type="dxa"/>
        <w:jc w:val="center"/>
        <w:tblBorders>
          <w:left w:val="single" w:sz="8" w:space="0" w:color="6D6D6D"/>
          <w:right w:val="single" w:sz="8" w:space="0" w:color="6D6D6D"/>
        </w:tblBorders>
        <w:tblLayout w:type="fixed"/>
        <w:tblLook w:val="0000" w:firstRow="0" w:lastRow="0" w:firstColumn="0" w:lastColumn="0" w:noHBand="0" w:noVBand="0"/>
      </w:tblPr>
      <w:tblGrid>
        <w:gridCol w:w="3959"/>
        <w:gridCol w:w="993"/>
        <w:gridCol w:w="992"/>
        <w:gridCol w:w="992"/>
        <w:gridCol w:w="992"/>
        <w:gridCol w:w="993"/>
        <w:gridCol w:w="1002"/>
      </w:tblGrid>
      <w:tr w:rsidR="00743DCE" w14:paraId="309DF581" w14:textId="77777777" w:rsidTr="004C3AE0">
        <w:trPr>
          <w:trHeight w:val="480"/>
          <w:tblHeader/>
          <w:jc w:val="center"/>
        </w:trPr>
        <w:tc>
          <w:tcPr>
            <w:tcW w:w="3959" w:type="dxa"/>
            <w:vMerge w:val="restart"/>
            <w:tcBorders>
              <w:left w:val="single" w:sz="8" w:space="0" w:color="B2B2B2"/>
              <w:right w:val="single" w:sz="8" w:space="0" w:color="B2B2B2"/>
            </w:tcBorders>
            <w:shd w:val="clear" w:color="auto" w:fill="404040" w:themeFill="text1" w:themeFillTint="BF"/>
            <w:vAlign w:val="center"/>
          </w:tcPr>
          <w:p w14:paraId="6B67E763" w14:textId="77777777" w:rsidR="007F267A" w:rsidRPr="007F321C" w:rsidRDefault="007F267A" w:rsidP="004E2FF2">
            <w:pPr>
              <w:autoSpaceDE w:val="0"/>
              <w:autoSpaceDN w:val="0"/>
              <w:adjustRightInd w:val="0"/>
              <w:spacing w:after="0" w:line="280" w:lineRule="atLeast"/>
              <w:jc w:val="center"/>
              <w:rPr>
                <w:rFonts w:cstheme="minorHAnsi"/>
                <w:color w:val="FFFFFF" w:themeColor="background1"/>
                <w:sz w:val="18"/>
                <w:szCs w:val="18"/>
              </w:rPr>
            </w:pPr>
            <w:r w:rsidRPr="007F321C">
              <w:rPr>
                <w:rStyle w:val="normaltextrun"/>
                <w:rFonts w:ascii="Calibri" w:hAnsi="Calibri" w:cs="Calibri"/>
                <w:b/>
                <w:bCs/>
                <w:color w:val="FFFFFF" w:themeColor="background1"/>
                <w:sz w:val="20"/>
                <w:szCs w:val="20"/>
              </w:rPr>
              <w:t>Ativo/ Programa</w:t>
            </w:r>
          </w:p>
        </w:tc>
        <w:tc>
          <w:tcPr>
            <w:tcW w:w="993" w:type="dxa"/>
            <w:tcBorders>
              <w:bottom w:val="single" w:sz="8" w:space="0" w:color="B2B2B2"/>
              <w:right w:val="single" w:sz="8" w:space="0" w:color="B2B2B2"/>
            </w:tcBorders>
            <w:shd w:val="clear" w:color="auto" w:fill="404040" w:themeFill="text1" w:themeFillTint="BF"/>
            <w:vAlign w:val="center"/>
          </w:tcPr>
          <w:p w14:paraId="0C24C451"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18"/>
                <w:szCs w:val="18"/>
              </w:rPr>
            </w:pPr>
            <w:r w:rsidRPr="007F321C">
              <w:rPr>
                <w:rFonts w:cstheme="minorHAnsi"/>
                <w:b/>
                <w:bCs/>
                <w:color w:val="FFFFFF" w:themeColor="background1"/>
                <w:sz w:val="18"/>
                <w:szCs w:val="18"/>
              </w:rPr>
              <w:t>Estoque</w:t>
            </w:r>
          </w:p>
          <w:p w14:paraId="798C1AEF"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18"/>
                <w:szCs w:val="18"/>
              </w:rPr>
            </w:pPr>
            <w:r w:rsidRPr="007F321C">
              <w:rPr>
                <w:rFonts w:cstheme="minorHAnsi"/>
                <w:b/>
                <w:bCs/>
                <w:color w:val="FFFFFF" w:themeColor="background1"/>
                <w:sz w:val="18"/>
                <w:szCs w:val="18"/>
              </w:rPr>
              <w:t xml:space="preserve">Valor </w:t>
            </w:r>
            <w:proofErr w:type="gramStart"/>
            <w:r w:rsidRPr="007F321C">
              <w:rPr>
                <w:rFonts w:cstheme="minorHAnsi"/>
                <w:b/>
                <w:bCs/>
                <w:color w:val="FFFFFF" w:themeColor="background1"/>
                <w:sz w:val="18"/>
                <w:szCs w:val="18"/>
                <w:vertAlign w:val="superscript"/>
              </w:rPr>
              <w:t>1</w:t>
            </w:r>
            <w:proofErr w:type="gramEnd"/>
            <w:r w:rsidRPr="007F321C">
              <w:rPr>
                <w:rFonts w:cstheme="minorHAnsi"/>
                <w:b/>
                <w:bCs/>
                <w:color w:val="FFFFFF" w:themeColor="background1"/>
                <w:sz w:val="18"/>
                <w:szCs w:val="18"/>
              </w:rPr>
              <w:t xml:space="preserve"> ($)</w:t>
            </w:r>
          </w:p>
        </w:tc>
        <w:tc>
          <w:tcPr>
            <w:tcW w:w="3969" w:type="dxa"/>
            <w:gridSpan w:val="4"/>
            <w:tcBorders>
              <w:bottom w:val="single" w:sz="8" w:space="0" w:color="B2B2B2"/>
              <w:right w:val="single" w:sz="8" w:space="0" w:color="B2B2B2"/>
            </w:tcBorders>
            <w:shd w:val="clear" w:color="auto" w:fill="404040" w:themeFill="text1" w:themeFillTint="BF"/>
            <w:vAlign w:val="center"/>
          </w:tcPr>
          <w:p w14:paraId="0EF235EB"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20"/>
                <w:szCs w:val="20"/>
              </w:rPr>
            </w:pPr>
            <w:r w:rsidRPr="007F321C">
              <w:rPr>
                <w:rFonts w:cstheme="minorHAnsi"/>
                <w:b/>
                <w:bCs/>
                <w:color w:val="FFFFFF" w:themeColor="background1"/>
                <w:sz w:val="20"/>
                <w:szCs w:val="20"/>
              </w:rPr>
              <w:t>Estimativa de Recebimento</w:t>
            </w:r>
          </w:p>
        </w:tc>
        <w:tc>
          <w:tcPr>
            <w:tcW w:w="1002" w:type="dxa"/>
            <w:vMerge w:val="restart"/>
            <w:tcBorders>
              <w:right w:val="single" w:sz="8" w:space="0" w:color="B2B2B2"/>
            </w:tcBorders>
            <w:shd w:val="clear" w:color="auto" w:fill="404040" w:themeFill="text1" w:themeFillTint="BF"/>
          </w:tcPr>
          <w:p w14:paraId="7D0B2BD8" w14:textId="77777777" w:rsidR="007F267A" w:rsidRPr="00743DCE" w:rsidRDefault="007F267A" w:rsidP="00743DCE">
            <w:pPr>
              <w:autoSpaceDE w:val="0"/>
              <w:autoSpaceDN w:val="0"/>
              <w:adjustRightInd w:val="0"/>
              <w:spacing w:line="280" w:lineRule="atLeast"/>
              <w:jc w:val="center"/>
              <w:rPr>
                <w:rFonts w:cstheme="minorHAnsi"/>
                <w:b/>
                <w:bCs/>
                <w:color w:val="FFFFFF" w:themeColor="background1"/>
                <w:sz w:val="18"/>
                <w:szCs w:val="18"/>
              </w:rPr>
            </w:pPr>
            <w:r w:rsidRPr="00743DCE">
              <w:rPr>
                <w:rFonts w:cstheme="minorHAnsi"/>
                <w:b/>
                <w:bCs/>
                <w:color w:val="FFFFFF" w:themeColor="background1"/>
                <w:sz w:val="18"/>
                <w:szCs w:val="18"/>
              </w:rPr>
              <w:t>Impacto Financeiro (F) ou Primário (P)</w:t>
            </w:r>
          </w:p>
        </w:tc>
      </w:tr>
      <w:tr w:rsidR="00B56F74" w14:paraId="0ACDEF7C" w14:textId="77777777" w:rsidTr="004C3AE0">
        <w:trPr>
          <w:trHeight w:val="480"/>
          <w:tblHeader/>
          <w:jc w:val="center"/>
        </w:trPr>
        <w:tc>
          <w:tcPr>
            <w:tcW w:w="3959" w:type="dxa"/>
            <w:vMerge/>
            <w:tcBorders>
              <w:left w:val="single" w:sz="8" w:space="0" w:color="B2B2B2"/>
              <w:bottom w:val="single" w:sz="8" w:space="0" w:color="B2B2B2"/>
              <w:right w:val="single" w:sz="8" w:space="0" w:color="B2B2B2"/>
            </w:tcBorders>
            <w:shd w:val="clear" w:color="auto" w:fill="EFEFEF"/>
            <w:vAlign w:val="center"/>
          </w:tcPr>
          <w:p w14:paraId="36E02F67" w14:textId="77777777" w:rsidR="007F267A" w:rsidRPr="00B56F89" w:rsidRDefault="007F267A" w:rsidP="00181774">
            <w:pPr>
              <w:autoSpaceDE w:val="0"/>
              <w:autoSpaceDN w:val="0"/>
              <w:adjustRightInd w:val="0"/>
              <w:spacing w:line="280" w:lineRule="atLeast"/>
              <w:jc w:val="center"/>
              <w:rPr>
                <w:rFonts w:cstheme="minorHAnsi"/>
                <w:color w:val="000000"/>
                <w:sz w:val="18"/>
                <w:szCs w:val="18"/>
              </w:rPr>
            </w:pPr>
          </w:p>
        </w:tc>
        <w:tc>
          <w:tcPr>
            <w:tcW w:w="993" w:type="dxa"/>
            <w:tcBorders>
              <w:bottom w:val="single" w:sz="8" w:space="0" w:color="B2B2B2"/>
              <w:right w:val="single" w:sz="8" w:space="0" w:color="B2B2B2"/>
            </w:tcBorders>
            <w:shd w:val="clear" w:color="auto" w:fill="404040" w:themeFill="text1" w:themeFillTint="BF"/>
            <w:vAlign w:val="center"/>
          </w:tcPr>
          <w:p w14:paraId="51875E94"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18"/>
                <w:szCs w:val="18"/>
              </w:rPr>
            </w:pPr>
            <w:r w:rsidRPr="007F321C">
              <w:rPr>
                <w:rStyle w:val="normaltextrun"/>
                <w:rFonts w:ascii="Calibri" w:hAnsi="Calibri" w:cs="Calibri"/>
                <w:b/>
                <w:bCs/>
                <w:color w:val="FFFFFF" w:themeColor="background1"/>
                <w:szCs w:val="20"/>
              </w:rPr>
              <w:t>2020</w:t>
            </w:r>
          </w:p>
        </w:tc>
        <w:tc>
          <w:tcPr>
            <w:tcW w:w="992" w:type="dxa"/>
            <w:tcBorders>
              <w:bottom w:val="single" w:sz="8" w:space="0" w:color="B2B2B2"/>
              <w:right w:val="single" w:sz="8" w:space="0" w:color="B2B2B2"/>
            </w:tcBorders>
            <w:shd w:val="clear" w:color="auto" w:fill="404040" w:themeFill="text1" w:themeFillTint="BF"/>
            <w:vAlign w:val="center"/>
          </w:tcPr>
          <w:p w14:paraId="51443DA3"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18"/>
                <w:szCs w:val="18"/>
              </w:rPr>
            </w:pPr>
            <w:r w:rsidRPr="007F321C">
              <w:rPr>
                <w:rStyle w:val="normaltextrun"/>
                <w:rFonts w:ascii="Calibri" w:hAnsi="Calibri" w:cs="Calibri"/>
                <w:b/>
                <w:bCs/>
                <w:color w:val="FFFFFF" w:themeColor="background1"/>
                <w:szCs w:val="20"/>
              </w:rPr>
              <w:t>2021</w:t>
            </w:r>
          </w:p>
        </w:tc>
        <w:tc>
          <w:tcPr>
            <w:tcW w:w="992" w:type="dxa"/>
            <w:tcBorders>
              <w:bottom w:val="single" w:sz="8" w:space="0" w:color="B2B2B2"/>
              <w:right w:val="single" w:sz="8" w:space="0" w:color="B2B2B2"/>
            </w:tcBorders>
            <w:shd w:val="clear" w:color="auto" w:fill="404040" w:themeFill="text1" w:themeFillTint="BF"/>
            <w:vAlign w:val="center"/>
          </w:tcPr>
          <w:p w14:paraId="41FD894E"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18"/>
                <w:szCs w:val="18"/>
              </w:rPr>
            </w:pPr>
            <w:r w:rsidRPr="007F321C">
              <w:rPr>
                <w:rStyle w:val="normaltextrun"/>
                <w:rFonts w:ascii="Calibri" w:hAnsi="Calibri" w:cs="Calibri"/>
                <w:b/>
                <w:bCs/>
                <w:color w:val="FFFFFF" w:themeColor="background1"/>
                <w:szCs w:val="20"/>
              </w:rPr>
              <w:t>2022</w:t>
            </w:r>
          </w:p>
        </w:tc>
        <w:tc>
          <w:tcPr>
            <w:tcW w:w="992" w:type="dxa"/>
            <w:tcBorders>
              <w:bottom w:val="single" w:sz="8" w:space="0" w:color="B2B2B2"/>
              <w:right w:val="single" w:sz="8" w:space="0" w:color="B2B2B2"/>
            </w:tcBorders>
            <w:shd w:val="clear" w:color="auto" w:fill="404040" w:themeFill="text1" w:themeFillTint="BF"/>
            <w:vAlign w:val="center"/>
          </w:tcPr>
          <w:p w14:paraId="36894F2D"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18"/>
                <w:szCs w:val="18"/>
              </w:rPr>
            </w:pPr>
            <w:r w:rsidRPr="007F321C">
              <w:rPr>
                <w:rStyle w:val="normaltextrun"/>
                <w:rFonts w:ascii="Calibri" w:hAnsi="Calibri" w:cs="Calibri"/>
                <w:b/>
                <w:bCs/>
                <w:color w:val="FFFFFF" w:themeColor="background1"/>
                <w:szCs w:val="20"/>
              </w:rPr>
              <w:t>2023</w:t>
            </w:r>
          </w:p>
        </w:tc>
        <w:tc>
          <w:tcPr>
            <w:tcW w:w="993" w:type="dxa"/>
            <w:tcBorders>
              <w:bottom w:val="single" w:sz="8" w:space="0" w:color="B2B2B2"/>
              <w:right w:val="single" w:sz="8" w:space="0" w:color="B2B2B2"/>
            </w:tcBorders>
            <w:shd w:val="clear" w:color="auto" w:fill="404040" w:themeFill="text1" w:themeFillTint="BF"/>
            <w:vAlign w:val="center"/>
          </w:tcPr>
          <w:p w14:paraId="4CAF4305" w14:textId="77777777" w:rsidR="007F267A" w:rsidRPr="007F321C" w:rsidRDefault="007F267A" w:rsidP="00181774">
            <w:pPr>
              <w:autoSpaceDE w:val="0"/>
              <w:autoSpaceDN w:val="0"/>
              <w:adjustRightInd w:val="0"/>
              <w:spacing w:line="280" w:lineRule="atLeast"/>
              <w:jc w:val="center"/>
              <w:rPr>
                <w:rFonts w:cstheme="minorHAnsi"/>
                <w:b/>
                <w:bCs/>
                <w:color w:val="FFFFFF" w:themeColor="background1"/>
                <w:sz w:val="18"/>
                <w:szCs w:val="18"/>
              </w:rPr>
            </w:pPr>
            <w:r w:rsidRPr="007F321C">
              <w:rPr>
                <w:rStyle w:val="normaltextrun"/>
                <w:rFonts w:ascii="Calibri" w:hAnsi="Calibri" w:cs="Calibri"/>
                <w:b/>
                <w:bCs/>
                <w:color w:val="FFFFFF" w:themeColor="background1"/>
                <w:szCs w:val="20"/>
              </w:rPr>
              <w:t>2024</w:t>
            </w:r>
          </w:p>
        </w:tc>
        <w:tc>
          <w:tcPr>
            <w:tcW w:w="1002" w:type="dxa"/>
            <w:vMerge/>
            <w:tcBorders>
              <w:bottom w:val="single" w:sz="8" w:space="0" w:color="B2B2B2"/>
              <w:right w:val="single" w:sz="8" w:space="0" w:color="B2B2B2"/>
            </w:tcBorders>
            <w:shd w:val="clear" w:color="auto" w:fill="EFEFEF"/>
            <w:vAlign w:val="center"/>
          </w:tcPr>
          <w:p w14:paraId="7AAAF034" w14:textId="77777777" w:rsidR="007F267A" w:rsidRPr="00B56F89" w:rsidRDefault="007F267A" w:rsidP="00181774">
            <w:pPr>
              <w:autoSpaceDE w:val="0"/>
              <w:autoSpaceDN w:val="0"/>
              <w:adjustRightInd w:val="0"/>
              <w:spacing w:line="280" w:lineRule="atLeast"/>
              <w:jc w:val="right"/>
              <w:rPr>
                <w:rFonts w:cstheme="minorHAnsi"/>
                <w:color w:val="000000"/>
                <w:sz w:val="18"/>
                <w:szCs w:val="18"/>
              </w:rPr>
            </w:pPr>
          </w:p>
        </w:tc>
      </w:tr>
      <w:tr w:rsidR="006F2CF1" w14:paraId="7F2BA338"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EFEFEF"/>
          </w:tcPr>
          <w:p w14:paraId="19690D70"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Ac. Brasil-França</w:t>
            </w:r>
          </w:p>
        </w:tc>
        <w:tc>
          <w:tcPr>
            <w:tcW w:w="993" w:type="dxa"/>
            <w:tcBorders>
              <w:bottom w:val="single" w:sz="8" w:space="0" w:color="B2B2B2"/>
              <w:right w:val="single" w:sz="8" w:space="0" w:color="B2B2B2"/>
            </w:tcBorders>
            <w:shd w:val="clear" w:color="auto" w:fill="EFEFEF"/>
          </w:tcPr>
          <w:p w14:paraId="6E354DAA"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1,1</w:t>
            </w:r>
          </w:p>
        </w:tc>
        <w:tc>
          <w:tcPr>
            <w:tcW w:w="992" w:type="dxa"/>
            <w:tcBorders>
              <w:bottom w:val="single" w:sz="8" w:space="0" w:color="B2B2B2"/>
              <w:right w:val="single" w:sz="8" w:space="0" w:color="B2B2B2"/>
            </w:tcBorders>
            <w:shd w:val="clear" w:color="auto" w:fill="EFEFEF"/>
          </w:tcPr>
          <w:p w14:paraId="0DF153A5"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1,1</w:t>
            </w:r>
          </w:p>
        </w:tc>
        <w:tc>
          <w:tcPr>
            <w:tcW w:w="992" w:type="dxa"/>
            <w:tcBorders>
              <w:bottom w:val="single" w:sz="8" w:space="0" w:color="B2B2B2"/>
              <w:right w:val="single" w:sz="8" w:space="0" w:color="B2B2B2"/>
            </w:tcBorders>
            <w:shd w:val="clear" w:color="auto" w:fill="EFEFEF"/>
          </w:tcPr>
          <w:p w14:paraId="7E228F2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bottom w:val="single" w:sz="8" w:space="0" w:color="B2B2B2"/>
              <w:right w:val="single" w:sz="8" w:space="0" w:color="B2B2B2"/>
            </w:tcBorders>
            <w:shd w:val="clear" w:color="auto" w:fill="EFEFEF"/>
          </w:tcPr>
          <w:p w14:paraId="0EDB6799"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3" w:type="dxa"/>
            <w:tcBorders>
              <w:bottom w:val="single" w:sz="8" w:space="0" w:color="B2B2B2"/>
              <w:right w:val="single" w:sz="8" w:space="0" w:color="B2B2B2"/>
            </w:tcBorders>
            <w:shd w:val="clear" w:color="auto" w:fill="EFEFEF"/>
          </w:tcPr>
          <w:p w14:paraId="12221F8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1002" w:type="dxa"/>
            <w:tcBorders>
              <w:bottom w:val="single" w:sz="8" w:space="0" w:color="B2B2B2"/>
              <w:right w:val="single" w:sz="8" w:space="0" w:color="B2B2B2"/>
            </w:tcBorders>
            <w:shd w:val="clear" w:color="auto" w:fill="EFEFEF"/>
          </w:tcPr>
          <w:p w14:paraId="4220CB7F"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501AF697"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FFFFFF"/>
          </w:tcPr>
          <w:p w14:paraId="4821A49D"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Carteira de Saneamento</w:t>
            </w:r>
          </w:p>
        </w:tc>
        <w:tc>
          <w:tcPr>
            <w:tcW w:w="993" w:type="dxa"/>
            <w:tcBorders>
              <w:bottom w:val="single" w:sz="8" w:space="0" w:color="B2B2B2"/>
              <w:right w:val="single" w:sz="8" w:space="0" w:color="B2B2B2"/>
            </w:tcBorders>
          </w:tcPr>
          <w:p w14:paraId="4DB4EBE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346,1</w:t>
            </w:r>
          </w:p>
        </w:tc>
        <w:tc>
          <w:tcPr>
            <w:tcW w:w="992" w:type="dxa"/>
            <w:tcBorders>
              <w:bottom w:val="single" w:sz="8" w:space="0" w:color="B2B2B2"/>
              <w:right w:val="single" w:sz="8" w:space="0" w:color="B2B2B2"/>
            </w:tcBorders>
          </w:tcPr>
          <w:p w14:paraId="30CA1691"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62,7</w:t>
            </w:r>
          </w:p>
        </w:tc>
        <w:tc>
          <w:tcPr>
            <w:tcW w:w="992" w:type="dxa"/>
            <w:tcBorders>
              <w:bottom w:val="single" w:sz="8" w:space="0" w:color="B2B2B2"/>
              <w:right w:val="single" w:sz="8" w:space="0" w:color="B2B2B2"/>
            </w:tcBorders>
          </w:tcPr>
          <w:p w14:paraId="53D08DD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56,9</w:t>
            </w:r>
          </w:p>
        </w:tc>
        <w:tc>
          <w:tcPr>
            <w:tcW w:w="992" w:type="dxa"/>
            <w:tcBorders>
              <w:bottom w:val="single" w:sz="8" w:space="0" w:color="B2B2B2"/>
              <w:right w:val="single" w:sz="8" w:space="0" w:color="B2B2B2"/>
            </w:tcBorders>
          </w:tcPr>
          <w:p w14:paraId="02DF6BA6"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52,0</w:t>
            </w:r>
          </w:p>
        </w:tc>
        <w:tc>
          <w:tcPr>
            <w:tcW w:w="993" w:type="dxa"/>
            <w:tcBorders>
              <w:bottom w:val="single" w:sz="8" w:space="0" w:color="B2B2B2"/>
              <w:right w:val="single" w:sz="8" w:space="0" w:color="B2B2B2"/>
            </w:tcBorders>
          </w:tcPr>
          <w:p w14:paraId="5031654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50,1</w:t>
            </w:r>
          </w:p>
        </w:tc>
        <w:tc>
          <w:tcPr>
            <w:tcW w:w="1002" w:type="dxa"/>
            <w:tcBorders>
              <w:bottom w:val="single" w:sz="8" w:space="0" w:color="B2B2B2"/>
              <w:right w:val="single" w:sz="8" w:space="0" w:color="B2B2B2"/>
            </w:tcBorders>
            <w:shd w:val="clear" w:color="auto" w:fill="FFFFFF"/>
          </w:tcPr>
          <w:p w14:paraId="1207CB9D"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76EC35B1"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EFEFEF"/>
          </w:tcPr>
          <w:p w14:paraId="3572CD4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DMLP</w:t>
            </w:r>
          </w:p>
        </w:tc>
        <w:tc>
          <w:tcPr>
            <w:tcW w:w="993" w:type="dxa"/>
            <w:tcBorders>
              <w:bottom w:val="single" w:sz="8" w:space="0" w:color="B2B2B2"/>
              <w:right w:val="single" w:sz="8" w:space="0" w:color="B2B2B2"/>
            </w:tcBorders>
            <w:shd w:val="clear" w:color="auto" w:fill="EFEFEF"/>
          </w:tcPr>
          <w:p w14:paraId="103B09FF"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5.142,6</w:t>
            </w:r>
          </w:p>
        </w:tc>
        <w:tc>
          <w:tcPr>
            <w:tcW w:w="992" w:type="dxa"/>
            <w:tcBorders>
              <w:bottom w:val="single" w:sz="8" w:space="0" w:color="B2B2B2"/>
              <w:right w:val="single" w:sz="8" w:space="0" w:color="B2B2B2"/>
            </w:tcBorders>
            <w:shd w:val="clear" w:color="auto" w:fill="EFEFEF"/>
          </w:tcPr>
          <w:p w14:paraId="43FB3B40"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340,5</w:t>
            </w:r>
          </w:p>
        </w:tc>
        <w:tc>
          <w:tcPr>
            <w:tcW w:w="992" w:type="dxa"/>
            <w:tcBorders>
              <w:bottom w:val="single" w:sz="8" w:space="0" w:color="B2B2B2"/>
              <w:right w:val="single" w:sz="8" w:space="0" w:color="B2B2B2"/>
            </w:tcBorders>
            <w:shd w:val="clear" w:color="auto" w:fill="EFEFEF"/>
          </w:tcPr>
          <w:p w14:paraId="181CE84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329,4</w:t>
            </w:r>
          </w:p>
        </w:tc>
        <w:tc>
          <w:tcPr>
            <w:tcW w:w="992" w:type="dxa"/>
            <w:tcBorders>
              <w:bottom w:val="single" w:sz="8" w:space="0" w:color="B2B2B2"/>
              <w:right w:val="single" w:sz="8" w:space="0" w:color="B2B2B2"/>
            </w:tcBorders>
            <w:shd w:val="clear" w:color="auto" w:fill="EFEFEF"/>
          </w:tcPr>
          <w:p w14:paraId="2806F5EF"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333,9</w:t>
            </w:r>
          </w:p>
        </w:tc>
        <w:tc>
          <w:tcPr>
            <w:tcW w:w="993" w:type="dxa"/>
            <w:tcBorders>
              <w:bottom w:val="single" w:sz="8" w:space="0" w:color="B2B2B2"/>
              <w:right w:val="single" w:sz="8" w:space="0" w:color="B2B2B2"/>
            </w:tcBorders>
            <w:shd w:val="clear" w:color="auto" w:fill="EFEFEF"/>
          </w:tcPr>
          <w:p w14:paraId="2E159004"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7.611,1</w:t>
            </w:r>
          </w:p>
        </w:tc>
        <w:tc>
          <w:tcPr>
            <w:tcW w:w="1002" w:type="dxa"/>
            <w:tcBorders>
              <w:bottom w:val="single" w:sz="8" w:space="0" w:color="B2B2B2"/>
              <w:right w:val="single" w:sz="8" w:space="0" w:color="B2B2B2"/>
            </w:tcBorders>
            <w:shd w:val="clear" w:color="auto" w:fill="EFEFEF"/>
          </w:tcPr>
          <w:p w14:paraId="0C42BA28"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340D408C"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FFFFFF"/>
          </w:tcPr>
          <w:p w14:paraId="5ED4CB19"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Contratos de Cessão - Royalties</w:t>
            </w:r>
          </w:p>
        </w:tc>
        <w:tc>
          <w:tcPr>
            <w:tcW w:w="993" w:type="dxa"/>
            <w:tcBorders>
              <w:bottom w:val="single" w:sz="8" w:space="0" w:color="B2B2B2"/>
              <w:right w:val="single" w:sz="8" w:space="0" w:color="B2B2B2"/>
            </w:tcBorders>
          </w:tcPr>
          <w:p w14:paraId="24806B68"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10,2</w:t>
            </w:r>
          </w:p>
        </w:tc>
        <w:tc>
          <w:tcPr>
            <w:tcW w:w="992" w:type="dxa"/>
            <w:tcBorders>
              <w:bottom w:val="single" w:sz="8" w:space="0" w:color="B2B2B2"/>
              <w:right w:val="single" w:sz="8" w:space="0" w:color="B2B2B2"/>
            </w:tcBorders>
          </w:tcPr>
          <w:p w14:paraId="6DA528C7"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10,2</w:t>
            </w:r>
          </w:p>
        </w:tc>
        <w:tc>
          <w:tcPr>
            <w:tcW w:w="992" w:type="dxa"/>
            <w:tcBorders>
              <w:bottom w:val="single" w:sz="8" w:space="0" w:color="B2B2B2"/>
              <w:right w:val="single" w:sz="8" w:space="0" w:color="B2B2B2"/>
            </w:tcBorders>
          </w:tcPr>
          <w:p w14:paraId="741A5CB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bottom w:val="single" w:sz="8" w:space="0" w:color="B2B2B2"/>
              <w:right w:val="single" w:sz="8" w:space="0" w:color="B2B2B2"/>
            </w:tcBorders>
          </w:tcPr>
          <w:p w14:paraId="3264C801"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3" w:type="dxa"/>
            <w:tcBorders>
              <w:bottom w:val="single" w:sz="8" w:space="0" w:color="B2B2B2"/>
              <w:right w:val="single" w:sz="8" w:space="0" w:color="B2B2B2"/>
            </w:tcBorders>
          </w:tcPr>
          <w:p w14:paraId="5F59A641"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1002" w:type="dxa"/>
            <w:tcBorders>
              <w:bottom w:val="single" w:sz="8" w:space="0" w:color="B2B2B2"/>
              <w:right w:val="single" w:sz="8" w:space="0" w:color="B2B2B2"/>
            </w:tcBorders>
            <w:shd w:val="clear" w:color="auto" w:fill="FFFFFF"/>
          </w:tcPr>
          <w:p w14:paraId="0D4BE7EE"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6B21DCE9"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EFEFEF"/>
          </w:tcPr>
          <w:p w14:paraId="7B71FF57"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Lei nº 8.727/1993 - Receitas da União</w:t>
            </w:r>
          </w:p>
        </w:tc>
        <w:tc>
          <w:tcPr>
            <w:tcW w:w="993" w:type="dxa"/>
            <w:tcBorders>
              <w:bottom w:val="single" w:sz="8" w:space="0" w:color="B2B2B2"/>
              <w:right w:val="single" w:sz="8" w:space="0" w:color="B2B2B2"/>
            </w:tcBorders>
            <w:shd w:val="clear" w:color="auto" w:fill="EFEFEF"/>
          </w:tcPr>
          <w:p w14:paraId="5F5DAD8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6.335,0</w:t>
            </w:r>
          </w:p>
        </w:tc>
        <w:tc>
          <w:tcPr>
            <w:tcW w:w="992" w:type="dxa"/>
            <w:tcBorders>
              <w:bottom w:val="single" w:sz="8" w:space="0" w:color="B2B2B2"/>
              <w:right w:val="single" w:sz="8" w:space="0" w:color="B2B2B2"/>
            </w:tcBorders>
            <w:shd w:val="clear" w:color="auto" w:fill="EFEFEF"/>
          </w:tcPr>
          <w:p w14:paraId="27D811A8"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bottom w:val="single" w:sz="8" w:space="0" w:color="B2B2B2"/>
              <w:right w:val="single" w:sz="8" w:space="0" w:color="B2B2B2"/>
            </w:tcBorders>
            <w:shd w:val="clear" w:color="auto" w:fill="EFEFEF"/>
          </w:tcPr>
          <w:p w14:paraId="272A112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bottom w:val="single" w:sz="8" w:space="0" w:color="B2B2B2"/>
              <w:right w:val="single" w:sz="8" w:space="0" w:color="B2B2B2"/>
            </w:tcBorders>
            <w:shd w:val="clear" w:color="auto" w:fill="EFEFEF"/>
          </w:tcPr>
          <w:p w14:paraId="13E1DF90"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133,6</w:t>
            </w:r>
          </w:p>
        </w:tc>
        <w:tc>
          <w:tcPr>
            <w:tcW w:w="993" w:type="dxa"/>
            <w:tcBorders>
              <w:bottom w:val="single" w:sz="8" w:space="0" w:color="B2B2B2"/>
              <w:right w:val="single" w:sz="8" w:space="0" w:color="B2B2B2"/>
            </w:tcBorders>
            <w:shd w:val="clear" w:color="auto" w:fill="EFEFEF"/>
          </w:tcPr>
          <w:p w14:paraId="5B4A6696"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203,0</w:t>
            </w:r>
          </w:p>
        </w:tc>
        <w:tc>
          <w:tcPr>
            <w:tcW w:w="1002" w:type="dxa"/>
            <w:tcBorders>
              <w:bottom w:val="single" w:sz="8" w:space="0" w:color="B2B2B2"/>
              <w:right w:val="single" w:sz="8" w:space="0" w:color="B2B2B2"/>
            </w:tcBorders>
            <w:shd w:val="clear" w:color="auto" w:fill="EFEFEF"/>
          </w:tcPr>
          <w:p w14:paraId="504E6913"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6ED4C352"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FFFFFF"/>
          </w:tcPr>
          <w:p w14:paraId="0D24BCC6"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Lei nº 8.727/1993 - Demais Credores</w:t>
            </w:r>
          </w:p>
        </w:tc>
        <w:tc>
          <w:tcPr>
            <w:tcW w:w="993" w:type="dxa"/>
            <w:tcBorders>
              <w:bottom w:val="single" w:sz="8" w:space="0" w:color="B2B2B2"/>
              <w:right w:val="single" w:sz="8" w:space="0" w:color="B2B2B2"/>
            </w:tcBorders>
          </w:tcPr>
          <w:p w14:paraId="556AC195"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2.754,1</w:t>
            </w:r>
          </w:p>
        </w:tc>
        <w:tc>
          <w:tcPr>
            <w:tcW w:w="992" w:type="dxa"/>
            <w:tcBorders>
              <w:bottom w:val="single" w:sz="8" w:space="0" w:color="B2B2B2"/>
              <w:right w:val="single" w:sz="8" w:space="0" w:color="B2B2B2"/>
            </w:tcBorders>
          </w:tcPr>
          <w:p w14:paraId="7B91602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141,9</w:t>
            </w:r>
          </w:p>
        </w:tc>
        <w:tc>
          <w:tcPr>
            <w:tcW w:w="992" w:type="dxa"/>
            <w:tcBorders>
              <w:bottom w:val="single" w:sz="8" w:space="0" w:color="B2B2B2"/>
              <w:right w:val="single" w:sz="8" w:space="0" w:color="B2B2B2"/>
            </w:tcBorders>
          </w:tcPr>
          <w:p w14:paraId="1323592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47,4</w:t>
            </w:r>
          </w:p>
        </w:tc>
        <w:tc>
          <w:tcPr>
            <w:tcW w:w="992" w:type="dxa"/>
            <w:tcBorders>
              <w:bottom w:val="single" w:sz="8" w:space="0" w:color="B2B2B2"/>
              <w:right w:val="single" w:sz="8" w:space="0" w:color="B2B2B2"/>
            </w:tcBorders>
          </w:tcPr>
          <w:p w14:paraId="4E2090BA"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12,4</w:t>
            </w:r>
          </w:p>
        </w:tc>
        <w:tc>
          <w:tcPr>
            <w:tcW w:w="993" w:type="dxa"/>
            <w:tcBorders>
              <w:bottom w:val="single" w:sz="8" w:space="0" w:color="B2B2B2"/>
              <w:right w:val="single" w:sz="8" w:space="0" w:color="B2B2B2"/>
            </w:tcBorders>
          </w:tcPr>
          <w:p w14:paraId="525CFBB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1,0</w:t>
            </w:r>
          </w:p>
        </w:tc>
        <w:tc>
          <w:tcPr>
            <w:tcW w:w="1002" w:type="dxa"/>
            <w:tcBorders>
              <w:bottom w:val="single" w:sz="8" w:space="0" w:color="B2B2B2"/>
              <w:right w:val="single" w:sz="8" w:space="0" w:color="B2B2B2"/>
            </w:tcBorders>
            <w:shd w:val="clear" w:color="auto" w:fill="FFFFFF"/>
          </w:tcPr>
          <w:p w14:paraId="5430CA7B"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57D934D7"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EFEFEF"/>
          </w:tcPr>
          <w:p w14:paraId="73561D8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Lei nº 9.496/1997</w:t>
            </w:r>
          </w:p>
        </w:tc>
        <w:tc>
          <w:tcPr>
            <w:tcW w:w="993" w:type="dxa"/>
            <w:tcBorders>
              <w:bottom w:val="single" w:sz="8" w:space="0" w:color="B2B2B2"/>
              <w:right w:val="single" w:sz="8" w:space="0" w:color="B2B2B2"/>
            </w:tcBorders>
            <w:shd w:val="clear" w:color="auto" w:fill="EFEFEF"/>
          </w:tcPr>
          <w:p w14:paraId="49B847F8"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567.786,8</w:t>
            </w:r>
          </w:p>
        </w:tc>
        <w:tc>
          <w:tcPr>
            <w:tcW w:w="992" w:type="dxa"/>
            <w:tcBorders>
              <w:bottom w:val="single" w:sz="8" w:space="0" w:color="B2B2B2"/>
              <w:right w:val="single" w:sz="8" w:space="0" w:color="B2B2B2"/>
            </w:tcBorders>
            <w:shd w:val="clear" w:color="auto" w:fill="EFEFEF"/>
          </w:tcPr>
          <w:p w14:paraId="3DADD347"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17.469,1</w:t>
            </w:r>
          </w:p>
        </w:tc>
        <w:tc>
          <w:tcPr>
            <w:tcW w:w="992" w:type="dxa"/>
            <w:tcBorders>
              <w:bottom w:val="single" w:sz="8" w:space="0" w:color="B2B2B2"/>
              <w:right w:val="single" w:sz="8" w:space="0" w:color="B2B2B2"/>
            </w:tcBorders>
            <w:shd w:val="clear" w:color="auto" w:fill="EFEFEF"/>
          </w:tcPr>
          <w:p w14:paraId="508F30FF"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19.946,1</w:t>
            </w:r>
          </w:p>
        </w:tc>
        <w:tc>
          <w:tcPr>
            <w:tcW w:w="992" w:type="dxa"/>
            <w:tcBorders>
              <w:bottom w:val="single" w:sz="8" w:space="0" w:color="B2B2B2"/>
              <w:right w:val="single" w:sz="8" w:space="0" w:color="B2B2B2"/>
            </w:tcBorders>
            <w:shd w:val="clear" w:color="auto" w:fill="EFEFEF"/>
          </w:tcPr>
          <w:p w14:paraId="20577730"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21.820,9</w:t>
            </w:r>
          </w:p>
        </w:tc>
        <w:tc>
          <w:tcPr>
            <w:tcW w:w="993" w:type="dxa"/>
            <w:tcBorders>
              <w:bottom w:val="single" w:sz="8" w:space="0" w:color="B2B2B2"/>
              <w:right w:val="single" w:sz="8" w:space="0" w:color="B2B2B2"/>
            </w:tcBorders>
            <w:shd w:val="clear" w:color="auto" w:fill="EFEFEF"/>
          </w:tcPr>
          <w:p w14:paraId="56842A07"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23.835,2</w:t>
            </w:r>
          </w:p>
        </w:tc>
        <w:tc>
          <w:tcPr>
            <w:tcW w:w="1002" w:type="dxa"/>
            <w:tcBorders>
              <w:bottom w:val="single" w:sz="8" w:space="0" w:color="B2B2B2"/>
              <w:right w:val="single" w:sz="8" w:space="0" w:color="B2B2B2"/>
            </w:tcBorders>
            <w:shd w:val="clear" w:color="auto" w:fill="EFEFEF"/>
          </w:tcPr>
          <w:p w14:paraId="274D3439"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1669D989"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FFFFFF"/>
          </w:tcPr>
          <w:p w14:paraId="42CCF68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MP nº 2.185/2001</w:t>
            </w:r>
          </w:p>
        </w:tc>
        <w:tc>
          <w:tcPr>
            <w:tcW w:w="993" w:type="dxa"/>
            <w:tcBorders>
              <w:bottom w:val="single" w:sz="8" w:space="0" w:color="B2B2B2"/>
              <w:right w:val="single" w:sz="8" w:space="0" w:color="B2B2B2"/>
            </w:tcBorders>
          </w:tcPr>
          <w:p w14:paraId="4C1B158D"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30.523,7</w:t>
            </w:r>
          </w:p>
        </w:tc>
        <w:tc>
          <w:tcPr>
            <w:tcW w:w="992" w:type="dxa"/>
            <w:tcBorders>
              <w:bottom w:val="single" w:sz="8" w:space="0" w:color="B2B2B2"/>
              <w:right w:val="single" w:sz="8" w:space="0" w:color="B2B2B2"/>
            </w:tcBorders>
          </w:tcPr>
          <w:p w14:paraId="4616A10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2.863,2</w:t>
            </w:r>
          </w:p>
        </w:tc>
        <w:tc>
          <w:tcPr>
            <w:tcW w:w="992" w:type="dxa"/>
            <w:tcBorders>
              <w:bottom w:val="single" w:sz="8" w:space="0" w:color="B2B2B2"/>
              <w:right w:val="single" w:sz="8" w:space="0" w:color="B2B2B2"/>
            </w:tcBorders>
          </w:tcPr>
          <w:p w14:paraId="6D2B9AF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3.540,6</w:t>
            </w:r>
          </w:p>
        </w:tc>
        <w:tc>
          <w:tcPr>
            <w:tcW w:w="992" w:type="dxa"/>
            <w:tcBorders>
              <w:bottom w:val="single" w:sz="8" w:space="0" w:color="B2B2B2"/>
              <w:right w:val="single" w:sz="8" w:space="0" w:color="B2B2B2"/>
            </w:tcBorders>
          </w:tcPr>
          <w:p w14:paraId="3CE43238"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3.597,9</w:t>
            </w:r>
          </w:p>
        </w:tc>
        <w:tc>
          <w:tcPr>
            <w:tcW w:w="993" w:type="dxa"/>
            <w:tcBorders>
              <w:bottom w:val="single" w:sz="8" w:space="0" w:color="B2B2B2"/>
              <w:right w:val="single" w:sz="8" w:space="0" w:color="B2B2B2"/>
            </w:tcBorders>
          </w:tcPr>
          <w:p w14:paraId="1967755F"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3.668,8</w:t>
            </w:r>
          </w:p>
        </w:tc>
        <w:tc>
          <w:tcPr>
            <w:tcW w:w="1002" w:type="dxa"/>
            <w:tcBorders>
              <w:bottom w:val="single" w:sz="8" w:space="0" w:color="B2B2B2"/>
              <w:right w:val="single" w:sz="8" w:space="0" w:color="B2B2B2"/>
            </w:tcBorders>
            <w:shd w:val="clear" w:color="auto" w:fill="FFFFFF"/>
          </w:tcPr>
          <w:p w14:paraId="310E8DFC"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208D257D"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EFEFEF"/>
          </w:tcPr>
          <w:p w14:paraId="75CB2034"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Contrato BACEN-BANERJ</w:t>
            </w:r>
          </w:p>
        </w:tc>
        <w:tc>
          <w:tcPr>
            <w:tcW w:w="993" w:type="dxa"/>
            <w:tcBorders>
              <w:bottom w:val="single" w:sz="8" w:space="0" w:color="B2B2B2"/>
              <w:right w:val="single" w:sz="8" w:space="0" w:color="B2B2B2"/>
            </w:tcBorders>
            <w:shd w:val="clear" w:color="auto" w:fill="EFEFEF"/>
          </w:tcPr>
          <w:p w14:paraId="0C9F5704"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27.188,4</w:t>
            </w:r>
          </w:p>
        </w:tc>
        <w:tc>
          <w:tcPr>
            <w:tcW w:w="992" w:type="dxa"/>
            <w:tcBorders>
              <w:bottom w:val="single" w:sz="8" w:space="0" w:color="B2B2B2"/>
              <w:right w:val="single" w:sz="8" w:space="0" w:color="B2B2B2"/>
            </w:tcBorders>
            <w:shd w:val="clear" w:color="auto" w:fill="EFEFEF"/>
          </w:tcPr>
          <w:p w14:paraId="57D9EC20"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bottom w:val="single" w:sz="8" w:space="0" w:color="B2B2B2"/>
              <w:right w:val="single" w:sz="8" w:space="0" w:color="B2B2B2"/>
            </w:tcBorders>
            <w:shd w:val="clear" w:color="auto" w:fill="EFEFEF"/>
          </w:tcPr>
          <w:p w14:paraId="5E445FE4"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bottom w:val="single" w:sz="8" w:space="0" w:color="B2B2B2"/>
              <w:right w:val="single" w:sz="8" w:space="0" w:color="B2B2B2"/>
            </w:tcBorders>
            <w:shd w:val="clear" w:color="auto" w:fill="EFEFEF"/>
          </w:tcPr>
          <w:p w14:paraId="001F869F"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3" w:type="dxa"/>
            <w:tcBorders>
              <w:bottom w:val="single" w:sz="8" w:space="0" w:color="B2B2B2"/>
              <w:right w:val="single" w:sz="8" w:space="0" w:color="B2B2B2"/>
            </w:tcBorders>
            <w:shd w:val="clear" w:color="auto" w:fill="EFEFEF"/>
          </w:tcPr>
          <w:p w14:paraId="547C3E9A"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1002" w:type="dxa"/>
            <w:tcBorders>
              <w:bottom w:val="single" w:sz="8" w:space="0" w:color="B2B2B2"/>
              <w:right w:val="single" w:sz="8" w:space="0" w:color="B2B2B2"/>
            </w:tcBorders>
            <w:shd w:val="clear" w:color="auto" w:fill="EFEFEF"/>
          </w:tcPr>
          <w:p w14:paraId="3D7A86AB"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7F9BE500" w14:textId="77777777" w:rsidTr="00DE51F2">
        <w:trPr>
          <w:trHeight w:hRule="exact" w:val="284"/>
          <w:jc w:val="center"/>
        </w:trPr>
        <w:tc>
          <w:tcPr>
            <w:tcW w:w="3959" w:type="dxa"/>
            <w:tcBorders>
              <w:left w:val="single" w:sz="8" w:space="0" w:color="B2B2B2"/>
              <w:bottom w:val="single" w:sz="8" w:space="0" w:color="B2B2B2"/>
              <w:right w:val="single" w:sz="8" w:space="0" w:color="B2B2B2"/>
            </w:tcBorders>
            <w:shd w:val="clear" w:color="auto" w:fill="FFFFFF"/>
          </w:tcPr>
          <w:p w14:paraId="61E3FE4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Regime de Recuperação Fiscal - Lei nº 9.496/97</w:t>
            </w:r>
          </w:p>
        </w:tc>
        <w:tc>
          <w:tcPr>
            <w:tcW w:w="993" w:type="dxa"/>
            <w:tcBorders>
              <w:bottom w:val="single" w:sz="8" w:space="0" w:color="B2B2B2"/>
              <w:right w:val="single" w:sz="8" w:space="0" w:color="B2B2B2"/>
            </w:tcBorders>
          </w:tcPr>
          <w:p w14:paraId="029FE4A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6.065,8</w:t>
            </w:r>
          </w:p>
        </w:tc>
        <w:tc>
          <w:tcPr>
            <w:tcW w:w="992" w:type="dxa"/>
            <w:tcBorders>
              <w:bottom w:val="single" w:sz="8" w:space="0" w:color="B2B2B2"/>
              <w:right w:val="single" w:sz="8" w:space="0" w:color="B2B2B2"/>
            </w:tcBorders>
          </w:tcPr>
          <w:p w14:paraId="4B12DCB7"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FB0007"/>
                <w:sz w:val="18"/>
                <w:szCs w:val="18"/>
              </w:rPr>
              <w:t> </w:t>
            </w:r>
          </w:p>
        </w:tc>
        <w:tc>
          <w:tcPr>
            <w:tcW w:w="992" w:type="dxa"/>
            <w:tcBorders>
              <w:bottom w:val="single" w:sz="8" w:space="0" w:color="B2B2B2"/>
              <w:right w:val="single" w:sz="8" w:space="0" w:color="B2B2B2"/>
            </w:tcBorders>
          </w:tcPr>
          <w:p w14:paraId="2DAA255C"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FB0007"/>
                <w:sz w:val="18"/>
                <w:szCs w:val="18"/>
              </w:rPr>
              <w:t> </w:t>
            </w:r>
          </w:p>
        </w:tc>
        <w:tc>
          <w:tcPr>
            <w:tcW w:w="992" w:type="dxa"/>
            <w:tcBorders>
              <w:bottom w:val="single" w:sz="8" w:space="0" w:color="B2B2B2"/>
              <w:right w:val="single" w:sz="8" w:space="0" w:color="B2B2B2"/>
            </w:tcBorders>
          </w:tcPr>
          <w:p w14:paraId="736812D6"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FB0007"/>
                <w:sz w:val="18"/>
                <w:szCs w:val="18"/>
              </w:rPr>
              <w:t> </w:t>
            </w:r>
          </w:p>
        </w:tc>
        <w:tc>
          <w:tcPr>
            <w:tcW w:w="993" w:type="dxa"/>
            <w:tcBorders>
              <w:bottom w:val="single" w:sz="8" w:space="0" w:color="B2B2B2"/>
              <w:right w:val="single" w:sz="8" w:space="0" w:color="B2B2B2"/>
            </w:tcBorders>
          </w:tcPr>
          <w:p w14:paraId="7AA78277"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FB0007"/>
                <w:sz w:val="18"/>
                <w:szCs w:val="18"/>
              </w:rPr>
              <w:t> </w:t>
            </w:r>
          </w:p>
        </w:tc>
        <w:tc>
          <w:tcPr>
            <w:tcW w:w="1002" w:type="dxa"/>
            <w:tcBorders>
              <w:bottom w:val="single" w:sz="8" w:space="0" w:color="B2B2B2"/>
              <w:right w:val="single" w:sz="8" w:space="0" w:color="B2B2B2"/>
            </w:tcBorders>
            <w:shd w:val="clear" w:color="auto" w:fill="FFFFFF"/>
          </w:tcPr>
          <w:p w14:paraId="074510A3"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098D8233" w14:textId="77777777" w:rsidTr="00DE51F2">
        <w:trPr>
          <w:trHeight w:hRule="exact" w:val="567"/>
          <w:jc w:val="center"/>
        </w:trPr>
        <w:tc>
          <w:tcPr>
            <w:tcW w:w="3959" w:type="dxa"/>
            <w:tcBorders>
              <w:left w:val="single" w:sz="8" w:space="0" w:color="B2B2B2"/>
              <w:right w:val="single" w:sz="8" w:space="0" w:color="B2B2B2"/>
            </w:tcBorders>
            <w:shd w:val="clear" w:color="auto" w:fill="EFEFEF"/>
          </w:tcPr>
          <w:p w14:paraId="1AAD1C26"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Regime de Recuperação Fiscal – contrato BACEN-BANERJ</w:t>
            </w:r>
          </w:p>
        </w:tc>
        <w:tc>
          <w:tcPr>
            <w:tcW w:w="993" w:type="dxa"/>
            <w:tcBorders>
              <w:right w:val="single" w:sz="8" w:space="0" w:color="B2B2B2"/>
            </w:tcBorders>
            <w:shd w:val="clear" w:color="auto" w:fill="EFEFEF"/>
          </w:tcPr>
          <w:p w14:paraId="7E1DAE0D"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1.397,7</w:t>
            </w:r>
          </w:p>
        </w:tc>
        <w:tc>
          <w:tcPr>
            <w:tcW w:w="992" w:type="dxa"/>
            <w:tcBorders>
              <w:right w:val="single" w:sz="8" w:space="0" w:color="B2B2B2"/>
            </w:tcBorders>
            <w:shd w:val="clear" w:color="auto" w:fill="EFEFEF"/>
          </w:tcPr>
          <w:p w14:paraId="53AB172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51,3</w:t>
            </w:r>
          </w:p>
        </w:tc>
        <w:tc>
          <w:tcPr>
            <w:tcW w:w="992" w:type="dxa"/>
            <w:tcBorders>
              <w:right w:val="single" w:sz="8" w:space="0" w:color="B2B2B2"/>
            </w:tcBorders>
            <w:shd w:val="clear" w:color="auto" w:fill="EFEFEF"/>
          </w:tcPr>
          <w:p w14:paraId="65A49C91"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right w:val="single" w:sz="8" w:space="0" w:color="B2B2B2"/>
            </w:tcBorders>
            <w:shd w:val="clear" w:color="auto" w:fill="EFEFEF"/>
          </w:tcPr>
          <w:p w14:paraId="77175F9B"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3" w:type="dxa"/>
            <w:tcBorders>
              <w:right w:val="single" w:sz="8" w:space="0" w:color="B2B2B2"/>
            </w:tcBorders>
            <w:shd w:val="clear" w:color="auto" w:fill="EFEFEF"/>
          </w:tcPr>
          <w:p w14:paraId="56BBC3F4"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1002" w:type="dxa"/>
            <w:tcBorders>
              <w:right w:val="single" w:sz="8" w:space="0" w:color="B2B2B2"/>
            </w:tcBorders>
            <w:shd w:val="clear" w:color="auto" w:fill="EFEFEF"/>
          </w:tcPr>
          <w:p w14:paraId="7C595136"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28583925" w14:textId="77777777" w:rsidTr="00DE51F2">
        <w:trPr>
          <w:trHeight w:hRule="exact" w:val="284"/>
          <w:jc w:val="center"/>
        </w:trPr>
        <w:tc>
          <w:tcPr>
            <w:tcW w:w="3959" w:type="dxa"/>
            <w:tcBorders>
              <w:top w:val="single" w:sz="8" w:space="0" w:color="B2B2B2"/>
              <w:left w:val="single" w:sz="8" w:space="0" w:color="B2B2B2"/>
              <w:bottom w:val="single" w:sz="8" w:space="0" w:color="B2B2B2"/>
              <w:right w:val="single" w:sz="8" w:space="0" w:color="B2B2B2"/>
            </w:tcBorders>
            <w:shd w:val="clear" w:color="auto" w:fill="FFFFFF"/>
          </w:tcPr>
          <w:p w14:paraId="14C8A27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Regime de Recuperação Fisca</w:t>
            </w:r>
            <w:r w:rsidR="00B56F74">
              <w:rPr>
                <w:rFonts w:cstheme="minorHAnsi"/>
                <w:color w:val="000000"/>
                <w:sz w:val="18"/>
                <w:szCs w:val="18"/>
              </w:rPr>
              <w:t>l</w:t>
            </w:r>
            <w:r w:rsidRPr="00B56F89">
              <w:rPr>
                <w:rFonts w:cstheme="minorHAnsi"/>
                <w:color w:val="000000"/>
                <w:sz w:val="18"/>
                <w:szCs w:val="18"/>
              </w:rPr>
              <w:t> - Honra de avais</w:t>
            </w:r>
          </w:p>
        </w:tc>
        <w:tc>
          <w:tcPr>
            <w:tcW w:w="993" w:type="dxa"/>
            <w:tcBorders>
              <w:top w:val="single" w:sz="8" w:space="0" w:color="B2B2B2"/>
              <w:bottom w:val="single" w:sz="8" w:space="0" w:color="B2B2B2"/>
              <w:right w:val="single" w:sz="8" w:space="0" w:color="B2B2B2"/>
            </w:tcBorders>
          </w:tcPr>
          <w:p w14:paraId="700E6595"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100,8</w:t>
            </w:r>
          </w:p>
        </w:tc>
        <w:tc>
          <w:tcPr>
            <w:tcW w:w="992" w:type="dxa"/>
            <w:tcBorders>
              <w:top w:val="single" w:sz="8" w:space="0" w:color="B2B2B2"/>
              <w:bottom w:val="single" w:sz="8" w:space="0" w:color="B2B2B2"/>
              <w:right w:val="single" w:sz="8" w:space="0" w:color="B2B2B2"/>
            </w:tcBorders>
          </w:tcPr>
          <w:p w14:paraId="735BEC9A"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68,1</w:t>
            </w:r>
          </w:p>
        </w:tc>
        <w:tc>
          <w:tcPr>
            <w:tcW w:w="992" w:type="dxa"/>
            <w:tcBorders>
              <w:top w:val="single" w:sz="8" w:space="0" w:color="B2B2B2"/>
              <w:bottom w:val="single" w:sz="8" w:space="0" w:color="B2B2B2"/>
              <w:right w:val="single" w:sz="8" w:space="0" w:color="B2B2B2"/>
            </w:tcBorders>
          </w:tcPr>
          <w:p w14:paraId="2890CA4E"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959,5</w:t>
            </w:r>
          </w:p>
        </w:tc>
        <w:tc>
          <w:tcPr>
            <w:tcW w:w="992" w:type="dxa"/>
            <w:tcBorders>
              <w:top w:val="single" w:sz="8" w:space="0" w:color="B2B2B2"/>
              <w:bottom w:val="single" w:sz="8" w:space="0" w:color="B2B2B2"/>
              <w:right w:val="single" w:sz="8" w:space="0" w:color="B2B2B2"/>
            </w:tcBorders>
          </w:tcPr>
          <w:p w14:paraId="55ADDDA3"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1.908,4</w:t>
            </w:r>
          </w:p>
        </w:tc>
        <w:tc>
          <w:tcPr>
            <w:tcW w:w="993" w:type="dxa"/>
            <w:tcBorders>
              <w:top w:val="single" w:sz="8" w:space="0" w:color="B2B2B2"/>
              <w:bottom w:val="single" w:sz="8" w:space="0" w:color="B2B2B2"/>
              <w:right w:val="single" w:sz="8" w:space="0" w:color="B2B2B2"/>
            </w:tcBorders>
          </w:tcPr>
          <w:p w14:paraId="0A1CA51D"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2.850,5</w:t>
            </w:r>
          </w:p>
        </w:tc>
        <w:tc>
          <w:tcPr>
            <w:tcW w:w="1002" w:type="dxa"/>
            <w:tcBorders>
              <w:top w:val="single" w:sz="8" w:space="0" w:color="B2B2B2"/>
              <w:bottom w:val="single" w:sz="8" w:space="0" w:color="B2B2B2"/>
              <w:right w:val="single" w:sz="8" w:space="0" w:color="B2B2B2"/>
            </w:tcBorders>
            <w:shd w:val="clear" w:color="auto" w:fill="FFFFFF"/>
          </w:tcPr>
          <w:p w14:paraId="07F6F66C"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13F20875" w14:textId="77777777" w:rsidTr="00DE51F2">
        <w:trPr>
          <w:trHeight w:hRule="exact" w:val="284"/>
          <w:jc w:val="center"/>
        </w:trPr>
        <w:tc>
          <w:tcPr>
            <w:tcW w:w="3959" w:type="dxa"/>
            <w:tcBorders>
              <w:left w:val="single" w:sz="8" w:space="0" w:color="B2B2B2"/>
              <w:right w:val="single" w:sz="8" w:space="0" w:color="B2B2B2"/>
            </w:tcBorders>
            <w:shd w:val="clear" w:color="auto" w:fill="EFEFEF"/>
          </w:tcPr>
          <w:p w14:paraId="5B9504D9"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Lei Complementar nº 178/2021 - Art. 9º A</w:t>
            </w:r>
          </w:p>
        </w:tc>
        <w:tc>
          <w:tcPr>
            <w:tcW w:w="993" w:type="dxa"/>
            <w:tcBorders>
              <w:right w:val="single" w:sz="8" w:space="0" w:color="B2B2B2"/>
            </w:tcBorders>
            <w:shd w:val="clear" w:color="auto" w:fill="EFEFEF"/>
          </w:tcPr>
          <w:p w14:paraId="7EE7F2D0"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right w:val="single" w:sz="8" w:space="0" w:color="B2B2B2"/>
            </w:tcBorders>
            <w:shd w:val="clear" w:color="auto" w:fill="EFEFEF"/>
          </w:tcPr>
          <w:p w14:paraId="235B0AAD"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3.884,2</w:t>
            </w:r>
          </w:p>
        </w:tc>
        <w:tc>
          <w:tcPr>
            <w:tcW w:w="992" w:type="dxa"/>
            <w:tcBorders>
              <w:right w:val="single" w:sz="8" w:space="0" w:color="B2B2B2"/>
            </w:tcBorders>
            <w:shd w:val="clear" w:color="auto" w:fill="EFEFEF"/>
          </w:tcPr>
          <w:p w14:paraId="76B56516"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5.440,8</w:t>
            </w:r>
          </w:p>
        </w:tc>
        <w:tc>
          <w:tcPr>
            <w:tcW w:w="992" w:type="dxa"/>
            <w:tcBorders>
              <w:right w:val="single" w:sz="8" w:space="0" w:color="B2B2B2"/>
            </w:tcBorders>
            <w:shd w:val="clear" w:color="auto" w:fill="EFEFEF"/>
          </w:tcPr>
          <w:p w14:paraId="27F3FFD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6.689,5</w:t>
            </w:r>
          </w:p>
        </w:tc>
        <w:tc>
          <w:tcPr>
            <w:tcW w:w="993" w:type="dxa"/>
            <w:tcBorders>
              <w:right w:val="single" w:sz="8" w:space="0" w:color="B2B2B2"/>
            </w:tcBorders>
            <w:shd w:val="clear" w:color="auto" w:fill="EFEFEF"/>
          </w:tcPr>
          <w:p w14:paraId="56A9D475"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7.859,7</w:t>
            </w:r>
          </w:p>
        </w:tc>
        <w:tc>
          <w:tcPr>
            <w:tcW w:w="1002" w:type="dxa"/>
            <w:tcBorders>
              <w:right w:val="single" w:sz="8" w:space="0" w:color="B2B2B2"/>
            </w:tcBorders>
            <w:shd w:val="clear" w:color="auto" w:fill="EFEFEF"/>
          </w:tcPr>
          <w:p w14:paraId="4C487D0C"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1B2E7191" w14:textId="77777777" w:rsidTr="00DE51F2">
        <w:trPr>
          <w:trHeight w:hRule="exact" w:val="284"/>
          <w:jc w:val="center"/>
        </w:trPr>
        <w:tc>
          <w:tcPr>
            <w:tcW w:w="3959" w:type="dxa"/>
            <w:tcBorders>
              <w:top w:val="single" w:sz="8" w:space="0" w:color="B2B2B2"/>
              <w:left w:val="single" w:sz="8" w:space="0" w:color="B2B2B2"/>
              <w:bottom w:val="single" w:sz="8" w:space="0" w:color="B2B2B2"/>
              <w:right w:val="single" w:sz="8" w:space="0" w:color="B2B2B2"/>
            </w:tcBorders>
            <w:shd w:val="clear" w:color="auto" w:fill="FFFFFF"/>
          </w:tcPr>
          <w:p w14:paraId="473B34D7"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Lei Complementar nº 178/2021 - Art. 23</w:t>
            </w:r>
          </w:p>
        </w:tc>
        <w:tc>
          <w:tcPr>
            <w:tcW w:w="993" w:type="dxa"/>
            <w:tcBorders>
              <w:top w:val="single" w:sz="8" w:space="0" w:color="B2B2B2"/>
              <w:bottom w:val="single" w:sz="8" w:space="0" w:color="B2B2B2"/>
              <w:right w:val="single" w:sz="8" w:space="0" w:color="B2B2B2"/>
            </w:tcBorders>
          </w:tcPr>
          <w:p w14:paraId="4566E8C2"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w:t>
            </w:r>
          </w:p>
        </w:tc>
        <w:tc>
          <w:tcPr>
            <w:tcW w:w="992" w:type="dxa"/>
            <w:tcBorders>
              <w:top w:val="single" w:sz="8" w:space="0" w:color="B2B2B2"/>
              <w:bottom w:val="single" w:sz="8" w:space="0" w:color="B2B2B2"/>
              <w:right w:val="single" w:sz="8" w:space="0" w:color="B2B2B2"/>
            </w:tcBorders>
          </w:tcPr>
          <w:p w14:paraId="17FC2D5A"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31,4</w:t>
            </w:r>
          </w:p>
        </w:tc>
        <w:tc>
          <w:tcPr>
            <w:tcW w:w="992" w:type="dxa"/>
            <w:tcBorders>
              <w:top w:val="single" w:sz="8" w:space="0" w:color="B2B2B2"/>
              <w:bottom w:val="single" w:sz="8" w:space="0" w:color="B2B2B2"/>
              <w:right w:val="single" w:sz="8" w:space="0" w:color="B2B2B2"/>
            </w:tcBorders>
          </w:tcPr>
          <w:p w14:paraId="40648520"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41,3</w:t>
            </w:r>
          </w:p>
        </w:tc>
        <w:tc>
          <w:tcPr>
            <w:tcW w:w="992" w:type="dxa"/>
            <w:tcBorders>
              <w:top w:val="single" w:sz="8" w:space="0" w:color="B2B2B2"/>
              <w:bottom w:val="single" w:sz="8" w:space="0" w:color="B2B2B2"/>
              <w:right w:val="single" w:sz="8" w:space="0" w:color="B2B2B2"/>
            </w:tcBorders>
          </w:tcPr>
          <w:p w14:paraId="6B53F5A3"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41,7</w:t>
            </w:r>
          </w:p>
        </w:tc>
        <w:tc>
          <w:tcPr>
            <w:tcW w:w="993" w:type="dxa"/>
            <w:tcBorders>
              <w:top w:val="single" w:sz="8" w:space="0" w:color="B2B2B2"/>
              <w:bottom w:val="single" w:sz="8" w:space="0" w:color="B2B2B2"/>
              <w:right w:val="single" w:sz="8" w:space="0" w:color="B2B2B2"/>
            </w:tcBorders>
          </w:tcPr>
          <w:p w14:paraId="0F036654" w14:textId="77777777" w:rsidR="007F267A" w:rsidRPr="00B56F89" w:rsidRDefault="007F267A" w:rsidP="00DE51F2">
            <w:pPr>
              <w:autoSpaceDE w:val="0"/>
              <w:autoSpaceDN w:val="0"/>
              <w:adjustRightInd w:val="0"/>
              <w:spacing w:line="280" w:lineRule="atLeast"/>
              <w:rPr>
                <w:rFonts w:cstheme="minorHAnsi"/>
                <w:color w:val="000000"/>
                <w:sz w:val="18"/>
                <w:szCs w:val="18"/>
              </w:rPr>
            </w:pPr>
            <w:r w:rsidRPr="00B56F89">
              <w:rPr>
                <w:rFonts w:cstheme="minorHAnsi"/>
                <w:color w:val="000000"/>
                <w:sz w:val="18"/>
                <w:szCs w:val="18"/>
              </w:rPr>
              <w:t>42,6</w:t>
            </w:r>
          </w:p>
        </w:tc>
        <w:tc>
          <w:tcPr>
            <w:tcW w:w="1002" w:type="dxa"/>
            <w:tcBorders>
              <w:top w:val="single" w:sz="8" w:space="0" w:color="B2B2B2"/>
              <w:bottom w:val="single" w:sz="8" w:space="0" w:color="B2B2B2"/>
              <w:right w:val="single" w:sz="8" w:space="0" w:color="B2B2B2"/>
            </w:tcBorders>
            <w:shd w:val="clear" w:color="auto" w:fill="FFFFFF"/>
          </w:tcPr>
          <w:p w14:paraId="10795E97" w14:textId="77777777" w:rsidR="007F267A" w:rsidRPr="00B56F89" w:rsidRDefault="007F267A" w:rsidP="004C3AE0">
            <w:pPr>
              <w:autoSpaceDE w:val="0"/>
              <w:autoSpaceDN w:val="0"/>
              <w:adjustRightInd w:val="0"/>
              <w:spacing w:line="280" w:lineRule="atLeast"/>
              <w:jc w:val="center"/>
              <w:rPr>
                <w:rFonts w:cstheme="minorHAnsi"/>
                <w:color w:val="000000"/>
                <w:sz w:val="18"/>
                <w:szCs w:val="18"/>
              </w:rPr>
            </w:pPr>
            <w:r w:rsidRPr="00B56F89">
              <w:rPr>
                <w:rFonts w:cstheme="minorHAnsi"/>
                <w:color w:val="000000"/>
                <w:sz w:val="18"/>
                <w:szCs w:val="18"/>
              </w:rPr>
              <w:t>F</w:t>
            </w:r>
          </w:p>
        </w:tc>
      </w:tr>
      <w:tr w:rsidR="006F2CF1" w14:paraId="742E05F0" w14:textId="77777777" w:rsidTr="00743DCE">
        <w:tblPrEx>
          <w:tblBorders>
            <w:bottom w:val="single" w:sz="8" w:space="0" w:color="6D6D6D"/>
          </w:tblBorders>
        </w:tblPrEx>
        <w:trPr>
          <w:trHeight w:val="234"/>
          <w:jc w:val="center"/>
        </w:trPr>
        <w:tc>
          <w:tcPr>
            <w:tcW w:w="3959" w:type="dxa"/>
            <w:tcBorders>
              <w:left w:val="single" w:sz="8" w:space="0" w:color="B2B2B2"/>
              <w:bottom w:val="single" w:sz="8" w:space="0" w:color="B2B2B2"/>
            </w:tcBorders>
            <w:shd w:val="clear" w:color="auto" w:fill="6D6D6D"/>
            <w:vAlign w:val="center"/>
          </w:tcPr>
          <w:p w14:paraId="5FC78FAE" w14:textId="77777777" w:rsidR="007F267A" w:rsidRPr="00B56F89" w:rsidRDefault="007F267A" w:rsidP="00181774">
            <w:pPr>
              <w:autoSpaceDE w:val="0"/>
              <w:autoSpaceDN w:val="0"/>
              <w:adjustRightInd w:val="0"/>
              <w:spacing w:line="280" w:lineRule="atLeast"/>
              <w:rPr>
                <w:rFonts w:cstheme="minorHAnsi"/>
                <w:color w:val="000000"/>
                <w:sz w:val="18"/>
                <w:szCs w:val="18"/>
              </w:rPr>
            </w:pPr>
            <w:r w:rsidRPr="00B56F89">
              <w:rPr>
                <w:rFonts w:cstheme="minorHAnsi"/>
                <w:b/>
                <w:bCs/>
                <w:color w:val="FFFFFF"/>
                <w:sz w:val="18"/>
                <w:szCs w:val="18"/>
              </w:rPr>
              <w:t>Total</w:t>
            </w:r>
            <w:r w:rsidRPr="00B56F89">
              <w:rPr>
                <w:rFonts w:cstheme="minorHAnsi"/>
                <w:color w:val="FFFFFF"/>
                <w:sz w:val="18"/>
                <w:szCs w:val="18"/>
              </w:rPr>
              <w:t> </w:t>
            </w:r>
          </w:p>
        </w:tc>
        <w:tc>
          <w:tcPr>
            <w:tcW w:w="993" w:type="dxa"/>
            <w:tcBorders>
              <w:bottom w:val="single" w:sz="8" w:space="0" w:color="B2B2B2"/>
            </w:tcBorders>
            <w:shd w:val="clear" w:color="auto" w:fill="6D6D6D"/>
          </w:tcPr>
          <w:p w14:paraId="05DFF569" w14:textId="77777777" w:rsidR="007F267A" w:rsidRPr="00B56F74" w:rsidRDefault="007F267A" w:rsidP="00743DCE">
            <w:pPr>
              <w:autoSpaceDE w:val="0"/>
              <w:autoSpaceDN w:val="0"/>
              <w:adjustRightInd w:val="0"/>
              <w:spacing w:line="280" w:lineRule="atLeast"/>
              <w:rPr>
                <w:rFonts w:cstheme="minorHAnsi"/>
                <w:color w:val="000000"/>
                <w:sz w:val="18"/>
                <w:szCs w:val="18"/>
              </w:rPr>
            </w:pPr>
            <w:r w:rsidRPr="00B56F74">
              <w:rPr>
                <w:rFonts w:cstheme="minorHAnsi"/>
                <w:color w:val="FFFFFF"/>
                <w:sz w:val="18"/>
                <w:szCs w:val="18"/>
              </w:rPr>
              <w:t>647.652,2</w:t>
            </w:r>
          </w:p>
        </w:tc>
        <w:tc>
          <w:tcPr>
            <w:tcW w:w="992" w:type="dxa"/>
            <w:tcBorders>
              <w:bottom w:val="single" w:sz="8" w:space="0" w:color="B2B2B2"/>
            </w:tcBorders>
            <w:shd w:val="clear" w:color="auto" w:fill="6D6D6D"/>
          </w:tcPr>
          <w:p w14:paraId="7BD65F89" w14:textId="77777777" w:rsidR="007F267A" w:rsidRPr="00B56F74" w:rsidRDefault="007F267A" w:rsidP="00743DCE">
            <w:pPr>
              <w:autoSpaceDE w:val="0"/>
              <w:autoSpaceDN w:val="0"/>
              <w:adjustRightInd w:val="0"/>
              <w:spacing w:line="280" w:lineRule="atLeast"/>
              <w:rPr>
                <w:rFonts w:cstheme="minorHAnsi"/>
                <w:color w:val="000000"/>
                <w:sz w:val="18"/>
                <w:szCs w:val="18"/>
              </w:rPr>
            </w:pPr>
            <w:r w:rsidRPr="00B56F74">
              <w:rPr>
                <w:rFonts w:cstheme="minorHAnsi"/>
                <w:color w:val="FFFFFF"/>
                <w:sz w:val="18"/>
                <w:szCs w:val="18"/>
              </w:rPr>
              <w:t>24.923,6</w:t>
            </w:r>
          </w:p>
        </w:tc>
        <w:tc>
          <w:tcPr>
            <w:tcW w:w="992" w:type="dxa"/>
            <w:tcBorders>
              <w:bottom w:val="single" w:sz="8" w:space="0" w:color="B2B2B2"/>
            </w:tcBorders>
            <w:shd w:val="clear" w:color="auto" w:fill="6D6D6D"/>
          </w:tcPr>
          <w:p w14:paraId="6A1BF2EB" w14:textId="77777777" w:rsidR="007F267A" w:rsidRPr="00B56F74" w:rsidRDefault="007F267A" w:rsidP="00743DCE">
            <w:pPr>
              <w:autoSpaceDE w:val="0"/>
              <w:autoSpaceDN w:val="0"/>
              <w:adjustRightInd w:val="0"/>
              <w:spacing w:line="280" w:lineRule="atLeast"/>
              <w:rPr>
                <w:rFonts w:cstheme="minorHAnsi"/>
                <w:color w:val="000000"/>
                <w:sz w:val="18"/>
                <w:szCs w:val="18"/>
              </w:rPr>
            </w:pPr>
            <w:r w:rsidRPr="00B56F74">
              <w:rPr>
                <w:rFonts w:cstheme="minorHAnsi"/>
                <w:color w:val="FFFFFF"/>
                <w:sz w:val="18"/>
                <w:szCs w:val="18"/>
              </w:rPr>
              <w:t>30.362,0</w:t>
            </w:r>
          </w:p>
        </w:tc>
        <w:tc>
          <w:tcPr>
            <w:tcW w:w="992" w:type="dxa"/>
            <w:tcBorders>
              <w:bottom w:val="single" w:sz="8" w:space="0" w:color="B2B2B2"/>
            </w:tcBorders>
            <w:shd w:val="clear" w:color="auto" w:fill="6D6D6D"/>
          </w:tcPr>
          <w:p w14:paraId="4D430DCB" w14:textId="77777777" w:rsidR="007F267A" w:rsidRPr="00B56F74" w:rsidRDefault="007F267A" w:rsidP="00743DCE">
            <w:pPr>
              <w:autoSpaceDE w:val="0"/>
              <w:autoSpaceDN w:val="0"/>
              <w:adjustRightInd w:val="0"/>
              <w:spacing w:line="280" w:lineRule="atLeast"/>
              <w:rPr>
                <w:rFonts w:cstheme="minorHAnsi"/>
                <w:color w:val="000000"/>
                <w:sz w:val="18"/>
                <w:szCs w:val="18"/>
              </w:rPr>
            </w:pPr>
            <w:r w:rsidRPr="00B56F74">
              <w:rPr>
                <w:rFonts w:cstheme="minorHAnsi"/>
                <w:color w:val="FFFFFF"/>
                <w:sz w:val="18"/>
                <w:szCs w:val="18"/>
              </w:rPr>
              <w:t>34.590,3</w:t>
            </w:r>
          </w:p>
        </w:tc>
        <w:tc>
          <w:tcPr>
            <w:tcW w:w="993" w:type="dxa"/>
            <w:tcBorders>
              <w:bottom w:val="single" w:sz="8" w:space="0" w:color="B2B2B2"/>
            </w:tcBorders>
            <w:shd w:val="clear" w:color="auto" w:fill="6D6D6D"/>
          </w:tcPr>
          <w:p w14:paraId="2074F838" w14:textId="77777777" w:rsidR="007F267A" w:rsidRPr="00B56F74" w:rsidRDefault="007F267A" w:rsidP="00743DCE">
            <w:pPr>
              <w:autoSpaceDE w:val="0"/>
              <w:autoSpaceDN w:val="0"/>
              <w:adjustRightInd w:val="0"/>
              <w:spacing w:line="280" w:lineRule="atLeast"/>
              <w:rPr>
                <w:rFonts w:cstheme="minorHAnsi"/>
                <w:color w:val="000000"/>
                <w:sz w:val="18"/>
                <w:szCs w:val="18"/>
              </w:rPr>
            </w:pPr>
            <w:r w:rsidRPr="00B56F74">
              <w:rPr>
                <w:rFonts w:cstheme="minorHAnsi"/>
                <w:color w:val="FFFFFF"/>
                <w:sz w:val="18"/>
                <w:szCs w:val="18"/>
              </w:rPr>
              <w:t>46.122,0</w:t>
            </w:r>
          </w:p>
        </w:tc>
        <w:tc>
          <w:tcPr>
            <w:tcW w:w="1002" w:type="dxa"/>
            <w:tcBorders>
              <w:bottom w:val="single" w:sz="8" w:space="0" w:color="B2B2B2"/>
              <w:right w:val="single" w:sz="8" w:space="0" w:color="B2B2B2"/>
            </w:tcBorders>
            <w:shd w:val="clear" w:color="auto" w:fill="6D6D6D"/>
            <w:vAlign w:val="center"/>
          </w:tcPr>
          <w:p w14:paraId="42633D28" w14:textId="77777777" w:rsidR="007F267A" w:rsidRPr="00B56F89" w:rsidRDefault="007F267A" w:rsidP="00181774">
            <w:pPr>
              <w:autoSpaceDE w:val="0"/>
              <w:autoSpaceDN w:val="0"/>
              <w:adjustRightInd w:val="0"/>
              <w:spacing w:line="280" w:lineRule="atLeast"/>
              <w:jc w:val="right"/>
              <w:rPr>
                <w:rFonts w:cstheme="minorHAnsi"/>
                <w:color w:val="000000"/>
                <w:sz w:val="18"/>
                <w:szCs w:val="18"/>
              </w:rPr>
            </w:pPr>
            <w:r w:rsidRPr="00B56F89">
              <w:rPr>
                <w:rFonts w:cstheme="minorHAnsi"/>
                <w:color w:val="FFFFFF"/>
                <w:sz w:val="18"/>
                <w:szCs w:val="18"/>
              </w:rPr>
              <w:t> </w:t>
            </w:r>
          </w:p>
        </w:tc>
      </w:tr>
    </w:tbl>
    <w:p w14:paraId="24A6C34C" w14:textId="77777777" w:rsidR="00AE4D66" w:rsidRPr="00190742" w:rsidRDefault="00AE4D66" w:rsidP="00AE4D66">
      <w:pPr>
        <w:spacing w:after="0"/>
        <w:jc w:val="both"/>
        <w:rPr>
          <w:i/>
          <w:iCs/>
          <w:sz w:val="16"/>
          <w:szCs w:val="16"/>
        </w:rPr>
      </w:pPr>
      <w:r w:rsidRPr="00190742">
        <w:rPr>
          <w:i/>
          <w:iCs/>
          <w:sz w:val="16"/>
          <w:szCs w:val="16"/>
        </w:rPr>
        <w:t xml:space="preserve">Posição em 31/12/2020. </w:t>
      </w:r>
    </w:p>
    <w:p w14:paraId="2C9EFEDF" w14:textId="77777777" w:rsidR="00936CD2" w:rsidRPr="00190742" w:rsidRDefault="00AE4D66" w:rsidP="00AE4D66">
      <w:pPr>
        <w:jc w:val="both"/>
        <w:rPr>
          <w:i/>
          <w:iCs/>
          <w:sz w:val="16"/>
          <w:szCs w:val="16"/>
        </w:rPr>
      </w:pPr>
      <w:r w:rsidRPr="00190742">
        <w:rPr>
          <w:i/>
          <w:iCs/>
          <w:sz w:val="16"/>
          <w:szCs w:val="16"/>
        </w:rPr>
        <w:t>Fonte: STN/ME</w:t>
      </w:r>
    </w:p>
    <w:p w14:paraId="6AA476B1" w14:textId="77777777" w:rsidR="00D44DC5" w:rsidRPr="004D263F" w:rsidRDefault="00D44DC5" w:rsidP="004D263F">
      <w:pPr>
        <w:ind w:firstLine="1418"/>
        <w:jc w:val="both"/>
        <w:rPr>
          <w:rFonts w:ascii="Calibri" w:eastAsia="Calibri" w:hAnsi="Calibri" w:cs="Calibri"/>
          <w:color w:val="000000" w:themeColor="text1"/>
          <w:sz w:val="24"/>
          <w:szCs w:val="24"/>
        </w:rPr>
      </w:pPr>
      <w:r w:rsidRPr="004D263F">
        <w:rPr>
          <w:rFonts w:ascii="Calibri" w:eastAsia="Calibri" w:hAnsi="Calibri" w:cs="Calibri"/>
          <w:color w:val="000000" w:themeColor="text1"/>
          <w:sz w:val="24"/>
          <w:szCs w:val="24"/>
        </w:rPr>
        <w:t xml:space="preserve">No caso do refinanciamento ao amparo da Lei nº 9.496/1997 - Estados, as receitas estimadas já incorporam as condições da LC nº 159/2017, concernente ao RRF, para os Estados do RJ, GO, MG e RS. Foram considerados também os efeitos da LC nº 173/2020 para as dívidas amparadas </w:t>
      </w:r>
      <w:r w:rsidRPr="004D263F">
        <w:rPr>
          <w:rFonts w:ascii="Calibri" w:eastAsia="Calibri" w:hAnsi="Calibri" w:cs="Calibri"/>
          <w:color w:val="000000" w:themeColor="text1"/>
          <w:sz w:val="24"/>
          <w:szCs w:val="24"/>
        </w:rPr>
        <w:lastRenderedPageBreak/>
        <w:t xml:space="preserve">pela Lei nº 9.496/1997 e MP nº 2.185/2001. O detalhamento a respeito dos dispositivos trazidos pela referida LC é apresentado no item </w:t>
      </w:r>
      <w:r w:rsidRPr="00370403">
        <w:rPr>
          <w:rFonts w:ascii="Calibri" w:eastAsia="Calibri" w:hAnsi="Calibri" w:cs="Calibri"/>
          <w:color w:val="000000" w:themeColor="text1"/>
          <w:sz w:val="24"/>
          <w:szCs w:val="24"/>
        </w:rPr>
        <w:t>“</w:t>
      </w:r>
      <w:r w:rsidR="00370403" w:rsidRPr="00370403">
        <w:rPr>
          <w:rFonts w:ascii="Calibri" w:eastAsia="Calibri" w:hAnsi="Calibri" w:cs="Calibri"/>
          <w:color w:val="000000" w:themeColor="text1"/>
          <w:sz w:val="24"/>
          <w:szCs w:val="24"/>
        </w:rPr>
        <w:t>4</w:t>
      </w:r>
      <w:r w:rsidRPr="00370403">
        <w:rPr>
          <w:rFonts w:ascii="Calibri" w:eastAsia="Calibri" w:hAnsi="Calibri" w:cs="Calibri"/>
          <w:color w:val="000000" w:themeColor="text1"/>
          <w:sz w:val="24"/>
          <w:szCs w:val="24"/>
        </w:rPr>
        <w:t>.</w:t>
      </w:r>
      <w:r w:rsidR="00370403" w:rsidRPr="00370403">
        <w:rPr>
          <w:rFonts w:ascii="Calibri" w:eastAsia="Calibri" w:hAnsi="Calibri" w:cs="Calibri"/>
          <w:color w:val="000000" w:themeColor="text1"/>
          <w:sz w:val="24"/>
          <w:szCs w:val="24"/>
        </w:rPr>
        <w:t>2</w:t>
      </w:r>
      <w:r w:rsidRPr="00370403">
        <w:rPr>
          <w:rFonts w:ascii="Calibri" w:eastAsia="Calibri" w:hAnsi="Calibri" w:cs="Calibri"/>
          <w:color w:val="000000" w:themeColor="text1"/>
          <w:sz w:val="24"/>
          <w:szCs w:val="24"/>
        </w:rPr>
        <w:t>.</w:t>
      </w:r>
      <w:r w:rsidR="00370403" w:rsidRPr="00370403">
        <w:rPr>
          <w:rFonts w:ascii="Calibri" w:eastAsia="Calibri" w:hAnsi="Calibri" w:cs="Calibri"/>
          <w:color w:val="000000" w:themeColor="text1"/>
          <w:sz w:val="24"/>
          <w:szCs w:val="24"/>
        </w:rPr>
        <w:t>4</w:t>
      </w:r>
      <w:r w:rsidRPr="00370403">
        <w:rPr>
          <w:rFonts w:ascii="Calibri" w:eastAsia="Calibri" w:hAnsi="Calibri" w:cs="Calibri"/>
          <w:color w:val="000000" w:themeColor="text1"/>
          <w:sz w:val="24"/>
          <w:szCs w:val="24"/>
        </w:rPr>
        <w:t>.5 Impacto nas Contas Públicas</w:t>
      </w:r>
      <w:r w:rsidRPr="004D263F">
        <w:rPr>
          <w:rFonts w:ascii="Calibri" w:eastAsia="Calibri" w:hAnsi="Calibri" w:cs="Calibri"/>
          <w:color w:val="000000" w:themeColor="text1"/>
          <w:sz w:val="24"/>
          <w:szCs w:val="24"/>
        </w:rPr>
        <w:t>”.</w:t>
      </w:r>
    </w:p>
    <w:p w14:paraId="426A61A8" w14:textId="77777777" w:rsidR="004D263F" w:rsidRDefault="001F6FEB" w:rsidP="004D263F">
      <w:pPr>
        <w:ind w:firstLine="1418"/>
        <w:jc w:val="both"/>
        <w:rPr>
          <w:rFonts w:ascii="Calibri" w:eastAsia="Calibri" w:hAnsi="Calibri" w:cs="Calibri"/>
          <w:color w:val="000000" w:themeColor="text1"/>
          <w:sz w:val="24"/>
          <w:szCs w:val="24"/>
        </w:rPr>
      </w:pPr>
      <w:r w:rsidRPr="004D263F">
        <w:rPr>
          <w:rFonts w:ascii="Calibri" w:eastAsia="Calibri" w:hAnsi="Calibri" w:cs="Calibri"/>
          <w:color w:val="000000" w:themeColor="text1"/>
          <w:sz w:val="24"/>
          <w:szCs w:val="24"/>
        </w:rPr>
        <w:t xml:space="preserve">A entrada em vigor da LC nº 178/2021 trouxe alterações ao Regime de Recuperação Fiscal (RRF), impactando ainda as dívidas provenientes das Leis </w:t>
      </w:r>
      <w:proofErr w:type="spellStart"/>
      <w:r w:rsidRPr="004D263F">
        <w:rPr>
          <w:rFonts w:ascii="Calibri" w:eastAsia="Calibri" w:hAnsi="Calibri" w:cs="Calibri"/>
          <w:color w:val="000000" w:themeColor="text1"/>
          <w:sz w:val="24"/>
          <w:szCs w:val="24"/>
        </w:rPr>
        <w:t>nº</w:t>
      </w:r>
      <w:r w:rsidRPr="004401CD">
        <w:rPr>
          <w:rFonts w:ascii="Calibri" w:eastAsia="Calibri" w:hAnsi="Calibri" w:cs="Calibri"/>
          <w:color w:val="000000" w:themeColor="text1"/>
          <w:sz w:val="24"/>
          <w:szCs w:val="24"/>
          <w:vertAlign w:val="superscript"/>
        </w:rPr>
        <w:t>s</w:t>
      </w:r>
      <w:proofErr w:type="spellEnd"/>
      <w:r w:rsidRPr="004D263F">
        <w:rPr>
          <w:rFonts w:ascii="Calibri" w:eastAsia="Calibri" w:hAnsi="Calibri" w:cs="Calibri"/>
          <w:color w:val="000000" w:themeColor="text1"/>
          <w:sz w:val="24"/>
          <w:szCs w:val="24"/>
        </w:rPr>
        <w:t xml:space="preserve"> 9.496/1997 e 8.727/1993. A primeira alteração relevante foi a inclusão do art. 4º-A </w:t>
      </w:r>
      <w:proofErr w:type="gramStart"/>
      <w:r w:rsidRPr="004D263F">
        <w:rPr>
          <w:rFonts w:ascii="Calibri" w:eastAsia="Calibri" w:hAnsi="Calibri" w:cs="Calibri"/>
          <w:color w:val="000000" w:themeColor="text1"/>
          <w:sz w:val="24"/>
          <w:szCs w:val="24"/>
        </w:rPr>
        <w:t>à</w:t>
      </w:r>
      <w:proofErr w:type="gramEnd"/>
      <w:r w:rsidRPr="004D263F">
        <w:rPr>
          <w:rFonts w:ascii="Calibri" w:eastAsia="Calibri" w:hAnsi="Calibri" w:cs="Calibri"/>
          <w:color w:val="000000" w:themeColor="text1"/>
          <w:sz w:val="24"/>
          <w:szCs w:val="24"/>
        </w:rPr>
        <w:t xml:space="preserve"> LC nº 156/2016, trazendo a possibilidade de se postergar a comprovação do cumprimento da limitação de despesas estabelecida no art. 4º da mesma lei. Assim, houve um recálculo e foram retiradas as penalidades para os Estados que haviam descumprido o teto de despesas. </w:t>
      </w:r>
    </w:p>
    <w:p w14:paraId="06313F74" w14:textId="194379C0" w:rsidR="001F6FEB" w:rsidRPr="004D263F" w:rsidRDefault="001F6FEB" w:rsidP="004D263F">
      <w:pPr>
        <w:ind w:firstLine="1418"/>
        <w:jc w:val="both"/>
        <w:rPr>
          <w:rFonts w:ascii="Calibri" w:eastAsia="Calibri" w:hAnsi="Calibri" w:cs="Calibri"/>
          <w:color w:val="000000" w:themeColor="text1"/>
          <w:sz w:val="24"/>
          <w:szCs w:val="24"/>
        </w:rPr>
      </w:pPr>
      <w:r w:rsidRPr="004D263F">
        <w:rPr>
          <w:rFonts w:ascii="Calibri" w:eastAsia="Calibri" w:hAnsi="Calibri" w:cs="Calibri"/>
          <w:color w:val="000000" w:themeColor="text1"/>
          <w:sz w:val="24"/>
          <w:szCs w:val="24"/>
        </w:rPr>
        <w:t xml:space="preserve">Em adição, a inclusão do art. 1º-B à mesma LC 156/2016 permitiu ao estado do Rio de Janeiro incorporar à dívida da Lei nº 9.496/1997 o saldo devedor do contrato BACEN-BANERJ, com efeitos retroativos a julho de 2016. Por esse motivo, não foi projetado um fluxo individual desse programa e, portanto, as linhas referentes ao Contrato BACEN-BANERJ na tabela não possuem preenchimento a partir de 2021. O valor constante </w:t>
      </w:r>
      <w:r w:rsidRPr="009A3D0F">
        <w:rPr>
          <w:rFonts w:ascii="Calibri" w:eastAsia="Calibri" w:hAnsi="Calibri" w:cs="Calibri"/>
          <w:color w:val="000000" w:themeColor="text1"/>
          <w:sz w:val="24"/>
          <w:szCs w:val="24"/>
        </w:rPr>
        <w:t>na</w:t>
      </w:r>
      <w:r w:rsidR="009A3D0F" w:rsidRPr="009A3D0F">
        <w:rPr>
          <w:rFonts w:ascii="Calibri" w:eastAsia="Calibri" w:hAnsi="Calibri" w:cs="Calibri"/>
          <w:color w:val="000000" w:themeColor="text1"/>
          <w:sz w:val="24"/>
          <w:szCs w:val="24"/>
        </w:rPr>
        <w:t xml:space="preserve"> </w:t>
      </w:r>
      <w:r w:rsidR="009A3D0F" w:rsidRPr="009A3D0F">
        <w:rPr>
          <w:rFonts w:ascii="Calibri" w:eastAsia="Calibri" w:hAnsi="Calibri" w:cs="Calibri"/>
          <w:color w:val="000000" w:themeColor="text1"/>
          <w:sz w:val="24"/>
          <w:szCs w:val="24"/>
        </w:rPr>
        <w:fldChar w:fldCharType="begin"/>
      </w:r>
      <w:r w:rsidR="009A3D0F" w:rsidRPr="009A3D0F">
        <w:rPr>
          <w:rFonts w:ascii="Calibri" w:eastAsia="Calibri" w:hAnsi="Calibri" w:cs="Calibri"/>
          <w:color w:val="000000" w:themeColor="text1"/>
          <w:sz w:val="24"/>
          <w:szCs w:val="24"/>
        </w:rPr>
        <w:instrText xml:space="preserve"> REF _Ref68689231 \h </w:instrText>
      </w:r>
      <w:r w:rsidR="009A3D0F">
        <w:rPr>
          <w:rFonts w:ascii="Calibri" w:eastAsia="Calibri" w:hAnsi="Calibri" w:cs="Calibri"/>
          <w:color w:val="000000" w:themeColor="text1"/>
          <w:sz w:val="24"/>
          <w:szCs w:val="24"/>
        </w:rPr>
        <w:instrText xml:space="preserve"> \* MERGEFORMAT </w:instrText>
      </w:r>
      <w:r w:rsidR="009A3D0F" w:rsidRPr="009A3D0F">
        <w:rPr>
          <w:rFonts w:ascii="Calibri" w:eastAsia="Calibri" w:hAnsi="Calibri" w:cs="Calibri"/>
          <w:color w:val="000000" w:themeColor="text1"/>
          <w:sz w:val="24"/>
          <w:szCs w:val="24"/>
        </w:rPr>
      </w:r>
      <w:r w:rsidR="009A3D0F" w:rsidRPr="009A3D0F">
        <w:rPr>
          <w:rFonts w:ascii="Calibri" w:eastAsia="Calibri" w:hAnsi="Calibri" w:cs="Calibri"/>
          <w:color w:val="000000" w:themeColor="text1"/>
          <w:sz w:val="24"/>
          <w:szCs w:val="24"/>
        </w:rPr>
        <w:fldChar w:fldCharType="separate"/>
      </w:r>
      <w:r w:rsidR="00304F5F" w:rsidRPr="00304F5F">
        <w:rPr>
          <w:color w:val="000000" w:themeColor="text1"/>
          <w:sz w:val="24"/>
          <w:szCs w:val="24"/>
        </w:rPr>
        <w:t xml:space="preserve">Tabela </w:t>
      </w:r>
      <w:r w:rsidR="00304F5F" w:rsidRPr="00304F5F">
        <w:rPr>
          <w:noProof/>
          <w:color w:val="000000" w:themeColor="text1"/>
          <w:sz w:val="24"/>
          <w:szCs w:val="24"/>
        </w:rPr>
        <w:t>43</w:t>
      </w:r>
      <w:r w:rsidR="009A3D0F" w:rsidRPr="009A3D0F">
        <w:rPr>
          <w:rFonts w:ascii="Calibri" w:eastAsia="Calibri" w:hAnsi="Calibri" w:cs="Calibri"/>
          <w:color w:val="000000" w:themeColor="text1"/>
          <w:sz w:val="24"/>
          <w:szCs w:val="24"/>
        </w:rPr>
        <w:fldChar w:fldCharType="end"/>
      </w:r>
      <w:r w:rsidR="00955265">
        <w:rPr>
          <w:rFonts w:ascii="Calibri" w:eastAsia="Calibri" w:hAnsi="Calibri" w:cs="Calibri"/>
          <w:color w:val="000000" w:themeColor="text1"/>
          <w:sz w:val="24"/>
          <w:szCs w:val="24"/>
        </w:rPr>
        <w:t xml:space="preserve"> </w:t>
      </w:r>
      <w:r w:rsidRPr="004D263F">
        <w:rPr>
          <w:rFonts w:ascii="Calibri" w:eastAsia="Calibri" w:hAnsi="Calibri" w:cs="Calibri"/>
          <w:color w:val="000000" w:themeColor="text1"/>
          <w:sz w:val="24"/>
          <w:szCs w:val="24"/>
        </w:rPr>
        <w:t xml:space="preserve">para o ano de 2021 refere-se ao valor recebido em janeiro/2021. </w:t>
      </w:r>
    </w:p>
    <w:p w14:paraId="2A5BFB51" w14:textId="77777777" w:rsidR="001F6FEB" w:rsidRPr="004D263F" w:rsidRDefault="001F6FEB" w:rsidP="004D263F">
      <w:pPr>
        <w:ind w:firstLine="1418"/>
        <w:jc w:val="both"/>
        <w:rPr>
          <w:rFonts w:ascii="Calibri" w:eastAsia="Calibri" w:hAnsi="Calibri" w:cs="Calibri"/>
          <w:color w:val="000000" w:themeColor="text1"/>
          <w:sz w:val="24"/>
          <w:szCs w:val="24"/>
        </w:rPr>
      </w:pPr>
      <w:r w:rsidRPr="004D263F">
        <w:rPr>
          <w:rFonts w:ascii="Calibri" w:eastAsia="Calibri" w:hAnsi="Calibri" w:cs="Calibri"/>
          <w:color w:val="000000" w:themeColor="text1"/>
          <w:sz w:val="24"/>
          <w:szCs w:val="24"/>
        </w:rPr>
        <w:t xml:space="preserve">Ainda, a linha referente à Lei nº 9.496/1997 passou a considerar o recebimento escalonado de valores por parte de Rio de Janeiro, Minas Gerais, Rio Grande do Sul e Goiás, nos moldes estabelecidos pela nova redação do art. 9º da LC nº 159/2017. O mesmo ocorre no caso da linha da Lei nº 8.727/1993 – Receitas da União, no caso do estado de Goiás. </w:t>
      </w:r>
    </w:p>
    <w:p w14:paraId="25C5126B" w14:textId="77777777" w:rsidR="001F6FEB" w:rsidRPr="004D263F" w:rsidRDefault="001F6FEB" w:rsidP="004D263F">
      <w:pPr>
        <w:ind w:firstLine="1418"/>
        <w:jc w:val="both"/>
        <w:rPr>
          <w:rFonts w:ascii="Calibri" w:eastAsia="Calibri" w:hAnsi="Calibri" w:cs="Calibri"/>
          <w:color w:val="000000" w:themeColor="text1"/>
          <w:sz w:val="24"/>
          <w:szCs w:val="24"/>
        </w:rPr>
      </w:pPr>
      <w:r w:rsidRPr="004D263F">
        <w:rPr>
          <w:rFonts w:ascii="Calibri" w:eastAsia="Calibri" w:hAnsi="Calibri" w:cs="Calibri"/>
          <w:color w:val="000000" w:themeColor="text1"/>
          <w:sz w:val="24"/>
          <w:szCs w:val="24"/>
        </w:rPr>
        <w:t xml:space="preserve">A inclusão do art. 9º-A na LC nº 159/2017 trouxe a necessidade de se criar novo programa para tratar do RRF (até o momento denominou-se “Lei Complementar nº 178/2021 – Art. 9ºA”). Este programa tem como saldo inicial os valores suspensos de pagamento por liminar (RS, MG e GO) e os valores acumulados em contas gráficas do RRF antigo (RJ), para as dívidas provenientes das Leis nº 9.496/1997, 8.727/1993 (apenas GO) e de avais honrados. Existem incorporações escalonadas desses três programas, na razão de 11,11% ao ano e partindo do zero no primeiro ano, ao programa da LC nº 178/2021 – art. 9ºA. Os valores não incorporados continuam previstos nos seus respectivos programas – no caso das honras de aval, esses valores foram discriminados na linha “Regime de Recuperação Fiscal – Honra de Avais”. O novo programa calcula prestações pelo sistema </w:t>
      </w:r>
      <w:proofErr w:type="spellStart"/>
      <w:r w:rsidRPr="004D263F">
        <w:rPr>
          <w:rFonts w:ascii="Calibri" w:eastAsia="Calibri" w:hAnsi="Calibri" w:cs="Calibri"/>
          <w:color w:val="000000" w:themeColor="text1"/>
          <w:sz w:val="24"/>
          <w:szCs w:val="24"/>
        </w:rPr>
        <w:t>Price</w:t>
      </w:r>
      <w:proofErr w:type="spellEnd"/>
      <w:r w:rsidRPr="004D263F">
        <w:rPr>
          <w:rFonts w:ascii="Calibri" w:eastAsia="Calibri" w:hAnsi="Calibri" w:cs="Calibri"/>
          <w:color w:val="000000" w:themeColor="text1"/>
          <w:sz w:val="24"/>
          <w:szCs w:val="24"/>
        </w:rPr>
        <w:t xml:space="preserve">, com prazo de 360 meses e corrigidos pelo indexador Coeficiente de Atualização Monetária - CAM + 4% a.a. </w:t>
      </w:r>
    </w:p>
    <w:p w14:paraId="14604AFF" w14:textId="77777777" w:rsidR="00D44DC5" w:rsidRDefault="001F6FEB" w:rsidP="004D263F">
      <w:pPr>
        <w:ind w:firstLine="1418"/>
        <w:jc w:val="both"/>
        <w:rPr>
          <w:rFonts w:ascii="Calibri" w:eastAsia="Calibri" w:hAnsi="Calibri" w:cs="Calibri"/>
          <w:color w:val="000000" w:themeColor="text1"/>
          <w:sz w:val="24"/>
          <w:szCs w:val="24"/>
        </w:rPr>
      </w:pPr>
      <w:r w:rsidRPr="004D263F">
        <w:rPr>
          <w:rFonts w:ascii="Calibri" w:eastAsia="Calibri" w:hAnsi="Calibri" w:cs="Calibri"/>
          <w:color w:val="000000" w:themeColor="text1"/>
          <w:sz w:val="24"/>
          <w:szCs w:val="24"/>
        </w:rPr>
        <w:t>Por fim, o art. 23 da LC nº 178/2021 traz a possibilidade de parcelamento de débitos amparados por liminares para estados que não irão aderir ao RRF, nos moldes do calculado pelo art. 9ºA – neste caso apenas sem as incorporações. Espera-se que este dispositivo beneficie os estados do Amapá, Maranhão e Rio Grande do Norte.</w:t>
      </w:r>
    </w:p>
    <w:p w14:paraId="4D29CDFC" w14:textId="77777777" w:rsidR="004D263F" w:rsidRPr="004B6E26" w:rsidRDefault="004D263F" w:rsidP="004B6E26">
      <w:pPr>
        <w:pStyle w:val="Ttulo4"/>
        <w:keepLines/>
        <w:numPr>
          <w:ilvl w:val="3"/>
          <w:numId w:val="36"/>
        </w:numPr>
        <w:spacing w:before="240" w:after="120"/>
        <w:ind w:left="862" w:hanging="862"/>
        <w:jc w:val="left"/>
        <w:rPr>
          <w:rFonts w:asciiTheme="minorHAnsi" w:eastAsia="Calibri" w:hAnsiTheme="minorHAnsi"/>
        </w:rPr>
      </w:pPr>
      <w:r w:rsidRPr="004B6E26">
        <w:rPr>
          <w:rFonts w:asciiTheme="minorHAnsi" w:eastAsia="Calibri" w:hAnsiTheme="minorHAnsi"/>
        </w:rPr>
        <w:t>Riscos Fiscais mapeados</w:t>
      </w:r>
    </w:p>
    <w:p w14:paraId="57D022F9" w14:textId="783049ED" w:rsidR="004D263F" w:rsidRDefault="00F61331" w:rsidP="004D263F">
      <w:pPr>
        <w:ind w:firstLine="1418"/>
        <w:jc w:val="both"/>
        <w:rPr>
          <w:rFonts w:ascii="Calibri" w:eastAsia="Calibri" w:hAnsi="Calibri" w:cs="Calibri"/>
          <w:color w:val="000000" w:themeColor="text1"/>
          <w:sz w:val="24"/>
          <w:szCs w:val="24"/>
        </w:rPr>
      </w:pPr>
      <w:r w:rsidRPr="00F61331">
        <w:rPr>
          <w:rFonts w:ascii="Calibri" w:eastAsia="Calibri" w:hAnsi="Calibri" w:cs="Calibri"/>
          <w:color w:val="000000" w:themeColor="text1"/>
          <w:sz w:val="24"/>
          <w:szCs w:val="24"/>
        </w:rPr>
        <w:t xml:space="preserve">No tocante aos riscos fiscais relativos aos haveres e créditos relacionados aos entes federativos </w:t>
      </w:r>
      <w:proofErr w:type="gramStart"/>
      <w:r w:rsidRPr="00F61331">
        <w:rPr>
          <w:rFonts w:ascii="Calibri" w:eastAsia="Calibri" w:hAnsi="Calibri" w:cs="Calibri"/>
          <w:color w:val="000000" w:themeColor="text1"/>
          <w:sz w:val="24"/>
          <w:szCs w:val="24"/>
        </w:rPr>
        <w:t>sob gestão</w:t>
      </w:r>
      <w:proofErr w:type="gramEnd"/>
      <w:r w:rsidRPr="00F61331">
        <w:rPr>
          <w:rFonts w:ascii="Calibri" w:eastAsia="Calibri" w:hAnsi="Calibri" w:cs="Calibri"/>
          <w:color w:val="000000" w:themeColor="text1"/>
          <w:sz w:val="24"/>
          <w:szCs w:val="24"/>
        </w:rPr>
        <w:t xml:space="preserve"> da STN, </w:t>
      </w:r>
      <w:r w:rsidR="00350C32">
        <w:rPr>
          <w:rFonts w:ascii="Calibri" w:eastAsia="Calibri" w:hAnsi="Calibri" w:cs="Calibri"/>
          <w:color w:val="000000" w:themeColor="text1"/>
          <w:sz w:val="24"/>
          <w:szCs w:val="24"/>
        </w:rPr>
        <w:t>dua</w:t>
      </w:r>
      <w:r w:rsidR="00510FC3" w:rsidRPr="00F61331">
        <w:rPr>
          <w:rFonts w:ascii="Calibri" w:eastAsia="Calibri" w:hAnsi="Calibri" w:cs="Calibri"/>
          <w:color w:val="000000" w:themeColor="text1"/>
          <w:sz w:val="24"/>
          <w:szCs w:val="24"/>
        </w:rPr>
        <w:t>s</w:t>
      </w:r>
      <w:r w:rsidRPr="00F61331">
        <w:rPr>
          <w:rFonts w:ascii="Calibri" w:eastAsia="Calibri" w:hAnsi="Calibri" w:cs="Calibri"/>
          <w:color w:val="000000" w:themeColor="text1"/>
          <w:sz w:val="24"/>
          <w:szCs w:val="24"/>
        </w:rPr>
        <w:t xml:space="preserve"> situações são identificadas e descritas a seguir:</w:t>
      </w:r>
    </w:p>
    <w:p w14:paraId="66DA8FE8" w14:textId="77777777" w:rsidR="002C0D18" w:rsidRPr="003B4F66" w:rsidRDefault="002C0D18" w:rsidP="003B4F66">
      <w:pPr>
        <w:pStyle w:val="PargrafodaLista"/>
        <w:numPr>
          <w:ilvl w:val="0"/>
          <w:numId w:val="46"/>
        </w:numPr>
        <w:ind w:left="709" w:hanging="283"/>
        <w:jc w:val="both"/>
        <w:rPr>
          <w:rFonts w:ascii="Calibri" w:eastAsia="Calibri" w:hAnsi="Calibri" w:cs="Calibri"/>
          <w:i/>
          <w:iCs/>
          <w:color w:val="000000" w:themeColor="text1"/>
          <w:sz w:val="24"/>
          <w:szCs w:val="24"/>
        </w:rPr>
      </w:pPr>
      <w:r w:rsidRPr="003B4F66">
        <w:rPr>
          <w:rFonts w:ascii="Calibri" w:eastAsia="Calibri" w:hAnsi="Calibri" w:cs="Calibri"/>
          <w:i/>
          <w:iCs/>
          <w:color w:val="000000" w:themeColor="text1"/>
          <w:sz w:val="24"/>
          <w:szCs w:val="24"/>
        </w:rPr>
        <w:t xml:space="preserve">Riscos relativos às ações judiciais </w:t>
      </w:r>
    </w:p>
    <w:p w14:paraId="69CFB53C" w14:textId="77777777" w:rsidR="002C0D18" w:rsidRPr="002C0D18" w:rsidRDefault="002C0D18" w:rsidP="001F33C6">
      <w:pPr>
        <w:ind w:firstLine="1416"/>
        <w:jc w:val="both"/>
        <w:rPr>
          <w:rFonts w:ascii="Calibri" w:eastAsia="Calibri" w:hAnsi="Calibri" w:cs="Calibri"/>
          <w:color w:val="000000" w:themeColor="text1"/>
          <w:sz w:val="24"/>
          <w:szCs w:val="24"/>
        </w:rPr>
      </w:pPr>
      <w:r w:rsidRPr="002C0D18">
        <w:rPr>
          <w:rFonts w:ascii="Calibri" w:eastAsia="Calibri" w:hAnsi="Calibri" w:cs="Calibri"/>
          <w:color w:val="000000" w:themeColor="text1"/>
          <w:sz w:val="24"/>
          <w:szCs w:val="24"/>
        </w:rPr>
        <w:t xml:space="preserve">Estes riscos decorrem de ações impetradas pelos mutuários contra a União em diversas instâncias da Justiça referentes aos haveres originários de operações de crédito </w:t>
      </w:r>
      <w:r w:rsidRPr="002C0D18">
        <w:rPr>
          <w:rFonts w:ascii="Calibri" w:eastAsia="Calibri" w:hAnsi="Calibri" w:cs="Calibri"/>
          <w:color w:val="000000" w:themeColor="text1"/>
          <w:sz w:val="24"/>
          <w:szCs w:val="24"/>
        </w:rPr>
        <w:lastRenderedPageBreak/>
        <w:t xml:space="preserve">(empréstimos) contratadas com a União antes da vigência da LC nº 101, de 4/5/2000, Lei de Responsabilidade Fiscal (LRF), bem como àqueles decorrentes de avais honrados pela União, ou integrantes do Regime de Recuperação Fiscal (RRF). </w:t>
      </w:r>
    </w:p>
    <w:p w14:paraId="6068A599" w14:textId="77777777" w:rsidR="002C0D18" w:rsidRPr="002C0D18" w:rsidRDefault="002C0D18" w:rsidP="00955265">
      <w:pPr>
        <w:ind w:firstLine="1416"/>
        <w:jc w:val="both"/>
        <w:rPr>
          <w:rFonts w:ascii="Calibri" w:eastAsia="Calibri" w:hAnsi="Calibri" w:cs="Calibri"/>
          <w:color w:val="000000" w:themeColor="text1"/>
          <w:sz w:val="24"/>
          <w:szCs w:val="24"/>
        </w:rPr>
      </w:pPr>
      <w:r w:rsidRPr="002C0D18">
        <w:rPr>
          <w:rFonts w:ascii="Calibri" w:eastAsia="Calibri" w:hAnsi="Calibri" w:cs="Calibri"/>
          <w:color w:val="000000" w:themeColor="text1"/>
          <w:sz w:val="24"/>
          <w:szCs w:val="24"/>
        </w:rPr>
        <w:t xml:space="preserve">No que tange à carteira supracitada, composta por 261 contratos celebrados pelos entes e pelas entidades das administrações indiretas com a União, atualmente há 83 ações judiciais, com impacto financeiro, no momento, de R$ 54,71 bilhões (posição de 31/12/2020). Desse total, R$ 47,02 bilhões correspondem às ações judiciais movidas pelos Estados de Minas Gerais, Rio Grande do Sul e Goiás. </w:t>
      </w:r>
    </w:p>
    <w:p w14:paraId="29A5C084" w14:textId="77777777" w:rsidR="002C0D18" w:rsidRPr="002C0D18" w:rsidRDefault="002C0D18" w:rsidP="001F33C6">
      <w:pPr>
        <w:ind w:firstLine="1416"/>
        <w:jc w:val="both"/>
        <w:rPr>
          <w:rFonts w:ascii="Calibri" w:eastAsia="Calibri" w:hAnsi="Calibri" w:cs="Calibri"/>
          <w:color w:val="000000" w:themeColor="text1"/>
          <w:sz w:val="24"/>
          <w:szCs w:val="24"/>
        </w:rPr>
      </w:pPr>
      <w:r w:rsidRPr="002C0D18">
        <w:rPr>
          <w:rFonts w:ascii="Calibri" w:eastAsia="Calibri" w:hAnsi="Calibri" w:cs="Calibri"/>
          <w:color w:val="000000" w:themeColor="text1"/>
          <w:sz w:val="24"/>
          <w:szCs w:val="24"/>
        </w:rPr>
        <w:t xml:space="preserve">Em condições de normalidade, a recuperação desses haveres – prazos, periodicidade, encargos, garantias, etc., atende estritamente ao que a legislação específica determina, e está claramente definida nos instrumentos contratuais. Alterações dessas condições são atualmente vedadas pelo art. 35 da LC nº 101, de 4/5/2000 (Lei de Responsabilidade Fiscal). </w:t>
      </w:r>
    </w:p>
    <w:p w14:paraId="56D74AF0" w14:textId="77777777" w:rsidR="002C0D18" w:rsidRPr="002C0D18" w:rsidRDefault="002C0D18" w:rsidP="001F33C6">
      <w:pPr>
        <w:ind w:firstLine="1416"/>
        <w:jc w:val="both"/>
        <w:rPr>
          <w:rFonts w:ascii="Calibri" w:eastAsia="Calibri" w:hAnsi="Calibri" w:cs="Calibri"/>
          <w:color w:val="000000" w:themeColor="text1"/>
          <w:sz w:val="24"/>
          <w:szCs w:val="24"/>
        </w:rPr>
      </w:pPr>
      <w:r w:rsidRPr="002C0D18">
        <w:rPr>
          <w:rFonts w:ascii="Calibri" w:eastAsia="Calibri" w:hAnsi="Calibri" w:cs="Calibri"/>
          <w:color w:val="000000" w:themeColor="text1"/>
          <w:sz w:val="24"/>
          <w:szCs w:val="24"/>
        </w:rPr>
        <w:t xml:space="preserve">Estes créditos contam com garantias dos devedores constituídas por receitas próprias e cotas dos Fundos de Participação, no caso de Estados, Municípios e Distrito Federal. No que se </w:t>
      </w:r>
      <w:proofErr w:type="gramStart"/>
      <w:r w:rsidRPr="002C0D18">
        <w:rPr>
          <w:rFonts w:ascii="Calibri" w:eastAsia="Calibri" w:hAnsi="Calibri" w:cs="Calibri"/>
          <w:color w:val="000000" w:themeColor="text1"/>
          <w:sz w:val="24"/>
          <w:szCs w:val="24"/>
        </w:rPr>
        <w:t>refere</w:t>
      </w:r>
      <w:proofErr w:type="gramEnd"/>
      <w:r w:rsidRPr="002C0D18">
        <w:rPr>
          <w:rFonts w:ascii="Calibri" w:eastAsia="Calibri" w:hAnsi="Calibri" w:cs="Calibri"/>
          <w:color w:val="000000" w:themeColor="text1"/>
          <w:sz w:val="24"/>
          <w:szCs w:val="24"/>
        </w:rPr>
        <w:t xml:space="preserve"> às administrações indiretas desses entes, as operações com a União são garantidas pelas respectivas receitas próprias complementadas pelas garantias do ente controlador – Estado ou Município. </w:t>
      </w:r>
    </w:p>
    <w:p w14:paraId="1C62C1DD" w14:textId="77777777" w:rsidR="004D263F" w:rsidRDefault="002C0D18" w:rsidP="001F33C6">
      <w:pPr>
        <w:ind w:firstLine="1416"/>
        <w:jc w:val="both"/>
        <w:rPr>
          <w:rFonts w:ascii="Calibri" w:eastAsia="Calibri" w:hAnsi="Calibri" w:cs="Calibri"/>
          <w:color w:val="000000" w:themeColor="text1"/>
          <w:sz w:val="24"/>
          <w:szCs w:val="24"/>
        </w:rPr>
      </w:pPr>
      <w:r w:rsidRPr="002C0D18">
        <w:rPr>
          <w:rFonts w:ascii="Calibri" w:eastAsia="Calibri" w:hAnsi="Calibri" w:cs="Calibri"/>
          <w:color w:val="000000" w:themeColor="text1"/>
          <w:sz w:val="24"/>
          <w:szCs w:val="24"/>
        </w:rPr>
        <w:t xml:space="preserve">No que se refere à avaliação quanto à possibilidade de recuperação dos valores pendentes de recebimento, cabe considerar que tal processo mostra-se de difícil </w:t>
      </w:r>
      <w:proofErr w:type="gramStart"/>
      <w:r w:rsidRPr="002C0D18">
        <w:rPr>
          <w:rFonts w:ascii="Calibri" w:eastAsia="Calibri" w:hAnsi="Calibri" w:cs="Calibri"/>
          <w:color w:val="000000" w:themeColor="text1"/>
          <w:sz w:val="24"/>
          <w:szCs w:val="24"/>
        </w:rPr>
        <w:t>implementação</w:t>
      </w:r>
      <w:proofErr w:type="gramEnd"/>
      <w:r w:rsidRPr="002C0D18">
        <w:rPr>
          <w:rFonts w:ascii="Calibri" w:eastAsia="Calibri" w:hAnsi="Calibri" w:cs="Calibri"/>
          <w:color w:val="000000" w:themeColor="text1"/>
          <w:sz w:val="24"/>
          <w:szCs w:val="24"/>
        </w:rPr>
        <w:t>, em especial diante das diversas situações existentes e do fato da representação judicial estar a cargo de outro órgão, a Advocacia-Geral da União - AGU. A experiência mostra que há ações que persistem por décadas sem decisão de mérito, e outras que, a despeito da renúncia por parte do devedor, continuam ativas, sem pronunciamento final.</w:t>
      </w:r>
    </w:p>
    <w:p w14:paraId="13B40B9C" w14:textId="77777777" w:rsidR="001F33C6" w:rsidRPr="00CB208E" w:rsidRDefault="002D5C00" w:rsidP="00CB208E">
      <w:pPr>
        <w:pStyle w:val="PargrafodaLista"/>
        <w:numPr>
          <w:ilvl w:val="0"/>
          <w:numId w:val="46"/>
        </w:numPr>
        <w:ind w:left="709" w:hanging="283"/>
        <w:jc w:val="both"/>
        <w:rPr>
          <w:rFonts w:ascii="Calibri" w:eastAsia="Calibri" w:hAnsi="Calibri" w:cs="Calibri"/>
          <w:i/>
          <w:iCs/>
          <w:color w:val="000000" w:themeColor="text1"/>
          <w:sz w:val="24"/>
          <w:szCs w:val="24"/>
        </w:rPr>
      </w:pPr>
      <w:r w:rsidRPr="00CB208E">
        <w:rPr>
          <w:rFonts w:ascii="Calibri" w:eastAsia="Calibri" w:hAnsi="Calibri" w:cs="Calibri"/>
          <w:i/>
          <w:iCs/>
          <w:color w:val="000000" w:themeColor="text1"/>
          <w:sz w:val="24"/>
          <w:szCs w:val="24"/>
        </w:rPr>
        <w:t>Riscos relativos ao não cumprimento das previsões de receitas para o exercício</w:t>
      </w:r>
    </w:p>
    <w:p w14:paraId="7D2E2EB8" w14:textId="77777777" w:rsidR="00287548" w:rsidRPr="00287548" w:rsidRDefault="00287548" w:rsidP="00CB208E">
      <w:pPr>
        <w:ind w:firstLine="1416"/>
        <w:jc w:val="both"/>
        <w:rPr>
          <w:rFonts w:ascii="Calibri" w:eastAsia="Calibri" w:hAnsi="Calibri" w:cs="Calibri"/>
          <w:color w:val="000000" w:themeColor="text1"/>
          <w:sz w:val="24"/>
          <w:szCs w:val="24"/>
        </w:rPr>
      </w:pPr>
      <w:r w:rsidRPr="00287548">
        <w:rPr>
          <w:rFonts w:ascii="Calibri" w:eastAsia="Calibri" w:hAnsi="Calibri" w:cs="Calibri"/>
          <w:color w:val="000000" w:themeColor="text1"/>
          <w:sz w:val="24"/>
          <w:szCs w:val="24"/>
        </w:rPr>
        <w:t xml:space="preserve">Estes riscos se referem às receitas no âmbito da Ação 20Z6 - Gestão de Políticas Econômicas e Fiscais, Plano Orçamentário PO 004 - Gestão de Haveres da União, e decorrem de variações nos indexadores das dívidas. As receitas previstas para os exercícios subsequentes são estimadas pela STN de acordo com premissas conservadoras, utilizando cenários de indexadores fornecidos pela própria STN e pela Secretaria de Política Econômica (SPE), encaminhadas anualmente para a Diretoria de Finanças e Contabilidade (DFC), do Ministério da Economia (ME), para compor o Projeto de Lei Orçamentária Anual (PLOA), do ano subsequente. Cabe ressaltar não ser possível a mensuração dos impactos desses riscos sobre os fluxos de pagamentos, uma vez que não dispomos de cenários estimados alternativos. </w:t>
      </w:r>
    </w:p>
    <w:p w14:paraId="6FC33AE2" w14:textId="77777777" w:rsidR="00287548" w:rsidRPr="00287548" w:rsidRDefault="00287548" w:rsidP="00287548">
      <w:pPr>
        <w:ind w:firstLine="1416"/>
        <w:jc w:val="both"/>
        <w:rPr>
          <w:rFonts w:ascii="Calibri" w:eastAsia="Calibri" w:hAnsi="Calibri" w:cs="Calibri"/>
          <w:color w:val="000000" w:themeColor="text1"/>
          <w:sz w:val="24"/>
          <w:szCs w:val="24"/>
        </w:rPr>
      </w:pPr>
      <w:r w:rsidRPr="00287548">
        <w:rPr>
          <w:rFonts w:ascii="Calibri" w:eastAsia="Calibri" w:hAnsi="Calibri" w:cs="Calibri"/>
          <w:color w:val="000000" w:themeColor="text1"/>
          <w:sz w:val="24"/>
          <w:szCs w:val="24"/>
        </w:rPr>
        <w:t xml:space="preserve">Adicionalmente, no tocante à materialidade, cabe destacar que é possível a ocorrência de impacto negativo sobre o fluxo global de pagamentos estimado, com a taxa SELIC se mantendo no patamar de 2% a.a. de forma persistente, dada sua influência sobre o indexador das dívidas refinanciadas. Com isso, o indexador Coeficiente de Atualização Monetária - CAM, utilizado para atualizar quase a totalidade das dívidas ao amparo da Lei nº 9.496/1997 e da MP nº 2.185/2001, pode apresentar valores negativos, o que implica em atualizações monetárias negativas dos saldos dos programas mencionados. No tocante às variações cambiais expressivas eventualmente não </w:t>
      </w:r>
      <w:r w:rsidRPr="00287548">
        <w:rPr>
          <w:rFonts w:ascii="Calibri" w:eastAsia="Calibri" w:hAnsi="Calibri" w:cs="Calibri"/>
          <w:color w:val="000000" w:themeColor="text1"/>
          <w:sz w:val="24"/>
          <w:szCs w:val="24"/>
        </w:rPr>
        <w:lastRenderedPageBreak/>
        <w:t xml:space="preserve">previstas, entende-se que teriam impacto reduzido diante da pequena participação de ativos em moeda estrangeira no saldo devedor global.  </w:t>
      </w:r>
    </w:p>
    <w:p w14:paraId="2FB6DBA0" w14:textId="77777777" w:rsidR="0069454E" w:rsidRDefault="00287548" w:rsidP="00287548">
      <w:pPr>
        <w:ind w:firstLine="1416"/>
        <w:jc w:val="both"/>
        <w:rPr>
          <w:rFonts w:ascii="Calibri" w:eastAsia="Calibri" w:hAnsi="Calibri" w:cs="Calibri"/>
          <w:color w:val="000000" w:themeColor="text1"/>
          <w:sz w:val="24"/>
          <w:szCs w:val="24"/>
        </w:rPr>
      </w:pPr>
      <w:r w:rsidRPr="00287548">
        <w:rPr>
          <w:rFonts w:ascii="Calibri" w:eastAsia="Calibri" w:hAnsi="Calibri" w:cs="Calibri"/>
          <w:color w:val="000000" w:themeColor="text1"/>
          <w:sz w:val="24"/>
          <w:szCs w:val="24"/>
        </w:rPr>
        <w:t xml:space="preserve">Outro risco concernente à frustração de receitas se refere ao Regime de Recuperação Fiscal (RRF), instituído pela Lei Complementar nº 159/17, aplicável às dívidas estaduais a serem incluídas no âmbito do referido Regime. A adesão de Estados ao RRF pode suspender e postergar o pagamento de valores devidos à União durante o seu período de vigência. Até o momento, somente o Estado do Rio de Janeiro aderiu às condições da LC nº 159/2017, havendo possibilidade de adesão, até o momento, por parte dos Estados de Goiás, Minas Gerais e Rio Grande do Sul. Embora a programação orçamentária já contemple a adesão destes Estados ao RRF, existe o risco de outras adesões, o que implicaria frustração de receitas ainda maior para os créditos </w:t>
      </w:r>
      <w:proofErr w:type="gramStart"/>
      <w:r w:rsidRPr="00287548">
        <w:rPr>
          <w:rFonts w:ascii="Calibri" w:eastAsia="Calibri" w:hAnsi="Calibri" w:cs="Calibri"/>
          <w:color w:val="000000" w:themeColor="text1"/>
          <w:sz w:val="24"/>
          <w:szCs w:val="24"/>
        </w:rPr>
        <w:t>sob gestão</w:t>
      </w:r>
      <w:proofErr w:type="gramEnd"/>
      <w:r w:rsidRPr="00287548">
        <w:rPr>
          <w:rFonts w:ascii="Calibri" w:eastAsia="Calibri" w:hAnsi="Calibri" w:cs="Calibri"/>
          <w:color w:val="000000" w:themeColor="text1"/>
          <w:sz w:val="24"/>
          <w:szCs w:val="24"/>
        </w:rPr>
        <w:t xml:space="preserve"> da STN.</w:t>
      </w:r>
    </w:p>
    <w:p w14:paraId="151455C8" w14:textId="77777777" w:rsidR="008F51A5" w:rsidRPr="004B6E26" w:rsidRDefault="00204DC0" w:rsidP="004B6E26">
      <w:pPr>
        <w:pStyle w:val="Ttulo4"/>
        <w:keepLines/>
        <w:numPr>
          <w:ilvl w:val="3"/>
          <w:numId w:val="36"/>
        </w:numPr>
        <w:spacing w:before="240" w:after="120"/>
        <w:ind w:left="862" w:hanging="862"/>
        <w:jc w:val="left"/>
        <w:rPr>
          <w:rFonts w:asciiTheme="minorHAnsi" w:eastAsia="Calibri" w:hAnsiTheme="minorHAnsi"/>
        </w:rPr>
      </w:pPr>
      <w:r w:rsidRPr="004B6E26">
        <w:rPr>
          <w:rFonts w:asciiTheme="minorHAnsi" w:eastAsia="Calibri" w:hAnsiTheme="minorHAnsi"/>
        </w:rPr>
        <w:t>Incertezas legislativas</w:t>
      </w:r>
    </w:p>
    <w:p w14:paraId="482B862A" w14:textId="3E4B5051" w:rsidR="00B7521F" w:rsidRPr="00B7521F" w:rsidRDefault="00BC46B0" w:rsidP="00B7521F">
      <w:pPr>
        <w:ind w:firstLine="1416"/>
        <w:jc w:val="both"/>
        <w:rPr>
          <w:rFonts w:ascii="Calibri" w:eastAsia="Calibri" w:hAnsi="Calibri" w:cs="Calibri"/>
          <w:color w:val="000000" w:themeColor="text1"/>
          <w:sz w:val="24"/>
          <w:szCs w:val="24"/>
        </w:rPr>
      </w:pPr>
      <w:r w:rsidRPr="00BC46B0">
        <w:rPr>
          <w:rFonts w:ascii="Calibri" w:eastAsia="Calibri" w:hAnsi="Calibri" w:cs="Calibri"/>
          <w:color w:val="000000" w:themeColor="text1"/>
          <w:sz w:val="24"/>
          <w:szCs w:val="24"/>
        </w:rPr>
        <w:t xml:space="preserve">Apesar de </w:t>
      </w:r>
      <w:r w:rsidR="00B44D90" w:rsidRPr="00BC46B0">
        <w:rPr>
          <w:rFonts w:ascii="Calibri" w:eastAsia="Calibri" w:hAnsi="Calibri" w:cs="Calibri"/>
          <w:color w:val="000000" w:themeColor="text1"/>
          <w:sz w:val="24"/>
          <w:szCs w:val="24"/>
        </w:rPr>
        <w:t>não</w:t>
      </w:r>
      <w:r w:rsidRPr="00BC46B0">
        <w:rPr>
          <w:rFonts w:ascii="Calibri" w:eastAsia="Calibri" w:hAnsi="Calibri" w:cs="Calibri"/>
          <w:color w:val="000000" w:themeColor="text1"/>
          <w:sz w:val="24"/>
          <w:szCs w:val="24"/>
        </w:rPr>
        <w:t xml:space="preserve"> configurar como risco fiscal, é importante mencionar que outra fonte de incertezas para a </w:t>
      </w:r>
      <w:r w:rsidR="00B44D90" w:rsidRPr="00BC46B0">
        <w:rPr>
          <w:rFonts w:ascii="Calibri" w:eastAsia="Calibri" w:hAnsi="Calibri" w:cs="Calibri"/>
          <w:color w:val="000000" w:themeColor="text1"/>
          <w:sz w:val="24"/>
          <w:szCs w:val="24"/>
        </w:rPr>
        <w:t>União</w:t>
      </w:r>
      <w:r w:rsidRPr="00BC46B0">
        <w:rPr>
          <w:rFonts w:ascii="Calibri" w:eastAsia="Calibri" w:hAnsi="Calibri" w:cs="Calibri"/>
          <w:color w:val="000000" w:themeColor="text1"/>
          <w:sz w:val="24"/>
          <w:szCs w:val="24"/>
        </w:rPr>
        <w:t xml:space="preserve"> em seu relacionamento </w:t>
      </w:r>
      <w:proofErr w:type="spellStart"/>
      <w:r w:rsidRPr="00BC46B0">
        <w:rPr>
          <w:rFonts w:ascii="Calibri" w:eastAsia="Calibri" w:hAnsi="Calibri" w:cs="Calibri"/>
          <w:color w:val="000000" w:themeColor="text1"/>
          <w:sz w:val="24"/>
          <w:szCs w:val="24"/>
        </w:rPr>
        <w:t>interfederativo</w:t>
      </w:r>
      <w:proofErr w:type="spellEnd"/>
      <w:r w:rsidRPr="00BC46B0">
        <w:rPr>
          <w:rFonts w:ascii="Calibri" w:eastAsia="Calibri" w:hAnsi="Calibri" w:cs="Calibri"/>
          <w:color w:val="000000" w:themeColor="text1"/>
          <w:sz w:val="24"/>
          <w:szCs w:val="24"/>
        </w:rPr>
        <w:t xml:space="preserve"> </w:t>
      </w:r>
      <w:r w:rsidR="00B44D90" w:rsidRPr="00BC46B0">
        <w:rPr>
          <w:rFonts w:ascii="Calibri" w:eastAsia="Calibri" w:hAnsi="Calibri" w:cs="Calibri"/>
          <w:color w:val="000000" w:themeColor="text1"/>
          <w:sz w:val="24"/>
          <w:szCs w:val="24"/>
        </w:rPr>
        <w:t>provém</w:t>
      </w:r>
      <w:r w:rsidRPr="00BC46B0">
        <w:rPr>
          <w:rFonts w:ascii="Calibri" w:eastAsia="Calibri" w:hAnsi="Calibri" w:cs="Calibri"/>
          <w:color w:val="000000" w:themeColor="text1"/>
          <w:sz w:val="24"/>
          <w:szCs w:val="24"/>
        </w:rPr>
        <w:t xml:space="preserve"> da </w:t>
      </w:r>
      <w:r w:rsidR="00B44D90" w:rsidRPr="00BC46B0">
        <w:rPr>
          <w:rFonts w:ascii="Calibri" w:eastAsia="Calibri" w:hAnsi="Calibri" w:cs="Calibri"/>
          <w:color w:val="000000" w:themeColor="text1"/>
          <w:sz w:val="24"/>
          <w:szCs w:val="24"/>
        </w:rPr>
        <w:t>aprovação</w:t>
      </w:r>
      <w:r w:rsidRPr="00BC46B0">
        <w:rPr>
          <w:rFonts w:ascii="Calibri" w:eastAsia="Calibri" w:hAnsi="Calibri" w:cs="Calibri"/>
          <w:color w:val="000000" w:themeColor="text1"/>
          <w:sz w:val="24"/>
          <w:szCs w:val="24"/>
        </w:rPr>
        <w:t xml:space="preserve"> de </w:t>
      </w:r>
      <w:r w:rsidR="00B44D90" w:rsidRPr="00BC46B0">
        <w:rPr>
          <w:rFonts w:ascii="Calibri" w:eastAsia="Calibri" w:hAnsi="Calibri" w:cs="Calibri"/>
          <w:color w:val="000000" w:themeColor="text1"/>
          <w:sz w:val="24"/>
          <w:szCs w:val="24"/>
        </w:rPr>
        <w:t>legislações</w:t>
      </w:r>
      <w:r w:rsidRPr="00BC46B0">
        <w:rPr>
          <w:rFonts w:ascii="Calibri" w:eastAsia="Calibri" w:hAnsi="Calibri" w:cs="Calibri"/>
          <w:color w:val="000000" w:themeColor="text1"/>
          <w:sz w:val="24"/>
          <w:szCs w:val="24"/>
        </w:rPr>
        <w:t xml:space="preserve"> que beneficiem os entes subnacionais </w:t>
      </w:r>
      <w:proofErr w:type="gramStart"/>
      <w:r w:rsidRPr="00BC46B0">
        <w:rPr>
          <w:rFonts w:ascii="Calibri" w:eastAsia="Calibri" w:hAnsi="Calibri" w:cs="Calibri"/>
          <w:color w:val="000000" w:themeColor="text1"/>
          <w:sz w:val="24"/>
          <w:szCs w:val="24"/>
        </w:rPr>
        <w:t>ao mesmo tempo que</w:t>
      </w:r>
      <w:proofErr w:type="gramEnd"/>
      <w:r w:rsidRPr="00BC46B0">
        <w:rPr>
          <w:rFonts w:ascii="Calibri" w:eastAsia="Calibri" w:hAnsi="Calibri" w:cs="Calibri"/>
          <w:color w:val="000000" w:themeColor="text1"/>
          <w:sz w:val="24"/>
          <w:szCs w:val="24"/>
        </w:rPr>
        <w:t xml:space="preserve"> onerem o Governo Federal. </w:t>
      </w:r>
    </w:p>
    <w:p w14:paraId="48C6CF0D" w14:textId="77777777" w:rsidR="00B7521F" w:rsidRPr="00B7521F" w:rsidRDefault="00B7521F" w:rsidP="00B7521F">
      <w:pPr>
        <w:ind w:firstLine="1416"/>
        <w:jc w:val="both"/>
        <w:rPr>
          <w:rFonts w:ascii="Calibri" w:eastAsia="Calibri" w:hAnsi="Calibri" w:cs="Calibri"/>
          <w:color w:val="000000" w:themeColor="text1"/>
          <w:sz w:val="24"/>
          <w:szCs w:val="24"/>
        </w:rPr>
      </w:pPr>
      <w:r w:rsidRPr="00B7521F">
        <w:rPr>
          <w:rFonts w:ascii="Calibri" w:eastAsia="Calibri" w:hAnsi="Calibri" w:cs="Calibri"/>
          <w:color w:val="000000" w:themeColor="text1"/>
          <w:sz w:val="24"/>
          <w:szCs w:val="24"/>
        </w:rPr>
        <w:t xml:space="preserve">As receitas previstas apresentam risco de redução, parcial ou total, em determinados períodos, em decorrência de novas legislações que se traduzam em carências de pagamento aos mutuários ou abatimentos nos estoques dos ativos junto aos Estados e Municípios. </w:t>
      </w:r>
    </w:p>
    <w:p w14:paraId="0E01FEBE" w14:textId="77777777" w:rsidR="00AB2C87" w:rsidRDefault="00B7521F" w:rsidP="008D140D">
      <w:pPr>
        <w:ind w:firstLine="1416"/>
        <w:jc w:val="both"/>
        <w:rPr>
          <w:rFonts w:ascii="Calibri" w:eastAsia="Calibri" w:hAnsi="Calibri" w:cs="Calibri"/>
          <w:color w:val="000000" w:themeColor="text1"/>
          <w:sz w:val="24"/>
          <w:szCs w:val="24"/>
        </w:rPr>
      </w:pPr>
      <w:r w:rsidRPr="00B7521F">
        <w:rPr>
          <w:rFonts w:ascii="Calibri" w:eastAsia="Calibri" w:hAnsi="Calibri" w:cs="Calibri"/>
          <w:color w:val="000000" w:themeColor="text1"/>
          <w:sz w:val="24"/>
          <w:szCs w:val="24"/>
        </w:rPr>
        <w:t xml:space="preserve">Novas alterações legais podem ser </w:t>
      </w:r>
      <w:proofErr w:type="gramStart"/>
      <w:r w:rsidRPr="00B7521F">
        <w:rPr>
          <w:rFonts w:ascii="Calibri" w:eastAsia="Calibri" w:hAnsi="Calibri" w:cs="Calibri"/>
          <w:color w:val="000000" w:themeColor="text1"/>
          <w:sz w:val="24"/>
          <w:szCs w:val="24"/>
        </w:rPr>
        <w:t>implementadas</w:t>
      </w:r>
      <w:proofErr w:type="gramEnd"/>
      <w:r w:rsidRPr="00B7521F">
        <w:rPr>
          <w:rFonts w:ascii="Calibri" w:eastAsia="Calibri" w:hAnsi="Calibri" w:cs="Calibri"/>
          <w:color w:val="000000" w:themeColor="text1"/>
          <w:sz w:val="24"/>
          <w:szCs w:val="24"/>
        </w:rPr>
        <w:t>, contudo os impactos associados ainda não seriam passíveis de estimativa consistente ante o desconhecimento acerca da plena abrangência das medidas que estariam sendo avaliadas.</w:t>
      </w:r>
    </w:p>
    <w:p w14:paraId="7D966A67" w14:textId="77777777" w:rsidR="00AB2C87" w:rsidRPr="004B6E26" w:rsidRDefault="00AB2C87" w:rsidP="004B6E26">
      <w:pPr>
        <w:pStyle w:val="Ttulo4"/>
        <w:keepLines/>
        <w:numPr>
          <w:ilvl w:val="3"/>
          <w:numId w:val="36"/>
        </w:numPr>
        <w:spacing w:before="240" w:after="120"/>
        <w:ind w:left="862" w:hanging="862"/>
        <w:jc w:val="left"/>
        <w:rPr>
          <w:rFonts w:asciiTheme="minorHAnsi" w:eastAsia="Calibri" w:hAnsiTheme="minorHAnsi"/>
        </w:rPr>
      </w:pPr>
      <w:bookmarkStart w:id="349" w:name="_Ref68697638"/>
      <w:r w:rsidRPr="004B6E26">
        <w:rPr>
          <w:rFonts w:asciiTheme="minorHAnsi" w:eastAsia="Calibri" w:hAnsiTheme="minorHAnsi"/>
        </w:rPr>
        <w:t>Impacto nas contas públicas</w:t>
      </w:r>
      <w:bookmarkEnd w:id="349"/>
    </w:p>
    <w:p w14:paraId="0E7CF824" w14:textId="16C93883" w:rsidR="008D140D" w:rsidRDefault="007E3F2E" w:rsidP="008D140D">
      <w:pPr>
        <w:ind w:firstLine="1416"/>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A </w:t>
      </w:r>
      <w:r w:rsidR="00AB5162" w:rsidRPr="00933B5B">
        <w:rPr>
          <w:rFonts w:ascii="Calibri" w:eastAsia="Calibri" w:hAnsi="Calibri" w:cs="Calibri"/>
          <w:color w:val="000000" w:themeColor="text1"/>
          <w:sz w:val="24"/>
          <w:szCs w:val="24"/>
        </w:rPr>
        <w:fldChar w:fldCharType="begin"/>
      </w:r>
      <w:r w:rsidR="00AB5162" w:rsidRPr="00933B5B">
        <w:rPr>
          <w:rFonts w:ascii="Calibri" w:eastAsia="Calibri" w:hAnsi="Calibri" w:cs="Calibri"/>
          <w:color w:val="000000" w:themeColor="text1"/>
          <w:sz w:val="24"/>
          <w:szCs w:val="24"/>
        </w:rPr>
        <w:instrText xml:space="preserve"> REF _Ref67925848 \h </w:instrText>
      </w:r>
      <w:r w:rsidR="00933B5B">
        <w:rPr>
          <w:rFonts w:ascii="Calibri" w:eastAsia="Calibri" w:hAnsi="Calibri" w:cs="Calibri"/>
          <w:color w:val="000000" w:themeColor="text1"/>
          <w:sz w:val="24"/>
          <w:szCs w:val="24"/>
        </w:rPr>
        <w:instrText xml:space="preserve"> \* MERGEFORMAT </w:instrText>
      </w:r>
      <w:r w:rsidR="00AB5162" w:rsidRPr="00933B5B">
        <w:rPr>
          <w:rFonts w:ascii="Calibri" w:eastAsia="Calibri" w:hAnsi="Calibri" w:cs="Calibri"/>
          <w:color w:val="000000" w:themeColor="text1"/>
          <w:sz w:val="24"/>
          <w:szCs w:val="24"/>
        </w:rPr>
      </w:r>
      <w:r w:rsidR="00AB5162" w:rsidRPr="00933B5B">
        <w:rPr>
          <w:rFonts w:ascii="Calibri" w:eastAsia="Calibri" w:hAnsi="Calibri" w:cs="Calibri"/>
          <w:color w:val="000000" w:themeColor="text1"/>
          <w:sz w:val="24"/>
          <w:szCs w:val="24"/>
        </w:rPr>
        <w:fldChar w:fldCharType="separate"/>
      </w:r>
      <w:r w:rsidR="00304F5F" w:rsidRPr="00304F5F">
        <w:rPr>
          <w:color w:val="000000" w:themeColor="text1"/>
          <w:sz w:val="24"/>
          <w:szCs w:val="24"/>
        </w:rPr>
        <w:t xml:space="preserve">Tabela </w:t>
      </w:r>
      <w:r w:rsidR="00304F5F" w:rsidRPr="00304F5F">
        <w:rPr>
          <w:noProof/>
          <w:color w:val="000000" w:themeColor="text1"/>
          <w:sz w:val="24"/>
          <w:szCs w:val="24"/>
        </w:rPr>
        <w:t>44</w:t>
      </w:r>
      <w:r w:rsidR="00AB5162" w:rsidRPr="00933B5B">
        <w:rPr>
          <w:rFonts w:ascii="Calibri" w:eastAsia="Calibri" w:hAnsi="Calibri" w:cs="Calibri"/>
          <w:color w:val="000000" w:themeColor="text1"/>
          <w:sz w:val="24"/>
          <w:szCs w:val="24"/>
        </w:rPr>
        <w:fldChar w:fldCharType="end"/>
      </w:r>
      <w:r w:rsidR="008D140D" w:rsidRPr="008D140D">
        <w:rPr>
          <w:rFonts w:ascii="Calibri" w:eastAsia="Calibri" w:hAnsi="Calibri" w:cs="Calibri"/>
          <w:color w:val="000000" w:themeColor="text1"/>
          <w:sz w:val="24"/>
          <w:szCs w:val="24"/>
        </w:rPr>
        <w:t xml:space="preserve"> </w:t>
      </w:r>
      <w:r w:rsidR="00AB5162" w:rsidRPr="00933B5B">
        <w:rPr>
          <w:rFonts w:ascii="Calibri" w:eastAsia="Calibri" w:hAnsi="Calibri" w:cs="Calibri"/>
          <w:color w:val="000000" w:themeColor="text1"/>
          <w:sz w:val="24"/>
          <w:szCs w:val="24"/>
        </w:rPr>
        <w:t xml:space="preserve">e </w:t>
      </w:r>
      <w:r w:rsidR="00AB5162" w:rsidRPr="00933B5B">
        <w:rPr>
          <w:rFonts w:ascii="Calibri" w:eastAsia="Calibri" w:hAnsi="Calibri" w:cs="Calibri"/>
          <w:color w:val="000000" w:themeColor="text1"/>
          <w:sz w:val="24"/>
          <w:szCs w:val="24"/>
        </w:rPr>
        <w:fldChar w:fldCharType="begin"/>
      </w:r>
      <w:r w:rsidR="00AB5162" w:rsidRPr="00933B5B">
        <w:rPr>
          <w:rFonts w:ascii="Calibri" w:eastAsia="Calibri" w:hAnsi="Calibri" w:cs="Calibri"/>
          <w:color w:val="000000" w:themeColor="text1"/>
          <w:sz w:val="24"/>
          <w:szCs w:val="24"/>
        </w:rPr>
        <w:instrText xml:space="preserve"> REF _Ref67925865 \h </w:instrText>
      </w:r>
      <w:r w:rsidR="00933B5B">
        <w:rPr>
          <w:rFonts w:ascii="Calibri" w:eastAsia="Calibri" w:hAnsi="Calibri" w:cs="Calibri"/>
          <w:color w:val="000000" w:themeColor="text1"/>
          <w:sz w:val="24"/>
          <w:szCs w:val="24"/>
        </w:rPr>
        <w:instrText xml:space="preserve"> \* MERGEFORMAT </w:instrText>
      </w:r>
      <w:r w:rsidR="00AB5162" w:rsidRPr="00933B5B">
        <w:rPr>
          <w:rFonts w:ascii="Calibri" w:eastAsia="Calibri" w:hAnsi="Calibri" w:cs="Calibri"/>
          <w:color w:val="000000" w:themeColor="text1"/>
          <w:sz w:val="24"/>
          <w:szCs w:val="24"/>
        </w:rPr>
      </w:r>
      <w:r w:rsidR="00AB5162" w:rsidRPr="00933B5B">
        <w:rPr>
          <w:rFonts w:ascii="Calibri" w:eastAsia="Calibri" w:hAnsi="Calibri" w:cs="Calibri"/>
          <w:color w:val="000000" w:themeColor="text1"/>
          <w:sz w:val="24"/>
          <w:szCs w:val="24"/>
        </w:rPr>
        <w:fldChar w:fldCharType="separate"/>
      </w:r>
      <w:r w:rsidR="00304F5F" w:rsidRPr="00304F5F">
        <w:rPr>
          <w:color w:val="000000" w:themeColor="text1"/>
          <w:sz w:val="24"/>
          <w:szCs w:val="24"/>
        </w:rPr>
        <w:t xml:space="preserve">Tabela </w:t>
      </w:r>
      <w:r w:rsidR="00304F5F" w:rsidRPr="00304F5F">
        <w:rPr>
          <w:noProof/>
          <w:color w:val="000000" w:themeColor="text1"/>
          <w:sz w:val="24"/>
          <w:szCs w:val="24"/>
        </w:rPr>
        <w:t>45</w:t>
      </w:r>
      <w:r w:rsidR="00AB5162" w:rsidRPr="00933B5B">
        <w:rPr>
          <w:rFonts w:ascii="Calibri" w:eastAsia="Calibri" w:hAnsi="Calibri" w:cs="Calibri"/>
          <w:color w:val="000000" w:themeColor="text1"/>
          <w:sz w:val="24"/>
          <w:szCs w:val="24"/>
        </w:rPr>
        <w:fldChar w:fldCharType="end"/>
      </w:r>
      <w:r w:rsidR="00AB5162">
        <w:rPr>
          <w:rFonts w:ascii="Calibri" w:eastAsia="Calibri" w:hAnsi="Calibri" w:cs="Calibri"/>
          <w:color w:val="000000" w:themeColor="text1"/>
          <w:sz w:val="24"/>
          <w:szCs w:val="24"/>
        </w:rPr>
        <w:t xml:space="preserve"> </w:t>
      </w:r>
      <w:r w:rsidR="008D140D" w:rsidRPr="008D140D">
        <w:rPr>
          <w:rFonts w:ascii="Calibri" w:eastAsia="Calibri" w:hAnsi="Calibri" w:cs="Calibri"/>
          <w:color w:val="000000" w:themeColor="text1"/>
          <w:sz w:val="24"/>
          <w:szCs w:val="24"/>
        </w:rPr>
        <w:t>apresentam os impactos nas contas públicas dos riscos relativos às ações judiciais e à frustração de receitas em decorrência da aplicação de dispositivos legais, para o atual e os próximos três exercícios subsequentes, quando mensurável com suficiente segurança. Cabe ressaltar que os impactos apontados se referem somente aos contratos celebrados com a União, não contemplando dessa forma riscos relativos às dívidas dos entes garantidas pela União.</w:t>
      </w:r>
    </w:p>
    <w:p w14:paraId="6B484754" w14:textId="2470807C" w:rsidR="008D140D" w:rsidRDefault="00920335" w:rsidP="00A32446">
      <w:pPr>
        <w:pStyle w:val="TabelaARF"/>
        <w:shd w:val="clear" w:color="auto" w:fill="auto"/>
        <w:jc w:val="center"/>
        <w:rPr>
          <w:color w:val="000000" w:themeColor="text1"/>
        </w:rPr>
      </w:pPr>
      <w:bookmarkStart w:id="350" w:name="_Ref67925848"/>
      <w:bookmarkStart w:id="351" w:name="_Toc69121390"/>
      <w:r w:rsidRPr="00A32446">
        <w:rPr>
          <w:color w:val="000000" w:themeColor="text1"/>
        </w:rPr>
        <w:t xml:space="preserve">Tabela </w:t>
      </w:r>
      <w:r w:rsidRPr="00A32446">
        <w:rPr>
          <w:color w:val="000000" w:themeColor="text1"/>
        </w:rPr>
        <w:fldChar w:fldCharType="begin"/>
      </w:r>
      <w:r w:rsidRPr="00A32446">
        <w:rPr>
          <w:color w:val="000000" w:themeColor="text1"/>
        </w:rPr>
        <w:instrText xml:space="preserve"> SEQ Tabela \* ARABIC </w:instrText>
      </w:r>
      <w:r w:rsidRPr="00A32446">
        <w:rPr>
          <w:color w:val="000000" w:themeColor="text1"/>
        </w:rPr>
        <w:fldChar w:fldCharType="separate"/>
      </w:r>
      <w:r w:rsidR="00304F5F">
        <w:rPr>
          <w:noProof/>
          <w:color w:val="000000" w:themeColor="text1"/>
        </w:rPr>
        <w:t>44</w:t>
      </w:r>
      <w:r w:rsidRPr="00A32446">
        <w:rPr>
          <w:color w:val="000000" w:themeColor="text1"/>
        </w:rPr>
        <w:fldChar w:fldCharType="end"/>
      </w:r>
      <w:bookmarkEnd w:id="350"/>
      <w:r w:rsidRPr="00A32446">
        <w:rPr>
          <w:color w:val="000000" w:themeColor="text1"/>
        </w:rPr>
        <w:t xml:space="preserve"> - Estimativas dos impactos, segundo a natureza do risco, por exercício</w:t>
      </w:r>
      <w:bookmarkEnd w:id="351"/>
    </w:p>
    <w:p w14:paraId="4EE561F1" w14:textId="2774E9D9" w:rsidR="0006476A" w:rsidRPr="0006476A" w:rsidRDefault="0006476A" w:rsidP="00A32446">
      <w:pPr>
        <w:pStyle w:val="TabelaARF"/>
        <w:shd w:val="clear" w:color="auto" w:fill="auto"/>
        <w:jc w:val="center"/>
        <w:rPr>
          <w:rFonts w:ascii="Calibri" w:eastAsia="Calibri" w:hAnsi="Calibri" w:cs="Calibri"/>
          <w:color w:val="000000" w:themeColor="text1"/>
          <w:sz w:val="18"/>
          <w:szCs w:val="18"/>
        </w:rPr>
      </w:pPr>
      <w:r>
        <w:rPr>
          <w:rFonts w:ascii="Calibri" w:hAnsi="Calibri"/>
          <w:color w:val="000000" w:themeColor="text1"/>
          <w:sz w:val="24"/>
        </w:rPr>
        <w:tab/>
      </w:r>
      <w:r>
        <w:rPr>
          <w:rFonts w:ascii="Calibri" w:hAnsi="Calibri"/>
          <w:color w:val="000000" w:themeColor="text1"/>
          <w:sz w:val="24"/>
        </w:rPr>
        <w:tab/>
      </w:r>
      <w:r>
        <w:rPr>
          <w:rFonts w:ascii="Calibri" w:hAnsi="Calibri"/>
          <w:color w:val="000000" w:themeColor="text1"/>
          <w:sz w:val="24"/>
        </w:rPr>
        <w:tab/>
      </w:r>
      <w:r>
        <w:rPr>
          <w:rFonts w:ascii="Calibri" w:hAnsi="Calibri"/>
          <w:color w:val="000000" w:themeColor="text1"/>
          <w:sz w:val="24"/>
        </w:rPr>
        <w:tab/>
      </w:r>
      <w:r>
        <w:rPr>
          <w:rFonts w:ascii="Calibri" w:hAnsi="Calibri"/>
          <w:color w:val="000000" w:themeColor="text1"/>
          <w:sz w:val="24"/>
        </w:rPr>
        <w:tab/>
      </w:r>
      <w:r>
        <w:rPr>
          <w:rFonts w:ascii="Calibri" w:hAnsi="Calibri"/>
          <w:color w:val="000000" w:themeColor="text1"/>
          <w:sz w:val="24"/>
        </w:rPr>
        <w:tab/>
      </w:r>
      <w:r>
        <w:rPr>
          <w:rFonts w:ascii="Calibri" w:hAnsi="Calibri"/>
          <w:color w:val="000000" w:themeColor="text1"/>
          <w:sz w:val="24"/>
        </w:rPr>
        <w:tab/>
        <w:t xml:space="preserve">           </w:t>
      </w:r>
      <w:r w:rsidR="009D261B">
        <w:rPr>
          <w:rFonts w:ascii="Calibri" w:hAnsi="Calibri"/>
          <w:color w:val="000000" w:themeColor="text1"/>
          <w:sz w:val="24"/>
        </w:rPr>
        <w:t xml:space="preserve">   </w:t>
      </w:r>
      <w:r w:rsidR="00510FC3" w:rsidRPr="0006476A">
        <w:rPr>
          <w:rFonts w:ascii="Calibri" w:hAnsi="Calibri"/>
          <w:color w:val="000000" w:themeColor="text1"/>
          <w:sz w:val="18"/>
          <w:szCs w:val="18"/>
        </w:rPr>
        <w:t>Em R$ milhões</w:t>
      </w:r>
    </w:p>
    <w:tbl>
      <w:tblPr>
        <w:tblStyle w:val="Tabelacomgrade"/>
        <w:tblW w:w="0" w:type="auto"/>
        <w:jc w:val="center"/>
        <w:tblLook w:val="04A0" w:firstRow="1" w:lastRow="0" w:firstColumn="1" w:lastColumn="0" w:noHBand="0" w:noVBand="1"/>
      </w:tblPr>
      <w:tblGrid>
        <w:gridCol w:w="2450"/>
        <w:gridCol w:w="1062"/>
        <w:gridCol w:w="1062"/>
        <w:gridCol w:w="959"/>
        <w:gridCol w:w="1414"/>
      </w:tblGrid>
      <w:tr w:rsidR="0006476A" w:rsidRPr="00DF0A5A" w14:paraId="2619A896" w14:textId="77777777" w:rsidTr="00CB18D4">
        <w:trPr>
          <w:tblHeader/>
          <w:jc w:val="center"/>
        </w:trPr>
        <w:tc>
          <w:tcPr>
            <w:tcW w:w="245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04040" w:themeFill="text1" w:themeFillTint="BF"/>
            <w:vAlign w:val="center"/>
          </w:tcPr>
          <w:p w14:paraId="50EB4147" w14:textId="77777777" w:rsidR="0006476A" w:rsidRPr="00DF0A5A" w:rsidRDefault="0006476A" w:rsidP="00181774">
            <w:pPr>
              <w:rPr>
                <w:rFonts w:cstheme="minorHAnsi"/>
                <w:b/>
                <w:bCs/>
                <w:color w:val="FFFFFF" w:themeColor="background1"/>
                <w:sz w:val="20"/>
                <w:szCs w:val="20"/>
              </w:rPr>
            </w:pPr>
            <w:r w:rsidRPr="00DF0A5A">
              <w:rPr>
                <w:rFonts w:ascii="Calibri" w:eastAsia="Times New Roman" w:hAnsi="Calibri" w:cs="Segoe UI"/>
                <w:b/>
                <w:bCs/>
                <w:color w:val="FFFFFF"/>
                <w:sz w:val="20"/>
                <w:szCs w:val="20"/>
                <w:lang w:eastAsia="pt-BR"/>
              </w:rPr>
              <w:t>Natureza do Risco</w:t>
            </w:r>
            <w:r w:rsidRPr="00EE443E">
              <w:rPr>
                <w:rFonts w:ascii="Calibri" w:eastAsia="Times New Roman" w:hAnsi="Calibri" w:cs="Segoe UI"/>
                <w:b/>
                <w:bCs/>
                <w:color w:val="FFFFFF"/>
                <w:sz w:val="20"/>
                <w:szCs w:val="20"/>
                <w:vertAlign w:val="superscript"/>
                <w:lang w:eastAsia="pt-BR"/>
              </w:rPr>
              <w:t>1</w:t>
            </w:r>
          </w:p>
        </w:tc>
        <w:tc>
          <w:tcPr>
            <w:tcW w:w="449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C341BC1" w14:textId="77777777" w:rsidR="0006476A" w:rsidRPr="00DF0A5A" w:rsidRDefault="0006476A" w:rsidP="00181774">
            <w:pPr>
              <w:jc w:val="center"/>
              <w:rPr>
                <w:rFonts w:cstheme="minorHAnsi"/>
                <w:b/>
                <w:bCs/>
                <w:color w:val="FFFFFF" w:themeColor="background1"/>
                <w:sz w:val="20"/>
                <w:szCs w:val="20"/>
              </w:rPr>
            </w:pPr>
            <w:r w:rsidRPr="00DF0A5A">
              <w:rPr>
                <w:rFonts w:cstheme="minorHAnsi"/>
                <w:b/>
                <w:bCs/>
                <w:color w:val="FFFFFF" w:themeColor="background1"/>
                <w:sz w:val="20"/>
                <w:szCs w:val="20"/>
              </w:rPr>
              <w:t>Impacto Estimado</w:t>
            </w:r>
          </w:p>
        </w:tc>
      </w:tr>
      <w:tr w:rsidR="0006476A" w:rsidRPr="00EC5CFC" w14:paraId="3FBFBF73" w14:textId="77777777" w:rsidTr="00CB18D4">
        <w:trPr>
          <w:tblHeader/>
          <w:jc w:val="center"/>
        </w:trPr>
        <w:tc>
          <w:tcPr>
            <w:tcW w:w="245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1654481" w14:textId="77777777" w:rsidR="0006476A" w:rsidRPr="00EC5CFC" w:rsidRDefault="0006476A" w:rsidP="00181774">
            <w:pPr>
              <w:jc w:val="center"/>
              <w:rPr>
                <w:rFonts w:cstheme="minorHAnsi"/>
                <w:b/>
                <w:bCs/>
                <w:color w:val="FFFFFF" w:themeColor="background1"/>
                <w:sz w:val="18"/>
                <w:szCs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501E3AD" w14:textId="77777777" w:rsidR="0006476A" w:rsidRPr="00EC5CFC" w:rsidRDefault="0006476A" w:rsidP="00181774">
            <w:pPr>
              <w:jc w:val="center"/>
              <w:rPr>
                <w:rFonts w:cstheme="minorHAnsi"/>
                <w:b/>
                <w:bCs/>
                <w:color w:val="FFFFFF" w:themeColor="background1"/>
                <w:sz w:val="18"/>
                <w:szCs w:val="18"/>
              </w:rPr>
            </w:pPr>
            <w:r w:rsidRPr="00EC5CFC">
              <w:rPr>
                <w:rFonts w:ascii="Calibri" w:eastAsia="Times New Roman" w:hAnsi="Calibri" w:cs="Segoe UI"/>
                <w:b/>
                <w:bCs/>
                <w:color w:val="FFFFFF" w:themeColor="background1"/>
                <w:sz w:val="18"/>
                <w:szCs w:val="18"/>
                <w:lang w:eastAsia="pt-BR"/>
              </w:rPr>
              <w:t>2021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14884362" w14:textId="77777777" w:rsidR="0006476A" w:rsidRPr="00EC5CFC" w:rsidRDefault="0006476A" w:rsidP="00181774">
            <w:pPr>
              <w:jc w:val="center"/>
              <w:rPr>
                <w:rFonts w:cstheme="minorHAnsi"/>
                <w:b/>
                <w:bCs/>
                <w:color w:val="FFFFFF" w:themeColor="background1"/>
                <w:sz w:val="18"/>
                <w:szCs w:val="18"/>
              </w:rPr>
            </w:pPr>
            <w:r w:rsidRPr="00EC5CFC">
              <w:rPr>
                <w:rFonts w:ascii="Calibri" w:eastAsia="Times New Roman" w:hAnsi="Calibri" w:cs="Segoe UI"/>
                <w:b/>
                <w:bCs/>
                <w:color w:val="FFFFFF" w:themeColor="background1"/>
                <w:sz w:val="18"/>
                <w:szCs w:val="18"/>
                <w:lang w:eastAsia="pt-BR"/>
              </w:rPr>
              <w:t>2022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A8DD0C8" w14:textId="77777777" w:rsidR="0006476A" w:rsidRPr="00EC5CFC" w:rsidRDefault="0006476A" w:rsidP="00181774">
            <w:pPr>
              <w:jc w:val="center"/>
              <w:rPr>
                <w:rFonts w:cstheme="minorHAnsi"/>
                <w:b/>
                <w:bCs/>
                <w:color w:val="FFFFFF" w:themeColor="background1"/>
                <w:sz w:val="18"/>
                <w:szCs w:val="18"/>
              </w:rPr>
            </w:pPr>
            <w:r w:rsidRPr="00EC5CFC">
              <w:rPr>
                <w:rFonts w:ascii="Calibri" w:eastAsia="Times New Roman" w:hAnsi="Calibri" w:cs="Segoe UI"/>
                <w:b/>
                <w:bCs/>
                <w:color w:val="FFFFFF" w:themeColor="background1"/>
                <w:sz w:val="18"/>
                <w:szCs w:val="18"/>
                <w:lang w:eastAsia="pt-BR"/>
              </w:rPr>
              <w:t>2023</w:t>
            </w:r>
          </w:p>
        </w:tc>
        <w:tc>
          <w:tcPr>
            <w:tcW w:w="12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3D8F5BC1" w14:textId="77777777" w:rsidR="0006476A" w:rsidRPr="00EC5CFC" w:rsidRDefault="0006476A" w:rsidP="00181774">
            <w:pPr>
              <w:jc w:val="center"/>
              <w:rPr>
                <w:rFonts w:cstheme="minorHAnsi"/>
                <w:b/>
                <w:bCs/>
                <w:color w:val="FFFFFF" w:themeColor="background1"/>
                <w:sz w:val="18"/>
                <w:szCs w:val="18"/>
              </w:rPr>
            </w:pPr>
            <w:r w:rsidRPr="00EC5CFC">
              <w:rPr>
                <w:rFonts w:ascii="Calibri" w:eastAsia="Times New Roman" w:hAnsi="Calibri" w:cs="Segoe UI"/>
                <w:b/>
                <w:bCs/>
                <w:color w:val="FFFFFF" w:themeColor="background1"/>
                <w:sz w:val="18"/>
                <w:szCs w:val="18"/>
                <w:lang w:eastAsia="pt-BR"/>
              </w:rPr>
              <w:t>2024</w:t>
            </w:r>
          </w:p>
        </w:tc>
      </w:tr>
      <w:tr w:rsidR="0006476A" w:rsidRPr="00EC5CFC" w14:paraId="260BF1E7" w14:textId="77777777" w:rsidTr="00834A28">
        <w:trPr>
          <w:jc w:val="center"/>
        </w:trPr>
        <w:tc>
          <w:tcPr>
            <w:tcW w:w="2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206B6E" w14:textId="77777777" w:rsidR="0006476A" w:rsidRDefault="0006476A" w:rsidP="00181774">
            <w:pPr>
              <w:textAlignment w:val="baseline"/>
              <w:rPr>
                <w:rFonts w:ascii="Calibri" w:eastAsia="Times New Roman" w:hAnsi="Calibri" w:cs="Segoe UI"/>
                <w:color w:val="000000"/>
                <w:sz w:val="18"/>
                <w:szCs w:val="18"/>
                <w:lang w:eastAsia="pt-BR"/>
              </w:rPr>
            </w:pPr>
            <w:r w:rsidRPr="00532EE3">
              <w:rPr>
                <w:rFonts w:ascii="Calibri" w:eastAsia="Times New Roman" w:hAnsi="Calibri" w:cs="Segoe UI"/>
                <w:color w:val="000000"/>
                <w:sz w:val="18"/>
                <w:szCs w:val="18"/>
                <w:lang w:eastAsia="pt-BR"/>
              </w:rPr>
              <w:t xml:space="preserve">Liminares Vigentes </w:t>
            </w:r>
            <w:proofErr w:type="gramStart"/>
            <w:r w:rsidRPr="00F23C27">
              <w:rPr>
                <w:rFonts w:ascii="Calibri" w:eastAsia="Times New Roman" w:hAnsi="Calibri" w:cs="Segoe UI"/>
                <w:color w:val="000000"/>
                <w:sz w:val="18"/>
                <w:szCs w:val="18"/>
                <w:vertAlign w:val="superscript"/>
                <w:lang w:eastAsia="pt-BR"/>
              </w:rPr>
              <w:t>2</w:t>
            </w:r>
            <w:proofErr w:type="gramEnd"/>
          </w:p>
          <w:p w14:paraId="08C62DD6" w14:textId="77777777" w:rsidR="0006476A" w:rsidRDefault="0006476A" w:rsidP="00181774">
            <w:pPr>
              <w:rPr>
                <w:rFonts w:ascii="Calibri" w:eastAsia="Times New Roman" w:hAnsi="Calibri" w:cs="Segoe UI"/>
                <w:color w:val="000000"/>
                <w:sz w:val="18"/>
                <w:szCs w:val="18"/>
                <w:lang w:eastAsia="pt-BR"/>
              </w:rPr>
            </w:pPr>
            <w:proofErr w:type="gramStart"/>
            <w:r>
              <w:rPr>
                <w:rFonts w:ascii="Calibri" w:eastAsia="Times New Roman" w:hAnsi="Calibri" w:cs="Segoe UI"/>
                <w:color w:val="000000"/>
                <w:sz w:val="18"/>
                <w:szCs w:val="18"/>
                <w:lang w:eastAsia="pt-BR"/>
              </w:rPr>
              <w:t>ou</w:t>
            </w:r>
            <w:proofErr w:type="gramEnd"/>
          </w:p>
          <w:p w14:paraId="35D91A2C" w14:textId="77777777" w:rsidR="0006476A" w:rsidRPr="00EC5CFC" w:rsidRDefault="0006476A" w:rsidP="00181774">
            <w:pPr>
              <w:rPr>
                <w:rFonts w:cstheme="minorHAnsi"/>
                <w:sz w:val="18"/>
                <w:szCs w:val="18"/>
              </w:rPr>
            </w:pPr>
            <w:r w:rsidRPr="00532EE3">
              <w:rPr>
                <w:rFonts w:ascii="Calibri" w:eastAsia="Times New Roman" w:hAnsi="Calibri" w:cs="Segoe UI"/>
                <w:color w:val="000000"/>
                <w:sz w:val="18"/>
                <w:szCs w:val="18"/>
                <w:lang w:eastAsia="pt-BR"/>
              </w:rPr>
              <w:t xml:space="preserve">Adesão dos entes ao RRF </w:t>
            </w:r>
            <w:proofErr w:type="gramStart"/>
            <w:r w:rsidRPr="00F23C27">
              <w:rPr>
                <w:rFonts w:ascii="Calibri" w:eastAsia="Times New Roman" w:hAnsi="Calibri" w:cs="Segoe UI"/>
                <w:color w:val="000000"/>
                <w:sz w:val="18"/>
                <w:szCs w:val="18"/>
                <w:vertAlign w:val="superscript"/>
                <w:lang w:eastAsia="pt-BR"/>
              </w:rPr>
              <w:t>3</w:t>
            </w:r>
            <w:proofErr w:type="gram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CDE2FF" w14:textId="77777777" w:rsidR="0006476A" w:rsidRPr="00EC5CFC" w:rsidRDefault="0006476A" w:rsidP="00181774">
            <w:pPr>
              <w:jc w:val="right"/>
              <w:rPr>
                <w:rFonts w:cstheme="minorHAnsi"/>
                <w:sz w:val="18"/>
                <w:szCs w:val="18"/>
              </w:rPr>
            </w:pPr>
            <w:r w:rsidRPr="00EC5CFC">
              <w:rPr>
                <w:rFonts w:ascii="Calibri" w:eastAsia="Times New Roman" w:hAnsi="Calibri" w:cs="Segoe UI"/>
                <w:color w:val="000000"/>
                <w:sz w:val="18"/>
                <w:szCs w:val="18"/>
                <w:lang w:eastAsia="pt-BR"/>
              </w:rPr>
              <w:t>11.712,29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8A48BF" w14:textId="77777777" w:rsidR="0006476A" w:rsidRPr="00EC5CFC" w:rsidRDefault="0006476A" w:rsidP="00181774">
            <w:pPr>
              <w:jc w:val="right"/>
              <w:rPr>
                <w:rFonts w:cstheme="minorHAnsi"/>
                <w:sz w:val="18"/>
                <w:szCs w:val="18"/>
              </w:rPr>
            </w:pPr>
            <w:r w:rsidRPr="00EC5CFC">
              <w:rPr>
                <w:rFonts w:ascii="Calibri" w:eastAsia="Times New Roman" w:hAnsi="Calibri" w:cs="Segoe UI"/>
                <w:color w:val="000000"/>
                <w:sz w:val="18"/>
                <w:szCs w:val="18"/>
                <w:lang w:eastAsia="pt-BR"/>
              </w:rPr>
              <w:t>11.178,01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15A7BE" w14:textId="77777777" w:rsidR="0006476A" w:rsidRPr="00EC5CFC" w:rsidRDefault="0006476A" w:rsidP="00181774">
            <w:pPr>
              <w:jc w:val="right"/>
              <w:rPr>
                <w:rFonts w:cstheme="minorHAnsi"/>
                <w:sz w:val="18"/>
                <w:szCs w:val="18"/>
              </w:rPr>
            </w:pPr>
            <w:r w:rsidRPr="00EC5CFC">
              <w:rPr>
                <w:rFonts w:ascii="Calibri" w:eastAsia="Times New Roman" w:hAnsi="Calibri" w:cs="Segoe UI"/>
                <w:color w:val="000000"/>
                <w:sz w:val="18"/>
                <w:szCs w:val="18"/>
                <w:lang w:eastAsia="pt-BR"/>
              </w:rPr>
              <w:t>9.804,98</w:t>
            </w:r>
          </w:p>
        </w:tc>
        <w:tc>
          <w:tcPr>
            <w:tcW w:w="12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D1147E" w14:textId="77777777" w:rsidR="0006476A" w:rsidRPr="00EC5CFC" w:rsidRDefault="0006476A" w:rsidP="00181774">
            <w:pPr>
              <w:jc w:val="right"/>
              <w:rPr>
                <w:rFonts w:cstheme="minorHAnsi"/>
                <w:sz w:val="18"/>
                <w:szCs w:val="18"/>
              </w:rPr>
            </w:pPr>
            <w:r w:rsidRPr="00EC5CFC">
              <w:rPr>
                <w:rFonts w:ascii="Calibri" w:eastAsia="Times New Roman" w:hAnsi="Calibri" w:cs="Segoe UI"/>
                <w:color w:val="000000"/>
                <w:sz w:val="18"/>
                <w:szCs w:val="18"/>
                <w:lang w:eastAsia="pt-BR"/>
              </w:rPr>
              <w:t>8.413,24</w:t>
            </w:r>
          </w:p>
        </w:tc>
      </w:tr>
    </w:tbl>
    <w:p w14:paraId="334BF360" w14:textId="77777777" w:rsidR="00834A28" w:rsidRPr="00190742" w:rsidRDefault="00834A28" w:rsidP="00C46AE0">
      <w:pPr>
        <w:spacing w:after="0"/>
        <w:ind w:left="1560" w:right="1559"/>
        <w:jc w:val="both"/>
        <w:rPr>
          <w:rFonts w:ascii="Calibri" w:eastAsia="Calibri" w:hAnsi="Calibri" w:cs="Calibri"/>
          <w:color w:val="000000" w:themeColor="text1"/>
          <w:sz w:val="16"/>
          <w:szCs w:val="16"/>
        </w:rPr>
      </w:pPr>
      <w:proofErr w:type="gramStart"/>
      <w:r w:rsidRPr="00190742">
        <w:rPr>
          <w:rFonts w:ascii="Calibri" w:eastAsia="Calibri" w:hAnsi="Calibri" w:cs="Calibri"/>
          <w:color w:val="000000" w:themeColor="text1"/>
          <w:sz w:val="16"/>
          <w:szCs w:val="16"/>
          <w:vertAlign w:val="superscript"/>
        </w:rPr>
        <w:t>1</w:t>
      </w:r>
      <w:r w:rsidRPr="00190742">
        <w:rPr>
          <w:rFonts w:ascii="Calibri" w:eastAsia="Calibri" w:hAnsi="Calibri" w:cs="Calibri"/>
          <w:color w:val="000000" w:themeColor="text1"/>
          <w:sz w:val="16"/>
          <w:szCs w:val="16"/>
        </w:rPr>
        <w:t>As</w:t>
      </w:r>
      <w:proofErr w:type="gramEnd"/>
      <w:r w:rsidRPr="00190742">
        <w:rPr>
          <w:rFonts w:ascii="Calibri" w:eastAsia="Calibri" w:hAnsi="Calibri" w:cs="Calibri"/>
          <w:color w:val="000000" w:themeColor="text1"/>
          <w:sz w:val="16"/>
          <w:szCs w:val="16"/>
        </w:rPr>
        <w:t xml:space="preserve"> naturezas “Liminares Vigentes” e “Adesão dos entes ao RRF” são mutuamente excludentes, ou seja, somente um desses eventos ocorrerá. </w:t>
      </w:r>
    </w:p>
    <w:p w14:paraId="03C47628" w14:textId="77777777" w:rsidR="00834A28" w:rsidRPr="00190742" w:rsidRDefault="00834A28" w:rsidP="00C46AE0">
      <w:pPr>
        <w:spacing w:after="0"/>
        <w:ind w:left="1560" w:right="1559"/>
        <w:jc w:val="both"/>
        <w:rPr>
          <w:rFonts w:ascii="Calibri" w:eastAsia="Calibri" w:hAnsi="Calibri" w:cs="Calibri"/>
          <w:color w:val="000000" w:themeColor="text1"/>
          <w:sz w:val="16"/>
          <w:szCs w:val="16"/>
        </w:rPr>
      </w:pPr>
      <w:proofErr w:type="gramStart"/>
      <w:r w:rsidRPr="00190742">
        <w:rPr>
          <w:rFonts w:ascii="Calibri" w:eastAsia="Calibri" w:hAnsi="Calibri" w:cs="Calibri"/>
          <w:color w:val="000000" w:themeColor="text1"/>
          <w:sz w:val="16"/>
          <w:szCs w:val="16"/>
          <w:vertAlign w:val="superscript"/>
        </w:rPr>
        <w:t>2</w:t>
      </w:r>
      <w:proofErr w:type="gramEnd"/>
      <w:r w:rsidRPr="00190742">
        <w:rPr>
          <w:rFonts w:ascii="Calibri" w:eastAsia="Calibri" w:hAnsi="Calibri" w:cs="Calibri"/>
          <w:color w:val="000000" w:themeColor="text1"/>
          <w:sz w:val="16"/>
          <w:szCs w:val="16"/>
          <w:vertAlign w:val="superscript"/>
        </w:rPr>
        <w:t xml:space="preserve"> </w:t>
      </w:r>
      <w:r w:rsidRPr="00190742">
        <w:rPr>
          <w:rFonts w:ascii="Calibri" w:eastAsia="Calibri" w:hAnsi="Calibri" w:cs="Calibri"/>
          <w:color w:val="000000" w:themeColor="text1"/>
          <w:sz w:val="16"/>
          <w:szCs w:val="16"/>
        </w:rPr>
        <w:t xml:space="preserve">Impacto liminares vigentes de valores significativos: considerou-se que RS, MG e GO continuarão amparados por liminar que impede a execução de garantias por tempo indeterminado. </w:t>
      </w:r>
    </w:p>
    <w:p w14:paraId="22F58C90" w14:textId="77777777" w:rsidR="008D140D" w:rsidRDefault="00834A28" w:rsidP="00C46AE0">
      <w:pPr>
        <w:spacing w:after="0"/>
        <w:ind w:left="1560" w:right="1559"/>
        <w:jc w:val="both"/>
        <w:rPr>
          <w:rFonts w:ascii="Calibri" w:eastAsia="Calibri" w:hAnsi="Calibri" w:cs="Calibri"/>
          <w:color w:val="000000" w:themeColor="text1"/>
          <w:sz w:val="18"/>
          <w:szCs w:val="18"/>
        </w:rPr>
      </w:pPr>
      <w:proofErr w:type="gramStart"/>
      <w:r w:rsidRPr="00190742">
        <w:rPr>
          <w:rFonts w:ascii="Calibri" w:eastAsia="Calibri" w:hAnsi="Calibri" w:cs="Calibri"/>
          <w:color w:val="000000" w:themeColor="text1"/>
          <w:sz w:val="16"/>
          <w:szCs w:val="16"/>
          <w:vertAlign w:val="superscript"/>
        </w:rPr>
        <w:t>3</w:t>
      </w:r>
      <w:proofErr w:type="gramEnd"/>
      <w:r w:rsidRPr="00190742">
        <w:rPr>
          <w:rFonts w:ascii="Calibri" w:eastAsia="Calibri" w:hAnsi="Calibri" w:cs="Calibri"/>
          <w:color w:val="000000" w:themeColor="text1"/>
          <w:sz w:val="16"/>
          <w:szCs w:val="16"/>
          <w:vertAlign w:val="superscript"/>
        </w:rPr>
        <w:t xml:space="preserve"> </w:t>
      </w:r>
      <w:r w:rsidRPr="00190742">
        <w:rPr>
          <w:rFonts w:ascii="Calibri" w:eastAsia="Calibri" w:hAnsi="Calibri" w:cs="Calibri"/>
          <w:color w:val="000000" w:themeColor="text1"/>
          <w:sz w:val="16"/>
          <w:szCs w:val="16"/>
        </w:rPr>
        <w:t>Impacto da adesão dos entes ao RRF: considerou-se a adesão, por parte dos estados de RS, MG e GO, no RRF, considerando a data de 1/1/2021. As comparações foram efetuadas em relação ao cenário em que os Estados de GO, RS e MG pagariam normalmente suas dívidas, conforme fluxo esperado</w:t>
      </w:r>
      <w:r w:rsidRPr="00834A28">
        <w:rPr>
          <w:rFonts w:ascii="Calibri" w:eastAsia="Calibri" w:hAnsi="Calibri" w:cs="Calibri"/>
          <w:color w:val="000000" w:themeColor="text1"/>
          <w:sz w:val="18"/>
          <w:szCs w:val="18"/>
        </w:rPr>
        <w:t>.</w:t>
      </w:r>
    </w:p>
    <w:p w14:paraId="411E3459" w14:textId="77777777" w:rsidR="00705CA9" w:rsidRDefault="00827F68" w:rsidP="00DF5E84">
      <w:pPr>
        <w:spacing w:after="0"/>
        <w:ind w:left="1560" w:right="1559"/>
        <w:jc w:val="both"/>
        <w:rPr>
          <w:rFonts w:ascii="Calibri" w:eastAsia="Calibri" w:hAnsi="Calibri" w:cs="Calibri"/>
          <w:color w:val="000000" w:themeColor="text1"/>
          <w:sz w:val="16"/>
          <w:szCs w:val="16"/>
        </w:rPr>
      </w:pPr>
      <w:r w:rsidRPr="00C46AE0">
        <w:rPr>
          <w:rFonts w:ascii="Calibri" w:eastAsia="Calibri" w:hAnsi="Calibri" w:cs="Calibri"/>
          <w:b/>
          <w:bCs/>
          <w:color w:val="000000" w:themeColor="text1"/>
          <w:sz w:val="16"/>
          <w:szCs w:val="16"/>
        </w:rPr>
        <w:t>Fonte e elaboração:</w:t>
      </w:r>
      <w:r w:rsidRPr="00C46AE0">
        <w:rPr>
          <w:rFonts w:ascii="Calibri" w:eastAsia="Calibri" w:hAnsi="Calibri" w:cs="Calibri"/>
          <w:color w:val="000000" w:themeColor="text1"/>
          <w:sz w:val="16"/>
          <w:szCs w:val="16"/>
        </w:rPr>
        <w:t xml:space="preserve"> STN/ME</w:t>
      </w:r>
    </w:p>
    <w:p w14:paraId="344F2C9A" w14:textId="102B6F0D" w:rsidR="00B51F04" w:rsidRDefault="00B51F04" w:rsidP="00DF5E84">
      <w:pPr>
        <w:spacing w:after="0"/>
        <w:ind w:left="1560" w:right="1559"/>
        <w:jc w:val="both"/>
        <w:rPr>
          <w:rFonts w:ascii="Calibri" w:eastAsia="Calibri" w:hAnsi="Calibri" w:cs="Calibri"/>
          <w:color w:val="000000" w:themeColor="text1"/>
          <w:sz w:val="16"/>
          <w:szCs w:val="16"/>
        </w:rPr>
      </w:pPr>
    </w:p>
    <w:p w14:paraId="6D4FF3CD" w14:textId="77777777" w:rsidR="00B51F04" w:rsidRDefault="00B51F04" w:rsidP="00DF5E84">
      <w:pPr>
        <w:spacing w:after="0"/>
        <w:ind w:left="1560" w:right="1559"/>
        <w:jc w:val="both"/>
        <w:rPr>
          <w:rFonts w:ascii="Calibri" w:eastAsia="Calibri" w:hAnsi="Calibri" w:cs="Calibri"/>
          <w:color w:val="000000" w:themeColor="text1"/>
          <w:sz w:val="16"/>
          <w:szCs w:val="16"/>
        </w:rPr>
      </w:pPr>
    </w:p>
    <w:p w14:paraId="3ECB1179" w14:textId="77777777" w:rsidR="00DF5E84" w:rsidRPr="00DF5E84" w:rsidRDefault="00DF5E84" w:rsidP="00DF5E84">
      <w:pPr>
        <w:spacing w:after="0"/>
        <w:ind w:left="1560" w:right="1559"/>
        <w:jc w:val="both"/>
        <w:rPr>
          <w:rFonts w:ascii="Calibri" w:eastAsia="Calibri" w:hAnsi="Calibri" w:cs="Calibri"/>
          <w:color w:val="000000" w:themeColor="text1"/>
          <w:sz w:val="16"/>
          <w:szCs w:val="16"/>
        </w:rPr>
      </w:pPr>
    </w:p>
    <w:p w14:paraId="0F6A3251" w14:textId="3A969FD8" w:rsidR="00705CA9" w:rsidRDefault="00A64013" w:rsidP="00A64013">
      <w:pPr>
        <w:pStyle w:val="TabelaARF"/>
        <w:jc w:val="center"/>
        <w:rPr>
          <w:color w:val="000000" w:themeColor="text1"/>
        </w:rPr>
      </w:pPr>
      <w:bookmarkStart w:id="352" w:name="_Ref67925865"/>
      <w:bookmarkStart w:id="353" w:name="_Toc69121391"/>
      <w:r w:rsidRPr="00A64013">
        <w:rPr>
          <w:color w:val="000000" w:themeColor="text1"/>
        </w:rPr>
        <w:lastRenderedPageBreak/>
        <w:t xml:space="preserve">Tabela </w:t>
      </w:r>
      <w:r w:rsidRPr="00A64013">
        <w:rPr>
          <w:color w:val="000000" w:themeColor="text1"/>
        </w:rPr>
        <w:fldChar w:fldCharType="begin"/>
      </w:r>
      <w:r w:rsidRPr="00A64013">
        <w:rPr>
          <w:color w:val="000000" w:themeColor="text1"/>
        </w:rPr>
        <w:instrText xml:space="preserve"> SEQ Tabela \* ARABIC </w:instrText>
      </w:r>
      <w:r w:rsidRPr="00A64013">
        <w:rPr>
          <w:color w:val="000000" w:themeColor="text1"/>
        </w:rPr>
        <w:fldChar w:fldCharType="separate"/>
      </w:r>
      <w:r w:rsidR="00304F5F">
        <w:rPr>
          <w:noProof/>
          <w:color w:val="000000" w:themeColor="text1"/>
        </w:rPr>
        <w:t>45</w:t>
      </w:r>
      <w:r w:rsidRPr="00A64013">
        <w:rPr>
          <w:color w:val="000000" w:themeColor="text1"/>
        </w:rPr>
        <w:fldChar w:fldCharType="end"/>
      </w:r>
      <w:bookmarkEnd w:id="352"/>
      <w:r w:rsidRPr="00A64013">
        <w:rPr>
          <w:color w:val="000000" w:themeColor="text1"/>
        </w:rPr>
        <w:t xml:space="preserve"> - Impacto estimado e realizado, segundo a natureza do risco, para o ano de 2020</w:t>
      </w:r>
      <w:bookmarkEnd w:id="353"/>
    </w:p>
    <w:p w14:paraId="7818FB5B" w14:textId="65E4F5F9" w:rsidR="00510FC3" w:rsidRDefault="009D261B" w:rsidP="009D261B">
      <w:pPr>
        <w:pStyle w:val="TabelaARF"/>
        <w:rPr>
          <w:color w:val="000000" w:themeColor="text1"/>
        </w:rPr>
      </w:pPr>
      <w:r>
        <w:rPr>
          <w:rFonts w:ascii="Calibri" w:hAnsi="Calibri"/>
          <w:color w:val="000000" w:themeColor="text1"/>
          <w:sz w:val="18"/>
          <w:szCs w:val="18"/>
        </w:rPr>
        <w:t xml:space="preserve"> </w:t>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r>
      <w:r>
        <w:rPr>
          <w:rFonts w:ascii="Calibri" w:hAnsi="Calibri"/>
          <w:color w:val="000000" w:themeColor="text1"/>
          <w:sz w:val="18"/>
          <w:szCs w:val="18"/>
        </w:rPr>
        <w:tab/>
        <w:t xml:space="preserve">           </w:t>
      </w:r>
      <w:r w:rsidRPr="0006476A">
        <w:rPr>
          <w:rFonts w:ascii="Calibri" w:hAnsi="Calibri"/>
          <w:color w:val="000000" w:themeColor="text1"/>
          <w:sz w:val="18"/>
          <w:szCs w:val="18"/>
        </w:rPr>
        <w:t>Em R$ milhões</w:t>
      </w:r>
    </w:p>
    <w:tbl>
      <w:tblPr>
        <w:tblStyle w:val="Tabelacomgrade"/>
        <w:tblW w:w="0" w:type="auto"/>
        <w:jc w:val="center"/>
        <w:tblLook w:val="04A0" w:firstRow="1" w:lastRow="0" w:firstColumn="1" w:lastColumn="0" w:noHBand="0" w:noVBand="1"/>
      </w:tblPr>
      <w:tblGrid>
        <w:gridCol w:w="1843"/>
        <w:gridCol w:w="345"/>
        <w:gridCol w:w="5183"/>
      </w:tblGrid>
      <w:tr w:rsidR="008F1A2B" w:rsidRPr="00BE3FFB" w14:paraId="324F9394" w14:textId="77777777" w:rsidTr="00CB18D4">
        <w:trPr>
          <w:tblHeader/>
          <w:jc w:val="center"/>
        </w:trPr>
        <w:tc>
          <w:tcPr>
            <w:tcW w:w="184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716FB928" w14:textId="77777777" w:rsidR="008F1A2B" w:rsidRDefault="008F1A2B" w:rsidP="00181774">
            <w:pPr>
              <w:rPr>
                <w:rFonts w:cstheme="minorHAnsi"/>
                <w:sz w:val="24"/>
                <w:szCs w:val="24"/>
              </w:rPr>
            </w:pPr>
            <w:r w:rsidRPr="00DF0A5A">
              <w:rPr>
                <w:rFonts w:ascii="Calibri" w:eastAsia="Times New Roman" w:hAnsi="Calibri" w:cs="Segoe UI"/>
                <w:b/>
                <w:bCs/>
                <w:color w:val="FFFFFF"/>
                <w:sz w:val="20"/>
                <w:szCs w:val="20"/>
                <w:lang w:eastAsia="pt-BR"/>
              </w:rPr>
              <w:t>Natureza do Risco</w:t>
            </w:r>
            <w:r w:rsidRPr="00EE443E">
              <w:rPr>
                <w:rFonts w:ascii="Calibri" w:eastAsia="Times New Roman" w:hAnsi="Calibri" w:cs="Segoe UI"/>
                <w:b/>
                <w:bCs/>
                <w:color w:val="FFFFFF"/>
                <w:sz w:val="20"/>
                <w:szCs w:val="20"/>
                <w:vertAlign w:val="superscript"/>
                <w:lang w:eastAsia="pt-BR"/>
              </w:rPr>
              <w:t>1</w:t>
            </w:r>
          </w:p>
        </w:tc>
        <w:tc>
          <w:tcPr>
            <w:tcW w:w="55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661F3155" w14:textId="77777777" w:rsidR="008F1A2B" w:rsidRDefault="008F1A2B" w:rsidP="00181774">
            <w:pPr>
              <w:jc w:val="center"/>
              <w:rPr>
                <w:rFonts w:cstheme="minorHAnsi"/>
                <w:b/>
                <w:bCs/>
                <w:color w:val="FFFFFF" w:themeColor="background1"/>
                <w:sz w:val="20"/>
                <w:szCs w:val="20"/>
              </w:rPr>
            </w:pPr>
            <w:r w:rsidRPr="00DF0A5A">
              <w:rPr>
                <w:rFonts w:cstheme="minorHAnsi"/>
                <w:b/>
                <w:bCs/>
                <w:color w:val="FFFFFF" w:themeColor="background1"/>
                <w:sz w:val="20"/>
                <w:szCs w:val="20"/>
              </w:rPr>
              <w:t>Impacto</w:t>
            </w:r>
          </w:p>
          <w:p w14:paraId="55B4892E" w14:textId="77777777" w:rsidR="008F1A2B" w:rsidRPr="002517DB" w:rsidRDefault="008F1A2B" w:rsidP="00181774">
            <w:pPr>
              <w:jc w:val="center"/>
              <w:rPr>
                <w:rFonts w:cstheme="minorHAnsi"/>
                <w:color w:val="FFFFFF" w:themeColor="background1"/>
                <w:sz w:val="20"/>
                <w:szCs w:val="20"/>
              </w:rPr>
            </w:pPr>
            <w:r w:rsidRPr="002517DB">
              <w:rPr>
                <w:rFonts w:cstheme="minorHAnsi"/>
                <w:color w:val="FFFFFF" w:themeColor="background1"/>
                <w:sz w:val="20"/>
                <w:szCs w:val="20"/>
              </w:rPr>
              <w:t>Valor Estimado (</w:t>
            </w:r>
            <w:r>
              <w:rPr>
                <w:rFonts w:cstheme="minorHAnsi"/>
                <w:color w:val="FFFFFF" w:themeColor="background1"/>
                <w:sz w:val="20"/>
                <w:szCs w:val="20"/>
              </w:rPr>
              <w:t>E</w:t>
            </w:r>
            <w:r w:rsidRPr="002517DB">
              <w:rPr>
                <w:rFonts w:cstheme="minorHAnsi"/>
                <w:color w:val="FFFFFF" w:themeColor="background1"/>
                <w:sz w:val="20"/>
                <w:szCs w:val="20"/>
              </w:rPr>
              <w:t>)</w:t>
            </w:r>
          </w:p>
          <w:p w14:paraId="09FF9ADB" w14:textId="77777777" w:rsidR="008F1A2B" w:rsidRPr="002517DB" w:rsidRDefault="008F1A2B" w:rsidP="00181774">
            <w:pPr>
              <w:jc w:val="center"/>
              <w:rPr>
                <w:rFonts w:cstheme="minorHAnsi"/>
                <w:color w:val="FFFFFF" w:themeColor="background1"/>
                <w:sz w:val="20"/>
                <w:szCs w:val="20"/>
              </w:rPr>
            </w:pPr>
            <w:r w:rsidRPr="002517DB">
              <w:rPr>
                <w:rFonts w:cstheme="minorHAnsi"/>
                <w:color w:val="FFFFFF" w:themeColor="background1"/>
                <w:sz w:val="20"/>
                <w:szCs w:val="20"/>
              </w:rPr>
              <w:t>Valor Realizado (</w:t>
            </w:r>
            <w:r>
              <w:rPr>
                <w:rFonts w:cstheme="minorHAnsi"/>
                <w:color w:val="FFFFFF" w:themeColor="background1"/>
                <w:sz w:val="20"/>
                <w:szCs w:val="20"/>
              </w:rPr>
              <w:t>R</w:t>
            </w:r>
            <w:r w:rsidRPr="002517DB">
              <w:rPr>
                <w:rFonts w:cstheme="minorHAnsi"/>
                <w:color w:val="FFFFFF" w:themeColor="background1"/>
                <w:sz w:val="20"/>
                <w:szCs w:val="20"/>
              </w:rPr>
              <w:t>)</w:t>
            </w:r>
          </w:p>
          <w:p w14:paraId="2DE481AD" w14:textId="77777777" w:rsidR="008F1A2B" w:rsidRPr="00BE3FFB" w:rsidRDefault="008F1A2B" w:rsidP="00181774">
            <w:pPr>
              <w:jc w:val="center"/>
              <w:rPr>
                <w:rFonts w:cstheme="minorHAnsi"/>
                <w:b/>
                <w:bCs/>
                <w:color w:val="FFFFFF" w:themeColor="background1"/>
                <w:sz w:val="20"/>
                <w:szCs w:val="20"/>
              </w:rPr>
            </w:pPr>
            <w:r w:rsidRPr="002517DB">
              <w:rPr>
                <w:rFonts w:cstheme="minorHAnsi"/>
                <w:color w:val="FFFFFF" w:themeColor="background1"/>
                <w:sz w:val="20"/>
                <w:szCs w:val="20"/>
              </w:rPr>
              <w:t>Variação (%)</w:t>
            </w:r>
          </w:p>
        </w:tc>
      </w:tr>
      <w:tr w:rsidR="008F1A2B" w:rsidRPr="00BE3FFB" w14:paraId="7B1FE10C" w14:textId="77777777" w:rsidTr="00CB18D4">
        <w:trPr>
          <w:tblHeader/>
          <w:jc w:val="center"/>
        </w:trPr>
        <w:tc>
          <w:tcPr>
            <w:tcW w:w="184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31DD646A" w14:textId="77777777" w:rsidR="008F1A2B" w:rsidRDefault="008F1A2B" w:rsidP="00181774">
            <w:pPr>
              <w:rPr>
                <w:rFonts w:cstheme="minorHAnsi"/>
                <w:sz w:val="24"/>
                <w:szCs w:val="24"/>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15621392" w14:textId="77777777" w:rsidR="008F1A2B" w:rsidRPr="00BE3FFB" w:rsidRDefault="008F1A2B" w:rsidP="00181774">
            <w:pPr>
              <w:jc w:val="center"/>
              <w:rPr>
                <w:rFonts w:cstheme="minorHAnsi"/>
                <w:b/>
                <w:bCs/>
                <w:color w:val="FFFFFF" w:themeColor="background1"/>
                <w:sz w:val="20"/>
                <w:szCs w:val="20"/>
              </w:rPr>
            </w:pPr>
          </w:p>
        </w:tc>
        <w:tc>
          <w:tcPr>
            <w:tcW w:w="51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E959271" w14:textId="77777777" w:rsidR="008F1A2B" w:rsidRPr="00BE3FFB" w:rsidRDefault="008F1A2B" w:rsidP="00181774">
            <w:pPr>
              <w:jc w:val="center"/>
              <w:rPr>
                <w:rFonts w:cstheme="minorHAnsi"/>
                <w:b/>
                <w:bCs/>
                <w:color w:val="FFFFFF" w:themeColor="background1"/>
                <w:sz w:val="20"/>
                <w:szCs w:val="20"/>
              </w:rPr>
            </w:pPr>
            <w:r w:rsidRPr="00BE3FFB">
              <w:rPr>
                <w:rFonts w:cstheme="minorHAnsi"/>
                <w:b/>
                <w:bCs/>
                <w:color w:val="FFFFFF" w:themeColor="background1"/>
                <w:sz w:val="20"/>
                <w:szCs w:val="20"/>
              </w:rPr>
              <w:t>2020</w:t>
            </w:r>
          </w:p>
        </w:tc>
      </w:tr>
      <w:tr w:rsidR="008F1A2B" w:rsidRPr="00BE3FFB" w14:paraId="4E87B22E" w14:textId="77777777" w:rsidTr="00181774">
        <w:trPr>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98E10" w14:textId="77777777" w:rsidR="008F1A2B" w:rsidRDefault="008F1A2B" w:rsidP="00181774">
            <w:pPr>
              <w:textAlignment w:val="baseline"/>
              <w:rPr>
                <w:rFonts w:ascii="Calibri" w:eastAsia="Times New Roman" w:hAnsi="Calibri" w:cs="Segoe UI"/>
                <w:color w:val="000000"/>
                <w:sz w:val="18"/>
                <w:szCs w:val="18"/>
                <w:lang w:eastAsia="pt-BR"/>
              </w:rPr>
            </w:pPr>
            <w:r w:rsidRPr="00532EE3">
              <w:rPr>
                <w:rFonts w:ascii="Calibri" w:eastAsia="Times New Roman" w:hAnsi="Calibri" w:cs="Segoe UI"/>
                <w:color w:val="000000"/>
                <w:sz w:val="18"/>
                <w:szCs w:val="18"/>
                <w:lang w:eastAsia="pt-BR"/>
              </w:rPr>
              <w:t xml:space="preserve">Liminares Vigentes </w:t>
            </w:r>
            <w:proofErr w:type="gramStart"/>
            <w:r w:rsidRPr="00F23C27">
              <w:rPr>
                <w:rFonts w:ascii="Calibri" w:eastAsia="Times New Roman" w:hAnsi="Calibri" w:cs="Segoe UI"/>
                <w:color w:val="000000"/>
                <w:sz w:val="18"/>
                <w:szCs w:val="18"/>
                <w:vertAlign w:val="superscript"/>
                <w:lang w:eastAsia="pt-BR"/>
              </w:rPr>
              <w:t>2</w:t>
            </w:r>
            <w:proofErr w:type="gramEnd"/>
          </w:p>
          <w:p w14:paraId="369BA34D" w14:textId="77777777" w:rsidR="008F1A2B" w:rsidRDefault="008F1A2B" w:rsidP="00181774">
            <w:pPr>
              <w:rPr>
                <w:rFonts w:ascii="Calibri" w:eastAsia="Times New Roman" w:hAnsi="Calibri" w:cs="Segoe UI"/>
                <w:color w:val="000000"/>
                <w:sz w:val="18"/>
                <w:szCs w:val="18"/>
                <w:lang w:eastAsia="pt-BR"/>
              </w:rPr>
            </w:pPr>
            <w:proofErr w:type="gramStart"/>
            <w:r>
              <w:rPr>
                <w:rFonts w:ascii="Calibri" w:eastAsia="Times New Roman" w:hAnsi="Calibri" w:cs="Segoe UI"/>
                <w:color w:val="000000"/>
                <w:sz w:val="18"/>
                <w:szCs w:val="18"/>
                <w:lang w:eastAsia="pt-BR"/>
              </w:rPr>
              <w:t>ou</w:t>
            </w:r>
            <w:proofErr w:type="gramEnd"/>
          </w:p>
          <w:p w14:paraId="0BD49040" w14:textId="77777777" w:rsidR="008F1A2B" w:rsidRDefault="008F1A2B" w:rsidP="00181774">
            <w:pPr>
              <w:rPr>
                <w:rFonts w:cstheme="minorHAnsi"/>
                <w:sz w:val="24"/>
                <w:szCs w:val="24"/>
              </w:rPr>
            </w:pPr>
            <w:r w:rsidRPr="00532EE3">
              <w:rPr>
                <w:rFonts w:ascii="Calibri" w:eastAsia="Times New Roman" w:hAnsi="Calibri" w:cs="Segoe UI"/>
                <w:color w:val="000000"/>
                <w:sz w:val="18"/>
                <w:szCs w:val="18"/>
                <w:lang w:eastAsia="pt-BR"/>
              </w:rPr>
              <w:t xml:space="preserve">Adesão dos entes ao RRF </w:t>
            </w:r>
            <w:proofErr w:type="gramStart"/>
            <w:r w:rsidRPr="00F23C27">
              <w:rPr>
                <w:rFonts w:ascii="Calibri" w:eastAsia="Times New Roman" w:hAnsi="Calibri" w:cs="Segoe UI"/>
                <w:color w:val="000000"/>
                <w:sz w:val="18"/>
                <w:szCs w:val="18"/>
                <w:vertAlign w:val="superscript"/>
                <w:lang w:eastAsia="pt-BR"/>
              </w:rPr>
              <w:t>3</w:t>
            </w:r>
            <w:proofErr w:type="gram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AEA177" w14:textId="77777777" w:rsidR="008F1A2B" w:rsidRDefault="008F1A2B" w:rsidP="00181774">
            <w:pPr>
              <w:jc w:val="center"/>
              <w:rPr>
                <w:rFonts w:cstheme="minorHAnsi"/>
                <w:sz w:val="18"/>
                <w:szCs w:val="18"/>
              </w:rPr>
            </w:pPr>
            <w:r>
              <w:rPr>
                <w:rFonts w:cstheme="minorHAnsi"/>
                <w:sz w:val="18"/>
                <w:szCs w:val="18"/>
              </w:rPr>
              <w:t>E</w:t>
            </w:r>
          </w:p>
          <w:p w14:paraId="6A75579A" w14:textId="77777777" w:rsidR="008F1A2B" w:rsidRDefault="008F1A2B" w:rsidP="00181774">
            <w:pPr>
              <w:jc w:val="center"/>
              <w:rPr>
                <w:rFonts w:cstheme="minorHAnsi"/>
                <w:sz w:val="18"/>
                <w:szCs w:val="18"/>
              </w:rPr>
            </w:pPr>
            <w:r>
              <w:rPr>
                <w:rFonts w:cstheme="minorHAnsi"/>
                <w:sz w:val="18"/>
                <w:szCs w:val="18"/>
              </w:rPr>
              <w:t>R</w:t>
            </w:r>
          </w:p>
          <w:p w14:paraId="32AE9513" w14:textId="77777777" w:rsidR="008F1A2B" w:rsidRPr="00BE3FFB" w:rsidRDefault="008F1A2B" w:rsidP="00181774">
            <w:pPr>
              <w:jc w:val="center"/>
              <w:rPr>
                <w:rFonts w:cstheme="minorHAnsi"/>
                <w:sz w:val="18"/>
                <w:szCs w:val="18"/>
              </w:rPr>
            </w:pPr>
            <w:r>
              <w:rPr>
                <w:rFonts w:cstheme="minorHAnsi"/>
                <w:sz w:val="18"/>
                <w:szCs w:val="18"/>
              </w:rPr>
              <w:t>%</w:t>
            </w:r>
          </w:p>
        </w:tc>
        <w:tc>
          <w:tcPr>
            <w:tcW w:w="51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99C37B" w14:textId="77777777" w:rsidR="008F1A2B" w:rsidRPr="00BE3FFB" w:rsidRDefault="008F1A2B" w:rsidP="00181774">
            <w:pPr>
              <w:jc w:val="center"/>
              <w:rPr>
                <w:rFonts w:cstheme="minorHAnsi"/>
                <w:sz w:val="18"/>
                <w:szCs w:val="18"/>
              </w:rPr>
            </w:pPr>
            <w:r w:rsidRPr="00BE3FFB">
              <w:rPr>
                <w:rFonts w:cstheme="minorHAnsi"/>
                <w:sz w:val="18"/>
                <w:szCs w:val="18"/>
              </w:rPr>
              <w:t>9.247,70</w:t>
            </w:r>
          </w:p>
          <w:p w14:paraId="1BED2DC3" w14:textId="77777777" w:rsidR="008F1A2B" w:rsidRPr="00BE3FFB" w:rsidRDefault="008F1A2B" w:rsidP="00181774">
            <w:pPr>
              <w:jc w:val="center"/>
              <w:rPr>
                <w:rFonts w:cstheme="minorHAnsi"/>
                <w:sz w:val="18"/>
                <w:szCs w:val="18"/>
              </w:rPr>
            </w:pPr>
            <w:r w:rsidRPr="00BE3FFB">
              <w:rPr>
                <w:rFonts w:cstheme="minorHAnsi"/>
                <w:sz w:val="18"/>
                <w:szCs w:val="18"/>
              </w:rPr>
              <w:t>12.363,02 </w:t>
            </w:r>
          </w:p>
          <w:p w14:paraId="750150DA" w14:textId="77777777" w:rsidR="008F1A2B" w:rsidRPr="00BE3FFB" w:rsidRDefault="008F1A2B" w:rsidP="00181774">
            <w:pPr>
              <w:jc w:val="center"/>
              <w:rPr>
                <w:rFonts w:cstheme="minorHAnsi"/>
                <w:sz w:val="18"/>
                <w:szCs w:val="18"/>
              </w:rPr>
            </w:pPr>
            <w:r w:rsidRPr="00BE3FFB">
              <w:rPr>
                <w:rFonts w:cstheme="minorHAnsi"/>
                <w:sz w:val="18"/>
                <w:szCs w:val="18"/>
              </w:rPr>
              <w:t>34,0</w:t>
            </w:r>
          </w:p>
        </w:tc>
      </w:tr>
    </w:tbl>
    <w:p w14:paraId="46CB79A2" w14:textId="77777777" w:rsidR="00C46AE0" w:rsidRPr="00190742" w:rsidRDefault="00C46AE0" w:rsidP="00C46AE0">
      <w:pPr>
        <w:spacing w:after="0"/>
        <w:ind w:left="1418" w:right="1418"/>
        <w:jc w:val="both"/>
        <w:rPr>
          <w:rFonts w:ascii="Calibri" w:eastAsia="Calibri" w:hAnsi="Calibri" w:cs="Calibri"/>
          <w:color w:val="000000" w:themeColor="text1"/>
          <w:sz w:val="16"/>
          <w:szCs w:val="16"/>
        </w:rPr>
      </w:pPr>
      <w:proofErr w:type="gramStart"/>
      <w:r w:rsidRPr="00190742">
        <w:rPr>
          <w:rFonts w:ascii="Calibri" w:eastAsia="Calibri" w:hAnsi="Calibri" w:cs="Calibri"/>
          <w:color w:val="000000" w:themeColor="text1"/>
          <w:sz w:val="16"/>
          <w:szCs w:val="16"/>
          <w:vertAlign w:val="superscript"/>
        </w:rPr>
        <w:t>1</w:t>
      </w:r>
      <w:r w:rsidRPr="00190742">
        <w:rPr>
          <w:rFonts w:ascii="Calibri" w:eastAsia="Calibri" w:hAnsi="Calibri" w:cs="Calibri"/>
          <w:color w:val="000000" w:themeColor="text1"/>
          <w:sz w:val="16"/>
          <w:szCs w:val="16"/>
        </w:rPr>
        <w:t>As</w:t>
      </w:r>
      <w:proofErr w:type="gramEnd"/>
      <w:r w:rsidRPr="00190742">
        <w:rPr>
          <w:rFonts w:ascii="Calibri" w:eastAsia="Calibri" w:hAnsi="Calibri" w:cs="Calibri"/>
          <w:color w:val="000000" w:themeColor="text1"/>
          <w:sz w:val="16"/>
          <w:szCs w:val="16"/>
        </w:rPr>
        <w:t xml:space="preserve"> naturezas “Liminares Vigentes” e “Adesão dos entes ao RRF” são mutuamente excludentes, ou seja, somente um desses eventos ocorrerá. </w:t>
      </w:r>
    </w:p>
    <w:p w14:paraId="07061D69" w14:textId="77777777" w:rsidR="00C46AE0" w:rsidRPr="00190742" w:rsidRDefault="00C46AE0" w:rsidP="00C46AE0">
      <w:pPr>
        <w:spacing w:after="0"/>
        <w:ind w:left="1418" w:right="1418"/>
        <w:jc w:val="both"/>
        <w:rPr>
          <w:rFonts w:ascii="Calibri" w:eastAsia="Calibri" w:hAnsi="Calibri" w:cs="Calibri"/>
          <w:color w:val="000000" w:themeColor="text1"/>
          <w:sz w:val="16"/>
          <w:szCs w:val="16"/>
        </w:rPr>
      </w:pPr>
      <w:proofErr w:type="gramStart"/>
      <w:r w:rsidRPr="00190742">
        <w:rPr>
          <w:rFonts w:ascii="Calibri" w:eastAsia="Calibri" w:hAnsi="Calibri" w:cs="Calibri"/>
          <w:color w:val="000000" w:themeColor="text1"/>
          <w:sz w:val="16"/>
          <w:szCs w:val="16"/>
          <w:vertAlign w:val="superscript"/>
        </w:rPr>
        <w:t>2</w:t>
      </w:r>
      <w:proofErr w:type="gramEnd"/>
      <w:r w:rsidRPr="00190742">
        <w:rPr>
          <w:rFonts w:ascii="Calibri" w:eastAsia="Calibri" w:hAnsi="Calibri" w:cs="Calibri"/>
          <w:color w:val="000000" w:themeColor="text1"/>
          <w:sz w:val="16"/>
          <w:szCs w:val="16"/>
          <w:vertAlign w:val="superscript"/>
        </w:rPr>
        <w:t xml:space="preserve"> </w:t>
      </w:r>
      <w:r w:rsidRPr="00190742">
        <w:rPr>
          <w:rFonts w:ascii="Calibri" w:eastAsia="Calibri" w:hAnsi="Calibri" w:cs="Calibri"/>
          <w:color w:val="000000" w:themeColor="text1"/>
          <w:sz w:val="16"/>
          <w:szCs w:val="16"/>
        </w:rPr>
        <w:t xml:space="preserve">Impacto liminares vigentes de valores significativos: considerou-se que RS, MG e GO continuarão amparados por liminar que impede a execução de garantias por tempo indeterminado. </w:t>
      </w:r>
    </w:p>
    <w:p w14:paraId="10A30BA8" w14:textId="77777777" w:rsidR="00C46AE0" w:rsidRDefault="00C46AE0" w:rsidP="00C46AE0">
      <w:pPr>
        <w:spacing w:after="0"/>
        <w:ind w:left="1418" w:right="1418"/>
        <w:jc w:val="both"/>
        <w:rPr>
          <w:rFonts w:ascii="Calibri" w:eastAsia="Calibri" w:hAnsi="Calibri" w:cs="Calibri"/>
          <w:color w:val="000000" w:themeColor="text1"/>
          <w:sz w:val="18"/>
          <w:szCs w:val="18"/>
        </w:rPr>
      </w:pPr>
      <w:proofErr w:type="gramStart"/>
      <w:r w:rsidRPr="00190742">
        <w:rPr>
          <w:rFonts w:ascii="Calibri" w:eastAsia="Calibri" w:hAnsi="Calibri" w:cs="Calibri"/>
          <w:color w:val="000000" w:themeColor="text1"/>
          <w:sz w:val="16"/>
          <w:szCs w:val="16"/>
          <w:vertAlign w:val="superscript"/>
        </w:rPr>
        <w:t>3</w:t>
      </w:r>
      <w:proofErr w:type="gramEnd"/>
      <w:r w:rsidRPr="00190742">
        <w:rPr>
          <w:rFonts w:ascii="Calibri" w:eastAsia="Calibri" w:hAnsi="Calibri" w:cs="Calibri"/>
          <w:color w:val="000000" w:themeColor="text1"/>
          <w:sz w:val="16"/>
          <w:szCs w:val="16"/>
          <w:vertAlign w:val="superscript"/>
        </w:rPr>
        <w:t xml:space="preserve"> </w:t>
      </w:r>
      <w:r w:rsidRPr="00190742">
        <w:rPr>
          <w:rFonts w:ascii="Calibri" w:eastAsia="Calibri" w:hAnsi="Calibri" w:cs="Calibri"/>
          <w:color w:val="000000" w:themeColor="text1"/>
          <w:sz w:val="16"/>
          <w:szCs w:val="16"/>
        </w:rPr>
        <w:t>Impacto da adesão dos entes ao RRF: considerou-se a adesão, por parte dos estados de RS, MG e GO, no RRF, considerando a data de 1/1/2021. As comparações foram efetuadas em relação ao cenário em que os Estados de GO, RS e MG pagariam normalmente suas dívidas, conforme fluxo esperado</w:t>
      </w:r>
      <w:r w:rsidRPr="00834A28">
        <w:rPr>
          <w:rFonts w:ascii="Calibri" w:eastAsia="Calibri" w:hAnsi="Calibri" w:cs="Calibri"/>
          <w:color w:val="000000" w:themeColor="text1"/>
          <w:sz w:val="18"/>
          <w:szCs w:val="18"/>
        </w:rPr>
        <w:t>.</w:t>
      </w:r>
    </w:p>
    <w:p w14:paraId="5A02DC95" w14:textId="77777777" w:rsidR="00A64013" w:rsidRDefault="00C46AE0" w:rsidP="00C46AE0">
      <w:pPr>
        <w:pStyle w:val="TabelaARF"/>
        <w:ind w:firstLine="1418"/>
        <w:rPr>
          <w:rFonts w:ascii="Calibri" w:eastAsia="Calibri" w:hAnsi="Calibri" w:cs="Calibri"/>
          <w:color w:val="000000" w:themeColor="text1"/>
          <w:sz w:val="16"/>
          <w:szCs w:val="16"/>
        </w:rPr>
      </w:pPr>
      <w:r w:rsidRPr="00C46AE0">
        <w:rPr>
          <w:rFonts w:ascii="Calibri" w:eastAsia="Calibri" w:hAnsi="Calibri" w:cs="Calibri"/>
          <w:b/>
          <w:bCs/>
          <w:color w:val="000000" w:themeColor="text1"/>
          <w:sz w:val="16"/>
          <w:szCs w:val="16"/>
        </w:rPr>
        <w:t>Fonte e elaboração:</w:t>
      </w:r>
      <w:r w:rsidRPr="00C46AE0">
        <w:rPr>
          <w:rFonts w:ascii="Calibri" w:eastAsia="Calibri" w:hAnsi="Calibri" w:cs="Calibri"/>
          <w:color w:val="000000" w:themeColor="text1"/>
          <w:sz w:val="16"/>
          <w:szCs w:val="16"/>
        </w:rPr>
        <w:t xml:space="preserve"> STN/ME</w:t>
      </w:r>
    </w:p>
    <w:p w14:paraId="3AD534F1" w14:textId="77777777" w:rsidR="00510FC3" w:rsidRDefault="00510FC3" w:rsidP="00510FC3">
      <w:pPr>
        <w:pStyle w:val="TabelaARF"/>
        <w:ind w:firstLine="1418"/>
        <w:rPr>
          <w:rFonts w:ascii="Calibri" w:eastAsia="Calibri" w:hAnsi="Calibri" w:cs="Calibri"/>
          <w:color w:val="000000" w:themeColor="text1"/>
          <w:sz w:val="16"/>
          <w:szCs w:val="16"/>
        </w:rPr>
      </w:pPr>
      <w:bookmarkStart w:id="354" w:name="_Toc67656033"/>
      <w:bookmarkStart w:id="355" w:name="_Ref67405864"/>
    </w:p>
    <w:p w14:paraId="205CE236" w14:textId="77777777" w:rsidR="00510FC3" w:rsidRDefault="00510FC3" w:rsidP="00510FC3">
      <w:pPr>
        <w:pStyle w:val="TabelaARF"/>
        <w:ind w:firstLine="1418"/>
        <w:rPr>
          <w:rFonts w:ascii="Calibri" w:eastAsia="Calibri" w:hAnsi="Calibri" w:cs="Calibri"/>
          <w:color w:val="000000" w:themeColor="text1"/>
          <w:sz w:val="16"/>
          <w:szCs w:val="16"/>
        </w:rPr>
      </w:pPr>
    </w:p>
    <w:p w14:paraId="265EF13C" w14:textId="77777777" w:rsidR="00784F58" w:rsidRPr="00D063CA" w:rsidRDefault="5B58F1CD" w:rsidP="00510FC3">
      <w:pPr>
        <w:spacing w:after="120" w:line="240" w:lineRule="auto"/>
        <w:ind w:firstLine="1418"/>
        <w:jc w:val="both"/>
        <w:rPr>
          <w:i/>
          <w:iCs/>
          <w:sz w:val="24"/>
          <w:szCs w:val="24"/>
        </w:rPr>
      </w:pPr>
      <w:r w:rsidRPr="00932EFA">
        <w:rPr>
          <w:rFonts w:ascii="Calibri" w:eastAsia="Calibri" w:hAnsi="Calibri" w:cs="Calibri"/>
          <w:color w:val="000000" w:themeColor="text1"/>
          <w:sz w:val="24"/>
          <w:szCs w:val="24"/>
        </w:rPr>
        <w:t xml:space="preserve">Quanto aos riscos de </w:t>
      </w:r>
      <w:r w:rsidRPr="00D063CA">
        <w:rPr>
          <w:rFonts w:ascii="Calibri" w:eastAsia="Calibri" w:hAnsi="Calibri" w:cs="Calibri"/>
          <w:i/>
          <w:iCs/>
          <w:color w:val="000000" w:themeColor="text1"/>
          <w:sz w:val="24"/>
          <w:szCs w:val="24"/>
        </w:rPr>
        <w:t xml:space="preserve">frustração de receitas em decorrência da aplicação de dispositivos legais aos haveres </w:t>
      </w:r>
      <w:proofErr w:type="gramStart"/>
      <w:r w:rsidRPr="00D063CA">
        <w:rPr>
          <w:rFonts w:ascii="Calibri" w:eastAsia="Calibri" w:hAnsi="Calibri" w:cs="Calibri"/>
          <w:i/>
          <w:iCs/>
          <w:color w:val="000000" w:themeColor="text1"/>
          <w:sz w:val="24"/>
          <w:szCs w:val="24"/>
        </w:rPr>
        <w:t>sob gestão</w:t>
      </w:r>
      <w:proofErr w:type="gramEnd"/>
      <w:r w:rsidRPr="00D063CA">
        <w:rPr>
          <w:rFonts w:ascii="Calibri" w:eastAsia="Calibri" w:hAnsi="Calibri" w:cs="Calibri"/>
          <w:i/>
          <w:iCs/>
          <w:color w:val="000000" w:themeColor="text1"/>
          <w:sz w:val="24"/>
          <w:szCs w:val="24"/>
        </w:rPr>
        <w:t xml:space="preserve"> da STN, tem-se:</w:t>
      </w:r>
      <w:bookmarkEnd w:id="354"/>
    </w:p>
    <w:p w14:paraId="23594671" w14:textId="77777777" w:rsidR="00784F58" w:rsidRDefault="5B58F1CD" w:rsidP="24B852B7">
      <w:pPr>
        <w:pStyle w:val="PargrafodaLista"/>
        <w:numPr>
          <w:ilvl w:val="0"/>
          <w:numId w:val="3"/>
        </w:numPr>
        <w:spacing w:before="240" w:after="120" w:line="240" w:lineRule="auto"/>
        <w:jc w:val="both"/>
        <w:rPr>
          <w:rFonts w:eastAsiaTheme="minorEastAsia"/>
          <w:i/>
          <w:iCs/>
          <w:color w:val="000000" w:themeColor="text1"/>
          <w:sz w:val="24"/>
          <w:szCs w:val="24"/>
        </w:rPr>
      </w:pPr>
      <w:r w:rsidRPr="24B852B7">
        <w:rPr>
          <w:rFonts w:cs="Times New Roman"/>
          <w:i/>
          <w:iCs/>
          <w:sz w:val="24"/>
          <w:szCs w:val="24"/>
          <w:lang w:eastAsia="pt-BR"/>
        </w:rPr>
        <w:t xml:space="preserve">      Lei Complementar nº 173/2020 - Regime de Recuperação Fiscal (RRF), aplicável às dívidas estaduais a serem incluídos no âmbito do referido Regime.</w:t>
      </w:r>
    </w:p>
    <w:p w14:paraId="32F02702" w14:textId="77777777" w:rsidR="00784F58" w:rsidRDefault="5B58F1CD" w:rsidP="004127BD">
      <w:pPr>
        <w:spacing w:after="120" w:line="240" w:lineRule="auto"/>
        <w:ind w:firstLine="1418"/>
        <w:jc w:val="both"/>
      </w:pPr>
      <w:r w:rsidRPr="24B852B7">
        <w:rPr>
          <w:rFonts w:ascii="Calibri" w:eastAsia="Calibri" w:hAnsi="Calibri" w:cs="Calibri"/>
          <w:color w:val="000000" w:themeColor="text1"/>
          <w:sz w:val="24"/>
          <w:szCs w:val="24"/>
        </w:rPr>
        <w:t>A LC 173/2020, instituiu o Programa Federativo de Enfrentamento ao Coronavírus SARS-CoV-2 (Covid-19). Nesse sentido, em linha com o disposto no Art. 2º da referida LC, para os Estados, Distrito Federal e Municípios que aderiram ao referido Programa, no período de 1º de março a 31 de dezembro de 2020, a União ficou impedida de executar as garantias das dívidas decorrentes dos contratos de refinanciamento de dívidas celebrados com os Estados e com o Distrito Federal com base na Lei nº 9.496, de 11 de setembro de 1997, dos contratos de abertura de crédito firmados com os Estados ao amparo da Medida Provisória nº 2.192-70, de 24 de agosto de 2001, e as garantias das dívidas decorrentes dos contratos de refinanciamento celebrados com os Municípios com base na Medida Provisória nº 2.185-35, de 24 de agosto de 2001.</w:t>
      </w:r>
    </w:p>
    <w:p w14:paraId="421535EB" w14:textId="77777777" w:rsidR="00784F58" w:rsidRDefault="5B58F1CD" w:rsidP="004127BD">
      <w:pPr>
        <w:spacing w:after="120" w:line="240" w:lineRule="auto"/>
        <w:ind w:firstLine="1418"/>
        <w:jc w:val="both"/>
      </w:pPr>
      <w:r w:rsidRPr="24B852B7">
        <w:rPr>
          <w:rFonts w:ascii="Calibri" w:eastAsia="Calibri" w:hAnsi="Calibri" w:cs="Calibri"/>
          <w:color w:val="000000" w:themeColor="text1"/>
          <w:sz w:val="24"/>
          <w:szCs w:val="24"/>
        </w:rPr>
        <w:t>Ainda, de acordo com o Art. 2º, § 1º, Inciso I da referida LC, para o Estado, Distrito Federal ou Município que tenha suspendido o pagamento das dívidas acima no período considerado, os valores não pagos serão apartados e incorporados aos respectivos saldos devedores em 1º de janeiro de 2022, devidamente atualizados pelos encargos financeiros contratuais de adimplência, para pagamento pelo prazo remanescente de amortização dos contratos.</w:t>
      </w:r>
    </w:p>
    <w:p w14:paraId="3BADFAE1" w14:textId="60B82393" w:rsidR="00784F58" w:rsidRDefault="5B58F1CD" w:rsidP="004127BD">
      <w:pPr>
        <w:spacing w:after="120" w:line="240" w:lineRule="auto"/>
        <w:ind w:firstLine="1418"/>
        <w:jc w:val="both"/>
      </w:pPr>
      <w:r w:rsidRPr="24B852B7">
        <w:rPr>
          <w:rFonts w:ascii="Calibri" w:eastAsia="Calibri" w:hAnsi="Calibri" w:cs="Calibri"/>
          <w:color w:val="000000" w:themeColor="text1"/>
          <w:sz w:val="24"/>
          <w:szCs w:val="24"/>
        </w:rPr>
        <w:t>Por fim, conforme o Art. 2º, § 4º, do normativo em tela, os valores eventualmente pagos entre 1º de março de 2020 e 31 de dezembro de 2020 foram apartados do saldo devedor e devidamente atualizados pelos encargos financeiros contratuais de adimplência, com destinação exclusiva para o pagamento das parcelas vincendas a partir de 1º de janeiro de 2021.</w:t>
      </w:r>
    </w:p>
    <w:p w14:paraId="27FA13A0" w14:textId="4A567E7E" w:rsidR="00784F58" w:rsidRPr="00510FC3" w:rsidRDefault="5B58F1CD" w:rsidP="004127BD">
      <w:pPr>
        <w:spacing w:after="120" w:line="240" w:lineRule="auto"/>
        <w:ind w:firstLine="1418"/>
        <w:jc w:val="both"/>
        <w:rPr>
          <w:rFonts w:ascii="Calibri" w:eastAsia="Calibri" w:hAnsi="Calibri" w:cs="Calibri"/>
          <w:color w:val="000000" w:themeColor="text1"/>
          <w:sz w:val="24"/>
          <w:szCs w:val="24"/>
        </w:rPr>
      </w:pPr>
      <w:r w:rsidRPr="24B852B7">
        <w:rPr>
          <w:rFonts w:ascii="Calibri" w:eastAsia="Calibri" w:hAnsi="Calibri" w:cs="Calibri"/>
          <w:color w:val="000000" w:themeColor="text1"/>
          <w:sz w:val="24"/>
          <w:szCs w:val="24"/>
        </w:rPr>
        <w:t xml:space="preserve">A </w:t>
      </w:r>
      <w:r w:rsidR="00F21AFD" w:rsidRPr="00955265">
        <w:rPr>
          <w:rFonts w:ascii="Calibri" w:eastAsia="Calibri" w:hAnsi="Calibri" w:cs="Calibri"/>
          <w:color w:val="000000" w:themeColor="text1"/>
          <w:sz w:val="24"/>
          <w:szCs w:val="24"/>
        </w:rPr>
        <w:fldChar w:fldCharType="begin"/>
      </w:r>
      <w:r w:rsidR="00F21AFD" w:rsidRPr="00955265">
        <w:rPr>
          <w:rFonts w:ascii="Calibri" w:eastAsia="Calibri" w:hAnsi="Calibri" w:cs="Calibri"/>
          <w:color w:val="000000" w:themeColor="text1"/>
          <w:sz w:val="24"/>
          <w:szCs w:val="24"/>
        </w:rPr>
        <w:instrText xml:space="preserve"> REF _Ref67429410  \* MERGEFORMAT </w:instrText>
      </w:r>
      <w:r w:rsidR="00F21AFD" w:rsidRPr="00955265">
        <w:rPr>
          <w:rFonts w:ascii="Calibri" w:eastAsia="Calibri" w:hAnsi="Calibri" w:cs="Calibri"/>
          <w:color w:val="000000" w:themeColor="text1"/>
          <w:sz w:val="24"/>
          <w:szCs w:val="24"/>
        </w:rPr>
        <w:fldChar w:fldCharType="separate"/>
      </w:r>
      <w:r w:rsidR="00304F5F" w:rsidRPr="00304F5F">
        <w:rPr>
          <w:i/>
          <w:iCs/>
          <w:color w:val="000000" w:themeColor="text1"/>
        </w:rPr>
        <w:t xml:space="preserve">Tabela </w:t>
      </w:r>
      <w:r w:rsidR="00304F5F">
        <w:rPr>
          <w:i/>
          <w:iCs/>
          <w:noProof/>
          <w:color w:val="000000" w:themeColor="text1"/>
        </w:rPr>
        <w:t>46</w:t>
      </w:r>
      <w:r w:rsidR="00F21AFD" w:rsidRPr="00955265">
        <w:rPr>
          <w:rFonts w:ascii="Calibri" w:eastAsia="Calibri" w:hAnsi="Calibri" w:cs="Calibri"/>
          <w:color w:val="000000" w:themeColor="text1"/>
          <w:sz w:val="24"/>
          <w:szCs w:val="24"/>
        </w:rPr>
        <w:fldChar w:fldCharType="end"/>
      </w:r>
      <w:r w:rsidR="00955265" w:rsidRPr="00955265">
        <w:rPr>
          <w:rFonts w:ascii="Calibri" w:eastAsia="Calibri" w:hAnsi="Calibri" w:cs="Calibri"/>
          <w:color w:val="000000" w:themeColor="text1"/>
          <w:sz w:val="24"/>
          <w:szCs w:val="24"/>
        </w:rPr>
        <w:fldChar w:fldCharType="begin"/>
      </w:r>
      <w:r w:rsidR="00955265" w:rsidRPr="00955265">
        <w:rPr>
          <w:rFonts w:ascii="Calibri" w:eastAsia="Calibri" w:hAnsi="Calibri" w:cs="Calibri"/>
          <w:color w:val="000000" w:themeColor="text1"/>
          <w:sz w:val="24"/>
          <w:szCs w:val="24"/>
        </w:rPr>
        <w:instrText xml:space="preserve"> REF _Ref67429410 \h  \* MERGEFORMAT </w:instrText>
      </w:r>
      <w:r w:rsidR="00955265" w:rsidRPr="00955265">
        <w:rPr>
          <w:rFonts w:ascii="Calibri" w:eastAsia="Calibri" w:hAnsi="Calibri" w:cs="Calibri"/>
          <w:color w:val="000000" w:themeColor="text1"/>
          <w:sz w:val="24"/>
          <w:szCs w:val="24"/>
        </w:rPr>
      </w:r>
      <w:r w:rsidR="00955265" w:rsidRPr="00955265">
        <w:rPr>
          <w:rFonts w:ascii="Calibri" w:eastAsia="Calibri" w:hAnsi="Calibri" w:cs="Calibri"/>
          <w:color w:val="000000" w:themeColor="text1"/>
          <w:sz w:val="24"/>
          <w:szCs w:val="24"/>
        </w:rPr>
        <w:fldChar w:fldCharType="separate"/>
      </w:r>
      <w:r w:rsidR="00304F5F" w:rsidRPr="00304F5F">
        <w:rPr>
          <w:rFonts w:ascii="Calibri" w:eastAsia="Calibri" w:hAnsi="Calibri" w:cs="Calibri"/>
          <w:color w:val="000000" w:themeColor="text1"/>
          <w:sz w:val="24"/>
          <w:szCs w:val="24"/>
        </w:rPr>
        <w:t>Tabela 46</w:t>
      </w:r>
      <w:r w:rsidR="00955265" w:rsidRPr="00955265">
        <w:rPr>
          <w:rFonts w:ascii="Calibri" w:eastAsia="Calibri" w:hAnsi="Calibri" w:cs="Calibri"/>
          <w:color w:val="000000" w:themeColor="text1"/>
          <w:sz w:val="24"/>
          <w:szCs w:val="24"/>
        </w:rPr>
        <w:fldChar w:fldCharType="end"/>
      </w:r>
      <w:r w:rsidR="000142DC">
        <w:rPr>
          <w:rFonts w:ascii="Calibri" w:eastAsia="Calibri" w:hAnsi="Calibri" w:cs="Calibri"/>
          <w:color w:val="000000" w:themeColor="text1"/>
          <w:sz w:val="24"/>
          <w:szCs w:val="24"/>
        </w:rPr>
        <w:t xml:space="preserve"> </w:t>
      </w:r>
      <w:r w:rsidRPr="24B852B7">
        <w:rPr>
          <w:rFonts w:ascii="Calibri" w:eastAsia="Calibri" w:hAnsi="Calibri" w:cs="Calibri"/>
          <w:color w:val="000000" w:themeColor="text1"/>
          <w:sz w:val="24"/>
          <w:szCs w:val="24"/>
        </w:rPr>
        <w:t>contempla os impactos estimados da mencionada LC para os créditos ao amparo da Lei nº 9.496/1997 e MP nº 2.185/2001 para os exercícios de 2020 a 2022, e o impacto materializado para o exercício de 2020.</w:t>
      </w:r>
    </w:p>
    <w:p w14:paraId="672A98CC" w14:textId="595FE3E2" w:rsidR="00784F58" w:rsidRDefault="5B58F1CD" w:rsidP="004127BD">
      <w:pPr>
        <w:spacing w:after="120" w:line="240" w:lineRule="auto"/>
        <w:ind w:firstLine="1418"/>
        <w:jc w:val="both"/>
      </w:pPr>
      <w:r w:rsidRPr="24B852B7">
        <w:rPr>
          <w:rFonts w:ascii="Calibri" w:eastAsia="Calibri" w:hAnsi="Calibri" w:cs="Calibri"/>
          <w:color w:val="000000" w:themeColor="text1"/>
          <w:sz w:val="24"/>
          <w:szCs w:val="24"/>
        </w:rPr>
        <w:t xml:space="preserve">Cabe ressaltar que tais impactos abrangem as parcelas mensais das dívidas refinanciadas, bem como os valores devidos mensalmente em decorrência do descumprimento do teto de gastos e do Regime de Recuperação Fiscal (RRF – Estado do Rio de Janeiro). Contudo, o </w:t>
      </w:r>
      <w:r w:rsidRPr="24B852B7">
        <w:rPr>
          <w:rFonts w:ascii="Calibri" w:eastAsia="Calibri" w:hAnsi="Calibri" w:cs="Calibri"/>
          <w:color w:val="000000" w:themeColor="text1"/>
          <w:sz w:val="24"/>
          <w:szCs w:val="24"/>
        </w:rPr>
        <w:lastRenderedPageBreak/>
        <w:t>impacto da referida LC não ocorreu para os Estados de Goiás, Minas Gerais e Rio Grande do Sul, visto que as parcelas mensais das dívidas destes Entes já estavam suspensas por decisões liminares.</w:t>
      </w:r>
    </w:p>
    <w:p w14:paraId="042F9C98" w14:textId="68123135" w:rsidR="00EB1DFD" w:rsidRPr="00F21AFD" w:rsidRDefault="00F21AFD" w:rsidP="00514B7D">
      <w:pPr>
        <w:pStyle w:val="Legenda"/>
        <w:rPr>
          <w:rFonts w:cstheme="minorHAnsi"/>
          <w:color w:val="000000" w:themeColor="text1"/>
        </w:rPr>
      </w:pPr>
      <w:bookmarkStart w:id="356" w:name="_Ref67429410"/>
      <w:bookmarkStart w:id="357" w:name="_Toc69121392"/>
      <w:bookmarkEnd w:id="355"/>
      <w:r w:rsidRPr="00F21AFD">
        <w:rPr>
          <w:rFonts w:asciiTheme="minorHAnsi" w:hAnsiTheme="minorHAnsi"/>
          <w:i w:val="0"/>
          <w:iCs w:val="0"/>
          <w:color w:val="000000" w:themeColor="text1"/>
          <w:sz w:val="22"/>
          <w:szCs w:val="22"/>
        </w:rPr>
        <w:t xml:space="preserve">Tabela </w:t>
      </w:r>
      <w:r w:rsidRPr="00F21AFD">
        <w:rPr>
          <w:rFonts w:asciiTheme="minorHAnsi" w:hAnsiTheme="minorHAnsi"/>
          <w:i w:val="0"/>
          <w:iCs w:val="0"/>
          <w:color w:val="000000" w:themeColor="text1"/>
          <w:sz w:val="22"/>
          <w:szCs w:val="22"/>
        </w:rPr>
        <w:fldChar w:fldCharType="begin"/>
      </w:r>
      <w:r w:rsidRPr="00F21AFD">
        <w:rPr>
          <w:rFonts w:asciiTheme="minorHAnsi" w:hAnsiTheme="minorHAnsi"/>
          <w:i w:val="0"/>
          <w:iCs w:val="0"/>
          <w:color w:val="000000" w:themeColor="text1"/>
          <w:sz w:val="22"/>
          <w:szCs w:val="22"/>
        </w:rPr>
        <w:instrText xml:space="preserve"> SEQ Tabela \* ARABIC </w:instrText>
      </w:r>
      <w:r w:rsidRPr="00F21AFD">
        <w:rPr>
          <w:rFonts w:asciiTheme="minorHAnsi" w:hAnsiTheme="minorHAnsi"/>
          <w:i w:val="0"/>
          <w:iCs w:val="0"/>
          <w:color w:val="000000" w:themeColor="text1"/>
          <w:sz w:val="22"/>
          <w:szCs w:val="22"/>
        </w:rPr>
        <w:fldChar w:fldCharType="separate"/>
      </w:r>
      <w:r w:rsidR="00304F5F">
        <w:rPr>
          <w:rFonts w:asciiTheme="minorHAnsi" w:hAnsiTheme="minorHAnsi"/>
          <w:i w:val="0"/>
          <w:iCs w:val="0"/>
          <w:noProof/>
          <w:color w:val="000000" w:themeColor="text1"/>
          <w:sz w:val="22"/>
          <w:szCs w:val="22"/>
        </w:rPr>
        <w:t>46</w:t>
      </w:r>
      <w:r w:rsidRPr="00F21AFD">
        <w:rPr>
          <w:rFonts w:asciiTheme="minorHAnsi" w:hAnsiTheme="minorHAnsi"/>
          <w:i w:val="0"/>
          <w:iCs w:val="0"/>
          <w:color w:val="000000" w:themeColor="text1"/>
          <w:sz w:val="22"/>
          <w:szCs w:val="22"/>
        </w:rPr>
        <w:fldChar w:fldCharType="end"/>
      </w:r>
      <w:bookmarkEnd w:id="356"/>
      <w:r w:rsidRPr="00F21AFD">
        <w:rPr>
          <w:rFonts w:asciiTheme="minorHAnsi" w:hAnsiTheme="minorHAnsi"/>
          <w:i w:val="0"/>
          <w:iCs w:val="0"/>
          <w:color w:val="000000" w:themeColor="text1"/>
          <w:sz w:val="22"/>
          <w:szCs w:val="22"/>
        </w:rPr>
        <w:t xml:space="preserve"> - Impactos estimados da LC nº 173/2020, segundo Ativo /Programa, por exercício</w:t>
      </w:r>
      <w:bookmarkEnd w:id="357"/>
    </w:p>
    <w:tbl>
      <w:tblPr>
        <w:tblW w:w="9923" w:type="dxa"/>
        <w:tblLayout w:type="fixed"/>
        <w:tblLook w:val="06A0" w:firstRow="1" w:lastRow="0" w:firstColumn="1" w:lastColumn="0" w:noHBand="1" w:noVBand="1"/>
      </w:tblPr>
      <w:tblGrid>
        <w:gridCol w:w="236"/>
        <w:gridCol w:w="1453"/>
        <w:gridCol w:w="116"/>
        <w:gridCol w:w="3393"/>
        <w:gridCol w:w="472"/>
        <w:gridCol w:w="1418"/>
        <w:gridCol w:w="1417"/>
        <w:gridCol w:w="1276"/>
        <w:gridCol w:w="142"/>
      </w:tblGrid>
      <w:tr w:rsidR="003546AF" w14:paraId="2940B6B2" w14:textId="77777777" w:rsidTr="00AE0B00">
        <w:trPr>
          <w:trHeight w:val="300"/>
        </w:trPr>
        <w:tc>
          <w:tcPr>
            <w:tcW w:w="1805" w:type="dxa"/>
            <w:gridSpan w:val="3"/>
          </w:tcPr>
          <w:p w14:paraId="7A416CE7" w14:textId="77777777" w:rsidR="003546AF" w:rsidRPr="00820068" w:rsidRDefault="003546AF" w:rsidP="00820068">
            <w:pPr>
              <w:spacing w:after="0" w:line="240" w:lineRule="auto"/>
              <w:jc w:val="right"/>
              <w:rPr>
                <w:rFonts w:ascii="Calibri" w:eastAsia="Calibri" w:hAnsi="Calibri" w:cs="Calibri"/>
                <w:i/>
                <w:iCs/>
                <w:sz w:val="16"/>
                <w:szCs w:val="16"/>
              </w:rPr>
            </w:pPr>
          </w:p>
        </w:tc>
        <w:tc>
          <w:tcPr>
            <w:tcW w:w="8118" w:type="dxa"/>
            <w:gridSpan w:val="6"/>
            <w:vAlign w:val="center"/>
          </w:tcPr>
          <w:p w14:paraId="009C3551" w14:textId="6890134D" w:rsidR="003546AF" w:rsidRPr="00837171" w:rsidRDefault="003546AF" w:rsidP="00820068">
            <w:pPr>
              <w:spacing w:after="0" w:line="240" w:lineRule="auto"/>
              <w:jc w:val="right"/>
              <w:rPr>
                <w:i/>
              </w:rPr>
            </w:pPr>
            <w:r w:rsidRPr="00820068">
              <w:rPr>
                <w:rFonts w:ascii="Calibri" w:eastAsia="Calibri" w:hAnsi="Calibri" w:cs="Calibri"/>
                <w:i/>
                <w:iCs/>
                <w:sz w:val="16"/>
                <w:szCs w:val="16"/>
              </w:rPr>
              <w:t>Em R$ milhões</w:t>
            </w:r>
          </w:p>
        </w:tc>
      </w:tr>
      <w:tr w:rsidR="003546AF" w14:paraId="07729DE7" w14:textId="77777777" w:rsidTr="00AA23E7">
        <w:trPr>
          <w:trHeight w:val="285"/>
        </w:trPr>
        <w:tc>
          <w:tcPr>
            <w:tcW w:w="1689" w:type="dxa"/>
            <w:gridSpan w:val="2"/>
            <w:vMerge w:val="restart"/>
            <w:tcBorders>
              <w:top w:val="single" w:sz="8" w:space="0" w:color="BFBFBF" w:themeColor="background1" w:themeShade="BF"/>
              <w:left w:val="single" w:sz="4" w:space="0" w:color="D9D9D9" w:themeColor="background1" w:themeShade="D9"/>
              <w:bottom w:val="single" w:sz="8" w:space="0" w:color="FFFFFF" w:themeColor="background1"/>
              <w:right w:val="single" w:sz="8" w:space="0" w:color="FFFFFF" w:themeColor="background1"/>
            </w:tcBorders>
            <w:shd w:val="clear" w:color="auto" w:fill="404040" w:themeFill="text1" w:themeFillTint="BF"/>
            <w:vAlign w:val="center"/>
          </w:tcPr>
          <w:p w14:paraId="403415C4" w14:textId="11384E53" w:rsidR="003546AF" w:rsidRDefault="003546AF" w:rsidP="24B852B7">
            <w:pPr>
              <w:jc w:val="center"/>
            </w:pPr>
            <w:r w:rsidRPr="24B852B7">
              <w:rPr>
                <w:rFonts w:ascii="Calibri" w:eastAsia="Calibri" w:hAnsi="Calibri" w:cs="Calibri"/>
                <w:b/>
                <w:bCs/>
                <w:color w:val="FFFFFF" w:themeColor="background1"/>
                <w:sz w:val="20"/>
                <w:szCs w:val="20"/>
              </w:rPr>
              <w:t>Ativo/Programa</w:t>
            </w:r>
          </w:p>
        </w:tc>
        <w:tc>
          <w:tcPr>
            <w:tcW w:w="3509" w:type="dxa"/>
            <w:gridSpan w:val="2"/>
            <w:vMerge w:val="restart"/>
            <w:tcBorders>
              <w:top w:val="single" w:sz="8" w:space="0" w:color="BFBFBF" w:themeColor="background1" w:themeShade="BF"/>
              <w:left w:val="single" w:sz="8" w:space="0" w:color="FFFFFF" w:themeColor="background1"/>
              <w:bottom w:val="single" w:sz="8" w:space="0" w:color="FFFFFF" w:themeColor="background1"/>
              <w:right w:val="single" w:sz="8" w:space="0" w:color="FFFFFF" w:themeColor="background1"/>
            </w:tcBorders>
            <w:shd w:val="clear" w:color="auto" w:fill="404040" w:themeFill="text1" w:themeFillTint="BF"/>
            <w:vAlign w:val="center"/>
          </w:tcPr>
          <w:p w14:paraId="3E5C8C45" w14:textId="5BDC4E30" w:rsidR="003546AF" w:rsidRDefault="003546AF" w:rsidP="24B852B7">
            <w:pPr>
              <w:jc w:val="center"/>
            </w:pPr>
            <w:r w:rsidRPr="24B852B7">
              <w:rPr>
                <w:rFonts w:ascii="Calibri" w:eastAsia="Calibri" w:hAnsi="Calibri" w:cs="Calibri"/>
                <w:b/>
                <w:bCs/>
                <w:color w:val="FFFFFF" w:themeColor="background1"/>
                <w:sz w:val="20"/>
                <w:szCs w:val="20"/>
              </w:rPr>
              <w:t>Natureza do Risco</w:t>
            </w:r>
          </w:p>
        </w:tc>
        <w:tc>
          <w:tcPr>
            <w:tcW w:w="4725" w:type="dxa"/>
            <w:gridSpan w:val="5"/>
            <w:tcBorders>
              <w:left w:val="single" w:sz="8" w:space="0" w:color="FFFFFF" w:themeColor="background1"/>
              <w:bottom w:val="nil"/>
            </w:tcBorders>
            <w:shd w:val="clear" w:color="auto" w:fill="404040" w:themeFill="text1" w:themeFillTint="BF"/>
          </w:tcPr>
          <w:p w14:paraId="4EBC4A8E" w14:textId="01FB9DCC" w:rsidR="003546AF" w:rsidRDefault="003546AF" w:rsidP="24B852B7">
            <w:pPr>
              <w:jc w:val="center"/>
            </w:pPr>
            <w:r w:rsidRPr="24B852B7">
              <w:rPr>
                <w:rFonts w:ascii="Calibri" w:eastAsia="Calibri" w:hAnsi="Calibri" w:cs="Calibri"/>
                <w:b/>
                <w:bCs/>
                <w:color w:val="FFFFFF" w:themeColor="background1"/>
                <w:sz w:val="20"/>
                <w:szCs w:val="20"/>
              </w:rPr>
              <w:t>Impacto</w:t>
            </w:r>
          </w:p>
        </w:tc>
      </w:tr>
      <w:tr w:rsidR="003546AF" w14:paraId="251FFF17" w14:textId="77777777" w:rsidTr="00AA23E7">
        <w:trPr>
          <w:trHeight w:val="300"/>
        </w:trPr>
        <w:tc>
          <w:tcPr>
            <w:tcW w:w="1689" w:type="dxa"/>
            <w:gridSpan w:val="2"/>
            <w:vMerge/>
            <w:tcBorders>
              <w:left w:val="single" w:sz="4" w:space="0" w:color="D9D9D9" w:themeColor="background1" w:themeShade="D9"/>
            </w:tcBorders>
            <w:vAlign w:val="center"/>
          </w:tcPr>
          <w:p w14:paraId="0E5D895F" w14:textId="77777777" w:rsidR="003546AF" w:rsidRDefault="003546AF"/>
        </w:tc>
        <w:tc>
          <w:tcPr>
            <w:tcW w:w="3509" w:type="dxa"/>
            <w:gridSpan w:val="2"/>
            <w:vMerge/>
            <w:vAlign w:val="center"/>
          </w:tcPr>
          <w:p w14:paraId="2B3482AB" w14:textId="77777777" w:rsidR="003546AF" w:rsidRDefault="003546AF"/>
        </w:tc>
        <w:tc>
          <w:tcPr>
            <w:tcW w:w="4725" w:type="dxa"/>
            <w:gridSpan w:val="5"/>
            <w:shd w:val="clear" w:color="auto" w:fill="404040" w:themeFill="text1" w:themeFillTint="BF"/>
          </w:tcPr>
          <w:p w14:paraId="48A1295E" w14:textId="1DF8178E" w:rsidR="003546AF" w:rsidRDefault="003546AF" w:rsidP="24B852B7">
            <w:pPr>
              <w:jc w:val="center"/>
            </w:pPr>
            <w:r w:rsidRPr="24B852B7">
              <w:rPr>
                <w:rFonts w:ascii="Calibri" w:eastAsia="Calibri" w:hAnsi="Calibri" w:cs="Calibri"/>
                <w:color w:val="FFFFFF" w:themeColor="background1"/>
                <w:sz w:val="16"/>
                <w:szCs w:val="16"/>
              </w:rPr>
              <w:t>Valor Estimado (</w:t>
            </w:r>
            <w:r w:rsidR="00FF5C8A">
              <w:rPr>
                <w:rFonts w:ascii="Calibri" w:eastAsia="Calibri" w:hAnsi="Calibri" w:cs="Calibri"/>
                <w:color w:val="FFFFFF" w:themeColor="background1"/>
                <w:sz w:val="16"/>
                <w:szCs w:val="16"/>
              </w:rPr>
              <w:t>E</w:t>
            </w:r>
            <w:r w:rsidRPr="24B852B7">
              <w:rPr>
                <w:rFonts w:ascii="Calibri" w:eastAsia="Calibri" w:hAnsi="Calibri" w:cs="Calibri"/>
                <w:color w:val="FFFFFF" w:themeColor="background1"/>
                <w:sz w:val="16"/>
                <w:szCs w:val="16"/>
              </w:rPr>
              <w:t>)</w:t>
            </w:r>
          </w:p>
        </w:tc>
      </w:tr>
      <w:tr w:rsidR="003546AF" w14:paraId="5FE77DFB" w14:textId="77777777" w:rsidTr="00AA23E7">
        <w:trPr>
          <w:trHeight w:val="300"/>
        </w:trPr>
        <w:tc>
          <w:tcPr>
            <w:tcW w:w="1689" w:type="dxa"/>
            <w:gridSpan w:val="2"/>
            <w:vMerge/>
            <w:tcBorders>
              <w:left w:val="single" w:sz="4" w:space="0" w:color="D9D9D9" w:themeColor="background1" w:themeShade="D9"/>
            </w:tcBorders>
            <w:vAlign w:val="center"/>
          </w:tcPr>
          <w:p w14:paraId="2482A80B" w14:textId="77777777" w:rsidR="003546AF" w:rsidRDefault="003546AF"/>
        </w:tc>
        <w:tc>
          <w:tcPr>
            <w:tcW w:w="3509" w:type="dxa"/>
            <w:gridSpan w:val="2"/>
            <w:vMerge/>
            <w:vAlign w:val="center"/>
          </w:tcPr>
          <w:p w14:paraId="416F3927" w14:textId="77777777" w:rsidR="003546AF" w:rsidRDefault="003546AF"/>
        </w:tc>
        <w:tc>
          <w:tcPr>
            <w:tcW w:w="4725" w:type="dxa"/>
            <w:gridSpan w:val="5"/>
            <w:shd w:val="clear" w:color="auto" w:fill="404040" w:themeFill="text1" w:themeFillTint="BF"/>
          </w:tcPr>
          <w:p w14:paraId="45CC6672" w14:textId="5BFB4F25" w:rsidR="003546AF" w:rsidRDefault="003546AF" w:rsidP="24B852B7">
            <w:pPr>
              <w:jc w:val="center"/>
            </w:pPr>
            <w:r w:rsidRPr="24B852B7">
              <w:rPr>
                <w:rFonts w:ascii="Calibri" w:eastAsia="Calibri" w:hAnsi="Calibri" w:cs="Calibri"/>
                <w:color w:val="FFFFFF" w:themeColor="background1"/>
                <w:sz w:val="16"/>
                <w:szCs w:val="16"/>
              </w:rPr>
              <w:t>Valor Realizado (</w:t>
            </w:r>
            <w:r w:rsidR="00FF5C8A">
              <w:rPr>
                <w:rFonts w:ascii="Calibri" w:eastAsia="Calibri" w:hAnsi="Calibri" w:cs="Calibri"/>
                <w:color w:val="FFFFFF" w:themeColor="background1"/>
                <w:sz w:val="16"/>
                <w:szCs w:val="16"/>
              </w:rPr>
              <w:t>R</w:t>
            </w:r>
            <w:r w:rsidRPr="24B852B7">
              <w:rPr>
                <w:rFonts w:ascii="Calibri" w:eastAsia="Calibri" w:hAnsi="Calibri" w:cs="Calibri"/>
                <w:color w:val="FFFFFF" w:themeColor="background1"/>
                <w:sz w:val="16"/>
                <w:szCs w:val="16"/>
              </w:rPr>
              <w:t>)</w:t>
            </w:r>
          </w:p>
        </w:tc>
      </w:tr>
      <w:tr w:rsidR="003546AF" w14:paraId="0DD09CEF" w14:textId="77777777" w:rsidTr="00AA23E7">
        <w:trPr>
          <w:trHeight w:val="300"/>
        </w:trPr>
        <w:tc>
          <w:tcPr>
            <w:tcW w:w="1689" w:type="dxa"/>
            <w:gridSpan w:val="2"/>
            <w:vMerge/>
            <w:tcBorders>
              <w:left w:val="single" w:sz="4" w:space="0" w:color="D9D9D9" w:themeColor="background1" w:themeShade="D9"/>
            </w:tcBorders>
            <w:vAlign w:val="center"/>
          </w:tcPr>
          <w:p w14:paraId="354B8D15" w14:textId="77777777" w:rsidR="003546AF" w:rsidRDefault="003546AF"/>
        </w:tc>
        <w:tc>
          <w:tcPr>
            <w:tcW w:w="3509" w:type="dxa"/>
            <w:gridSpan w:val="2"/>
            <w:vMerge/>
            <w:vAlign w:val="center"/>
          </w:tcPr>
          <w:p w14:paraId="42CF931D" w14:textId="77777777" w:rsidR="003546AF" w:rsidRDefault="003546AF"/>
        </w:tc>
        <w:tc>
          <w:tcPr>
            <w:tcW w:w="4725" w:type="dxa"/>
            <w:gridSpan w:val="5"/>
            <w:shd w:val="clear" w:color="auto" w:fill="404040" w:themeFill="text1" w:themeFillTint="BF"/>
          </w:tcPr>
          <w:p w14:paraId="75D1AAF9" w14:textId="03B043F4" w:rsidR="003546AF" w:rsidRDefault="003546AF" w:rsidP="00E978BB">
            <w:pPr>
              <w:jc w:val="center"/>
            </w:pPr>
            <w:r>
              <w:rPr>
                <w:rFonts w:ascii="Calibri" w:eastAsia="Calibri" w:hAnsi="Calibri" w:cs="Calibri"/>
                <w:color w:val="FFFFFF" w:themeColor="background1"/>
                <w:sz w:val="16"/>
                <w:szCs w:val="16"/>
              </w:rPr>
              <w:t xml:space="preserve">Variação </w:t>
            </w:r>
            <w:proofErr w:type="gramStart"/>
            <w:r w:rsidRPr="00E978BB">
              <w:rPr>
                <w:rFonts w:ascii="Calibri" w:eastAsia="Calibri" w:hAnsi="Calibri" w:cs="Calibri"/>
                <w:color w:val="FFFFFF" w:themeColor="background1"/>
                <w:sz w:val="16"/>
                <w:szCs w:val="16"/>
                <w:vertAlign w:val="superscript"/>
              </w:rPr>
              <w:t>1</w:t>
            </w:r>
            <w:proofErr w:type="gramEnd"/>
            <w:r w:rsidRPr="24B852B7">
              <w:rPr>
                <w:rFonts w:ascii="Calibri" w:eastAsia="Calibri" w:hAnsi="Calibri" w:cs="Calibri"/>
                <w:color w:val="FFFFFF" w:themeColor="background1"/>
                <w:sz w:val="16"/>
                <w:szCs w:val="16"/>
              </w:rPr>
              <w:t xml:space="preserve"> (%)</w:t>
            </w:r>
          </w:p>
        </w:tc>
      </w:tr>
      <w:tr w:rsidR="003546AF" w14:paraId="0ECC95BA" w14:textId="77777777" w:rsidTr="00AA23E7">
        <w:trPr>
          <w:trHeight w:val="300"/>
        </w:trPr>
        <w:tc>
          <w:tcPr>
            <w:tcW w:w="1689" w:type="dxa"/>
            <w:gridSpan w:val="2"/>
            <w:vMerge/>
            <w:tcBorders>
              <w:left w:val="single" w:sz="4" w:space="0" w:color="D9D9D9" w:themeColor="background1" w:themeShade="D9"/>
              <w:bottom w:val="single" w:sz="4" w:space="0" w:color="D9D9D9" w:themeColor="background1" w:themeShade="D9"/>
            </w:tcBorders>
            <w:vAlign w:val="center"/>
          </w:tcPr>
          <w:p w14:paraId="3C9D45CE" w14:textId="77777777" w:rsidR="003546AF" w:rsidRDefault="003546AF"/>
        </w:tc>
        <w:tc>
          <w:tcPr>
            <w:tcW w:w="3509" w:type="dxa"/>
            <w:gridSpan w:val="2"/>
            <w:vMerge/>
            <w:tcBorders>
              <w:bottom w:val="single" w:sz="4" w:space="0" w:color="D9D9D9" w:themeColor="background1" w:themeShade="D9"/>
              <w:right w:val="single" w:sz="4" w:space="0" w:color="D9D9D9" w:themeColor="background1" w:themeShade="D9"/>
            </w:tcBorders>
            <w:vAlign w:val="center"/>
          </w:tcPr>
          <w:p w14:paraId="4D5A8F40" w14:textId="77777777" w:rsidR="003546AF" w:rsidRDefault="003546AF"/>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04040" w:themeFill="text1" w:themeFillTint="BF"/>
          </w:tcPr>
          <w:p w14:paraId="3B204D3A" w14:textId="77777777" w:rsidR="003546AF" w:rsidRPr="24B852B7" w:rsidRDefault="003546AF" w:rsidP="24B852B7">
            <w:pPr>
              <w:jc w:val="center"/>
              <w:rPr>
                <w:rFonts w:ascii="Calibri" w:eastAsia="Calibri" w:hAnsi="Calibri" w:cs="Calibri"/>
                <w:b/>
                <w:bCs/>
                <w:color w:val="FFFFFF" w:themeColor="background1"/>
                <w:sz w:val="20"/>
                <w:szCs w:val="20"/>
              </w:rPr>
            </w:pP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8" w:space="0" w:color="FFFFFF" w:themeColor="background1"/>
            </w:tcBorders>
            <w:shd w:val="clear" w:color="auto" w:fill="404040" w:themeFill="text1" w:themeFillTint="BF"/>
            <w:vAlign w:val="center"/>
          </w:tcPr>
          <w:p w14:paraId="429573DC" w14:textId="5CE43DB6" w:rsidR="003546AF" w:rsidRDefault="003546AF" w:rsidP="24B852B7">
            <w:pPr>
              <w:jc w:val="center"/>
            </w:pPr>
            <w:r w:rsidRPr="24B852B7">
              <w:rPr>
                <w:rFonts w:ascii="Calibri" w:eastAsia="Calibri" w:hAnsi="Calibri" w:cs="Calibri"/>
                <w:b/>
                <w:bCs/>
                <w:color w:val="FFFFFF" w:themeColor="background1"/>
                <w:sz w:val="20"/>
                <w:szCs w:val="20"/>
              </w:rPr>
              <w:t>2020</w:t>
            </w:r>
          </w:p>
        </w:tc>
        <w:tc>
          <w:tcPr>
            <w:tcW w:w="1417" w:type="dxa"/>
            <w:tcBorders>
              <w:top w:val="single" w:sz="4" w:space="0" w:color="D9D9D9" w:themeColor="background1" w:themeShade="D9"/>
              <w:left w:val="single" w:sz="8" w:space="0" w:color="FFFFFF" w:themeColor="background1"/>
              <w:bottom w:val="single" w:sz="4" w:space="0" w:color="D9D9D9" w:themeColor="background1" w:themeShade="D9"/>
              <w:right w:val="single" w:sz="8" w:space="0" w:color="FFFFFF" w:themeColor="background1"/>
            </w:tcBorders>
            <w:shd w:val="clear" w:color="auto" w:fill="404040" w:themeFill="text1" w:themeFillTint="BF"/>
            <w:vAlign w:val="center"/>
          </w:tcPr>
          <w:p w14:paraId="7ED7AFDC" w14:textId="675411F4" w:rsidR="003546AF" w:rsidRDefault="003546AF" w:rsidP="24B852B7">
            <w:pPr>
              <w:jc w:val="center"/>
            </w:pPr>
            <w:r w:rsidRPr="24B852B7">
              <w:rPr>
                <w:rFonts w:ascii="Calibri" w:eastAsia="Calibri" w:hAnsi="Calibri" w:cs="Calibri"/>
                <w:b/>
                <w:bCs/>
                <w:color w:val="FFFFFF" w:themeColor="background1"/>
                <w:sz w:val="20"/>
                <w:szCs w:val="20"/>
              </w:rPr>
              <w:t>2021</w:t>
            </w:r>
          </w:p>
        </w:tc>
        <w:tc>
          <w:tcPr>
            <w:tcW w:w="1418" w:type="dxa"/>
            <w:gridSpan w:val="2"/>
            <w:tcBorders>
              <w:top w:val="single" w:sz="4" w:space="0" w:color="D9D9D9" w:themeColor="background1" w:themeShade="D9"/>
              <w:left w:val="single" w:sz="8" w:space="0" w:color="FFFFFF" w:themeColor="background1"/>
              <w:bottom w:val="single" w:sz="4" w:space="0" w:color="D9D9D9" w:themeColor="background1" w:themeShade="D9"/>
              <w:right w:val="single" w:sz="4" w:space="0" w:color="D9D9D9" w:themeColor="background1" w:themeShade="D9"/>
            </w:tcBorders>
            <w:shd w:val="clear" w:color="auto" w:fill="404040" w:themeFill="text1" w:themeFillTint="BF"/>
            <w:vAlign w:val="center"/>
          </w:tcPr>
          <w:p w14:paraId="561B79D0" w14:textId="5CD58FAA" w:rsidR="003546AF" w:rsidRDefault="003546AF" w:rsidP="24B852B7">
            <w:pPr>
              <w:jc w:val="center"/>
            </w:pPr>
            <w:r w:rsidRPr="24B852B7">
              <w:rPr>
                <w:rFonts w:ascii="Calibri" w:eastAsia="Calibri" w:hAnsi="Calibri" w:cs="Calibri"/>
                <w:b/>
                <w:bCs/>
                <w:color w:val="FFFFFF" w:themeColor="background1"/>
                <w:sz w:val="20"/>
                <w:szCs w:val="20"/>
              </w:rPr>
              <w:t>2022</w:t>
            </w:r>
          </w:p>
        </w:tc>
      </w:tr>
      <w:tr w:rsidR="003546AF" w14:paraId="19F09236" w14:textId="77777777" w:rsidTr="00BF650D">
        <w:trPr>
          <w:trHeight w:hRule="exact" w:val="284"/>
        </w:trPr>
        <w:tc>
          <w:tcPr>
            <w:tcW w:w="1689"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F8294E2" w14:textId="2CD899C1" w:rsidR="003546AF" w:rsidRDefault="003546AF" w:rsidP="24B852B7">
            <w:pPr>
              <w:jc w:val="center"/>
            </w:pPr>
            <w:r w:rsidRPr="24B852B7">
              <w:rPr>
                <w:rFonts w:ascii="Calibri" w:eastAsia="Calibri" w:hAnsi="Calibri" w:cs="Calibri"/>
                <w:color w:val="000000" w:themeColor="text1"/>
                <w:sz w:val="18"/>
                <w:szCs w:val="18"/>
              </w:rPr>
              <w:t>Lei nº 9.496/1997</w:t>
            </w:r>
          </w:p>
        </w:tc>
        <w:tc>
          <w:tcPr>
            <w:tcW w:w="3509" w:type="dxa"/>
            <w:gridSpan w:val="2"/>
            <w:vMerge w:val="restart"/>
            <w:tcBorders>
              <w:top w:val="single" w:sz="4" w:space="0" w:color="D9D9D9" w:themeColor="background1" w:themeShade="D9"/>
              <w:left w:val="single" w:sz="4" w:space="0" w:color="D9D9D9" w:themeColor="background1" w:themeShade="D9"/>
              <w:bottom w:val="single" w:sz="8" w:space="0" w:color="000000" w:themeColor="text1"/>
              <w:right w:val="single" w:sz="4" w:space="0" w:color="D9D9D9" w:themeColor="background1" w:themeShade="D9"/>
            </w:tcBorders>
            <w:shd w:val="clear" w:color="auto" w:fill="F2F2F2" w:themeFill="background1" w:themeFillShade="F2"/>
            <w:vAlign w:val="center"/>
          </w:tcPr>
          <w:p w14:paraId="18A62656" w14:textId="317190A1" w:rsidR="003546AF" w:rsidRDefault="003546AF" w:rsidP="24B852B7">
            <w:pPr>
              <w:jc w:val="center"/>
            </w:pPr>
            <w:r w:rsidRPr="24B852B7">
              <w:rPr>
                <w:rFonts w:ascii="Calibri" w:eastAsia="Calibri" w:hAnsi="Calibri" w:cs="Calibri"/>
                <w:color w:val="000000" w:themeColor="text1"/>
                <w:sz w:val="18"/>
                <w:szCs w:val="18"/>
              </w:rPr>
              <w:t xml:space="preserve">Impactos decorrentes da LC nº 173/2020 </w:t>
            </w:r>
            <w:proofErr w:type="gramStart"/>
            <w:r w:rsidRPr="00623DE9">
              <w:rPr>
                <w:rFonts w:ascii="Calibri" w:eastAsia="Calibri" w:hAnsi="Calibri" w:cs="Calibri"/>
                <w:color w:val="000000" w:themeColor="text1"/>
                <w:sz w:val="18"/>
                <w:szCs w:val="18"/>
                <w:vertAlign w:val="superscript"/>
              </w:rPr>
              <w:t>1</w:t>
            </w:r>
            <w:proofErr w:type="gramEnd"/>
          </w:p>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6DFA65BF" w14:textId="53183414" w:rsidR="003546AF" w:rsidRPr="24B852B7" w:rsidRDefault="00FF5C8A" w:rsidP="002D1CC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E</w:t>
            </w:r>
          </w:p>
        </w:tc>
        <w:tc>
          <w:tcPr>
            <w:tcW w:w="1418" w:type="dxa"/>
            <w:tcBorders>
              <w:top w:val="single" w:sz="4" w:space="0" w:color="D9D9D9" w:themeColor="background1" w:themeShade="D9"/>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DF08745" w14:textId="10BAEBF2" w:rsidR="003546AF" w:rsidRDefault="003546AF" w:rsidP="002D1CCD">
            <w:pPr>
              <w:jc w:val="center"/>
            </w:pPr>
            <w:r w:rsidRPr="24B852B7">
              <w:rPr>
                <w:rFonts w:ascii="Calibri" w:eastAsia="Calibri" w:hAnsi="Calibri" w:cs="Calibri"/>
                <w:color w:val="000000" w:themeColor="text1"/>
                <w:sz w:val="18"/>
                <w:szCs w:val="18"/>
              </w:rPr>
              <w:t>-15.069,22</w:t>
            </w:r>
          </w:p>
        </w:tc>
        <w:tc>
          <w:tcPr>
            <w:tcW w:w="1417" w:type="dxa"/>
            <w:tcBorders>
              <w:top w:val="single" w:sz="4"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A2F53EF" w14:textId="66AED0AA" w:rsidR="003546AF" w:rsidRDefault="003546AF" w:rsidP="002D1CCD">
            <w:pPr>
              <w:jc w:val="center"/>
            </w:pPr>
            <w:r w:rsidRPr="24B852B7">
              <w:rPr>
                <w:rFonts w:ascii="Calibri" w:eastAsia="Calibri" w:hAnsi="Calibri" w:cs="Calibri"/>
                <w:color w:val="000000" w:themeColor="text1"/>
                <w:sz w:val="18"/>
                <w:szCs w:val="18"/>
              </w:rPr>
              <w:t>-68,34</w:t>
            </w:r>
          </w:p>
        </w:tc>
        <w:tc>
          <w:tcPr>
            <w:tcW w:w="1418" w:type="dxa"/>
            <w:gridSpan w:val="2"/>
            <w:tcBorders>
              <w:top w:val="single" w:sz="4"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951EE52" w14:textId="6657B96B" w:rsidR="003546AF" w:rsidRDefault="003546AF" w:rsidP="002D1CCD">
            <w:pPr>
              <w:jc w:val="center"/>
            </w:pPr>
            <w:r w:rsidRPr="24B852B7">
              <w:rPr>
                <w:rFonts w:ascii="Calibri" w:eastAsia="Calibri" w:hAnsi="Calibri" w:cs="Calibri"/>
                <w:color w:val="000000" w:themeColor="text1"/>
                <w:sz w:val="18"/>
                <w:szCs w:val="18"/>
              </w:rPr>
              <w:t>977,40</w:t>
            </w:r>
          </w:p>
        </w:tc>
      </w:tr>
      <w:tr w:rsidR="003546AF" w14:paraId="190A7C1D" w14:textId="77777777" w:rsidTr="00BF650D">
        <w:trPr>
          <w:trHeight w:hRule="exact" w:val="284"/>
        </w:trPr>
        <w:tc>
          <w:tcPr>
            <w:tcW w:w="1689"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3A6C15" w14:textId="77777777" w:rsidR="003546AF" w:rsidRDefault="003546AF"/>
        </w:tc>
        <w:tc>
          <w:tcPr>
            <w:tcW w:w="3509" w:type="dxa"/>
            <w:gridSpan w:val="2"/>
            <w:vMerge/>
            <w:tcBorders>
              <w:left w:val="single" w:sz="4" w:space="0" w:color="D9D9D9" w:themeColor="background1" w:themeShade="D9"/>
              <w:right w:val="single" w:sz="4" w:space="0" w:color="D9D9D9" w:themeColor="background1" w:themeShade="D9"/>
            </w:tcBorders>
            <w:vAlign w:val="center"/>
          </w:tcPr>
          <w:p w14:paraId="18AB729E" w14:textId="77777777" w:rsidR="003546AF" w:rsidRDefault="003546AF"/>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E09F2E0" w14:textId="6292C3D9" w:rsidR="003546AF" w:rsidRPr="24B852B7" w:rsidRDefault="00FF5C8A" w:rsidP="002D1CC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R</w:t>
            </w:r>
          </w:p>
        </w:tc>
        <w:tc>
          <w:tcPr>
            <w:tcW w:w="1418"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80B6B00" w14:textId="181A24FE" w:rsidR="003546AF" w:rsidRDefault="003546AF" w:rsidP="002D1CCD">
            <w:pPr>
              <w:jc w:val="center"/>
            </w:pPr>
            <w:r w:rsidRPr="24B852B7">
              <w:rPr>
                <w:rFonts w:ascii="Calibri" w:eastAsia="Calibri" w:hAnsi="Calibri" w:cs="Calibri"/>
                <w:color w:val="000000" w:themeColor="text1"/>
                <w:sz w:val="18"/>
                <w:szCs w:val="18"/>
              </w:rPr>
              <w:t>-18.892,25</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A0332D6" w14:textId="6D23D601" w:rsidR="003546AF" w:rsidRDefault="003546AF" w:rsidP="002D1CCD">
            <w:pPr>
              <w:jc w:val="center"/>
            </w:pPr>
            <w:r w:rsidRPr="24B852B7">
              <w:rPr>
                <w:rFonts w:ascii="Calibri" w:eastAsia="Calibri" w:hAnsi="Calibri" w:cs="Calibri"/>
                <w:color w:val="000000" w:themeColor="text1"/>
                <w:sz w:val="18"/>
                <w:szCs w:val="18"/>
              </w:rPr>
              <w:t>-</w:t>
            </w:r>
          </w:p>
        </w:tc>
        <w:tc>
          <w:tcPr>
            <w:tcW w:w="141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82202BE" w14:textId="0BDAC6CC" w:rsidR="003546AF" w:rsidRDefault="003546AF" w:rsidP="002D1CCD">
            <w:pPr>
              <w:jc w:val="center"/>
            </w:pPr>
            <w:r w:rsidRPr="24B852B7">
              <w:rPr>
                <w:rFonts w:ascii="Calibri" w:eastAsia="Calibri" w:hAnsi="Calibri" w:cs="Calibri"/>
                <w:color w:val="000000" w:themeColor="text1"/>
                <w:sz w:val="18"/>
                <w:szCs w:val="18"/>
              </w:rPr>
              <w:t>-</w:t>
            </w:r>
          </w:p>
        </w:tc>
      </w:tr>
      <w:tr w:rsidR="003546AF" w14:paraId="4B889F97" w14:textId="77777777" w:rsidTr="00BF650D">
        <w:trPr>
          <w:trHeight w:hRule="exact" w:val="284"/>
        </w:trPr>
        <w:tc>
          <w:tcPr>
            <w:tcW w:w="1689"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A1B2C8" w14:textId="77777777" w:rsidR="003546AF" w:rsidRDefault="003546AF"/>
        </w:tc>
        <w:tc>
          <w:tcPr>
            <w:tcW w:w="3509" w:type="dxa"/>
            <w:gridSpan w:val="2"/>
            <w:vMerge/>
            <w:tcBorders>
              <w:left w:val="single" w:sz="4" w:space="0" w:color="D9D9D9" w:themeColor="background1" w:themeShade="D9"/>
              <w:right w:val="single" w:sz="4" w:space="0" w:color="D9D9D9" w:themeColor="background1" w:themeShade="D9"/>
            </w:tcBorders>
            <w:vAlign w:val="center"/>
          </w:tcPr>
          <w:p w14:paraId="5D5878AF" w14:textId="77777777" w:rsidR="003546AF" w:rsidRDefault="003546AF"/>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739C3E2C" w14:textId="33703AD8" w:rsidR="003546AF" w:rsidRPr="24B852B7" w:rsidRDefault="00FF5C8A" w:rsidP="002D1CC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418"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27B6043" w14:textId="3A15DBC1" w:rsidR="003546AF" w:rsidRDefault="003546AF" w:rsidP="002D1CCD">
            <w:pPr>
              <w:jc w:val="center"/>
            </w:pPr>
            <w:r w:rsidRPr="24B852B7">
              <w:rPr>
                <w:rFonts w:ascii="Calibri" w:eastAsia="Calibri" w:hAnsi="Calibri" w:cs="Calibri"/>
                <w:color w:val="000000" w:themeColor="text1"/>
                <w:sz w:val="18"/>
                <w:szCs w:val="18"/>
              </w:rPr>
              <w:t>25,37</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965C555" w14:textId="0654CD6A" w:rsidR="003546AF" w:rsidRDefault="003546AF" w:rsidP="002D1CCD">
            <w:pPr>
              <w:jc w:val="center"/>
            </w:pPr>
            <w:r w:rsidRPr="24B852B7">
              <w:rPr>
                <w:rFonts w:ascii="Calibri" w:eastAsia="Calibri" w:hAnsi="Calibri" w:cs="Calibri"/>
                <w:color w:val="000000" w:themeColor="text1"/>
                <w:sz w:val="18"/>
                <w:szCs w:val="18"/>
              </w:rPr>
              <w:t>-</w:t>
            </w:r>
          </w:p>
        </w:tc>
        <w:tc>
          <w:tcPr>
            <w:tcW w:w="141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9A8B16" w14:textId="7E5904DD" w:rsidR="003546AF" w:rsidRDefault="003546AF" w:rsidP="002D1CCD">
            <w:pPr>
              <w:jc w:val="center"/>
            </w:pPr>
            <w:r w:rsidRPr="24B852B7">
              <w:rPr>
                <w:rFonts w:ascii="Calibri" w:eastAsia="Calibri" w:hAnsi="Calibri" w:cs="Calibri"/>
                <w:color w:val="000000" w:themeColor="text1"/>
                <w:sz w:val="18"/>
                <w:szCs w:val="18"/>
              </w:rPr>
              <w:t>-</w:t>
            </w:r>
          </w:p>
        </w:tc>
      </w:tr>
      <w:tr w:rsidR="00FF5C8A" w14:paraId="00ACCEA5" w14:textId="77777777" w:rsidTr="00BF650D">
        <w:trPr>
          <w:trHeight w:hRule="exact" w:val="284"/>
        </w:trPr>
        <w:tc>
          <w:tcPr>
            <w:tcW w:w="1689" w:type="dxa"/>
            <w:gridSpan w:val="2"/>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C5C992F" w14:textId="53538E80" w:rsidR="00FF5C8A" w:rsidRDefault="00FF5C8A" w:rsidP="00FF5C8A">
            <w:pPr>
              <w:jc w:val="center"/>
            </w:pPr>
            <w:r w:rsidRPr="24B852B7">
              <w:rPr>
                <w:rFonts w:ascii="Calibri" w:eastAsia="Calibri" w:hAnsi="Calibri" w:cs="Calibri"/>
                <w:color w:val="000000" w:themeColor="text1"/>
                <w:sz w:val="18"/>
                <w:szCs w:val="18"/>
              </w:rPr>
              <w:t>MP nº 2.185/2001</w:t>
            </w:r>
          </w:p>
        </w:tc>
        <w:tc>
          <w:tcPr>
            <w:tcW w:w="3509" w:type="dxa"/>
            <w:gridSpan w:val="2"/>
            <w:vMerge/>
            <w:tcBorders>
              <w:left w:val="single" w:sz="4" w:space="0" w:color="D9D9D9" w:themeColor="background1" w:themeShade="D9"/>
              <w:right w:val="single" w:sz="4" w:space="0" w:color="D9D9D9" w:themeColor="background1" w:themeShade="D9"/>
            </w:tcBorders>
            <w:vAlign w:val="center"/>
          </w:tcPr>
          <w:p w14:paraId="0E9D1220" w14:textId="77777777" w:rsidR="00FF5C8A" w:rsidRDefault="00FF5C8A" w:rsidP="00FF5C8A"/>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5F30E982" w14:textId="0F2E12C8" w:rsidR="00FF5C8A" w:rsidRPr="24B852B7" w:rsidRDefault="00FF5C8A" w:rsidP="00FF5C8A">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E</w:t>
            </w:r>
          </w:p>
        </w:tc>
        <w:tc>
          <w:tcPr>
            <w:tcW w:w="1418"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3DCB6A9" w14:textId="451C0677" w:rsidR="00FF5C8A" w:rsidRDefault="00FF5C8A" w:rsidP="00FF5C8A">
            <w:pPr>
              <w:jc w:val="center"/>
            </w:pPr>
            <w:r w:rsidRPr="24B852B7">
              <w:rPr>
                <w:rFonts w:ascii="Calibri" w:eastAsia="Calibri" w:hAnsi="Calibri" w:cs="Calibri"/>
                <w:color w:val="000000" w:themeColor="text1"/>
                <w:sz w:val="18"/>
                <w:szCs w:val="18"/>
              </w:rPr>
              <w:t>-2.675,58</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4DFE487" w14:textId="3A1D7388" w:rsidR="00FF5C8A" w:rsidRDefault="00FF5C8A" w:rsidP="00FF5C8A">
            <w:pPr>
              <w:jc w:val="center"/>
            </w:pPr>
            <w:r w:rsidRPr="24B852B7">
              <w:rPr>
                <w:rFonts w:ascii="Calibri" w:eastAsia="Calibri" w:hAnsi="Calibri" w:cs="Calibri"/>
                <w:color w:val="000000" w:themeColor="text1"/>
                <w:sz w:val="18"/>
                <w:szCs w:val="18"/>
              </w:rPr>
              <w:t>-300,39</w:t>
            </w:r>
          </w:p>
        </w:tc>
        <w:tc>
          <w:tcPr>
            <w:tcW w:w="141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4A994FE" w14:textId="7D5DEDF9" w:rsidR="00FF5C8A" w:rsidRDefault="00FF5C8A" w:rsidP="00FF5C8A">
            <w:pPr>
              <w:jc w:val="center"/>
            </w:pPr>
            <w:r w:rsidRPr="24B852B7">
              <w:rPr>
                <w:rFonts w:ascii="Calibri" w:eastAsia="Calibri" w:hAnsi="Calibri" w:cs="Calibri"/>
                <w:color w:val="000000" w:themeColor="text1"/>
                <w:sz w:val="18"/>
                <w:szCs w:val="18"/>
              </w:rPr>
              <w:t>385,48</w:t>
            </w:r>
          </w:p>
        </w:tc>
      </w:tr>
      <w:tr w:rsidR="00FF5C8A" w14:paraId="389F90E8" w14:textId="77777777" w:rsidTr="00BF650D">
        <w:trPr>
          <w:trHeight w:hRule="exact" w:val="284"/>
        </w:trPr>
        <w:tc>
          <w:tcPr>
            <w:tcW w:w="1689"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8F48A0" w14:textId="77777777" w:rsidR="00FF5C8A" w:rsidRDefault="00FF5C8A" w:rsidP="00FF5C8A"/>
        </w:tc>
        <w:tc>
          <w:tcPr>
            <w:tcW w:w="3509" w:type="dxa"/>
            <w:gridSpan w:val="2"/>
            <w:vMerge/>
            <w:tcBorders>
              <w:left w:val="single" w:sz="4" w:space="0" w:color="D9D9D9" w:themeColor="background1" w:themeShade="D9"/>
              <w:right w:val="single" w:sz="4" w:space="0" w:color="D9D9D9" w:themeColor="background1" w:themeShade="D9"/>
            </w:tcBorders>
            <w:vAlign w:val="center"/>
          </w:tcPr>
          <w:p w14:paraId="4F0B57DD" w14:textId="77777777" w:rsidR="00FF5C8A" w:rsidRDefault="00FF5C8A" w:rsidP="00FF5C8A"/>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7B98F98" w14:textId="75932CD7" w:rsidR="00FF5C8A" w:rsidRPr="24B852B7" w:rsidRDefault="00FF5C8A" w:rsidP="00FF5C8A">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R</w:t>
            </w:r>
          </w:p>
        </w:tc>
        <w:tc>
          <w:tcPr>
            <w:tcW w:w="1418"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D57A14D" w14:textId="10299EB0" w:rsidR="00FF5C8A" w:rsidRDefault="00FF5C8A" w:rsidP="00FF5C8A">
            <w:pPr>
              <w:jc w:val="center"/>
            </w:pPr>
            <w:r w:rsidRPr="24B852B7">
              <w:rPr>
                <w:rFonts w:ascii="Calibri" w:eastAsia="Calibri" w:hAnsi="Calibri" w:cs="Calibri"/>
                <w:color w:val="000000" w:themeColor="text1"/>
                <w:sz w:val="18"/>
                <w:szCs w:val="18"/>
              </w:rPr>
              <w:t>-2.828,50</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A0769F5" w14:textId="1F9A8751" w:rsidR="00FF5C8A" w:rsidRDefault="00FF5C8A" w:rsidP="00FF5C8A">
            <w:pPr>
              <w:jc w:val="center"/>
            </w:pPr>
            <w:r w:rsidRPr="24B852B7">
              <w:rPr>
                <w:rFonts w:ascii="Calibri" w:eastAsia="Calibri" w:hAnsi="Calibri" w:cs="Calibri"/>
                <w:color w:val="000000" w:themeColor="text1"/>
                <w:sz w:val="18"/>
                <w:szCs w:val="18"/>
              </w:rPr>
              <w:t>-</w:t>
            </w:r>
          </w:p>
        </w:tc>
        <w:tc>
          <w:tcPr>
            <w:tcW w:w="141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B032CC1" w14:textId="3B207CF3" w:rsidR="00FF5C8A" w:rsidRDefault="00FF5C8A" w:rsidP="00FF5C8A">
            <w:pPr>
              <w:jc w:val="center"/>
            </w:pPr>
            <w:r w:rsidRPr="24B852B7">
              <w:rPr>
                <w:rFonts w:ascii="Calibri" w:eastAsia="Calibri" w:hAnsi="Calibri" w:cs="Calibri"/>
                <w:color w:val="000000" w:themeColor="text1"/>
                <w:sz w:val="18"/>
                <w:szCs w:val="18"/>
              </w:rPr>
              <w:t>-</w:t>
            </w:r>
          </w:p>
        </w:tc>
      </w:tr>
      <w:tr w:rsidR="00FF5C8A" w14:paraId="14F5E55A" w14:textId="77777777" w:rsidTr="00C154EA">
        <w:trPr>
          <w:trHeight w:hRule="exact" w:val="284"/>
        </w:trPr>
        <w:tc>
          <w:tcPr>
            <w:tcW w:w="1689"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C0FC33" w14:textId="77777777" w:rsidR="00FF5C8A" w:rsidRDefault="00FF5C8A" w:rsidP="00FF5C8A"/>
        </w:tc>
        <w:tc>
          <w:tcPr>
            <w:tcW w:w="3509"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183F4D" w14:textId="77777777" w:rsidR="00FF5C8A" w:rsidRDefault="00FF5C8A" w:rsidP="00FF5C8A"/>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AD31976" w14:textId="2A2C1810" w:rsidR="00FF5C8A" w:rsidRPr="24B852B7" w:rsidRDefault="00FF5C8A" w:rsidP="00FF5C8A">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418" w:type="dxa"/>
            <w:tcBorders>
              <w:top w:val="single" w:sz="8" w:space="0" w:color="BFBFBF" w:themeColor="background1" w:themeShade="BF"/>
              <w:left w:val="single" w:sz="4" w:space="0" w:color="D9D9D9" w:themeColor="background1" w:themeShade="D9"/>
              <w:bottom w:val="single" w:sz="4" w:space="0" w:color="D9D9D9" w:themeColor="background1" w:themeShade="D9"/>
              <w:right w:val="single" w:sz="8" w:space="0" w:color="BFBFBF" w:themeColor="background1" w:themeShade="BF"/>
            </w:tcBorders>
            <w:shd w:val="clear" w:color="auto" w:fill="F2F2F2" w:themeFill="background1" w:themeFillShade="F2"/>
            <w:vAlign w:val="center"/>
          </w:tcPr>
          <w:p w14:paraId="3E755DC5" w14:textId="5E4226B0" w:rsidR="00FF5C8A" w:rsidRDefault="00FF5C8A" w:rsidP="00FF5C8A">
            <w:pPr>
              <w:jc w:val="center"/>
            </w:pPr>
            <w:r w:rsidRPr="24B852B7">
              <w:rPr>
                <w:rFonts w:ascii="Calibri" w:eastAsia="Calibri" w:hAnsi="Calibri" w:cs="Calibri"/>
                <w:color w:val="000000" w:themeColor="text1"/>
                <w:sz w:val="18"/>
                <w:szCs w:val="18"/>
              </w:rPr>
              <w:t>5,72</w:t>
            </w:r>
          </w:p>
        </w:tc>
        <w:tc>
          <w:tcPr>
            <w:tcW w:w="1417" w:type="dxa"/>
            <w:tcBorders>
              <w:top w:val="single" w:sz="8" w:space="0" w:color="BFBFBF" w:themeColor="background1" w:themeShade="BF"/>
              <w:left w:val="single" w:sz="8" w:space="0" w:color="BFBFBF" w:themeColor="background1" w:themeShade="BF"/>
              <w:bottom w:val="single" w:sz="4" w:space="0" w:color="D9D9D9" w:themeColor="background1" w:themeShade="D9"/>
              <w:right w:val="single" w:sz="8" w:space="0" w:color="BFBFBF" w:themeColor="background1" w:themeShade="BF"/>
            </w:tcBorders>
            <w:shd w:val="clear" w:color="auto" w:fill="F2F2F2" w:themeFill="background1" w:themeFillShade="F2"/>
            <w:vAlign w:val="center"/>
          </w:tcPr>
          <w:p w14:paraId="5208041F" w14:textId="3CB38592" w:rsidR="00FF5C8A" w:rsidRDefault="00FF5C8A" w:rsidP="00FF5C8A">
            <w:pPr>
              <w:jc w:val="center"/>
            </w:pPr>
            <w:r w:rsidRPr="24B852B7">
              <w:rPr>
                <w:rFonts w:ascii="Calibri" w:eastAsia="Calibri" w:hAnsi="Calibri" w:cs="Calibri"/>
                <w:color w:val="000000" w:themeColor="text1"/>
                <w:sz w:val="18"/>
                <w:szCs w:val="18"/>
              </w:rPr>
              <w:t>-</w:t>
            </w:r>
          </w:p>
        </w:tc>
        <w:tc>
          <w:tcPr>
            <w:tcW w:w="1418" w:type="dxa"/>
            <w:gridSpan w:val="2"/>
            <w:tcBorders>
              <w:top w:val="single" w:sz="8" w:space="0" w:color="BFBFBF" w:themeColor="background1" w:themeShade="BF"/>
              <w:left w:val="single" w:sz="8" w:space="0" w:color="BFBFBF" w:themeColor="background1" w:themeShade="BF"/>
              <w:bottom w:val="single" w:sz="4" w:space="0" w:color="D9D9D9" w:themeColor="background1" w:themeShade="D9"/>
              <w:right w:val="single" w:sz="8" w:space="0" w:color="BFBFBF" w:themeColor="background1" w:themeShade="BF"/>
            </w:tcBorders>
            <w:shd w:val="clear" w:color="auto" w:fill="F2F2F2" w:themeFill="background1" w:themeFillShade="F2"/>
            <w:vAlign w:val="center"/>
          </w:tcPr>
          <w:p w14:paraId="4131650A" w14:textId="4E17FB05" w:rsidR="00FF5C8A" w:rsidRDefault="00FF5C8A" w:rsidP="00FF5C8A">
            <w:pPr>
              <w:jc w:val="center"/>
            </w:pPr>
            <w:r w:rsidRPr="24B852B7">
              <w:rPr>
                <w:rFonts w:ascii="Calibri" w:eastAsia="Calibri" w:hAnsi="Calibri" w:cs="Calibri"/>
                <w:color w:val="000000" w:themeColor="text1"/>
                <w:sz w:val="18"/>
                <w:szCs w:val="18"/>
              </w:rPr>
              <w:t>-</w:t>
            </w:r>
          </w:p>
        </w:tc>
      </w:tr>
      <w:tr w:rsidR="00FF5C8A" w14:paraId="4531BFD3" w14:textId="77777777" w:rsidTr="00C154EA">
        <w:trPr>
          <w:trHeight w:hRule="exact" w:val="284"/>
        </w:trPr>
        <w:tc>
          <w:tcPr>
            <w:tcW w:w="1689" w:type="dxa"/>
            <w:gridSpan w:val="2"/>
            <w:vMerge w:val="restart"/>
            <w:tcBorders>
              <w:top w:val="single" w:sz="4" w:space="0" w:color="D9D9D9" w:themeColor="background1" w:themeShade="D9"/>
              <w:left w:val="nil"/>
              <w:bottom w:val="nil"/>
              <w:right w:val="nil"/>
            </w:tcBorders>
            <w:shd w:val="clear" w:color="auto" w:fill="808080" w:themeFill="background1" w:themeFillShade="80"/>
            <w:vAlign w:val="center"/>
          </w:tcPr>
          <w:p w14:paraId="09FEA198" w14:textId="37C39FD0" w:rsidR="00FF5C8A" w:rsidRDefault="00FF5C8A" w:rsidP="00FF5C8A">
            <w:pPr>
              <w:jc w:val="center"/>
            </w:pPr>
            <w:r w:rsidRPr="24B852B7">
              <w:rPr>
                <w:rFonts w:ascii="Calibri" w:eastAsia="Calibri" w:hAnsi="Calibri" w:cs="Calibri"/>
                <w:b/>
                <w:bCs/>
                <w:color w:val="FFFFFF" w:themeColor="background1"/>
                <w:sz w:val="18"/>
                <w:szCs w:val="18"/>
              </w:rPr>
              <w:t>Total</w:t>
            </w:r>
          </w:p>
        </w:tc>
        <w:tc>
          <w:tcPr>
            <w:tcW w:w="3509" w:type="dxa"/>
            <w:gridSpan w:val="2"/>
            <w:tcBorders>
              <w:top w:val="single" w:sz="4" w:space="0" w:color="D9D9D9" w:themeColor="background1" w:themeShade="D9"/>
              <w:left w:val="single" w:sz="8" w:space="0" w:color="BFBFBF" w:themeColor="background1" w:themeShade="BF"/>
              <w:right w:val="single" w:sz="4" w:space="0" w:color="D9D9D9" w:themeColor="background1" w:themeShade="D9"/>
            </w:tcBorders>
            <w:shd w:val="clear" w:color="auto" w:fill="808080" w:themeFill="background1" w:themeFillShade="80"/>
            <w:vAlign w:val="center"/>
          </w:tcPr>
          <w:p w14:paraId="34BB0D30" w14:textId="368D8B24" w:rsidR="00FF5C8A" w:rsidRDefault="00FF5C8A" w:rsidP="00FF5C8A">
            <w:r w:rsidRPr="24B852B7">
              <w:rPr>
                <w:rFonts w:ascii="Calibri" w:eastAsia="Calibri" w:hAnsi="Calibri" w:cs="Calibri"/>
                <w:b/>
                <w:bCs/>
                <w:color w:val="FFFFFF" w:themeColor="background1"/>
                <w:sz w:val="18"/>
                <w:szCs w:val="18"/>
              </w:rPr>
              <w:t xml:space="preserve"> </w:t>
            </w:r>
          </w:p>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tcPr>
          <w:p w14:paraId="1F68241E" w14:textId="144259BD" w:rsidR="00FF5C8A" w:rsidRDefault="00FF5C8A" w:rsidP="00FF5C8A">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E</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5B3F2FEE" w14:textId="51BECA6A" w:rsidR="00FF5C8A" w:rsidRDefault="00FF5C8A" w:rsidP="00FF5C8A">
            <w:pPr>
              <w:jc w:val="center"/>
            </w:pPr>
            <w:r w:rsidRPr="24B852B7">
              <w:rPr>
                <w:rFonts w:ascii="Calibri" w:eastAsia="Calibri" w:hAnsi="Calibri" w:cs="Calibri"/>
                <w:b/>
                <w:bCs/>
                <w:color w:val="FFFFFF" w:themeColor="background1"/>
                <w:sz w:val="18"/>
                <w:szCs w:val="18"/>
              </w:rPr>
              <w:t>-17.744,79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6DD7F680" w14:textId="4B5F7DE5" w:rsidR="00FF5C8A" w:rsidRDefault="00FF5C8A" w:rsidP="00FF5C8A">
            <w:pPr>
              <w:jc w:val="center"/>
            </w:pPr>
            <w:r w:rsidRPr="24B852B7">
              <w:rPr>
                <w:rFonts w:ascii="Calibri" w:eastAsia="Calibri" w:hAnsi="Calibri" w:cs="Calibri"/>
                <w:b/>
                <w:bCs/>
                <w:color w:val="FFFFFF" w:themeColor="background1"/>
                <w:sz w:val="18"/>
                <w:szCs w:val="18"/>
              </w:rPr>
              <w:t>-368,73</w:t>
            </w:r>
          </w:p>
        </w:tc>
        <w:tc>
          <w:tcPr>
            <w:tcW w:w="141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5CFB5135" w14:textId="16DA8745" w:rsidR="00FF5C8A" w:rsidRDefault="00FF5C8A" w:rsidP="00FF5C8A">
            <w:pPr>
              <w:jc w:val="center"/>
            </w:pPr>
            <w:r w:rsidRPr="24B852B7">
              <w:rPr>
                <w:rFonts w:ascii="Calibri" w:eastAsia="Calibri" w:hAnsi="Calibri" w:cs="Calibri"/>
                <w:b/>
                <w:bCs/>
                <w:color w:val="FFFFFF" w:themeColor="background1"/>
                <w:sz w:val="18"/>
                <w:szCs w:val="18"/>
              </w:rPr>
              <w:t>1.362,87</w:t>
            </w:r>
          </w:p>
        </w:tc>
      </w:tr>
      <w:tr w:rsidR="00FF5C8A" w14:paraId="318C80C1" w14:textId="77777777" w:rsidTr="00BF650D">
        <w:trPr>
          <w:trHeight w:hRule="exact" w:val="284"/>
        </w:trPr>
        <w:tc>
          <w:tcPr>
            <w:tcW w:w="1689" w:type="dxa"/>
            <w:gridSpan w:val="2"/>
            <w:vMerge/>
            <w:vAlign w:val="center"/>
          </w:tcPr>
          <w:p w14:paraId="5563BA19" w14:textId="77777777" w:rsidR="00FF5C8A" w:rsidRDefault="00FF5C8A" w:rsidP="00FF5C8A"/>
        </w:tc>
        <w:tc>
          <w:tcPr>
            <w:tcW w:w="3509" w:type="dxa"/>
            <w:gridSpan w:val="2"/>
            <w:tcBorders>
              <w:left w:val="single" w:sz="8" w:space="0" w:color="BFBFBF" w:themeColor="background1" w:themeShade="BF"/>
              <w:right w:val="single" w:sz="4" w:space="0" w:color="D9D9D9" w:themeColor="background1" w:themeShade="D9"/>
            </w:tcBorders>
            <w:shd w:val="clear" w:color="auto" w:fill="808080" w:themeFill="background1" w:themeFillShade="80"/>
            <w:vAlign w:val="center"/>
          </w:tcPr>
          <w:p w14:paraId="6D0AB7A8" w14:textId="25F0F9C2" w:rsidR="00FF5C8A" w:rsidRDefault="00FF5C8A" w:rsidP="00FF5C8A">
            <w:r w:rsidRPr="24B852B7">
              <w:rPr>
                <w:rFonts w:ascii="Calibri" w:eastAsia="Calibri" w:hAnsi="Calibri" w:cs="Calibri"/>
                <w:b/>
                <w:bCs/>
                <w:color w:val="FFFFFF" w:themeColor="background1"/>
                <w:sz w:val="18"/>
                <w:szCs w:val="18"/>
              </w:rPr>
              <w:t xml:space="preserve"> </w:t>
            </w:r>
          </w:p>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tcPr>
          <w:p w14:paraId="76916B82" w14:textId="507959F0" w:rsidR="00FF5C8A" w:rsidRDefault="00FF5C8A" w:rsidP="00FF5C8A">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R</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60D39D94" w14:textId="783A7B19" w:rsidR="00FF5C8A" w:rsidRDefault="00FF5C8A" w:rsidP="00FF5C8A">
            <w:pPr>
              <w:jc w:val="center"/>
            </w:pPr>
            <w:r w:rsidRPr="24B852B7">
              <w:rPr>
                <w:rFonts w:ascii="Calibri" w:eastAsia="Calibri" w:hAnsi="Calibri" w:cs="Calibri"/>
                <w:b/>
                <w:bCs/>
                <w:color w:val="FFFFFF" w:themeColor="background1"/>
                <w:sz w:val="18"/>
                <w:szCs w:val="18"/>
              </w:rPr>
              <w:t>-21.720,76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26CBE000" w14:textId="0905C583" w:rsidR="00FF5C8A" w:rsidRDefault="00FF5C8A" w:rsidP="00FF5C8A">
            <w:pPr>
              <w:jc w:val="center"/>
            </w:pPr>
          </w:p>
        </w:tc>
        <w:tc>
          <w:tcPr>
            <w:tcW w:w="141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7210C361" w14:textId="3D76EC23" w:rsidR="00FF5C8A" w:rsidRDefault="00FF5C8A" w:rsidP="00FF5C8A">
            <w:pPr>
              <w:jc w:val="center"/>
            </w:pPr>
          </w:p>
        </w:tc>
      </w:tr>
      <w:tr w:rsidR="00FF5C8A" w14:paraId="3263AB8E" w14:textId="77777777" w:rsidTr="00BF650D">
        <w:trPr>
          <w:trHeight w:hRule="exact" w:val="284"/>
        </w:trPr>
        <w:tc>
          <w:tcPr>
            <w:tcW w:w="1689" w:type="dxa"/>
            <w:gridSpan w:val="2"/>
            <w:tcBorders>
              <w:left w:val="nil"/>
              <w:bottom w:val="single" w:sz="8" w:space="0" w:color="BFBFBF" w:themeColor="background1" w:themeShade="BF"/>
              <w:right w:val="single" w:sz="8" w:space="0" w:color="BFBFBF" w:themeColor="background1" w:themeShade="BF"/>
            </w:tcBorders>
            <w:shd w:val="clear" w:color="auto" w:fill="808080" w:themeFill="background1" w:themeFillShade="80"/>
            <w:vAlign w:val="center"/>
          </w:tcPr>
          <w:p w14:paraId="41F82426" w14:textId="22894171" w:rsidR="00FF5C8A" w:rsidRDefault="00FF5C8A" w:rsidP="00FF5C8A">
            <w:pPr>
              <w:jc w:val="center"/>
            </w:pPr>
            <w:r w:rsidRPr="24B852B7">
              <w:rPr>
                <w:rFonts w:ascii="Calibri" w:eastAsia="Calibri" w:hAnsi="Calibri" w:cs="Calibri"/>
                <w:b/>
                <w:bCs/>
                <w:color w:val="FFFFFF" w:themeColor="background1"/>
                <w:sz w:val="18"/>
                <w:szCs w:val="18"/>
              </w:rPr>
              <w:t xml:space="preserve"> </w:t>
            </w:r>
          </w:p>
        </w:tc>
        <w:tc>
          <w:tcPr>
            <w:tcW w:w="3509" w:type="dxa"/>
            <w:gridSpan w:val="2"/>
            <w:tcBorders>
              <w:left w:val="single" w:sz="8" w:space="0" w:color="BFBFBF" w:themeColor="background1" w:themeShade="BF"/>
              <w:right w:val="single" w:sz="4" w:space="0" w:color="D9D9D9" w:themeColor="background1" w:themeShade="D9"/>
            </w:tcBorders>
            <w:shd w:val="clear" w:color="auto" w:fill="808080" w:themeFill="background1" w:themeFillShade="80"/>
            <w:vAlign w:val="center"/>
          </w:tcPr>
          <w:p w14:paraId="27BFBFEB" w14:textId="7C2B2BD4" w:rsidR="00FF5C8A" w:rsidRDefault="00FF5C8A" w:rsidP="00FF5C8A">
            <w:r w:rsidRPr="24B852B7">
              <w:rPr>
                <w:rFonts w:ascii="Calibri" w:eastAsia="Calibri" w:hAnsi="Calibri" w:cs="Calibri"/>
                <w:b/>
                <w:bCs/>
                <w:color w:val="FFFFFF" w:themeColor="background1"/>
                <w:sz w:val="18"/>
                <w:szCs w:val="18"/>
              </w:rPr>
              <w:t xml:space="preserve"> </w:t>
            </w:r>
          </w:p>
        </w:tc>
        <w:tc>
          <w:tcPr>
            <w:tcW w:w="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tcPr>
          <w:p w14:paraId="35AEA0F1" w14:textId="5A7C2174" w:rsidR="00FF5C8A" w:rsidRDefault="00FF5C8A" w:rsidP="00FF5C8A">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2F51A936" w14:textId="79E0872C" w:rsidR="00FF5C8A" w:rsidRDefault="00FF5C8A" w:rsidP="00FF5C8A">
            <w:pPr>
              <w:jc w:val="center"/>
            </w:pPr>
            <w:r w:rsidRPr="24B852B7">
              <w:rPr>
                <w:rFonts w:ascii="Calibri" w:eastAsia="Calibri" w:hAnsi="Calibri" w:cs="Calibri"/>
                <w:b/>
                <w:bCs/>
                <w:color w:val="FFFFFF" w:themeColor="background1"/>
                <w:sz w:val="18"/>
                <w:szCs w:val="18"/>
              </w:rPr>
              <w:t>22,41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40F3808C" w14:textId="164DC160" w:rsidR="00FF5C8A" w:rsidRDefault="00FF5C8A" w:rsidP="00FF5C8A">
            <w:pPr>
              <w:jc w:val="center"/>
            </w:pPr>
          </w:p>
        </w:tc>
        <w:tc>
          <w:tcPr>
            <w:tcW w:w="141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4C95B4FA" w14:textId="40003E5E" w:rsidR="00FF5C8A" w:rsidRDefault="00FF5C8A" w:rsidP="00FF5C8A">
            <w:pPr>
              <w:jc w:val="center"/>
            </w:pPr>
          </w:p>
        </w:tc>
      </w:tr>
      <w:tr w:rsidR="00AE0B00" w14:paraId="1ED72E3B" w14:textId="77777777" w:rsidTr="00AC612A">
        <w:trPr>
          <w:gridAfter w:val="1"/>
          <w:wAfter w:w="142" w:type="dxa"/>
          <w:trHeight w:val="20"/>
        </w:trPr>
        <w:tc>
          <w:tcPr>
            <w:tcW w:w="236" w:type="dxa"/>
            <w:tcBorders>
              <w:left w:val="nil"/>
            </w:tcBorders>
          </w:tcPr>
          <w:p w14:paraId="7202EC04" w14:textId="77777777" w:rsidR="00FF5C8A" w:rsidRPr="003546AF" w:rsidRDefault="00FF5C8A" w:rsidP="00FF5C8A">
            <w:pPr>
              <w:spacing w:after="0"/>
              <w:jc w:val="both"/>
              <w:rPr>
                <w:rFonts w:ascii="Calibri" w:eastAsia="Calibri" w:hAnsi="Calibri" w:cs="Calibri"/>
                <w:i/>
                <w:color w:val="000000" w:themeColor="text1"/>
                <w:sz w:val="16"/>
                <w:szCs w:val="16"/>
                <w:vertAlign w:val="superscript"/>
              </w:rPr>
            </w:pPr>
          </w:p>
        </w:tc>
        <w:tc>
          <w:tcPr>
            <w:tcW w:w="9545" w:type="dxa"/>
            <w:gridSpan w:val="7"/>
            <w:tcBorders>
              <w:left w:val="nil"/>
            </w:tcBorders>
            <w:vAlign w:val="center"/>
          </w:tcPr>
          <w:p w14:paraId="44454A5C" w14:textId="6EB0998D" w:rsidR="00FF5C8A" w:rsidRPr="00AA23E7" w:rsidRDefault="00FF5C8A" w:rsidP="00AC612A">
            <w:pPr>
              <w:spacing w:after="0"/>
              <w:ind w:hanging="63"/>
              <w:jc w:val="both"/>
              <w:rPr>
                <w:rFonts w:ascii="Calibri" w:eastAsia="Calibri" w:hAnsi="Calibri" w:cs="Calibri"/>
                <w:i/>
                <w:color w:val="000000" w:themeColor="text1"/>
                <w:sz w:val="18"/>
                <w:szCs w:val="18"/>
              </w:rPr>
            </w:pPr>
            <w:proofErr w:type="gramStart"/>
            <w:r w:rsidRPr="00AA23E7">
              <w:rPr>
                <w:rFonts w:ascii="Calibri" w:eastAsia="Calibri" w:hAnsi="Calibri" w:cs="Calibri"/>
                <w:i/>
                <w:color w:val="000000" w:themeColor="text1"/>
                <w:sz w:val="18"/>
                <w:szCs w:val="18"/>
                <w:vertAlign w:val="superscript"/>
              </w:rPr>
              <w:t>1</w:t>
            </w:r>
            <w:proofErr w:type="gramEnd"/>
            <w:r w:rsidRPr="00AA23E7">
              <w:rPr>
                <w:rFonts w:ascii="Calibri" w:eastAsia="Calibri" w:hAnsi="Calibri" w:cs="Calibri"/>
                <w:i/>
                <w:color w:val="000000" w:themeColor="text1"/>
                <w:sz w:val="18"/>
                <w:szCs w:val="18"/>
              </w:rPr>
              <w:t xml:space="preserve"> Impactos decorrentes da adesão de Estados e Municípios à LC nº 173/2020, conforme dispositivos:  Art. 2º, § 1º, Inciso I da LC nº 173/2020, e Art. 2º, § 4º, da LC nº 173/2020.</w:t>
            </w:r>
          </w:p>
        </w:tc>
      </w:tr>
      <w:tr w:rsidR="00AE0B00" w14:paraId="5CB3A6E0" w14:textId="77777777" w:rsidTr="00AC612A">
        <w:trPr>
          <w:gridAfter w:val="1"/>
          <w:wAfter w:w="142" w:type="dxa"/>
          <w:trHeight w:val="20"/>
        </w:trPr>
        <w:tc>
          <w:tcPr>
            <w:tcW w:w="236" w:type="dxa"/>
          </w:tcPr>
          <w:p w14:paraId="74B5EE5C" w14:textId="77777777" w:rsidR="00FF5C8A" w:rsidRPr="003546AF" w:rsidRDefault="00FF5C8A" w:rsidP="00FF5C8A">
            <w:pPr>
              <w:spacing w:after="0"/>
              <w:jc w:val="both"/>
              <w:rPr>
                <w:rFonts w:ascii="Calibri" w:eastAsia="Calibri" w:hAnsi="Calibri" w:cs="Calibri"/>
                <w:b/>
                <w:i/>
                <w:color w:val="000000" w:themeColor="text1"/>
                <w:sz w:val="16"/>
                <w:szCs w:val="16"/>
              </w:rPr>
            </w:pPr>
          </w:p>
        </w:tc>
        <w:tc>
          <w:tcPr>
            <w:tcW w:w="9545" w:type="dxa"/>
            <w:gridSpan w:val="7"/>
            <w:vAlign w:val="center"/>
          </w:tcPr>
          <w:p w14:paraId="2FD1533F" w14:textId="1CE0BCC1" w:rsidR="00FF5C8A" w:rsidRPr="00AA23E7" w:rsidRDefault="00FF5C8A" w:rsidP="00AC612A">
            <w:pPr>
              <w:spacing w:after="0"/>
              <w:ind w:hanging="63"/>
              <w:jc w:val="both"/>
              <w:rPr>
                <w:rFonts w:ascii="Calibri" w:eastAsia="Calibri" w:hAnsi="Calibri" w:cs="Calibri"/>
                <w:i/>
                <w:color w:val="000000" w:themeColor="text1"/>
                <w:sz w:val="18"/>
                <w:szCs w:val="18"/>
              </w:rPr>
            </w:pPr>
            <w:r w:rsidRPr="00AA23E7">
              <w:rPr>
                <w:rFonts w:ascii="Calibri" w:eastAsia="Calibri" w:hAnsi="Calibri" w:cs="Calibri"/>
                <w:b/>
                <w:i/>
                <w:color w:val="000000" w:themeColor="text1"/>
                <w:sz w:val="18"/>
                <w:szCs w:val="18"/>
              </w:rPr>
              <w:t>Fonte e elaboração</w:t>
            </w:r>
            <w:r w:rsidRPr="00AA23E7">
              <w:rPr>
                <w:rFonts w:ascii="Calibri" w:eastAsia="Calibri" w:hAnsi="Calibri" w:cs="Calibri"/>
                <w:i/>
                <w:color w:val="000000" w:themeColor="text1"/>
                <w:sz w:val="18"/>
                <w:szCs w:val="18"/>
              </w:rPr>
              <w:t>: STN/ME.</w:t>
            </w:r>
          </w:p>
          <w:p w14:paraId="1F6FF5C4" w14:textId="528E153B" w:rsidR="00FF5C8A" w:rsidRPr="00AA23E7" w:rsidRDefault="00FF5C8A" w:rsidP="00AC612A">
            <w:pPr>
              <w:spacing w:after="0"/>
              <w:ind w:hanging="63"/>
              <w:jc w:val="both"/>
              <w:rPr>
                <w:rFonts w:ascii="Calibri" w:eastAsia="Calibri" w:hAnsi="Calibri" w:cs="Calibri"/>
                <w:i/>
                <w:color w:val="000000" w:themeColor="text1"/>
                <w:sz w:val="18"/>
                <w:szCs w:val="18"/>
              </w:rPr>
            </w:pPr>
          </w:p>
        </w:tc>
      </w:tr>
    </w:tbl>
    <w:p w14:paraId="7CCBA973" w14:textId="6E5D5C2C" w:rsidR="00784F58" w:rsidRDefault="4C66EB37" w:rsidP="004127BD">
      <w:pPr>
        <w:spacing w:after="120" w:line="240" w:lineRule="auto"/>
        <w:ind w:firstLine="1418"/>
        <w:jc w:val="both"/>
      </w:pPr>
      <w:r w:rsidRPr="24B852B7">
        <w:rPr>
          <w:rFonts w:ascii="Calibri" w:eastAsia="Calibri" w:hAnsi="Calibri" w:cs="Calibri"/>
          <w:color w:val="000000" w:themeColor="text1"/>
          <w:sz w:val="24"/>
          <w:szCs w:val="24"/>
        </w:rPr>
        <w:t>Cabe ressaltar que os impactos da LC nº 173/2020 abrangem todas as dívidas dos Estados e Municípios, inclusive considerando o rompimento do teto de gastos para os mesmos. Contudo, o impacto da referida LC, na prática, não ocorreu para os Estados de Goiás, Minas Gerais e Rio Grande do Sul, visto que suas dívidas já estavam em suspenso, por conta de liminares judiciais.</w:t>
      </w:r>
    </w:p>
    <w:p w14:paraId="063B4A08" w14:textId="27AF4716" w:rsidR="00784F58" w:rsidRDefault="00784F58" w:rsidP="24B852B7">
      <w:pPr>
        <w:spacing w:after="120" w:line="240" w:lineRule="auto"/>
        <w:ind w:firstLine="1418"/>
        <w:jc w:val="both"/>
        <w:rPr>
          <w:rFonts w:cs="Times New Roman"/>
          <w:sz w:val="24"/>
          <w:szCs w:val="24"/>
          <w:lang w:eastAsia="pt-BR"/>
        </w:rPr>
      </w:pPr>
    </w:p>
    <w:p w14:paraId="30DB10B7" w14:textId="2D20220D" w:rsidR="00784F58" w:rsidRDefault="4C66EB37" w:rsidP="24B852B7">
      <w:pPr>
        <w:pStyle w:val="PargrafodaLista"/>
        <w:numPr>
          <w:ilvl w:val="0"/>
          <w:numId w:val="3"/>
        </w:numPr>
        <w:spacing w:before="240" w:after="120" w:line="240" w:lineRule="auto"/>
        <w:jc w:val="both"/>
        <w:rPr>
          <w:rFonts w:eastAsiaTheme="minorEastAsia"/>
          <w:i/>
          <w:iCs/>
          <w:color w:val="000000" w:themeColor="text1"/>
          <w:sz w:val="24"/>
          <w:szCs w:val="24"/>
          <w:lang w:eastAsia="pt-BR"/>
        </w:rPr>
      </w:pPr>
      <w:r w:rsidRPr="24B852B7">
        <w:rPr>
          <w:rFonts w:cs="Times New Roman"/>
          <w:i/>
          <w:iCs/>
          <w:sz w:val="24"/>
          <w:szCs w:val="24"/>
          <w:lang w:eastAsia="pt-BR"/>
        </w:rPr>
        <w:t xml:space="preserve">  Lei Complementar nº 178/2021 – Estabelece o Programa de Acompanhamento e Transparência Fiscal e o Plano de Promoção do Equilíbrio Fiscal, alterando dispositivos das Leis Complementares </w:t>
      </w:r>
      <w:proofErr w:type="spellStart"/>
      <w:r w:rsidRPr="24B852B7">
        <w:rPr>
          <w:rFonts w:cs="Times New Roman"/>
          <w:i/>
          <w:iCs/>
          <w:sz w:val="24"/>
          <w:szCs w:val="24"/>
          <w:lang w:eastAsia="pt-BR"/>
        </w:rPr>
        <w:t>nºs</w:t>
      </w:r>
      <w:proofErr w:type="spellEnd"/>
      <w:r w:rsidRPr="24B852B7">
        <w:rPr>
          <w:rFonts w:cs="Times New Roman"/>
          <w:i/>
          <w:iCs/>
          <w:sz w:val="24"/>
          <w:szCs w:val="24"/>
          <w:lang w:eastAsia="pt-BR"/>
        </w:rPr>
        <w:t xml:space="preserve"> 156/16, 159/17, 173/21, da Lei nº 9.496/1997 e da MP nº 2.185/2001, entre outras </w:t>
      </w:r>
      <w:proofErr w:type="gramStart"/>
      <w:r w:rsidRPr="24B852B7">
        <w:rPr>
          <w:rFonts w:cs="Times New Roman"/>
          <w:i/>
          <w:iCs/>
          <w:sz w:val="24"/>
          <w:szCs w:val="24"/>
          <w:lang w:eastAsia="pt-BR"/>
        </w:rPr>
        <w:t>providências</w:t>
      </w:r>
      <w:proofErr w:type="gramEnd"/>
    </w:p>
    <w:p w14:paraId="1847AD8C" w14:textId="6E160832" w:rsidR="00784F58" w:rsidRDefault="4C66EB37" w:rsidP="004127BD">
      <w:pPr>
        <w:spacing w:after="120" w:line="240" w:lineRule="auto"/>
        <w:ind w:firstLine="1418"/>
        <w:jc w:val="both"/>
      </w:pPr>
      <w:r w:rsidRPr="24B852B7">
        <w:rPr>
          <w:rFonts w:ascii="Calibri" w:eastAsia="Calibri" w:hAnsi="Calibri" w:cs="Calibri"/>
          <w:color w:val="000000" w:themeColor="text1"/>
          <w:sz w:val="24"/>
          <w:szCs w:val="24"/>
        </w:rPr>
        <w:t>A Lei Complementar nº 178, de 13/1/2021 - LC nº 178/2021 instituiu Programa de Acompanhamento e Transparência Fiscal, o qual tem por objetivo reforçar a transparência fiscal dos Estados, do Distrito Federal e dos Municípios e compatibilizar as respectivas políticas fiscais com a da União. No caso, o Programa poderá estabelecer metas e compromissos para os Estados, Municípios e Distrito Federal, sendo que os entes que efetuarem sua adesão</w:t>
      </w:r>
      <w:proofErr w:type="gramStart"/>
      <w:r w:rsidRPr="24B852B7">
        <w:rPr>
          <w:rFonts w:ascii="Calibri" w:eastAsia="Calibri" w:hAnsi="Calibri" w:cs="Calibri"/>
          <w:color w:val="000000" w:themeColor="text1"/>
          <w:sz w:val="24"/>
          <w:szCs w:val="24"/>
        </w:rPr>
        <w:t>, deverão</w:t>
      </w:r>
      <w:proofErr w:type="gramEnd"/>
      <w:r w:rsidRPr="24B852B7">
        <w:rPr>
          <w:rFonts w:ascii="Calibri" w:eastAsia="Calibri" w:hAnsi="Calibri" w:cs="Calibri"/>
          <w:color w:val="000000" w:themeColor="text1"/>
          <w:sz w:val="24"/>
          <w:szCs w:val="24"/>
        </w:rPr>
        <w:t xml:space="preserve"> firmar o compromisso de contrair novas dívidas exclusivamente em conformidade com os termos do referido Programa. Ademais, a adesão dos entes ao Programa de Acompanhamento e Transparência Fiscal será condição para a </w:t>
      </w:r>
      <w:proofErr w:type="spellStart"/>
      <w:r w:rsidRPr="24B852B7">
        <w:rPr>
          <w:rFonts w:ascii="Calibri" w:eastAsia="Calibri" w:hAnsi="Calibri" w:cs="Calibri"/>
          <w:color w:val="000000" w:themeColor="text1"/>
          <w:sz w:val="24"/>
          <w:szCs w:val="24"/>
        </w:rPr>
        <w:t>pactuação</w:t>
      </w:r>
      <w:proofErr w:type="spellEnd"/>
      <w:r w:rsidRPr="24B852B7">
        <w:rPr>
          <w:rFonts w:ascii="Calibri" w:eastAsia="Calibri" w:hAnsi="Calibri" w:cs="Calibri"/>
          <w:color w:val="000000" w:themeColor="text1"/>
          <w:sz w:val="24"/>
          <w:szCs w:val="24"/>
        </w:rPr>
        <w:t xml:space="preserve"> de Plano de Promoção do Equilíbrio Fiscal com a União.</w:t>
      </w:r>
    </w:p>
    <w:p w14:paraId="0E3F8741" w14:textId="7965321B" w:rsidR="00784F58" w:rsidRDefault="4C66EB37" w:rsidP="004127BD">
      <w:pPr>
        <w:spacing w:after="120" w:line="240" w:lineRule="auto"/>
        <w:ind w:firstLine="1418"/>
        <w:jc w:val="both"/>
      </w:pPr>
      <w:r w:rsidRPr="24B852B7">
        <w:rPr>
          <w:rFonts w:ascii="Calibri" w:eastAsia="Calibri" w:hAnsi="Calibri" w:cs="Calibri"/>
          <w:color w:val="000000" w:themeColor="text1"/>
          <w:sz w:val="24"/>
          <w:szCs w:val="24"/>
        </w:rPr>
        <w:t xml:space="preserve">Por sua vez, o Plano de Promoção do Equilíbrio Fiscal conterá conjunto de metas e de compromissos pactuados entre a União e cada Estado, o Distrito Federal ou cada Município, com o objetivo de promover o equilíbrio fiscal e a melhoria das respectivas capacidades de pagamento. O mencionado Plano terá vigência temporária, devendo conter, no mínimo, as metas de compromissos </w:t>
      </w:r>
      <w:r w:rsidRPr="24B852B7">
        <w:rPr>
          <w:rFonts w:ascii="Calibri" w:eastAsia="Calibri" w:hAnsi="Calibri" w:cs="Calibri"/>
          <w:color w:val="000000" w:themeColor="text1"/>
          <w:sz w:val="24"/>
          <w:szCs w:val="24"/>
        </w:rPr>
        <w:lastRenderedPageBreak/>
        <w:t>pactuados, e autorização para contratações de operações de crédito com garantia da União e as condições para liberação dos recursos financeiros.</w:t>
      </w:r>
    </w:p>
    <w:p w14:paraId="319073AF" w14:textId="637C04DF" w:rsidR="00784F58" w:rsidRDefault="4C66EB37" w:rsidP="004127BD">
      <w:pPr>
        <w:spacing w:after="120" w:line="240" w:lineRule="auto"/>
        <w:ind w:firstLine="1418"/>
        <w:jc w:val="both"/>
      </w:pPr>
      <w:r w:rsidRPr="24B852B7">
        <w:rPr>
          <w:rFonts w:ascii="Calibri" w:eastAsia="Calibri" w:hAnsi="Calibri" w:cs="Calibri"/>
          <w:color w:val="000000" w:themeColor="text1"/>
          <w:sz w:val="24"/>
          <w:szCs w:val="24"/>
        </w:rPr>
        <w:t xml:space="preserve">Dentre as principais inovações trazidas pela referida Lei Complementar, no tocante aos haveres da União junto a entes subnacionais, destacamos as alterações no mecanismo do Regime de Recuperação Fiscal – RRF, alterando dessa forma dispositivos contidos na LC nº 159/2017. Nesse sentido, o novo prazo de vigência do RRF será de até </w:t>
      </w:r>
      <w:proofErr w:type="gramStart"/>
      <w:r w:rsidRPr="24B852B7">
        <w:rPr>
          <w:rFonts w:ascii="Calibri" w:eastAsia="Calibri" w:hAnsi="Calibri" w:cs="Calibri"/>
          <w:color w:val="000000" w:themeColor="text1"/>
          <w:sz w:val="24"/>
          <w:szCs w:val="24"/>
        </w:rPr>
        <w:t>9</w:t>
      </w:r>
      <w:proofErr w:type="gramEnd"/>
      <w:r w:rsidRPr="24B852B7">
        <w:rPr>
          <w:rFonts w:ascii="Calibri" w:eastAsia="Calibri" w:hAnsi="Calibri" w:cs="Calibri"/>
          <w:color w:val="000000" w:themeColor="text1"/>
          <w:sz w:val="24"/>
          <w:szCs w:val="24"/>
        </w:rPr>
        <w:t xml:space="preserve"> (nove) exercícios financeiros, observadas as hipóteses de encerramento e de extinção do referido Regime, apresentadas no texto da própria LC.</w:t>
      </w:r>
    </w:p>
    <w:p w14:paraId="41F8D215" w14:textId="47DF66D1" w:rsidR="00784F58" w:rsidRDefault="4C66EB37" w:rsidP="004127BD">
      <w:pPr>
        <w:spacing w:after="120" w:line="240" w:lineRule="auto"/>
        <w:ind w:firstLine="1418"/>
        <w:jc w:val="both"/>
      </w:pPr>
      <w:r w:rsidRPr="24B852B7">
        <w:rPr>
          <w:rFonts w:ascii="Calibri" w:eastAsia="Calibri" w:hAnsi="Calibri" w:cs="Calibri"/>
          <w:color w:val="000000" w:themeColor="text1"/>
          <w:sz w:val="24"/>
          <w:szCs w:val="24"/>
        </w:rPr>
        <w:t>Durante a vigência do RRF, desde que assinado o contrato previsto no âmbito da referida LC e de acordo com o disposto em seu Art. 9º, a União:</w:t>
      </w:r>
    </w:p>
    <w:p w14:paraId="587B24E5" w14:textId="012B1F0B" w:rsidR="00784F58" w:rsidRDefault="016D5E74" w:rsidP="00DC0BA7">
      <w:pPr>
        <w:pStyle w:val="PargrafodaLista"/>
        <w:numPr>
          <w:ilvl w:val="0"/>
          <w:numId w:val="2"/>
        </w:numPr>
        <w:jc w:val="both"/>
        <w:rPr>
          <w:rFonts w:eastAsiaTheme="minorEastAsia"/>
          <w:sz w:val="24"/>
          <w:szCs w:val="24"/>
        </w:rPr>
      </w:pPr>
      <w:r w:rsidRPr="49345B49">
        <w:rPr>
          <w:sz w:val="24"/>
          <w:szCs w:val="24"/>
        </w:rPr>
        <w:t>C</w:t>
      </w:r>
      <w:r w:rsidR="4C66EB37" w:rsidRPr="00DC0BA7">
        <w:rPr>
          <w:sz w:val="24"/>
          <w:szCs w:val="24"/>
        </w:rPr>
        <w:t>oncederá redução extraordinária das prestações relativas aos contratos de dívidas administrados pela Secretaria do Tesouro Nacional do Ministério da Economia contratados em data anterior ao protocolo do pedido de adesão ao Regime de Recuperação Fiscal. Esse benefício será aplicado regressivamente no tempo, de tal forma que a relação entre os pagamentos do serviço das dívidas estaduais e os valores originalmente devidos das prestações dessas mesmas dívidas será zero no primeiro exercício e aumentará pelo menos 11,11 (onze inteiros e onze centésimos) pontos percentuais a cada exercício financeiro;</w:t>
      </w:r>
    </w:p>
    <w:p w14:paraId="75016CDF" w14:textId="13ADE4BD" w:rsidR="00784F58" w:rsidRDefault="7D83A7C2" w:rsidP="00DC0BA7">
      <w:pPr>
        <w:pStyle w:val="PargrafodaLista"/>
        <w:numPr>
          <w:ilvl w:val="0"/>
          <w:numId w:val="2"/>
        </w:numPr>
        <w:spacing w:after="0"/>
        <w:jc w:val="both"/>
        <w:rPr>
          <w:rFonts w:eastAsiaTheme="minorEastAsia"/>
          <w:color w:val="000000" w:themeColor="text1"/>
          <w:sz w:val="24"/>
          <w:szCs w:val="24"/>
        </w:rPr>
      </w:pPr>
      <w:r w:rsidRPr="49345B49">
        <w:rPr>
          <w:sz w:val="24"/>
          <w:szCs w:val="24"/>
        </w:rPr>
        <w:t>P</w:t>
      </w:r>
      <w:r w:rsidR="4C66EB37" w:rsidRPr="00DC0BA7">
        <w:rPr>
          <w:sz w:val="24"/>
          <w:szCs w:val="24"/>
        </w:rPr>
        <w:t xml:space="preserve">oderá pagar em nome do Estado, na data de seu vencimento, as prestações de operações de crédito com o sistema financeiro e instituições multilaterais, garantidas pela União, contempladas no pedido de adesão ao Regime de Recuperação Fiscal e contratadas em data anterior ao protocolo do referido pedido, sem executar as </w:t>
      </w:r>
      <w:proofErr w:type="spellStart"/>
      <w:r w:rsidR="4C66EB37" w:rsidRPr="00DC0BA7">
        <w:rPr>
          <w:sz w:val="24"/>
          <w:szCs w:val="24"/>
        </w:rPr>
        <w:t>contragarantias</w:t>
      </w:r>
      <w:proofErr w:type="spellEnd"/>
      <w:r w:rsidR="00113BE5">
        <w:rPr>
          <w:sz w:val="24"/>
          <w:szCs w:val="24"/>
        </w:rPr>
        <w:t xml:space="preserve"> </w:t>
      </w:r>
      <w:r w:rsidR="4C66EB37" w:rsidRPr="00DC0BA7">
        <w:rPr>
          <w:sz w:val="24"/>
          <w:szCs w:val="24"/>
        </w:rPr>
        <w:t>correspondentes. Por sua vez, esse benefício será aplicado regressivamente no tempo, de tal forma que a União pagará integralmente as parcelas devidas durante a vigência do Regime, mas a relação entre os valores recuperados por ela dos Estados e os valores originalmente devidos das prestações daquelas dívidas será zero no primeiro exercício e aumentará pelo menos 11,11 (onze inteiros e onze centésimos) pontos percentuais a cada exercício financeiro.</w:t>
      </w:r>
    </w:p>
    <w:p w14:paraId="18C8288C" w14:textId="656AF352" w:rsidR="00784F58" w:rsidRDefault="00784F58" w:rsidP="24B852B7">
      <w:pPr>
        <w:spacing w:after="0"/>
        <w:ind w:left="720"/>
        <w:jc w:val="both"/>
        <w:rPr>
          <w:rFonts w:ascii="Calibri" w:eastAsia="Calibri" w:hAnsi="Calibri" w:cs="Calibri"/>
          <w:color w:val="000000" w:themeColor="text1"/>
          <w:sz w:val="24"/>
          <w:szCs w:val="24"/>
        </w:rPr>
      </w:pPr>
    </w:p>
    <w:p w14:paraId="43915752" w14:textId="45111DD5" w:rsidR="00784F58" w:rsidRDefault="4C66EB37" w:rsidP="004127BD">
      <w:pPr>
        <w:spacing w:after="120" w:line="240" w:lineRule="auto"/>
        <w:ind w:firstLine="1418"/>
        <w:jc w:val="both"/>
      </w:pPr>
      <w:r w:rsidRPr="24B852B7">
        <w:rPr>
          <w:rFonts w:ascii="Calibri" w:eastAsia="Calibri" w:hAnsi="Calibri" w:cs="Calibri"/>
          <w:color w:val="000000" w:themeColor="text1"/>
          <w:sz w:val="24"/>
          <w:szCs w:val="24"/>
        </w:rPr>
        <w:t xml:space="preserve">A </w:t>
      </w:r>
      <w:r w:rsidR="00955265" w:rsidRPr="00955265">
        <w:rPr>
          <w:rFonts w:ascii="Calibri" w:eastAsia="Calibri" w:hAnsi="Calibri" w:cs="Calibri"/>
          <w:color w:val="000000" w:themeColor="text1"/>
          <w:sz w:val="24"/>
          <w:szCs w:val="24"/>
        </w:rPr>
        <w:fldChar w:fldCharType="begin"/>
      </w:r>
      <w:r w:rsidR="00955265" w:rsidRPr="00955265">
        <w:rPr>
          <w:rFonts w:ascii="Calibri" w:eastAsia="Calibri" w:hAnsi="Calibri" w:cs="Calibri"/>
          <w:color w:val="000000" w:themeColor="text1"/>
          <w:sz w:val="24"/>
          <w:szCs w:val="24"/>
        </w:rPr>
        <w:instrText xml:space="preserve"> REF _Ref67429541 \h  \* MERGEFORMAT </w:instrText>
      </w:r>
      <w:r w:rsidR="00955265" w:rsidRPr="00955265">
        <w:rPr>
          <w:rFonts w:ascii="Calibri" w:eastAsia="Calibri" w:hAnsi="Calibri" w:cs="Calibri"/>
          <w:color w:val="000000" w:themeColor="text1"/>
          <w:sz w:val="24"/>
          <w:szCs w:val="24"/>
        </w:rPr>
      </w:r>
      <w:r w:rsidR="00955265" w:rsidRPr="00955265">
        <w:rPr>
          <w:rFonts w:ascii="Calibri" w:eastAsia="Calibri" w:hAnsi="Calibri" w:cs="Calibri"/>
          <w:color w:val="000000" w:themeColor="text1"/>
          <w:sz w:val="24"/>
          <w:szCs w:val="24"/>
        </w:rPr>
        <w:fldChar w:fldCharType="separate"/>
      </w:r>
      <w:r w:rsidR="00304F5F" w:rsidRPr="00304F5F">
        <w:rPr>
          <w:rFonts w:eastAsia="Calibri"/>
          <w:color w:val="000000" w:themeColor="text1"/>
          <w:sz w:val="24"/>
          <w:szCs w:val="24"/>
        </w:rPr>
        <w:t>Tabela</w:t>
      </w:r>
      <w:r w:rsidR="00304F5F" w:rsidRPr="00304F5F">
        <w:rPr>
          <w:rFonts w:eastAsia="Calibri"/>
          <w:i/>
          <w:color w:val="000000" w:themeColor="text1"/>
        </w:rPr>
        <w:t xml:space="preserve"> </w:t>
      </w:r>
      <w:r w:rsidR="00304F5F" w:rsidRPr="00304F5F">
        <w:rPr>
          <w:noProof/>
          <w:color w:val="000000" w:themeColor="text1"/>
          <w:sz w:val="24"/>
          <w:szCs w:val="24"/>
        </w:rPr>
        <w:t>47</w:t>
      </w:r>
      <w:r w:rsidR="00955265" w:rsidRPr="00955265">
        <w:rPr>
          <w:rFonts w:ascii="Calibri" w:eastAsia="Calibri" w:hAnsi="Calibri" w:cs="Calibri"/>
          <w:color w:val="000000" w:themeColor="text1"/>
          <w:sz w:val="24"/>
          <w:szCs w:val="24"/>
        </w:rPr>
        <w:fldChar w:fldCharType="end"/>
      </w:r>
      <w:r w:rsidR="00955265">
        <w:rPr>
          <w:rFonts w:ascii="Calibri" w:eastAsia="Calibri" w:hAnsi="Calibri" w:cs="Calibri"/>
          <w:color w:val="000000" w:themeColor="text1"/>
          <w:sz w:val="24"/>
          <w:szCs w:val="24"/>
        </w:rPr>
        <w:t xml:space="preserve"> </w:t>
      </w:r>
      <w:r w:rsidRPr="24B852B7">
        <w:rPr>
          <w:rFonts w:ascii="Calibri" w:eastAsia="Calibri" w:hAnsi="Calibri" w:cs="Calibri"/>
          <w:color w:val="000000" w:themeColor="text1"/>
          <w:sz w:val="24"/>
          <w:szCs w:val="24"/>
        </w:rPr>
        <w:t xml:space="preserve">contempla os impactos estimados da LC nº 178/2021, tanto do ponto de vista da inclusão dos Estados no âmbito do novo RRF instituído pela referida LC, como em vista dos impactos decorrentes da </w:t>
      </w:r>
      <w:proofErr w:type="gramStart"/>
      <w:r w:rsidRPr="24B852B7">
        <w:rPr>
          <w:rFonts w:ascii="Calibri" w:eastAsia="Calibri" w:hAnsi="Calibri" w:cs="Calibri"/>
          <w:color w:val="000000" w:themeColor="text1"/>
          <w:sz w:val="24"/>
          <w:szCs w:val="24"/>
        </w:rPr>
        <w:t>implementação</w:t>
      </w:r>
      <w:proofErr w:type="gramEnd"/>
      <w:r w:rsidRPr="24B852B7">
        <w:rPr>
          <w:rFonts w:ascii="Calibri" w:eastAsia="Calibri" w:hAnsi="Calibri" w:cs="Calibri"/>
          <w:color w:val="000000" w:themeColor="text1"/>
          <w:sz w:val="24"/>
          <w:szCs w:val="24"/>
        </w:rPr>
        <w:t xml:space="preserve"> das demais medidas trazidas pelo normativo em tela.</w:t>
      </w:r>
    </w:p>
    <w:p w14:paraId="6DD57BC4" w14:textId="673F6845" w:rsidR="00CB18D4" w:rsidRPr="00CB18D4" w:rsidRDefault="4C66EB37" w:rsidP="00CB18D4">
      <w:pPr>
        <w:spacing w:after="120" w:line="240" w:lineRule="auto"/>
        <w:ind w:firstLine="1418"/>
        <w:jc w:val="both"/>
        <w:rPr>
          <w:rFonts w:ascii="Calibri" w:eastAsia="Calibri" w:hAnsi="Calibri" w:cs="Calibri"/>
          <w:color w:val="000000" w:themeColor="text1"/>
          <w:sz w:val="24"/>
          <w:szCs w:val="24"/>
        </w:rPr>
      </w:pPr>
      <w:r w:rsidRPr="24B852B7">
        <w:rPr>
          <w:rFonts w:ascii="Calibri" w:eastAsia="Calibri" w:hAnsi="Calibri" w:cs="Calibri"/>
          <w:color w:val="000000" w:themeColor="text1"/>
          <w:sz w:val="24"/>
          <w:szCs w:val="24"/>
        </w:rPr>
        <w:t xml:space="preserve"> </w:t>
      </w:r>
    </w:p>
    <w:p w14:paraId="4A71513C" w14:textId="5A325AED" w:rsidR="00784F58" w:rsidRPr="00FE09D0" w:rsidRDefault="4C66EB37" w:rsidP="00FE09D0">
      <w:pPr>
        <w:pStyle w:val="Legenda"/>
        <w:rPr>
          <w:rFonts w:asciiTheme="minorHAnsi" w:hAnsiTheme="minorHAnsi" w:cstheme="minorHAnsi"/>
          <w:i w:val="0"/>
          <w:color w:val="000000" w:themeColor="text1"/>
          <w:sz w:val="22"/>
          <w:szCs w:val="22"/>
        </w:rPr>
      </w:pPr>
      <w:bookmarkStart w:id="358" w:name="_Ref67429541"/>
      <w:bookmarkStart w:id="359" w:name="_Toc69121393"/>
      <w:r w:rsidRPr="00FE09D0">
        <w:rPr>
          <w:rFonts w:asciiTheme="minorHAnsi" w:eastAsia="Calibri" w:hAnsiTheme="minorHAnsi"/>
          <w:i w:val="0"/>
          <w:color w:val="000000" w:themeColor="text1"/>
          <w:sz w:val="22"/>
          <w:szCs w:val="22"/>
        </w:rPr>
        <w:t xml:space="preserve">Tabela </w:t>
      </w:r>
      <w:r w:rsidR="00FE09D0" w:rsidRPr="00FE09D0">
        <w:rPr>
          <w:rFonts w:asciiTheme="minorHAnsi" w:hAnsiTheme="minorHAnsi"/>
          <w:i w:val="0"/>
          <w:iCs w:val="0"/>
          <w:color w:val="000000" w:themeColor="text1"/>
          <w:sz w:val="22"/>
          <w:szCs w:val="22"/>
        </w:rPr>
        <w:fldChar w:fldCharType="begin"/>
      </w:r>
      <w:r w:rsidR="00FE09D0" w:rsidRPr="00FE09D0">
        <w:rPr>
          <w:rFonts w:asciiTheme="minorHAnsi" w:hAnsiTheme="minorHAnsi"/>
          <w:i w:val="0"/>
          <w:iCs w:val="0"/>
          <w:color w:val="000000" w:themeColor="text1"/>
          <w:sz w:val="22"/>
          <w:szCs w:val="22"/>
        </w:rPr>
        <w:instrText xml:space="preserve"> SEQ Tabela \* ARABIC </w:instrText>
      </w:r>
      <w:r w:rsidR="00FE09D0" w:rsidRPr="00FE09D0">
        <w:rPr>
          <w:rFonts w:asciiTheme="minorHAnsi" w:hAnsiTheme="minorHAnsi"/>
          <w:i w:val="0"/>
          <w:iCs w:val="0"/>
          <w:color w:val="000000" w:themeColor="text1"/>
          <w:sz w:val="22"/>
          <w:szCs w:val="22"/>
        </w:rPr>
        <w:fldChar w:fldCharType="separate"/>
      </w:r>
      <w:r w:rsidR="00304F5F">
        <w:rPr>
          <w:rFonts w:asciiTheme="minorHAnsi" w:hAnsiTheme="minorHAnsi"/>
          <w:i w:val="0"/>
          <w:iCs w:val="0"/>
          <w:noProof/>
          <w:color w:val="000000" w:themeColor="text1"/>
          <w:sz w:val="22"/>
          <w:szCs w:val="22"/>
        </w:rPr>
        <w:t>47</w:t>
      </w:r>
      <w:r w:rsidR="00FE09D0" w:rsidRPr="00FE09D0">
        <w:rPr>
          <w:rFonts w:asciiTheme="minorHAnsi" w:hAnsiTheme="minorHAnsi"/>
          <w:i w:val="0"/>
          <w:iCs w:val="0"/>
          <w:color w:val="000000" w:themeColor="text1"/>
          <w:sz w:val="22"/>
          <w:szCs w:val="22"/>
        </w:rPr>
        <w:fldChar w:fldCharType="end"/>
      </w:r>
      <w:bookmarkEnd w:id="358"/>
      <w:r w:rsidR="00FE09D0" w:rsidRPr="00FE09D0">
        <w:rPr>
          <w:rFonts w:asciiTheme="minorHAnsi" w:hAnsiTheme="minorHAnsi"/>
          <w:i w:val="0"/>
          <w:iCs w:val="0"/>
          <w:color w:val="000000" w:themeColor="text1"/>
          <w:sz w:val="22"/>
          <w:szCs w:val="22"/>
        </w:rPr>
        <w:t xml:space="preserve"> </w:t>
      </w:r>
      <w:r w:rsidRPr="00FE09D0">
        <w:rPr>
          <w:rFonts w:asciiTheme="minorHAnsi" w:eastAsia="Calibri" w:hAnsiTheme="minorHAnsi"/>
          <w:i w:val="0"/>
          <w:color w:val="000000" w:themeColor="text1"/>
          <w:sz w:val="22"/>
          <w:szCs w:val="22"/>
        </w:rPr>
        <w:t>- Impactos estimados da LC nº 17</w:t>
      </w:r>
      <w:r w:rsidR="006D4DB0">
        <w:rPr>
          <w:rFonts w:asciiTheme="minorHAnsi" w:eastAsia="Calibri" w:hAnsiTheme="minorHAnsi"/>
          <w:i w:val="0"/>
          <w:color w:val="000000" w:themeColor="text1"/>
          <w:sz w:val="22"/>
          <w:szCs w:val="22"/>
        </w:rPr>
        <w:t>8/2021, segundo Ativo /Programa,</w:t>
      </w:r>
      <w:r w:rsidRPr="00FE09D0">
        <w:rPr>
          <w:rFonts w:asciiTheme="minorHAnsi" w:eastAsia="Calibri" w:hAnsiTheme="minorHAnsi"/>
          <w:i w:val="0"/>
          <w:color w:val="000000" w:themeColor="text1"/>
          <w:sz w:val="22"/>
          <w:szCs w:val="22"/>
        </w:rPr>
        <w:t xml:space="preserve"> por exercício</w:t>
      </w:r>
      <w:bookmarkEnd w:id="359"/>
    </w:p>
    <w:tbl>
      <w:tblPr>
        <w:tblW w:w="9915" w:type="dxa"/>
        <w:tblLayout w:type="fixed"/>
        <w:tblLook w:val="06A0" w:firstRow="1" w:lastRow="0" w:firstColumn="1" w:lastColumn="0" w:noHBand="1" w:noVBand="1"/>
      </w:tblPr>
      <w:tblGrid>
        <w:gridCol w:w="1689"/>
        <w:gridCol w:w="3509"/>
        <w:gridCol w:w="1606"/>
        <w:gridCol w:w="1560"/>
        <w:gridCol w:w="992"/>
        <w:gridCol w:w="542"/>
        <w:gridCol w:w="17"/>
      </w:tblGrid>
      <w:tr w:rsidR="000D4F27" w14:paraId="207F20EA" w14:textId="77777777" w:rsidTr="008B24C0">
        <w:trPr>
          <w:gridAfter w:val="1"/>
          <w:wAfter w:w="17" w:type="dxa"/>
          <w:trHeight w:val="315"/>
        </w:trPr>
        <w:tc>
          <w:tcPr>
            <w:tcW w:w="9356" w:type="dxa"/>
            <w:gridSpan w:val="5"/>
            <w:vAlign w:val="center"/>
          </w:tcPr>
          <w:p w14:paraId="229D6E51" w14:textId="77777777" w:rsidR="000D4F27" w:rsidRPr="00820068" w:rsidRDefault="000D4F27" w:rsidP="008B24C0">
            <w:pPr>
              <w:spacing w:after="0" w:line="240" w:lineRule="auto"/>
              <w:jc w:val="right"/>
              <w:rPr>
                <w:rFonts w:ascii="Calibri" w:eastAsia="Calibri" w:hAnsi="Calibri" w:cs="Calibri"/>
                <w:i/>
                <w:iCs/>
                <w:sz w:val="16"/>
                <w:szCs w:val="16"/>
              </w:rPr>
            </w:pPr>
            <w:r w:rsidRPr="00820068">
              <w:rPr>
                <w:rFonts w:ascii="Calibri" w:eastAsia="Calibri" w:hAnsi="Calibri" w:cs="Calibri"/>
                <w:i/>
                <w:iCs/>
                <w:sz w:val="16"/>
                <w:szCs w:val="16"/>
              </w:rPr>
              <w:t>Em R$ milhões</w:t>
            </w:r>
          </w:p>
        </w:tc>
        <w:tc>
          <w:tcPr>
            <w:tcW w:w="542" w:type="dxa"/>
            <w:tcBorders>
              <w:top w:val="nil"/>
              <w:left w:val="nil"/>
              <w:bottom w:val="single" w:sz="8" w:space="0" w:color="FFFFFF" w:themeColor="background1"/>
              <w:right w:val="nil"/>
            </w:tcBorders>
            <w:vAlign w:val="center"/>
          </w:tcPr>
          <w:p w14:paraId="0C9DE5A2" w14:textId="77777777" w:rsidR="000D4F27" w:rsidRPr="00820068" w:rsidRDefault="000D4F27" w:rsidP="008B24C0">
            <w:pPr>
              <w:spacing w:after="0" w:line="240" w:lineRule="auto"/>
              <w:ind w:left="-501"/>
              <w:jc w:val="right"/>
              <w:rPr>
                <w:rFonts w:ascii="Calibri" w:eastAsia="Calibri" w:hAnsi="Calibri" w:cs="Calibri"/>
                <w:i/>
                <w:iCs/>
                <w:sz w:val="16"/>
                <w:szCs w:val="16"/>
              </w:rPr>
            </w:pPr>
            <w:r w:rsidRPr="00820068">
              <w:rPr>
                <w:rFonts w:ascii="Calibri" w:eastAsia="Calibri" w:hAnsi="Calibri" w:cs="Calibri"/>
                <w:i/>
                <w:iCs/>
                <w:sz w:val="16"/>
                <w:szCs w:val="16"/>
              </w:rPr>
              <w:t xml:space="preserve"> </w:t>
            </w:r>
          </w:p>
        </w:tc>
      </w:tr>
      <w:tr w:rsidR="000D4F27" w14:paraId="2DC089FD" w14:textId="77777777" w:rsidTr="00DA4FE5">
        <w:trPr>
          <w:gridAfter w:val="1"/>
          <w:wAfter w:w="17" w:type="dxa"/>
          <w:trHeight w:val="285"/>
        </w:trPr>
        <w:tc>
          <w:tcPr>
            <w:tcW w:w="1689"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481E792A" w14:textId="77777777" w:rsidR="000D4F27" w:rsidRDefault="000D4F27" w:rsidP="008B24C0">
            <w:pPr>
              <w:jc w:val="center"/>
            </w:pPr>
            <w:r w:rsidRPr="24B852B7">
              <w:rPr>
                <w:rFonts w:ascii="Calibri" w:eastAsia="Calibri" w:hAnsi="Calibri" w:cs="Calibri"/>
                <w:b/>
                <w:bCs/>
                <w:color w:val="FFFFFF" w:themeColor="background1"/>
                <w:sz w:val="20"/>
                <w:szCs w:val="20"/>
              </w:rPr>
              <w:t>Ativo/Programa</w:t>
            </w:r>
          </w:p>
        </w:tc>
        <w:tc>
          <w:tcPr>
            <w:tcW w:w="3509"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41B1706" w14:textId="77777777" w:rsidR="000D4F27" w:rsidRDefault="000D4F27" w:rsidP="008B24C0">
            <w:pPr>
              <w:jc w:val="center"/>
            </w:pPr>
            <w:r w:rsidRPr="24B852B7">
              <w:rPr>
                <w:rFonts w:ascii="Calibri" w:eastAsia="Calibri" w:hAnsi="Calibri" w:cs="Calibri"/>
                <w:b/>
                <w:bCs/>
                <w:color w:val="FFFFFF" w:themeColor="background1"/>
                <w:sz w:val="20"/>
                <w:szCs w:val="20"/>
              </w:rPr>
              <w:t>Natureza do Risco</w:t>
            </w:r>
          </w:p>
        </w:tc>
        <w:tc>
          <w:tcPr>
            <w:tcW w:w="4700" w:type="dxa"/>
            <w:gridSpan w:val="4"/>
            <w:tcBorders>
              <w:top w:val="single" w:sz="8" w:space="0" w:color="A6A6A6" w:themeColor="background1" w:themeShade="A6"/>
              <w:left w:val="single" w:sz="8" w:space="0" w:color="BFBFBF" w:themeColor="background1" w:themeShade="BF"/>
              <w:bottom w:val="nil"/>
              <w:right w:val="single" w:sz="8" w:space="0" w:color="A6A6A6" w:themeColor="background1" w:themeShade="A6"/>
            </w:tcBorders>
            <w:shd w:val="clear" w:color="auto" w:fill="404040" w:themeFill="text1" w:themeFillTint="BF"/>
            <w:vAlign w:val="center"/>
          </w:tcPr>
          <w:p w14:paraId="2E4F280F" w14:textId="77777777" w:rsidR="000D4F27" w:rsidRDefault="000D4F27" w:rsidP="008B24C0">
            <w:pPr>
              <w:jc w:val="center"/>
            </w:pPr>
            <w:r w:rsidRPr="24B852B7">
              <w:rPr>
                <w:rFonts w:ascii="Calibri" w:eastAsia="Calibri" w:hAnsi="Calibri" w:cs="Calibri"/>
                <w:b/>
                <w:bCs/>
                <w:color w:val="FFFFFF" w:themeColor="background1"/>
                <w:sz w:val="20"/>
                <w:szCs w:val="20"/>
              </w:rPr>
              <w:t>Impacto</w:t>
            </w:r>
          </w:p>
        </w:tc>
      </w:tr>
      <w:tr w:rsidR="000D4F27" w14:paraId="2C571E5B" w14:textId="77777777" w:rsidTr="00DA4FE5">
        <w:trPr>
          <w:gridAfter w:val="1"/>
          <w:wAfter w:w="17" w:type="dxa"/>
          <w:trHeight w:val="300"/>
        </w:trPr>
        <w:tc>
          <w:tcPr>
            <w:tcW w:w="1689"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7A6DC6" w14:textId="77777777" w:rsidR="000D4F27" w:rsidRDefault="000D4F27" w:rsidP="008B24C0"/>
        </w:tc>
        <w:tc>
          <w:tcPr>
            <w:tcW w:w="3509"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D22DFB" w14:textId="77777777" w:rsidR="000D4F27" w:rsidRDefault="000D4F27" w:rsidP="008B24C0"/>
        </w:tc>
        <w:tc>
          <w:tcPr>
            <w:tcW w:w="4700" w:type="dxa"/>
            <w:gridSpan w:val="4"/>
            <w:tcBorders>
              <w:top w:val="nil"/>
              <w:left w:val="single" w:sz="8" w:space="0" w:color="BFBFBF" w:themeColor="background1" w:themeShade="BF"/>
              <w:bottom w:val="single" w:sz="4" w:space="0" w:color="A6A6A6" w:themeColor="background1" w:themeShade="A6"/>
              <w:right w:val="single" w:sz="8" w:space="0" w:color="A6A6A6" w:themeColor="background1" w:themeShade="A6"/>
            </w:tcBorders>
            <w:shd w:val="clear" w:color="auto" w:fill="404040" w:themeFill="text1" w:themeFillTint="BF"/>
            <w:vAlign w:val="center"/>
          </w:tcPr>
          <w:p w14:paraId="1F3AC2FD" w14:textId="77777777" w:rsidR="000D4F27" w:rsidRDefault="000D4F27" w:rsidP="008B24C0">
            <w:pPr>
              <w:jc w:val="center"/>
            </w:pPr>
            <w:r w:rsidRPr="24B852B7">
              <w:rPr>
                <w:rFonts w:ascii="Calibri" w:eastAsia="Calibri" w:hAnsi="Calibri" w:cs="Calibri"/>
                <w:color w:val="FFFFFF" w:themeColor="background1"/>
                <w:sz w:val="16"/>
                <w:szCs w:val="16"/>
              </w:rPr>
              <w:t>Valor Estimado ($)</w:t>
            </w:r>
          </w:p>
        </w:tc>
      </w:tr>
      <w:tr w:rsidR="000D4F27" w14:paraId="559433C6" w14:textId="77777777" w:rsidTr="00DA4FE5">
        <w:trPr>
          <w:gridAfter w:val="1"/>
          <w:wAfter w:w="17" w:type="dxa"/>
          <w:trHeight w:val="300"/>
        </w:trPr>
        <w:tc>
          <w:tcPr>
            <w:tcW w:w="1689"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E1D03B" w14:textId="77777777" w:rsidR="000D4F27" w:rsidRDefault="000D4F27" w:rsidP="008B24C0"/>
        </w:tc>
        <w:tc>
          <w:tcPr>
            <w:tcW w:w="3509"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FE3104" w14:textId="77777777" w:rsidR="000D4F27" w:rsidRDefault="000D4F27" w:rsidP="008B24C0"/>
        </w:tc>
        <w:tc>
          <w:tcPr>
            <w:tcW w:w="1606" w:type="dxa"/>
            <w:tcBorders>
              <w:top w:val="single" w:sz="4" w:space="0" w:color="A6A6A6" w:themeColor="background1" w:themeShade="A6"/>
              <w:left w:val="single" w:sz="8" w:space="0" w:color="BFBFBF" w:themeColor="background1" w:themeShade="BF"/>
              <w:bottom w:val="single" w:sz="4" w:space="0" w:color="A6A6A6" w:themeColor="background1" w:themeShade="A6"/>
              <w:right w:val="single" w:sz="4" w:space="0" w:color="A6A6A6" w:themeColor="background1" w:themeShade="A6"/>
            </w:tcBorders>
            <w:shd w:val="clear" w:color="auto" w:fill="404040" w:themeFill="text1" w:themeFillTint="BF"/>
            <w:vAlign w:val="center"/>
          </w:tcPr>
          <w:p w14:paraId="5EAB282A" w14:textId="77777777" w:rsidR="000D4F27" w:rsidRDefault="000D4F27" w:rsidP="008B24C0">
            <w:pPr>
              <w:jc w:val="center"/>
            </w:pPr>
            <w:r w:rsidRPr="24B852B7">
              <w:rPr>
                <w:rFonts w:ascii="Calibri" w:eastAsia="Calibri" w:hAnsi="Calibri" w:cs="Calibri"/>
                <w:b/>
                <w:bCs/>
                <w:color w:val="FFFFFF" w:themeColor="background1"/>
                <w:sz w:val="20"/>
                <w:szCs w:val="20"/>
              </w:rPr>
              <w:t>2021</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04040" w:themeFill="text1" w:themeFillTint="BF"/>
            <w:vAlign w:val="center"/>
          </w:tcPr>
          <w:p w14:paraId="6730B88F" w14:textId="77777777" w:rsidR="000D4F27" w:rsidRDefault="000D4F27" w:rsidP="008B24C0">
            <w:pPr>
              <w:jc w:val="center"/>
            </w:pPr>
            <w:r w:rsidRPr="24B852B7">
              <w:rPr>
                <w:rFonts w:ascii="Calibri" w:eastAsia="Calibri" w:hAnsi="Calibri" w:cs="Calibri"/>
                <w:b/>
                <w:bCs/>
                <w:color w:val="FFFFFF" w:themeColor="background1"/>
                <w:sz w:val="20"/>
                <w:szCs w:val="20"/>
              </w:rPr>
              <w:t>2022</w:t>
            </w:r>
          </w:p>
        </w:tc>
        <w:tc>
          <w:tcPr>
            <w:tcW w:w="153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04040" w:themeFill="text1" w:themeFillTint="BF"/>
            <w:vAlign w:val="center"/>
          </w:tcPr>
          <w:p w14:paraId="532535F7" w14:textId="77777777" w:rsidR="000D4F27" w:rsidRDefault="000D4F27" w:rsidP="008B24C0">
            <w:pPr>
              <w:jc w:val="center"/>
            </w:pPr>
            <w:r w:rsidRPr="24B852B7">
              <w:rPr>
                <w:rFonts w:ascii="Calibri" w:eastAsia="Calibri" w:hAnsi="Calibri" w:cs="Calibri"/>
                <w:b/>
                <w:bCs/>
                <w:color w:val="FFFFFF" w:themeColor="background1"/>
                <w:sz w:val="20"/>
                <w:szCs w:val="20"/>
              </w:rPr>
              <w:t>2023</w:t>
            </w:r>
          </w:p>
        </w:tc>
      </w:tr>
      <w:tr w:rsidR="000D4F27" w14:paraId="18317A1C" w14:textId="77777777" w:rsidTr="00DA4FE5">
        <w:trPr>
          <w:gridAfter w:val="1"/>
          <w:wAfter w:w="17" w:type="dxa"/>
          <w:trHeight w:val="975"/>
        </w:trPr>
        <w:tc>
          <w:tcPr>
            <w:tcW w:w="16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193141D" w14:textId="77777777" w:rsidR="000D4F27" w:rsidRDefault="000D4F27" w:rsidP="008B24C0">
            <w:pPr>
              <w:jc w:val="center"/>
            </w:pPr>
            <w:r w:rsidRPr="24B852B7">
              <w:rPr>
                <w:rFonts w:ascii="Calibri" w:eastAsia="Calibri" w:hAnsi="Calibri" w:cs="Calibri"/>
                <w:color w:val="000000" w:themeColor="text1"/>
                <w:sz w:val="18"/>
                <w:szCs w:val="18"/>
              </w:rPr>
              <w:t xml:space="preserve">Lei nº 9.496/1997, Contrato BACEN-BANERJ e Honras de Aval Externa e </w:t>
            </w:r>
            <w:proofErr w:type="gramStart"/>
            <w:r w:rsidRPr="24B852B7">
              <w:rPr>
                <w:rFonts w:ascii="Calibri" w:eastAsia="Calibri" w:hAnsi="Calibri" w:cs="Calibri"/>
                <w:color w:val="000000" w:themeColor="text1"/>
                <w:sz w:val="18"/>
                <w:szCs w:val="18"/>
              </w:rPr>
              <w:t>Interna</w:t>
            </w:r>
            <w:proofErr w:type="gramEnd"/>
          </w:p>
        </w:tc>
        <w:tc>
          <w:tcPr>
            <w:tcW w:w="35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2776690" w14:textId="77777777" w:rsidR="000D4F27" w:rsidRDefault="000D4F27" w:rsidP="008B24C0">
            <w:pPr>
              <w:jc w:val="center"/>
            </w:pPr>
            <w:r w:rsidRPr="24B852B7">
              <w:rPr>
                <w:rFonts w:ascii="Calibri" w:eastAsia="Calibri" w:hAnsi="Calibri" w:cs="Calibri"/>
                <w:color w:val="000000" w:themeColor="text1"/>
                <w:sz w:val="18"/>
                <w:szCs w:val="18"/>
              </w:rPr>
              <w:t>Impactos decorrentes da adesão dos Estados de Goiás, Minas Gerais, Rio Grande do Sul e Rio de Janeiro ao novo Regime de Recuperação Fiscal</w:t>
            </w:r>
            <w:r>
              <w:rPr>
                <w:rFonts w:ascii="Calibri" w:eastAsia="Calibri" w:hAnsi="Calibri" w:cs="Calibri"/>
                <w:color w:val="000000" w:themeColor="text1"/>
                <w:sz w:val="18"/>
                <w:szCs w:val="18"/>
              </w:rPr>
              <w:t xml:space="preserve"> ao amparo da LC nº 178/2021 </w:t>
            </w:r>
            <w:proofErr w:type="gramStart"/>
            <w:r w:rsidRPr="00E978BB">
              <w:rPr>
                <w:rFonts w:ascii="Calibri" w:eastAsia="Calibri" w:hAnsi="Calibri" w:cs="Calibri"/>
                <w:color w:val="000000" w:themeColor="text1"/>
                <w:sz w:val="18"/>
                <w:szCs w:val="18"/>
                <w:vertAlign w:val="superscript"/>
              </w:rPr>
              <w:t>1</w:t>
            </w:r>
            <w:proofErr w:type="gramEnd"/>
          </w:p>
        </w:tc>
        <w:tc>
          <w:tcPr>
            <w:tcW w:w="1606" w:type="dxa"/>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9A68DD5" w14:textId="77777777" w:rsidR="000D4F27" w:rsidRDefault="000D4F27" w:rsidP="008B24C0">
            <w:pPr>
              <w:jc w:val="center"/>
            </w:pPr>
            <w:r w:rsidRPr="24B852B7">
              <w:rPr>
                <w:rFonts w:ascii="Calibri" w:eastAsia="Calibri" w:hAnsi="Calibri" w:cs="Calibri"/>
                <w:color w:val="000000" w:themeColor="text1"/>
                <w:sz w:val="18"/>
                <w:szCs w:val="18"/>
              </w:rPr>
              <w:t>-4.211,37</w:t>
            </w:r>
          </w:p>
        </w:tc>
        <w:tc>
          <w:tcPr>
            <w:tcW w:w="1560" w:type="dxa"/>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59C1765" w14:textId="77777777" w:rsidR="000D4F27" w:rsidRDefault="000D4F27" w:rsidP="008B24C0">
            <w:pPr>
              <w:jc w:val="center"/>
            </w:pPr>
            <w:r w:rsidRPr="24B852B7">
              <w:rPr>
                <w:rFonts w:ascii="Calibri" w:eastAsia="Calibri" w:hAnsi="Calibri" w:cs="Calibri"/>
                <w:color w:val="000000" w:themeColor="text1"/>
                <w:sz w:val="18"/>
                <w:szCs w:val="18"/>
              </w:rPr>
              <w:t>-11.487,82</w:t>
            </w:r>
          </w:p>
        </w:tc>
        <w:tc>
          <w:tcPr>
            <w:tcW w:w="1534" w:type="dxa"/>
            <w:gridSpan w:val="2"/>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03A5090" w14:textId="77777777" w:rsidR="000D4F27" w:rsidRDefault="000D4F27" w:rsidP="008B24C0">
            <w:pPr>
              <w:jc w:val="center"/>
            </w:pPr>
            <w:r w:rsidRPr="24B852B7">
              <w:rPr>
                <w:rFonts w:ascii="Calibri" w:eastAsia="Calibri" w:hAnsi="Calibri" w:cs="Calibri"/>
                <w:color w:val="000000" w:themeColor="text1"/>
                <w:sz w:val="18"/>
                <w:szCs w:val="18"/>
              </w:rPr>
              <w:t>-24.607,67</w:t>
            </w:r>
          </w:p>
        </w:tc>
      </w:tr>
      <w:tr w:rsidR="000D4F27" w14:paraId="4397557F" w14:textId="77777777" w:rsidTr="00DA4FE5">
        <w:trPr>
          <w:gridAfter w:val="1"/>
          <w:wAfter w:w="17" w:type="dxa"/>
          <w:trHeight w:val="960"/>
        </w:trPr>
        <w:tc>
          <w:tcPr>
            <w:tcW w:w="16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2636D3" w14:textId="77777777" w:rsidR="000D4F27" w:rsidRDefault="000D4F27" w:rsidP="008B24C0">
            <w:pPr>
              <w:jc w:val="center"/>
            </w:pPr>
            <w:r w:rsidRPr="24B852B7">
              <w:rPr>
                <w:rFonts w:ascii="Calibri" w:eastAsia="Calibri" w:hAnsi="Calibri" w:cs="Calibri"/>
                <w:color w:val="000000" w:themeColor="text1"/>
                <w:sz w:val="18"/>
                <w:szCs w:val="18"/>
              </w:rPr>
              <w:lastRenderedPageBreak/>
              <w:t>Lei nº 9.496/1997 e MP nº 2.185/2001</w:t>
            </w:r>
          </w:p>
        </w:tc>
        <w:tc>
          <w:tcPr>
            <w:tcW w:w="35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E120E65" w14:textId="77777777" w:rsidR="000D4F27" w:rsidRDefault="000D4F27" w:rsidP="008B24C0">
            <w:pPr>
              <w:jc w:val="center"/>
            </w:pPr>
            <w:proofErr w:type="gramStart"/>
            <w:r w:rsidRPr="24B852B7">
              <w:rPr>
                <w:rFonts w:ascii="Calibri" w:eastAsia="Calibri" w:hAnsi="Calibri" w:cs="Calibri"/>
                <w:color w:val="000000" w:themeColor="text1"/>
                <w:sz w:val="18"/>
                <w:szCs w:val="18"/>
              </w:rPr>
              <w:t>Impactos total das demais medidas trazidas</w:t>
            </w:r>
            <w:proofErr w:type="gramEnd"/>
            <w:r w:rsidRPr="24B852B7">
              <w:rPr>
                <w:rFonts w:ascii="Calibri" w:eastAsia="Calibri" w:hAnsi="Calibri" w:cs="Calibri"/>
                <w:color w:val="000000" w:themeColor="text1"/>
                <w:sz w:val="18"/>
                <w:szCs w:val="18"/>
              </w:rPr>
              <w:t xml:space="preserve"> pela LC nº 178/2021 aos refinanciamentos ao amparo da Lei nº 9.496/1997 </w:t>
            </w:r>
            <w:r w:rsidRPr="00E978BB">
              <w:rPr>
                <w:rFonts w:ascii="Calibri" w:eastAsia="Calibri" w:hAnsi="Calibri" w:cs="Calibri"/>
                <w:color w:val="000000" w:themeColor="text1"/>
                <w:sz w:val="18"/>
                <w:szCs w:val="18"/>
                <w:vertAlign w:val="superscript"/>
              </w:rPr>
              <w:t>2</w:t>
            </w:r>
            <w:r w:rsidRPr="24B852B7">
              <w:rPr>
                <w:rFonts w:ascii="Calibri" w:eastAsia="Calibri" w:hAnsi="Calibri" w:cs="Calibri"/>
                <w:color w:val="000000" w:themeColor="text1"/>
                <w:sz w:val="18"/>
                <w:szCs w:val="18"/>
              </w:rPr>
              <w:t xml:space="preserve"> e MP nº 2.185/2001 </w:t>
            </w:r>
            <w:r w:rsidRPr="00E978BB">
              <w:rPr>
                <w:rFonts w:ascii="Calibri" w:eastAsia="Calibri" w:hAnsi="Calibri" w:cs="Calibri"/>
                <w:color w:val="000000" w:themeColor="text1"/>
                <w:sz w:val="18"/>
                <w:szCs w:val="18"/>
                <w:vertAlign w:val="superscript"/>
              </w:rPr>
              <w:t>3</w:t>
            </w:r>
          </w:p>
        </w:tc>
        <w:tc>
          <w:tcPr>
            <w:tcW w:w="160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5BF3F6A" w14:textId="77777777" w:rsidR="000D4F27" w:rsidRDefault="000D4F27" w:rsidP="008B24C0">
            <w:pPr>
              <w:jc w:val="center"/>
            </w:pPr>
            <w:r w:rsidRPr="24B852B7">
              <w:rPr>
                <w:rFonts w:ascii="Calibri" w:eastAsia="Calibri" w:hAnsi="Calibri" w:cs="Calibri"/>
                <w:color w:val="000000" w:themeColor="text1"/>
                <w:sz w:val="18"/>
                <w:szCs w:val="18"/>
              </w:rPr>
              <w:t>174,81</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4F08FC3" w14:textId="77777777" w:rsidR="000D4F27" w:rsidRDefault="000D4F27" w:rsidP="008B24C0">
            <w:pPr>
              <w:jc w:val="center"/>
            </w:pPr>
            <w:r w:rsidRPr="24B852B7">
              <w:rPr>
                <w:rFonts w:ascii="Calibri" w:eastAsia="Calibri" w:hAnsi="Calibri" w:cs="Calibri"/>
                <w:color w:val="000000" w:themeColor="text1"/>
                <w:sz w:val="18"/>
                <w:szCs w:val="18"/>
              </w:rPr>
              <w:t>132,10</w:t>
            </w:r>
          </w:p>
        </w:tc>
        <w:tc>
          <w:tcPr>
            <w:tcW w:w="153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BC805E6" w14:textId="77777777" w:rsidR="000D4F27" w:rsidRDefault="000D4F27" w:rsidP="008B24C0">
            <w:pPr>
              <w:jc w:val="center"/>
            </w:pPr>
            <w:r w:rsidRPr="24B852B7">
              <w:rPr>
                <w:rFonts w:ascii="Calibri" w:eastAsia="Calibri" w:hAnsi="Calibri" w:cs="Calibri"/>
                <w:color w:val="000000" w:themeColor="text1"/>
                <w:sz w:val="18"/>
                <w:szCs w:val="18"/>
              </w:rPr>
              <w:t>144,94</w:t>
            </w:r>
          </w:p>
        </w:tc>
      </w:tr>
      <w:tr w:rsidR="000D4F27" w14:paraId="19AEA05C" w14:textId="77777777" w:rsidTr="00DA4FE5">
        <w:trPr>
          <w:gridAfter w:val="1"/>
          <w:wAfter w:w="17" w:type="dxa"/>
          <w:trHeight w:val="285"/>
        </w:trPr>
        <w:tc>
          <w:tcPr>
            <w:tcW w:w="1689"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808080" w:themeFill="background1" w:themeFillShade="80"/>
            <w:vAlign w:val="center"/>
          </w:tcPr>
          <w:p w14:paraId="1FB7B63D" w14:textId="77777777" w:rsidR="000D4F27" w:rsidRDefault="000D4F27" w:rsidP="008B24C0">
            <w:r w:rsidRPr="24B852B7">
              <w:rPr>
                <w:rFonts w:ascii="Calibri" w:eastAsia="Calibri" w:hAnsi="Calibri" w:cs="Calibri"/>
                <w:b/>
                <w:bCs/>
                <w:color w:val="FFFFFF" w:themeColor="background1"/>
                <w:sz w:val="18"/>
                <w:szCs w:val="18"/>
              </w:rPr>
              <w:t>Total</w:t>
            </w:r>
          </w:p>
        </w:tc>
        <w:tc>
          <w:tcPr>
            <w:tcW w:w="3509" w:type="dxa"/>
            <w:tcBorders>
              <w:top w:val="single" w:sz="8" w:space="0" w:color="BFBFBF" w:themeColor="background1" w:themeShade="BF"/>
              <w:left w:val="nil"/>
              <w:bottom w:val="single" w:sz="8" w:space="0" w:color="BFBFBF" w:themeColor="background1" w:themeShade="BF"/>
              <w:right w:val="single" w:sz="4" w:space="0" w:color="A6A6A6" w:themeColor="background1" w:themeShade="A6"/>
            </w:tcBorders>
            <w:shd w:val="clear" w:color="auto" w:fill="808080" w:themeFill="background1" w:themeFillShade="80"/>
            <w:vAlign w:val="center"/>
          </w:tcPr>
          <w:p w14:paraId="65D7187A" w14:textId="77777777" w:rsidR="000D4F27" w:rsidRDefault="000D4F27" w:rsidP="008B24C0">
            <w:r w:rsidRPr="24B852B7">
              <w:rPr>
                <w:rFonts w:ascii="Calibri" w:eastAsia="Calibri" w:hAnsi="Calibri" w:cs="Calibri"/>
                <w:b/>
                <w:bCs/>
                <w:color w:val="FFFFFF" w:themeColor="background1"/>
                <w:sz w:val="18"/>
                <w:szCs w:val="18"/>
              </w:rPr>
              <w:t xml:space="preserve"> </w:t>
            </w:r>
          </w:p>
        </w:tc>
        <w:tc>
          <w:tcPr>
            <w:tcW w:w="1606" w:type="dxa"/>
            <w:tcBorders>
              <w:top w:val="single" w:sz="8" w:space="0" w:color="BFBFBF" w:themeColor="background1" w:themeShade="BF"/>
              <w:left w:val="single" w:sz="4" w:space="0" w:color="A6A6A6" w:themeColor="background1" w:themeShade="A6"/>
              <w:bottom w:val="single" w:sz="8" w:space="0" w:color="BFBFBF" w:themeColor="background1" w:themeShade="BF"/>
              <w:right w:val="nil"/>
            </w:tcBorders>
            <w:shd w:val="clear" w:color="auto" w:fill="808080" w:themeFill="background1" w:themeFillShade="80"/>
            <w:vAlign w:val="center"/>
          </w:tcPr>
          <w:p w14:paraId="07D2E3C1" w14:textId="77777777" w:rsidR="000D4F27" w:rsidRDefault="000D4F27" w:rsidP="00DF6776">
            <w:pPr>
              <w:jc w:val="center"/>
            </w:pPr>
            <w:r w:rsidRPr="24B852B7">
              <w:rPr>
                <w:rFonts w:ascii="Calibri" w:eastAsia="Calibri" w:hAnsi="Calibri" w:cs="Calibri"/>
                <w:b/>
                <w:bCs/>
                <w:color w:val="FFFFFF" w:themeColor="background1"/>
                <w:sz w:val="18"/>
                <w:szCs w:val="18"/>
              </w:rPr>
              <w:t>-4.036,56</w:t>
            </w:r>
          </w:p>
        </w:tc>
        <w:tc>
          <w:tcPr>
            <w:tcW w:w="1560" w:type="dxa"/>
            <w:tcBorders>
              <w:top w:val="single" w:sz="8" w:space="0" w:color="BFBFBF" w:themeColor="background1" w:themeShade="BF"/>
              <w:left w:val="nil"/>
              <w:bottom w:val="single" w:sz="8" w:space="0" w:color="BFBFBF" w:themeColor="background1" w:themeShade="BF"/>
              <w:right w:val="nil"/>
            </w:tcBorders>
            <w:shd w:val="clear" w:color="auto" w:fill="808080" w:themeFill="background1" w:themeFillShade="80"/>
            <w:vAlign w:val="center"/>
          </w:tcPr>
          <w:p w14:paraId="40781803" w14:textId="77777777" w:rsidR="000D4F27" w:rsidRDefault="000D4F27" w:rsidP="00DF6776">
            <w:pPr>
              <w:jc w:val="center"/>
            </w:pPr>
            <w:r w:rsidRPr="24B852B7">
              <w:rPr>
                <w:rFonts w:ascii="Calibri" w:eastAsia="Calibri" w:hAnsi="Calibri" w:cs="Calibri"/>
                <w:b/>
                <w:bCs/>
                <w:color w:val="FFFFFF" w:themeColor="background1"/>
                <w:sz w:val="18"/>
                <w:szCs w:val="18"/>
              </w:rPr>
              <w:t>-11.355,72</w:t>
            </w:r>
          </w:p>
        </w:tc>
        <w:tc>
          <w:tcPr>
            <w:tcW w:w="1534" w:type="dxa"/>
            <w:gridSpan w:val="2"/>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808080" w:themeFill="background1" w:themeFillShade="80"/>
            <w:vAlign w:val="center"/>
          </w:tcPr>
          <w:p w14:paraId="5A3E0E12" w14:textId="77777777" w:rsidR="000D4F27" w:rsidRDefault="000D4F27" w:rsidP="00DF6776">
            <w:pPr>
              <w:jc w:val="center"/>
            </w:pPr>
            <w:r w:rsidRPr="24B852B7">
              <w:rPr>
                <w:rFonts w:ascii="Calibri" w:eastAsia="Calibri" w:hAnsi="Calibri" w:cs="Calibri"/>
                <w:b/>
                <w:bCs/>
                <w:color w:val="FFFFFF" w:themeColor="background1"/>
                <w:sz w:val="18"/>
                <w:szCs w:val="18"/>
              </w:rPr>
              <w:t>-24.462,73</w:t>
            </w:r>
          </w:p>
        </w:tc>
      </w:tr>
      <w:tr w:rsidR="000D4F27" w14:paraId="4E58BA05" w14:textId="77777777" w:rsidTr="008B24C0">
        <w:trPr>
          <w:trHeight w:val="285"/>
        </w:trPr>
        <w:tc>
          <w:tcPr>
            <w:tcW w:w="9915" w:type="dxa"/>
            <w:gridSpan w:val="7"/>
          </w:tcPr>
          <w:p w14:paraId="5B4A9867" w14:textId="77777777" w:rsidR="000D4F27" w:rsidRPr="00DA4FE5" w:rsidRDefault="000D4F27" w:rsidP="008B24C0">
            <w:pPr>
              <w:spacing w:after="0"/>
              <w:jc w:val="both"/>
              <w:rPr>
                <w:rFonts w:ascii="Calibri" w:eastAsia="Calibri" w:hAnsi="Calibri" w:cs="Calibri"/>
                <w:i/>
                <w:color w:val="000000" w:themeColor="text1"/>
                <w:sz w:val="18"/>
                <w:szCs w:val="18"/>
              </w:rPr>
            </w:pPr>
            <w:proofErr w:type="gramStart"/>
            <w:r w:rsidRPr="00DA4FE5">
              <w:rPr>
                <w:rFonts w:ascii="Calibri" w:eastAsia="Calibri" w:hAnsi="Calibri" w:cs="Calibri"/>
                <w:i/>
                <w:color w:val="000000" w:themeColor="text1"/>
                <w:sz w:val="18"/>
                <w:szCs w:val="18"/>
                <w:vertAlign w:val="superscript"/>
              </w:rPr>
              <w:t>1</w:t>
            </w:r>
            <w:proofErr w:type="gramEnd"/>
            <w:r w:rsidRPr="00DA4FE5">
              <w:rPr>
                <w:rFonts w:ascii="Calibri" w:eastAsia="Calibri" w:hAnsi="Calibri" w:cs="Calibri"/>
                <w:i/>
                <w:color w:val="000000" w:themeColor="text1"/>
                <w:sz w:val="18"/>
                <w:szCs w:val="18"/>
              </w:rPr>
              <w:t xml:space="preserve"> Impactos decorrentes da adesão de Estados ao Regime de Recuperação Fiscal ao amparo da LC nº 178/2021.</w:t>
            </w:r>
          </w:p>
          <w:p w14:paraId="57C57CFC" w14:textId="77777777" w:rsidR="000D4F27" w:rsidRPr="00DA4FE5" w:rsidRDefault="000D4F27" w:rsidP="008B24C0">
            <w:pPr>
              <w:spacing w:after="0"/>
              <w:jc w:val="both"/>
              <w:rPr>
                <w:rFonts w:ascii="Calibri" w:eastAsia="Calibri" w:hAnsi="Calibri" w:cs="Calibri"/>
                <w:i/>
                <w:color w:val="000000" w:themeColor="text1"/>
                <w:sz w:val="18"/>
                <w:szCs w:val="18"/>
              </w:rPr>
            </w:pPr>
            <w:proofErr w:type="gramStart"/>
            <w:r w:rsidRPr="00DA4FE5">
              <w:rPr>
                <w:rFonts w:ascii="Calibri" w:eastAsia="Calibri" w:hAnsi="Calibri" w:cs="Calibri"/>
                <w:i/>
                <w:color w:val="000000" w:themeColor="text1"/>
                <w:sz w:val="18"/>
                <w:szCs w:val="18"/>
                <w:vertAlign w:val="superscript"/>
              </w:rPr>
              <w:t>2</w:t>
            </w:r>
            <w:proofErr w:type="gramEnd"/>
            <w:r w:rsidRPr="00DA4FE5">
              <w:rPr>
                <w:rFonts w:ascii="Calibri" w:eastAsia="Calibri" w:hAnsi="Calibri" w:cs="Calibri"/>
                <w:i/>
                <w:color w:val="000000" w:themeColor="text1"/>
                <w:sz w:val="18"/>
                <w:szCs w:val="18"/>
              </w:rPr>
              <w:t xml:space="preserve"> Modificações trazidas pela LC 178/2021, por meio da inclusão dos </w:t>
            </w:r>
            <w:proofErr w:type="spellStart"/>
            <w:r w:rsidRPr="00DA4FE5">
              <w:rPr>
                <w:rFonts w:ascii="Calibri" w:eastAsia="Calibri" w:hAnsi="Calibri" w:cs="Calibri"/>
                <w:i/>
                <w:color w:val="000000" w:themeColor="text1"/>
                <w:sz w:val="18"/>
                <w:szCs w:val="18"/>
              </w:rPr>
              <w:t>Arts</w:t>
            </w:r>
            <w:proofErr w:type="spellEnd"/>
            <w:r w:rsidRPr="00DA4FE5">
              <w:rPr>
                <w:rFonts w:ascii="Calibri" w:eastAsia="Calibri" w:hAnsi="Calibri" w:cs="Calibri"/>
                <w:i/>
                <w:color w:val="000000" w:themeColor="text1"/>
                <w:sz w:val="18"/>
                <w:szCs w:val="18"/>
              </w:rPr>
              <w:t xml:space="preserve">. </w:t>
            </w:r>
            <w:proofErr w:type="gramStart"/>
            <w:r w:rsidRPr="00DA4FE5">
              <w:rPr>
                <w:rFonts w:ascii="Calibri" w:eastAsia="Calibri" w:hAnsi="Calibri" w:cs="Calibri"/>
                <w:i/>
                <w:color w:val="000000" w:themeColor="text1"/>
                <w:sz w:val="18"/>
                <w:szCs w:val="18"/>
              </w:rPr>
              <w:t>1º, 1º</w:t>
            </w:r>
            <w:proofErr w:type="gramEnd"/>
            <w:r w:rsidRPr="00DA4FE5">
              <w:rPr>
                <w:rFonts w:ascii="Calibri" w:eastAsia="Calibri" w:hAnsi="Calibri" w:cs="Calibri"/>
                <w:i/>
                <w:color w:val="000000" w:themeColor="text1"/>
                <w:sz w:val="18"/>
                <w:szCs w:val="18"/>
              </w:rPr>
              <w:t xml:space="preserve"> A e 1º B ao texto da Lei nº 9.496/1997.</w:t>
            </w:r>
          </w:p>
        </w:tc>
      </w:tr>
      <w:tr w:rsidR="000D4F27" w14:paraId="3F6C7655" w14:textId="77777777" w:rsidTr="008B24C0">
        <w:trPr>
          <w:trHeight w:val="285"/>
        </w:trPr>
        <w:tc>
          <w:tcPr>
            <w:tcW w:w="9915" w:type="dxa"/>
            <w:gridSpan w:val="7"/>
          </w:tcPr>
          <w:p w14:paraId="3CE52FED" w14:textId="77777777" w:rsidR="000D4F27" w:rsidRPr="00DA4FE5" w:rsidRDefault="000D4F27" w:rsidP="008B24C0">
            <w:pPr>
              <w:spacing w:after="0"/>
              <w:jc w:val="both"/>
              <w:rPr>
                <w:rFonts w:ascii="Calibri" w:eastAsia="Calibri" w:hAnsi="Calibri" w:cs="Calibri"/>
                <w:i/>
                <w:color w:val="000000" w:themeColor="text1"/>
                <w:sz w:val="18"/>
                <w:szCs w:val="18"/>
              </w:rPr>
            </w:pPr>
            <w:proofErr w:type="gramStart"/>
            <w:r w:rsidRPr="00DA4FE5">
              <w:rPr>
                <w:rFonts w:ascii="Calibri" w:eastAsia="Calibri" w:hAnsi="Calibri" w:cs="Calibri"/>
                <w:i/>
                <w:color w:val="000000" w:themeColor="text1"/>
                <w:sz w:val="18"/>
                <w:szCs w:val="18"/>
                <w:vertAlign w:val="superscript"/>
              </w:rPr>
              <w:t>3</w:t>
            </w:r>
            <w:proofErr w:type="gramEnd"/>
            <w:r w:rsidRPr="00DA4FE5">
              <w:rPr>
                <w:rFonts w:ascii="Calibri" w:eastAsia="Calibri" w:hAnsi="Calibri" w:cs="Calibri"/>
                <w:i/>
                <w:color w:val="000000" w:themeColor="text1"/>
                <w:sz w:val="18"/>
                <w:szCs w:val="18"/>
              </w:rPr>
              <w:t xml:space="preserve"> Modificação trazida pela LC 178/2021, por meio da inclusão do Inciso VI do Art. 8º ao texto da MP nº 2.185/2001.</w:t>
            </w:r>
          </w:p>
        </w:tc>
      </w:tr>
      <w:tr w:rsidR="000D4F27" w14:paraId="28383171" w14:textId="77777777" w:rsidTr="008B24C0">
        <w:trPr>
          <w:trHeight w:val="285"/>
        </w:trPr>
        <w:tc>
          <w:tcPr>
            <w:tcW w:w="9915" w:type="dxa"/>
            <w:gridSpan w:val="7"/>
          </w:tcPr>
          <w:p w14:paraId="3F046F8C" w14:textId="77777777" w:rsidR="000D4F27" w:rsidRPr="00DA4FE5" w:rsidRDefault="000D4F27" w:rsidP="008B24C0">
            <w:pPr>
              <w:spacing w:after="0"/>
              <w:jc w:val="both"/>
              <w:rPr>
                <w:rFonts w:ascii="Calibri" w:eastAsia="Calibri" w:hAnsi="Calibri" w:cs="Calibri"/>
                <w:i/>
                <w:color w:val="000000" w:themeColor="text1"/>
                <w:sz w:val="18"/>
                <w:szCs w:val="18"/>
              </w:rPr>
            </w:pPr>
            <w:r w:rsidRPr="00DA4FE5">
              <w:rPr>
                <w:rFonts w:ascii="Calibri" w:eastAsia="Calibri" w:hAnsi="Calibri" w:cs="Calibri"/>
                <w:b/>
                <w:i/>
                <w:color w:val="000000" w:themeColor="text1"/>
                <w:sz w:val="18"/>
                <w:szCs w:val="18"/>
              </w:rPr>
              <w:t>Fonte e elaboração</w:t>
            </w:r>
            <w:r w:rsidRPr="00DA4FE5">
              <w:rPr>
                <w:rFonts w:ascii="Calibri" w:eastAsia="Calibri" w:hAnsi="Calibri" w:cs="Calibri"/>
                <w:i/>
                <w:color w:val="000000" w:themeColor="text1"/>
                <w:sz w:val="18"/>
                <w:szCs w:val="18"/>
              </w:rPr>
              <w:t>: STN/ME.</w:t>
            </w:r>
          </w:p>
        </w:tc>
      </w:tr>
    </w:tbl>
    <w:p w14:paraId="1823D760" w14:textId="174C0A8B" w:rsidR="24B852B7" w:rsidRDefault="24B852B7" w:rsidP="24B852B7">
      <w:pPr>
        <w:spacing w:after="120" w:line="240" w:lineRule="auto"/>
        <w:ind w:firstLine="1418"/>
        <w:jc w:val="both"/>
        <w:rPr>
          <w:rFonts w:cs="Times New Roman"/>
          <w:sz w:val="24"/>
          <w:szCs w:val="24"/>
          <w:lang w:eastAsia="pt-BR"/>
        </w:rPr>
      </w:pPr>
    </w:p>
    <w:p w14:paraId="715E94EB" w14:textId="16B94383" w:rsidR="4E2A2608" w:rsidRPr="004B6E26" w:rsidRDefault="4E2A2608" w:rsidP="004B6E26">
      <w:pPr>
        <w:pStyle w:val="Ttulo4"/>
        <w:keepLines/>
        <w:numPr>
          <w:ilvl w:val="3"/>
          <w:numId w:val="36"/>
        </w:numPr>
        <w:spacing w:before="240" w:after="120"/>
        <w:ind w:left="862" w:hanging="862"/>
        <w:jc w:val="left"/>
        <w:rPr>
          <w:rFonts w:asciiTheme="minorHAnsi" w:eastAsiaTheme="minorEastAsia" w:hAnsiTheme="minorHAnsi"/>
        </w:rPr>
      </w:pPr>
      <w:r w:rsidRPr="24B852B7">
        <w:rPr>
          <w:rFonts w:asciiTheme="minorHAnsi" w:hAnsiTheme="minorHAnsi"/>
        </w:rPr>
        <w:t>Medidas de mitigação ou providências</w:t>
      </w:r>
    </w:p>
    <w:p w14:paraId="40F6CF20" w14:textId="07401E77" w:rsidR="4E2A2608" w:rsidRDefault="4E2A2608" w:rsidP="24B852B7">
      <w:pPr>
        <w:ind w:firstLine="1418"/>
        <w:jc w:val="both"/>
      </w:pPr>
      <w:r w:rsidRPr="24B852B7">
        <w:rPr>
          <w:rFonts w:ascii="Calibri" w:eastAsia="Calibri" w:hAnsi="Calibri" w:cs="Calibri"/>
          <w:color w:val="000000" w:themeColor="text1"/>
          <w:sz w:val="24"/>
          <w:szCs w:val="24"/>
        </w:rPr>
        <w:t xml:space="preserve">As medidas de mitigação ou providências a </w:t>
      </w:r>
      <w:proofErr w:type="gramStart"/>
      <w:r w:rsidRPr="24B852B7">
        <w:rPr>
          <w:rFonts w:ascii="Calibri" w:eastAsia="Calibri" w:hAnsi="Calibri" w:cs="Calibri"/>
          <w:color w:val="000000" w:themeColor="text1"/>
          <w:sz w:val="24"/>
          <w:szCs w:val="24"/>
        </w:rPr>
        <w:t>serem</w:t>
      </w:r>
      <w:proofErr w:type="gramEnd"/>
      <w:r w:rsidRPr="24B852B7">
        <w:rPr>
          <w:rFonts w:ascii="Calibri" w:eastAsia="Calibri" w:hAnsi="Calibri" w:cs="Calibri"/>
          <w:color w:val="000000" w:themeColor="text1"/>
          <w:sz w:val="24"/>
          <w:szCs w:val="24"/>
        </w:rPr>
        <w:t xml:space="preserve"> tomadas tanto para prevenção de ocorrência do risco (redução da probabilidade de efetivação) quanto para o caso de materialização deste (minimização do impacto gerado):</w:t>
      </w:r>
    </w:p>
    <w:p w14:paraId="5970BFE3" w14:textId="0DDAC533" w:rsidR="4E2A2608" w:rsidRDefault="4E2A2608" w:rsidP="24B852B7">
      <w:pPr>
        <w:ind w:left="357" w:hanging="357"/>
        <w:jc w:val="both"/>
      </w:pPr>
      <w:r w:rsidRPr="24B852B7">
        <w:rPr>
          <w:rFonts w:ascii="Calibri" w:eastAsia="Calibri" w:hAnsi="Calibri" w:cs="Calibri"/>
          <w:color w:val="000000" w:themeColor="text1"/>
          <w:sz w:val="24"/>
          <w:szCs w:val="24"/>
        </w:rPr>
        <w:t>a)</w:t>
      </w:r>
      <w:proofErr w:type="gramStart"/>
      <w:r w:rsidRPr="24B852B7">
        <w:rPr>
          <w:rFonts w:ascii="Times New Roman" w:eastAsia="Times New Roman" w:hAnsi="Times New Roman" w:cs="Times New Roman"/>
          <w:color w:val="000000" w:themeColor="text1"/>
          <w:sz w:val="14"/>
          <w:szCs w:val="14"/>
        </w:rPr>
        <w:t xml:space="preserve">  </w:t>
      </w:r>
      <w:proofErr w:type="gramEnd"/>
      <w:r w:rsidRPr="24B852B7">
        <w:rPr>
          <w:rFonts w:ascii="Calibri" w:eastAsia="Calibri" w:hAnsi="Calibri" w:cs="Calibri"/>
          <w:i/>
          <w:iCs/>
          <w:color w:val="000000" w:themeColor="text1"/>
          <w:sz w:val="24"/>
          <w:szCs w:val="24"/>
        </w:rPr>
        <w:t xml:space="preserve">Riscos relativos às ações judiciais: </w:t>
      </w:r>
      <w:r w:rsidRPr="24B852B7">
        <w:rPr>
          <w:rFonts w:ascii="Calibri" w:eastAsia="Calibri" w:hAnsi="Calibri" w:cs="Calibri"/>
          <w:color w:val="000000" w:themeColor="text1"/>
          <w:sz w:val="24"/>
          <w:szCs w:val="24"/>
        </w:rPr>
        <w:t>a principal medida de mitigação é a intensificação do relacionamento com a AGU e suas procuradorias regionais e seccionais, com vistas à reversão das decisões tomadas, o que tem ocorrido. Ressalta-se que essas operações são financeiras e o impacto fiscal da ocorrência dos riscos se dá sobre o endividamento público;</w:t>
      </w:r>
    </w:p>
    <w:p w14:paraId="2A5A6474" w14:textId="3ACF316E" w:rsidR="4E2A2608" w:rsidRDefault="4E2A2608" w:rsidP="24B852B7">
      <w:pPr>
        <w:ind w:left="357" w:hanging="357"/>
        <w:jc w:val="both"/>
      </w:pPr>
      <w:r w:rsidRPr="24B852B7">
        <w:rPr>
          <w:rFonts w:ascii="Calibri" w:eastAsia="Calibri" w:hAnsi="Calibri" w:cs="Calibri"/>
          <w:color w:val="000000" w:themeColor="text1"/>
          <w:sz w:val="24"/>
          <w:szCs w:val="24"/>
        </w:rPr>
        <w:t>b)</w:t>
      </w:r>
      <w:proofErr w:type="gramStart"/>
      <w:r w:rsidRPr="24B852B7">
        <w:rPr>
          <w:rFonts w:ascii="Times New Roman" w:eastAsia="Times New Roman" w:hAnsi="Times New Roman" w:cs="Times New Roman"/>
          <w:color w:val="000000" w:themeColor="text1"/>
          <w:sz w:val="14"/>
          <w:szCs w:val="14"/>
        </w:rPr>
        <w:t xml:space="preserve">    </w:t>
      </w:r>
      <w:proofErr w:type="gramEnd"/>
      <w:r w:rsidRPr="24B852B7">
        <w:rPr>
          <w:rFonts w:ascii="Calibri" w:eastAsia="Calibri" w:hAnsi="Calibri" w:cs="Calibri"/>
          <w:i/>
          <w:iCs/>
          <w:color w:val="000000" w:themeColor="text1"/>
          <w:sz w:val="24"/>
          <w:szCs w:val="24"/>
        </w:rPr>
        <w:t xml:space="preserve">Riscos de frustração de receitas em decorrência da aplicação de dispositivos legais aos haveres sob gestão da STN: </w:t>
      </w:r>
      <w:r w:rsidRPr="24B852B7">
        <w:rPr>
          <w:rFonts w:ascii="Calibri" w:eastAsia="Calibri" w:hAnsi="Calibri" w:cs="Calibri"/>
          <w:color w:val="000000" w:themeColor="text1"/>
          <w:sz w:val="24"/>
          <w:szCs w:val="24"/>
        </w:rPr>
        <w:t>não há medidas de mitigação plenamente eficazes, contudo, a STN busca, sempre que possível, atuar junto às instâncias pertinentes com o objetivo de evitar ou minimizar impactos sobre as dívidas subnacionais;</w:t>
      </w:r>
    </w:p>
    <w:p w14:paraId="50983681" w14:textId="0B4BE56D" w:rsidR="4E2A2608" w:rsidRDefault="4E2A2608" w:rsidP="24B852B7">
      <w:pPr>
        <w:ind w:left="357" w:hanging="357"/>
        <w:jc w:val="both"/>
      </w:pPr>
      <w:r w:rsidRPr="24B852B7">
        <w:rPr>
          <w:rFonts w:ascii="Calibri" w:eastAsia="Calibri" w:hAnsi="Calibri" w:cs="Calibri"/>
          <w:color w:val="000000" w:themeColor="text1"/>
          <w:sz w:val="24"/>
          <w:szCs w:val="24"/>
        </w:rPr>
        <w:t>c)</w:t>
      </w:r>
      <w:r w:rsidRPr="24B852B7">
        <w:rPr>
          <w:rFonts w:ascii="Times New Roman" w:eastAsia="Times New Roman" w:hAnsi="Times New Roman" w:cs="Times New Roman"/>
          <w:color w:val="000000" w:themeColor="text1"/>
          <w:sz w:val="14"/>
          <w:szCs w:val="14"/>
        </w:rPr>
        <w:t xml:space="preserve">     </w:t>
      </w:r>
      <w:r w:rsidRPr="24B852B7">
        <w:rPr>
          <w:rFonts w:ascii="Calibri" w:eastAsia="Calibri" w:hAnsi="Calibri" w:cs="Calibri"/>
          <w:i/>
          <w:iCs/>
          <w:color w:val="000000" w:themeColor="text1"/>
          <w:sz w:val="24"/>
          <w:szCs w:val="24"/>
        </w:rPr>
        <w:t>Riscos relativos ao não cumprimento das previsões de receitas para o exercício:</w:t>
      </w:r>
      <w:r w:rsidRPr="24B852B7">
        <w:rPr>
          <w:rFonts w:ascii="Calibri" w:eastAsia="Calibri" w:hAnsi="Calibri" w:cs="Calibri"/>
          <w:color w:val="000000" w:themeColor="text1"/>
          <w:sz w:val="24"/>
          <w:szCs w:val="24"/>
        </w:rPr>
        <w:t xml:space="preserve"> a principal medida de mitigação é o encaminhamento de projeções conservadoras para as receitas, para compor o PLOA. Por sua vez, a ocorrência de inadimplementos pontuais é mitigada por meio do mecanismo de execução de garantias previstas em contrato.</w:t>
      </w:r>
    </w:p>
    <w:p w14:paraId="64812509" w14:textId="51D3A8F5" w:rsidR="24B852B7" w:rsidRDefault="24B852B7" w:rsidP="24B852B7">
      <w:pPr>
        <w:spacing w:after="120" w:line="240" w:lineRule="auto"/>
        <w:ind w:firstLine="1418"/>
        <w:jc w:val="both"/>
        <w:rPr>
          <w:rFonts w:cs="Times New Roman"/>
          <w:sz w:val="24"/>
          <w:szCs w:val="24"/>
          <w:lang w:eastAsia="pt-BR"/>
        </w:rPr>
      </w:pPr>
    </w:p>
    <w:p w14:paraId="00D59EE2" w14:textId="6663FA5D" w:rsidR="00EA236C" w:rsidRPr="009B04B3" w:rsidRDefault="00EA236C" w:rsidP="004B6E26">
      <w:pPr>
        <w:pStyle w:val="Ttulo4"/>
        <w:keepLines/>
        <w:numPr>
          <w:ilvl w:val="3"/>
          <w:numId w:val="36"/>
        </w:numPr>
        <w:spacing w:before="240" w:after="120"/>
        <w:ind w:left="862" w:hanging="862"/>
        <w:jc w:val="left"/>
        <w:rPr>
          <w:rFonts w:asciiTheme="minorHAnsi" w:hAnsiTheme="minorHAnsi"/>
        </w:rPr>
      </w:pPr>
      <w:r w:rsidRPr="24B852B7">
        <w:rPr>
          <w:rFonts w:asciiTheme="minorHAnsi" w:hAnsiTheme="minorHAnsi"/>
        </w:rPr>
        <w:t xml:space="preserve">Valores provisionados no BGU </w:t>
      </w:r>
      <w:r w:rsidR="00FC0010" w:rsidRPr="24B852B7">
        <w:rPr>
          <w:rFonts w:asciiTheme="minorHAnsi" w:hAnsiTheme="minorHAnsi"/>
        </w:rPr>
        <w:t xml:space="preserve">ou na LOA </w:t>
      </w:r>
      <w:r w:rsidRPr="24B852B7">
        <w:rPr>
          <w:rFonts w:asciiTheme="minorHAnsi" w:hAnsiTheme="minorHAnsi"/>
        </w:rPr>
        <w:t>referentes aos riscos apresentados</w:t>
      </w:r>
    </w:p>
    <w:p w14:paraId="749805CC" w14:textId="3F52D78A" w:rsidR="51659D34" w:rsidRDefault="51659D34" w:rsidP="001D66E6">
      <w:pPr>
        <w:spacing w:line="240" w:lineRule="auto"/>
        <w:ind w:firstLine="1418"/>
        <w:jc w:val="both"/>
      </w:pPr>
      <w:r w:rsidRPr="24B852B7">
        <w:rPr>
          <w:rFonts w:ascii="Calibri" w:eastAsia="Calibri" w:hAnsi="Calibri" w:cs="Calibri"/>
          <w:color w:val="000000" w:themeColor="text1"/>
          <w:sz w:val="24"/>
          <w:szCs w:val="24"/>
        </w:rPr>
        <w:t xml:space="preserve">Os valores relativos às ações judiciais incidentes sobre empréstimos da União estão contabilizados nas contas de ajuste 1.2.1.1.1.99.04 (Ajuste de Perdas – Empréstimos Concedidos), 1.2.1.1.4.99.04 (Ajuste de Perdas – Empréstimos Concedidos – Estados) e 1.2.1.1.5.99.04 (Ajuste de Perdas – Empréstimos Concedidos – Municípios), e são apresentados na </w:t>
      </w:r>
      <w:r w:rsidR="00955265" w:rsidRPr="00955265">
        <w:rPr>
          <w:rFonts w:ascii="Calibri" w:eastAsia="Calibri" w:hAnsi="Calibri" w:cs="Calibri"/>
          <w:color w:val="000000" w:themeColor="text1"/>
          <w:sz w:val="24"/>
          <w:szCs w:val="24"/>
        </w:rPr>
        <w:fldChar w:fldCharType="begin"/>
      </w:r>
      <w:r w:rsidR="00955265" w:rsidRPr="00955265">
        <w:rPr>
          <w:rFonts w:ascii="Calibri" w:eastAsia="Calibri" w:hAnsi="Calibri" w:cs="Calibri"/>
          <w:color w:val="000000" w:themeColor="text1"/>
          <w:sz w:val="24"/>
          <w:szCs w:val="24"/>
        </w:rPr>
        <w:instrText xml:space="preserve"> REF _Ref67429610 \h  \* MERGEFORMAT </w:instrText>
      </w:r>
      <w:r w:rsidR="00955265" w:rsidRPr="00955265">
        <w:rPr>
          <w:rFonts w:ascii="Calibri" w:eastAsia="Calibri" w:hAnsi="Calibri" w:cs="Calibri"/>
          <w:color w:val="000000" w:themeColor="text1"/>
          <w:sz w:val="24"/>
          <w:szCs w:val="24"/>
        </w:rPr>
      </w:r>
      <w:r w:rsidR="00955265" w:rsidRPr="00955265">
        <w:rPr>
          <w:rFonts w:ascii="Calibri" w:eastAsia="Calibri" w:hAnsi="Calibri" w:cs="Calibri"/>
          <w:color w:val="000000" w:themeColor="text1"/>
          <w:sz w:val="24"/>
          <w:szCs w:val="24"/>
        </w:rPr>
        <w:fldChar w:fldCharType="separate"/>
      </w:r>
      <w:r w:rsidR="00304F5F" w:rsidRPr="00304F5F">
        <w:rPr>
          <w:rFonts w:eastAsia="Calibri"/>
          <w:color w:val="000000" w:themeColor="text1"/>
          <w:sz w:val="24"/>
          <w:szCs w:val="24"/>
        </w:rPr>
        <w:t xml:space="preserve">Tabela </w:t>
      </w:r>
      <w:r w:rsidR="00304F5F" w:rsidRPr="00304F5F">
        <w:rPr>
          <w:noProof/>
          <w:color w:val="000000" w:themeColor="text1"/>
          <w:sz w:val="24"/>
          <w:szCs w:val="24"/>
        </w:rPr>
        <w:t>48</w:t>
      </w:r>
      <w:r w:rsidR="00955265" w:rsidRPr="00955265">
        <w:rPr>
          <w:rFonts w:ascii="Calibri" w:eastAsia="Calibri" w:hAnsi="Calibri" w:cs="Calibri"/>
          <w:color w:val="000000" w:themeColor="text1"/>
          <w:sz w:val="24"/>
          <w:szCs w:val="24"/>
        </w:rPr>
        <w:fldChar w:fldCharType="end"/>
      </w:r>
      <w:r w:rsidRPr="00955265">
        <w:rPr>
          <w:rFonts w:ascii="Calibri" w:eastAsia="Calibri" w:hAnsi="Calibri" w:cs="Calibri"/>
          <w:color w:val="000000" w:themeColor="text1"/>
          <w:sz w:val="24"/>
          <w:szCs w:val="24"/>
        </w:rPr>
        <w:t>.</w:t>
      </w:r>
      <w:r w:rsidRPr="24B852B7">
        <w:rPr>
          <w:rFonts w:ascii="Calibri" w:eastAsia="Calibri" w:hAnsi="Calibri" w:cs="Calibri"/>
          <w:color w:val="000000" w:themeColor="text1"/>
          <w:sz w:val="24"/>
          <w:szCs w:val="24"/>
        </w:rPr>
        <w:t xml:space="preserve"> Trata-se de contas redutoras do ativo da STN.</w:t>
      </w:r>
    </w:p>
    <w:p w14:paraId="7384FCCF" w14:textId="41ED17C8" w:rsidR="51659D34" w:rsidRPr="00A53C7F" w:rsidRDefault="51659D34" w:rsidP="003913C2">
      <w:pPr>
        <w:pStyle w:val="Legenda"/>
        <w:jc w:val="center"/>
        <w:rPr>
          <w:rFonts w:asciiTheme="minorHAnsi" w:hAnsiTheme="minorHAnsi" w:cstheme="minorHAnsi"/>
          <w:i w:val="0"/>
          <w:color w:val="000000" w:themeColor="text1"/>
          <w:sz w:val="22"/>
          <w:szCs w:val="22"/>
        </w:rPr>
      </w:pPr>
      <w:bookmarkStart w:id="360" w:name="_Ref67429610"/>
      <w:bookmarkStart w:id="361" w:name="_Toc69121394"/>
      <w:r w:rsidRPr="00A53C7F">
        <w:rPr>
          <w:rFonts w:asciiTheme="minorHAnsi" w:eastAsia="Calibri" w:hAnsiTheme="minorHAnsi"/>
          <w:i w:val="0"/>
          <w:color w:val="000000" w:themeColor="text1"/>
          <w:sz w:val="22"/>
          <w:szCs w:val="22"/>
        </w:rPr>
        <w:t xml:space="preserve">Tabela </w:t>
      </w:r>
      <w:r w:rsidR="00A53C7F" w:rsidRPr="00A53C7F">
        <w:rPr>
          <w:rFonts w:asciiTheme="minorHAnsi" w:hAnsiTheme="minorHAnsi"/>
          <w:i w:val="0"/>
          <w:iCs w:val="0"/>
          <w:color w:val="000000" w:themeColor="text1"/>
          <w:sz w:val="22"/>
          <w:szCs w:val="22"/>
        </w:rPr>
        <w:fldChar w:fldCharType="begin"/>
      </w:r>
      <w:r w:rsidR="00A53C7F" w:rsidRPr="00A53C7F">
        <w:rPr>
          <w:rFonts w:asciiTheme="minorHAnsi" w:hAnsiTheme="minorHAnsi"/>
          <w:i w:val="0"/>
          <w:iCs w:val="0"/>
          <w:color w:val="000000" w:themeColor="text1"/>
          <w:sz w:val="22"/>
          <w:szCs w:val="22"/>
        </w:rPr>
        <w:instrText xml:space="preserve"> SEQ Tabela \* ARABIC </w:instrText>
      </w:r>
      <w:r w:rsidR="00A53C7F" w:rsidRPr="00A53C7F">
        <w:rPr>
          <w:rFonts w:asciiTheme="minorHAnsi" w:hAnsiTheme="minorHAnsi"/>
          <w:i w:val="0"/>
          <w:iCs w:val="0"/>
          <w:color w:val="000000" w:themeColor="text1"/>
          <w:sz w:val="22"/>
          <w:szCs w:val="22"/>
        </w:rPr>
        <w:fldChar w:fldCharType="separate"/>
      </w:r>
      <w:r w:rsidR="00304F5F">
        <w:rPr>
          <w:rFonts w:asciiTheme="minorHAnsi" w:hAnsiTheme="minorHAnsi"/>
          <w:i w:val="0"/>
          <w:iCs w:val="0"/>
          <w:noProof/>
          <w:color w:val="000000" w:themeColor="text1"/>
          <w:sz w:val="22"/>
          <w:szCs w:val="22"/>
        </w:rPr>
        <w:t>48</w:t>
      </w:r>
      <w:r w:rsidR="00A53C7F" w:rsidRPr="00A53C7F">
        <w:rPr>
          <w:rFonts w:asciiTheme="minorHAnsi" w:hAnsiTheme="minorHAnsi"/>
          <w:i w:val="0"/>
          <w:iCs w:val="0"/>
          <w:color w:val="000000" w:themeColor="text1"/>
          <w:sz w:val="22"/>
          <w:szCs w:val="22"/>
        </w:rPr>
        <w:fldChar w:fldCharType="end"/>
      </w:r>
      <w:bookmarkEnd w:id="360"/>
      <w:r w:rsidR="00A53C7F" w:rsidRPr="00A53C7F">
        <w:rPr>
          <w:rFonts w:asciiTheme="minorHAnsi" w:hAnsiTheme="minorHAnsi"/>
          <w:i w:val="0"/>
          <w:iCs w:val="0"/>
          <w:color w:val="000000" w:themeColor="text1"/>
          <w:sz w:val="22"/>
          <w:szCs w:val="22"/>
        </w:rPr>
        <w:t xml:space="preserve"> </w:t>
      </w:r>
      <w:r w:rsidRPr="00A53C7F">
        <w:rPr>
          <w:rFonts w:asciiTheme="minorHAnsi" w:eastAsia="Calibri" w:hAnsiTheme="minorHAnsi"/>
          <w:i w:val="0"/>
          <w:color w:val="000000" w:themeColor="text1"/>
          <w:sz w:val="22"/>
          <w:szCs w:val="22"/>
        </w:rPr>
        <w:t>- Valores registrados nas contas de ajustes de perdas para os empréstimos concedidos</w:t>
      </w:r>
      <w:bookmarkEnd w:id="361"/>
    </w:p>
    <w:tbl>
      <w:tblPr>
        <w:tblW w:w="0" w:type="auto"/>
        <w:jc w:val="center"/>
        <w:tblLayout w:type="fixed"/>
        <w:tblLook w:val="06A0" w:firstRow="1" w:lastRow="0" w:firstColumn="1" w:lastColumn="0" w:noHBand="1" w:noVBand="1"/>
      </w:tblPr>
      <w:tblGrid>
        <w:gridCol w:w="2340"/>
        <w:gridCol w:w="1710"/>
        <w:gridCol w:w="1620"/>
        <w:gridCol w:w="1560"/>
        <w:gridCol w:w="1620"/>
      </w:tblGrid>
      <w:tr w:rsidR="24B852B7" w14:paraId="2CE0E63A" w14:textId="77777777" w:rsidTr="002F3E13">
        <w:trPr>
          <w:trHeight w:val="285"/>
          <w:jc w:val="center"/>
        </w:trPr>
        <w:tc>
          <w:tcPr>
            <w:tcW w:w="2340" w:type="dxa"/>
            <w:vAlign w:val="bottom"/>
          </w:tcPr>
          <w:p w14:paraId="035F4BE5" w14:textId="6EF8C93E" w:rsidR="24B852B7" w:rsidRDefault="24B852B7"/>
        </w:tc>
        <w:tc>
          <w:tcPr>
            <w:tcW w:w="1710" w:type="dxa"/>
            <w:vAlign w:val="bottom"/>
          </w:tcPr>
          <w:p w14:paraId="2914FAB5" w14:textId="0824CB7A" w:rsidR="24B852B7" w:rsidRDefault="24B852B7"/>
        </w:tc>
        <w:tc>
          <w:tcPr>
            <w:tcW w:w="4800" w:type="dxa"/>
            <w:gridSpan w:val="3"/>
            <w:vAlign w:val="bottom"/>
          </w:tcPr>
          <w:p w14:paraId="08625270" w14:textId="0C4F9243" w:rsidR="24B852B7" w:rsidRPr="00820068" w:rsidRDefault="24B852B7" w:rsidP="00820068">
            <w:pPr>
              <w:spacing w:after="0" w:line="240" w:lineRule="auto"/>
              <w:jc w:val="right"/>
              <w:rPr>
                <w:rFonts w:ascii="Calibri" w:eastAsia="Calibri" w:hAnsi="Calibri" w:cs="Calibri"/>
                <w:i/>
                <w:iCs/>
                <w:sz w:val="16"/>
                <w:szCs w:val="16"/>
              </w:rPr>
            </w:pPr>
            <w:r w:rsidRPr="00820068">
              <w:rPr>
                <w:rFonts w:ascii="Calibri" w:eastAsia="Calibri" w:hAnsi="Calibri" w:cs="Calibri"/>
                <w:i/>
                <w:iCs/>
                <w:sz w:val="16"/>
                <w:szCs w:val="16"/>
              </w:rPr>
              <w:t>Em R$ milhões</w:t>
            </w:r>
          </w:p>
        </w:tc>
      </w:tr>
      <w:tr w:rsidR="24B852B7" w14:paraId="7FE972C9" w14:textId="77777777" w:rsidTr="002F3E13">
        <w:trPr>
          <w:trHeight w:val="300"/>
          <w:jc w:val="center"/>
        </w:trPr>
        <w:tc>
          <w:tcPr>
            <w:tcW w:w="4050" w:type="dxa"/>
            <w:gridSpan w:val="2"/>
            <w:vMerge w:val="restart"/>
            <w:tcBorders>
              <w:top w:val="single" w:sz="8" w:space="0" w:color="BFBFBF" w:themeColor="background1" w:themeShade="BF"/>
              <w:left w:val="single" w:sz="8" w:space="0" w:color="BFBFBF" w:themeColor="background1" w:themeShade="BF"/>
              <w:bottom w:val="nil"/>
              <w:right w:val="nil"/>
            </w:tcBorders>
            <w:shd w:val="clear" w:color="auto" w:fill="404040" w:themeFill="text1" w:themeFillTint="BF"/>
            <w:vAlign w:val="center"/>
          </w:tcPr>
          <w:p w14:paraId="0ABC7527" w14:textId="15189E18" w:rsidR="24B852B7" w:rsidRDefault="24B852B7" w:rsidP="24B852B7">
            <w:pPr>
              <w:jc w:val="center"/>
            </w:pPr>
            <w:r w:rsidRPr="24B852B7">
              <w:rPr>
                <w:rFonts w:ascii="Calibri" w:eastAsia="Calibri" w:hAnsi="Calibri" w:cs="Calibri"/>
                <w:b/>
                <w:bCs/>
                <w:color w:val="FFFFFF" w:themeColor="background1"/>
                <w:sz w:val="20"/>
                <w:szCs w:val="20"/>
              </w:rPr>
              <w:t>Item</w:t>
            </w:r>
          </w:p>
        </w:tc>
        <w:tc>
          <w:tcPr>
            <w:tcW w:w="4800" w:type="dxa"/>
            <w:gridSpan w:val="3"/>
            <w:shd w:val="clear" w:color="auto" w:fill="404040" w:themeFill="text1" w:themeFillTint="BF"/>
            <w:vAlign w:val="center"/>
          </w:tcPr>
          <w:p w14:paraId="61BF4D3B" w14:textId="2045C3D8" w:rsidR="24B852B7" w:rsidRDefault="24B852B7" w:rsidP="24B852B7">
            <w:pPr>
              <w:jc w:val="center"/>
            </w:pPr>
            <w:r w:rsidRPr="24B852B7">
              <w:rPr>
                <w:rFonts w:ascii="Calibri" w:eastAsia="Calibri" w:hAnsi="Calibri" w:cs="Calibri"/>
                <w:b/>
                <w:bCs/>
                <w:color w:val="FFFFFF" w:themeColor="background1"/>
                <w:sz w:val="20"/>
                <w:szCs w:val="20"/>
              </w:rPr>
              <w:t>Ajuste de Perdas</w:t>
            </w:r>
          </w:p>
        </w:tc>
      </w:tr>
      <w:tr w:rsidR="24B852B7" w14:paraId="1802C496" w14:textId="77777777" w:rsidTr="002F3E13">
        <w:trPr>
          <w:trHeight w:val="300"/>
          <w:jc w:val="center"/>
        </w:trPr>
        <w:tc>
          <w:tcPr>
            <w:tcW w:w="4050" w:type="dxa"/>
            <w:gridSpan w:val="2"/>
            <w:vMerge/>
            <w:vAlign w:val="center"/>
          </w:tcPr>
          <w:p w14:paraId="0EC282A2" w14:textId="77777777" w:rsidR="00422732" w:rsidRDefault="00422732"/>
        </w:tc>
        <w:tc>
          <w:tcPr>
            <w:tcW w:w="4800" w:type="dxa"/>
            <w:gridSpan w:val="3"/>
            <w:shd w:val="clear" w:color="auto" w:fill="404040" w:themeFill="text1" w:themeFillTint="BF"/>
            <w:vAlign w:val="center"/>
          </w:tcPr>
          <w:p w14:paraId="41373901" w14:textId="5634D7B5" w:rsidR="24B852B7" w:rsidRDefault="24B852B7" w:rsidP="24B852B7">
            <w:pPr>
              <w:jc w:val="center"/>
            </w:pPr>
            <w:r w:rsidRPr="24B852B7">
              <w:rPr>
                <w:rFonts w:ascii="Calibri" w:eastAsia="Calibri" w:hAnsi="Calibri" w:cs="Calibri"/>
                <w:color w:val="FFFFFF" w:themeColor="background1"/>
                <w:sz w:val="16"/>
                <w:szCs w:val="16"/>
              </w:rPr>
              <w:t>Curto Prazo ($) e Longo Prazo ($)</w:t>
            </w:r>
          </w:p>
        </w:tc>
      </w:tr>
      <w:tr w:rsidR="24B852B7" w14:paraId="170912E2" w14:textId="77777777" w:rsidTr="002F3E13">
        <w:trPr>
          <w:trHeight w:val="315"/>
          <w:jc w:val="center"/>
        </w:trPr>
        <w:tc>
          <w:tcPr>
            <w:tcW w:w="4050" w:type="dxa"/>
            <w:gridSpan w:val="2"/>
            <w:vMerge/>
            <w:vAlign w:val="center"/>
          </w:tcPr>
          <w:p w14:paraId="6CE641B5" w14:textId="77777777" w:rsidR="00422732" w:rsidRDefault="00422732"/>
        </w:tc>
        <w:tc>
          <w:tcPr>
            <w:tcW w:w="4800" w:type="dxa"/>
            <w:gridSpan w:val="3"/>
            <w:shd w:val="clear" w:color="auto" w:fill="404040" w:themeFill="text1" w:themeFillTint="BF"/>
            <w:vAlign w:val="center"/>
          </w:tcPr>
          <w:p w14:paraId="6AC996A3" w14:textId="0BF6DF00" w:rsidR="24B852B7" w:rsidRDefault="24B852B7" w:rsidP="24B852B7">
            <w:pPr>
              <w:jc w:val="center"/>
            </w:pPr>
            <w:r w:rsidRPr="24B852B7">
              <w:rPr>
                <w:rFonts w:ascii="Calibri" w:eastAsia="Calibri" w:hAnsi="Calibri" w:cs="Calibri"/>
                <w:color w:val="FFFFFF" w:themeColor="background1"/>
                <w:sz w:val="16"/>
                <w:szCs w:val="16"/>
              </w:rPr>
              <w:t xml:space="preserve">Variação </w:t>
            </w:r>
            <w:proofErr w:type="gramStart"/>
            <w:r w:rsidRPr="00623DE9">
              <w:rPr>
                <w:rFonts w:ascii="Calibri" w:eastAsia="Calibri" w:hAnsi="Calibri" w:cs="Calibri"/>
                <w:color w:val="FFFFFF" w:themeColor="background1"/>
                <w:sz w:val="16"/>
                <w:szCs w:val="16"/>
                <w:vertAlign w:val="superscript"/>
              </w:rPr>
              <w:t>1</w:t>
            </w:r>
            <w:proofErr w:type="gramEnd"/>
            <w:r w:rsidRPr="24B852B7">
              <w:rPr>
                <w:rFonts w:ascii="Calibri" w:eastAsia="Calibri" w:hAnsi="Calibri" w:cs="Calibri"/>
                <w:color w:val="FFFFFF" w:themeColor="background1"/>
                <w:sz w:val="16"/>
                <w:szCs w:val="16"/>
              </w:rPr>
              <w:t xml:space="preserve"> (%)</w:t>
            </w:r>
          </w:p>
        </w:tc>
      </w:tr>
      <w:tr w:rsidR="24B852B7" w14:paraId="7D8540E5" w14:textId="77777777" w:rsidTr="002F3E13">
        <w:trPr>
          <w:trHeight w:val="300"/>
          <w:jc w:val="center"/>
        </w:trPr>
        <w:tc>
          <w:tcPr>
            <w:tcW w:w="4050" w:type="dxa"/>
            <w:gridSpan w:val="2"/>
            <w:vMerge/>
            <w:vAlign w:val="center"/>
          </w:tcPr>
          <w:p w14:paraId="4C5087BD" w14:textId="77777777" w:rsidR="00422732" w:rsidRDefault="00422732"/>
        </w:tc>
        <w:tc>
          <w:tcPr>
            <w:tcW w:w="16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04040" w:themeFill="text1" w:themeFillTint="BF"/>
            <w:vAlign w:val="center"/>
          </w:tcPr>
          <w:p w14:paraId="459FCF75" w14:textId="2C27F51D" w:rsidR="24B852B7" w:rsidRDefault="24B852B7" w:rsidP="24B852B7">
            <w:pPr>
              <w:jc w:val="center"/>
            </w:pPr>
            <w:r w:rsidRPr="24B852B7">
              <w:rPr>
                <w:rFonts w:ascii="Calibri" w:eastAsia="Calibri" w:hAnsi="Calibri" w:cs="Calibri"/>
                <w:b/>
                <w:bCs/>
                <w:color w:val="FFFFFF" w:themeColor="background1"/>
                <w:sz w:val="20"/>
                <w:szCs w:val="20"/>
              </w:rPr>
              <w:t>2018</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04040" w:themeFill="text1" w:themeFillTint="BF"/>
            <w:vAlign w:val="center"/>
          </w:tcPr>
          <w:p w14:paraId="7B580A3D" w14:textId="5BA7DA22" w:rsidR="24B852B7" w:rsidRDefault="24B852B7" w:rsidP="24B852B7">
            <w:pPr>
              <w:jc w:val="center"/>
            </w:pPr>
            <w:r w:rsidRPr="24B852B7">
              <w:rPr>
                <w:rFonts w:ascii="Calibri" w:eastAsia="Calibri" w:hAnsi="Calibri" w:cs="Calibri"/>
                <w:b/>
                <w:bCs/>
                <w:color w:val="FFFFFF" w:themeColor="background1"/>
                <w:sz w:val="20"/>
                <w:szCs w:val="20"/>
              </w:rPr>
              <w:t>2019</w:t>
            </w:r>
          </w:p>
        </w:tc>
        <w:tc>
          <w:tcPr>
            <w:tcW w:w="16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04040" w:themeFill="text1" w:themeFillTint="BF"/>
            <w:vAlign w:val="center"/>
          </w:tcPr>
          <w:p w14:paraId="28C32067" w14:textId="0BDAB72E" w:rsidR="24B852B7" w:rsidRDefault="24B852B7" w:rsidP="24B852B7">
            <w:pPr>
              <w:jc w:val="center"/>
            </w:pPr>
            <w:r w:rsidRPr="24B852B7">
              <w:rPr>
                <w:rFonts w:ascii="Calibri" w:eastAsia="Calibri" w:hAnsi="Calibri" w:cs="Calibri"/>
                <w:b/>
                <w:bCs/>
                <w:color w:val="FFFFFF" w:themeColor="background1"/>
                <w:sz w:val="20"/>
                <w:szCs w:val="20"/>
              </w:rPr>
              <w:t>2020</w:t>
            </w:r>
          </w:p>
        </w:tc>
      </w:tr>
      <w:tr w:rsidR="24B852B7" w14:paraId="54979E7C" w14:textId="77777777" w:rsidTr="002F3E13">
        <w:trPr>
          <w:trHeight w:hRule="exact" w:val="284"/>
          <w:jc w:val="center"/>
        </w:trPr>
        <w:tc>
          <w:tcPr>
            <w:tcW w:w="234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EF5C9FB" w14:textId="28FC1573" w:rsidR="24B852B7" w:rsidRDefault="24B852B7">
            <w:r w:rsidRPr="24B852B7">
              <w:rPr>
                <w:rFonts w:ascii="Calibri" w:eastAsia="Calibri" w:hAnsi="Calibri" w:cs="Calibri"/>
                <w:b/>
                <w:bCs/>
                <w:color w:val="000000" w:themeColor="text1"/>
                <w:sz w:val="18"/>
                <w:szCs w:val="18"/>
              </w:rPr>
              <w:t>LC nº 148/2014</w:t>
            </w:r>
          </w:p>
        </w:tc>
        <w:tc>
          <w:tcPr>
            <w:tcW w:w="171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B52810F" w14:textId="70D55EB6" w:rsidR="24B852B7" w:rsidRDefault="24B852B7">
            <w:r w:rsidRPr="24B852B7">
              <w:rPr>
                <w:rFonts w:ascii="Calibri" w:eastAsia="Calibri" w:hAnsi="Calibri" w:cs="Calibri"/>
                <w:color w:val="000000" w:themeColor="text1"/>
                <w:sz w:val="18"/>
                <w:szCs w:val="18"/>
              </w:rPr>
              <w:t>Estados</w:t>
            </w:r>
          </w:p>
        </w:tc>
        <w:tc>
          <w:tcPr>
            <w:tcW w:w="1620" w:type="dxa"/>
            <w:tcBorders>
              <w:top w:val="single" w:sz="8" w:space="0" w:color="FFFFFF" w:themeColor="background1"/>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tcPr>
          <w:p w14:paraId="3EE05814" w14:textId="592D2FAB" w:rsidR="24B852B7" w:rsidRDefault="24B852B7" w:rsidP="002A3DFA">
            <w:pPr>
              <w:jc w:val="right"/>
            </w:pPr>
            <w:r w:rsidRPr="24B852B7">
              <w:rPr>
                <w:rFonts w:ascii="Calibri" w:eastAsia="Calibri" w:hAnsi="Calibri" w:cs="Calibri"/>
                <w:color w:val="000000" w:themeColor="text1"/>
                <w:sz w:val="18"/>
                <w:szCs w:val="18"/>
              </w:rPr>
              <w:t>406,6</w:t>
            </w:r>
          </w:p>
        </w:tc>
        <w:tc>
          <w:tcPr>
            <w:tcW w:w="1560" w:type="dxa"/>
            <w:tcBorders>
              <w:top w:val="single" w:sz="8" w:space="0" w:color="FFFFFF" w:themeColor="background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C7F5AD1" w14:textId="0EFE4A02" w:rsidR="24B852B7" w:rsidRDefault="24B852B7" w:rsidP="002A3DFA">
            <w:pPr>
              <w:jc w:val="right"/>
            </w:pPr>
            <w:r w:rsidRPr="24B852B7">
              <w:rPr>
                <w:rFonts w:ascii="Calibri" w:eastAsia="Calibri" w:hAnsi="Calibri" w:cs="Calibri"/>
                <w:color w:val="000000" w:themeColor="text1"/>
                <w:sz w:val="18"/>
                <w:szCs w:val="18"/>
              </w:rPr>
              <w:t>22,6</w:t>
            </w:r>
          </w:p>
        </w:tc>
        <w:tc>
          <w:tcPr>
            <w:tcW w:w="1620" w:type="dxa"/>
            <w:tcBorders>
              <w:top w:val="single" w:sz="8" w:space="0" w:color="FFFFFF" w:themeColor="background1"/>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5F1301F" w14:textId="15067757" w:rsidR="24B852B7" w:rsidRDefault="24B852B7" w:rsidP="002A3DFA">
            <w:pPr>
              <w:jc w:val="right"/>
            </w:pPr>
            <w:r w:rsidRPr="24B852B7">
              <w:rPr>
                <w:rFonts w:ascii="Calibri" w:eastAsia="Calibri" w:hAnsi="Calibri" w:cs="Calibri"/>
                <w:color w:val="000000" w:themeColor="text1"/>
                <w:sz w:val="18"/>
                <w:szCs w:val="18"/>
              </w:rPr>
              <w:t>-</w:t>
            </w:r>
          </w:p>
        </w:tc>
      </w:tr>
      <w:tr w:rsidR="24B852B7" w14:paraId="788EB0A3"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5307EB" w14:textId="77777777" w:rsidR="00422732" w:rsidRDefault="00422732"/>
        </w:tc>
        <w:tc>
          <w:tcPr>
            <w:tcW w:w="171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910683" w14:textId="77777777" w:rsidR="00422732" w:rsidRDefault="00422732"/>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tcPr>
          <w:p w14:paraId="499DBDD1" w14:textId="6B9292E1" w:rsidR="24B852B7" w:rsidRDefault="24B852B7" w:rsidP="002A3DFA">
            <w:pPr>
              <w:jc w:val="right"/>
            </w:pPr>
            <w:r w:rsidRPr="24B852B7">
              <w:rPr>
                <w:rFonts w:ascii="Calibri" w:eastAsia="Calibri" w:hAnsi="Calibri" w:cs="Calibri"/>
                <w:color w:val="000000" w:themeColor="text1"/>
                <w:sz w:val="18"/>
                <w:szCs w:val="18"/>
              </w:rPr>
              <w:t>-58,4%</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5ABAD249" w14:textId="127BF2F0" w:rsidR="24B852B7" w:rsidRDefault="24B852B7" w:rsidP="002A3DFA">
            <w:pPr>
              <w:jc w:val="right"/>
            </w:pPr>
            <w:r w:rsidRPr="24B852B7">
              <w:rPr>
                <w:rFonts w:ascii="Calibri" w:eastAsia="Calibri" w:hAnsi="Calibri" w:cs="Calibri"/>
                <w:color w:val="000000" w:themeColor="text1"/>
                <w:sz w:val="18"/>
                <w:szCs w:val="18"/>
              </w:rPr>
              <w:t>-94,4%</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DBE62F3" w14:textId="1B8BC71A" w:rsidR="24B852B7" w:rsidRDefault="24B852B7" w:rsidP="002A3DFA">
            <w:pPr>
              <w:jc w:val="right"/>
            </w:pPr>
            <w:r w:rsidRPr="24B852B7">
              <w:rPr>
                <w:rFonts w:ascii="Calibri" w:eastAsia="Calibri" w:hAnsi="Calibri" w:cs="Calibri"/>
                <w:color w:val="000000" w:themeColor="text1"/>
                <w:sz w:val="18"/>
                <w:szCs w:val="18"/>
              </w:rPr>
              <w:t>-100,0%</w:t>
            </w:r>
          </w:p>
        </w:tc>
      </w:tr>
      <w:tr w:rsidR="24B852B7" w14:paraId="351C9E32"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34E931" w14:textId="77777777" w:rsidR="00422732" w:rsidRDefault="00422732"/>
        </w:tc>
        <w:tc>
          <w:tcPr>
            <w:tcW w:w="1710"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4AB6CAD" w14:textId="3ED8A7BD" w:rsidR="24B852B7" w:rsidRDefault="24B852B7">
            <w:r w:rsidRPr="24B852B7">
              <w:rPr>
                <w:rFonts w:ascii="Calibri" w:eastAsia="Calibri" w:hAnsi="Calibri" w:cs="Calibri"/>
                <w:color w:val="000000" w:themeColor="text1"/>
                <w:sz w:val="18"/>
                <w:szCs w:val="18"/>
              </w:rPr>
              <w:t>Municípios</w:t>
            </w:r>
          </w:p>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tcPr>
          <w:p w14:paraId="158AF10A" w14:textId="0A22B616" w:rsidR="24B852B7" w:rsidRDefault="24B852B7" w:rsidP="002A3DFA">
            <w:pPr>
              <w:jc w:val="right"/>
            </w:pPr>
            <w:r w:rsidRPr="24B852B7">
              <w:rPr>
                <w:rFonts w:ascii="Calibri" w:eastAsia="Calibri" w:hAnsi="Calibri" w:cs="Calibri"/>
                <w:color w:val="000000" w:themeColor="text1"/>
                <w:sz w:val="18"/>
                <w:szCs w:val="18"/>
              </w:rPr>
              <w:t>547,9</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024B42E" w14:textId="5A096566" w:rsidR="24B852B7" w:rsidRDefault="24B852B7" w:rsidP="002A3DFA">
            <w:pPr>
              <w:jc w:val="right"/>
            </w:pPr>
            <w:r w:rsidRPr="24B852B7">
              <w:rPr>
                <w:rFonts w:ascii="Calibri" w:eastAsia="Calibri" w:hAnsi="Calibri" w:cs="Calibri"/>
                <w:color w:val="000000" w:themeColor="text1"/>
                <w:sz w:val="18"/>
                <w:szCs w:val="18"/>
              </w:rPr>
              <w:t>400,9</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63A3A9A" w14:textId="3583DAF0" w:rsidR="24B852B7" w:rsidRDefault="24B852B7" w:rsidP="002A3DFA">
            <w:pPr>
              <w:jc w:val="right"/>
            </w:pPr>
            <w:r w:rsidRPr="24B852B7">
              <w:rPr>
                <w:rFonts w:ascii="Calibri" w:eastAsia="Calibri" w:hAnsi="Calibri" w:cs="Calibri"/>
                <w:color w:val="000000" w:themeColor="text1"/>
                <w:sz w:val="18"/>
                <w:szCs w:val="18"/>
              </w:rPr>
              <w:t>465,0</w:t>
            </w:r>
          </w:p>
        </w:tc>
      </w:tr>
      <w:tr w:rsidR="24B852B7" w14:paraId="06E8F297"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CB3387" w14:textId="77777777" w:rsidR="00422732" w:rsidRDefault="00422732"/>
        </w:tc>
        <w:tc>
          <w:tcPr>
            <w:tcW w:w="171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C4ABB5" w14:textId="77777777" w:rsidR="00422732" w:rsidRDefault="00422732"/>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tcPr>
          <w:p w14:paraId="11C5A4D7" w14:textId="6D31054C" w:rsidR="24B852B7" w:rsidRDefault="24B852B7" w:rsidP="002A3DFA">
            <w:pPr>
              <w:jc w:val="right"/>
            </w:pPr>
            <w:r w:rsidRPr="24B852B7">
              <w:rPr>
                <w:rFonts w:ascii="Calibri" w:eastAsia="Calibri" w:hAnsi="Calibri" w:cs="Calibri"/>
                <w:color w:val="000000" w:themeColor="text1"/>
                <w:sz w:val="18"/>
                <w:szCs w:val="18"/>
              </w:rPr>
              <w:t>4,3%</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EA9EC6F" w14:textId="42400B30" w:rsidR="24B852B7" w:rsidRDefault="24B852B7" w:rsidP="002A3DFA">
            <w:pPr>
              <w:jc w:val="right"/>
            </w:pPr>
            <w:r w:rsidRPr="24B852B7">
              <w:rPr>
                <w:rFonts w:ascii="Calibri" w:eastAsia="Calibri" w:hAnsi="Calibri" w:cs="Calibri"/>
                <w:color w:val="000000" w:themeColor="text1"/>
                <w:sz w:val="18"/>
                <w:szCs w:val="18"/>
              </w:rPr>
              <w:t>-26,8%</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207E1FD" w14:textId="3913920C" w:rsidR="24B852B7" w:rsidRDefault="24B852B7" w:rsidP="002A3DFA">
            <w:pPr>
              <w:jc w:val="right"/>
            </w:pPr>
            <w:r w:rsidRPr="24B852B7">
              <w:rPr>
                <w:rFonts w:ascii="Calibri" w:eastAsia="Calibri" w:hAnsi="Calibri" w:cs="Calibri"/>
                <w:color w:val="000000" w:themeColor="text1"/>
                <w:sz w:val="18"/>
                <w:szCs w:val="18"/>
              </w:rPr>
              <w:t>16,0%</w:t>
            </w:r>
          </w:p>
        </w:tc>
      </w:tr>
      <w:tr w:rsidR="24B852B7" w14:paraId="44FE20EE"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FE3E21" w14:textId="77777777" w:rsidR="00422732" w:rsidRDefault="00422732"/>
        </w:tc>
        <w:tc>
          <w:tcPr>
            <w:tcW w:w="1710"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4FC9100" w14:textId="3E21413A" w:rsidR="24B852B7" w:rsidRDefault="24B852B7">
            <w:r w:rsidRPr="24B852B7">
              <w:rPr>
                <w:rFonts w:ascii="Calibri" w:eastAsia="Calibri" w:hAnsi="Calibri" w:cs="Calibri"/>
                <w:color w:val="000000" w:themeColor="text1"/>
                <w:sz w:val="18"/>
                <w:szCs w:val="18"/>
              </w:rPr>
              <w:t>Subtotal</w:t>
            </w:r>
          </w:p>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tcPr>
          <w:p w14:paraId="641E32F7" w14:textId="1E72FDB6" w:rsidR="24B852B7" w:rsidRDefault="24B852B7" w:rsidP="002A3DFA">
            <w:pPr>
              <w:jc w:val="right"/>
            </w:pPr>
            <w:r w:rsidRPr="24B852B7">
              <w:rPr>
                <w:rFonts w:ascii="Calibri" w:eastAsia="Calibri" w:hAnsi="Calibri" w:cs="Calibri"/>
                <w:color w:val="000000" w:themeColor="text1"/>
                <w:sz w:val="18"/>
                <w:szCs w:val="18"/>
              </w:rPr>
              <w:t>954,5</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926CE73" w14:textId="3C7BDE66" w:rsidR="24B852B7" w:rsidRDefault="24B852B7" w:rsidP="002A3DFA">
            <w:pPr>
              <w:jc w:val="right"/>
            </w:pPr>
            <w:r w:rsidRPr="24B852B7">
              <w:rPr>
                <w:rFonts w:ascii="Calibri" w:eastAsia="Calibri" w:hAnsi="Calibri" w:cs="Calibri"/>
                <w:color w:val="000000" w:themeColor="text1"/>
                <w:sz w:val="18"/>
                <w:szCs w:val="18"/>
              </w:rPr>
              <w:t>423,5</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7647FC3" w14:textId="770FBA21" w:rsidR="24B852B7" w:rsidRDefault="24B852B7" w:rsidP="002A3DFA">
            <w:pPr>
              <w:jc w:val="right"/>
            </w:pPr>
            <w:r w:rsidRPr="24B852B7">
              <w:rPr>
                <w:rFonts w:ascii="Calibri" w:eastAsia="Calibri" w:hAnsi="Calibri" w:cs="Calibri"/>
                <w:color w:val="000000" w:themeColor="text1"/>
                <w:sz w:val="18"/>
                <w:szCs w:val="18"/>
              </w:rPr>
              <w:t>465,0</w:t>
            </w:r>
          </w:p>
        </w:tc>
      </w:tr>
      <w:tr w:rsidR="24B852B7" w14:paraId="103F00A5"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3C37A6" w14:textId="77777777" w:rsidR="00422732" w:rsidRDefault="00422732"/>
        </w:tc>
        <w:tc>
          <w:tcPr>
            <w:tcW w:w="171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134C09" w14:textId="77777777" w:rsidR="00422732" w:rsidRDefault="00422732"/>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shd w:val="clear" w:color="auto" w:fill="F2F2F2" w:themeFill="background1" w:themeFillShade="F2"/>
          </w:tcPr>
          <w:p w14:paraId="3E0D5C51" w14:textId="7DD4124B" w:rsidR="24B852B7" w:rsidRDefault="24B852B7" w:rsidP="002A3DFA">
            <w:pPr>
              <w:jc w:val="right"/>
            </w:pPr>
            <w:r w:rsidRPr="24B852B7">
              <w:rPr>
                <w:rFonts w:ascii="Calibri" w:eastAsia="Calibri" w:hAnsi="Calibri" w:cs="Calibri"/>
                <w:color w:val="000000" w:themeColor="text1"/>
                <w:sz w:val="18"/>
                <w:szCs w:val="18"/>
              </w:rPr>
              <w:t>-36,4%</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3C7E59C" w14:textId="538E6DAE" w:rsidR="24B852B7" w:rsidRDefault="24B852B7" w:rsidP="002A3DFA">
            <w:pPr>
              <w:jc w:val="right"/>
            </w:pPr>
            <w:r w:rsidRPr="24B852B7">
              <w:rPr>
                <w:rFonts w:ascii="Calibri" w:eastAsia="Calibri" w:hAnsi="Calibri" w:cs="Calibri"/>
                <w:color w:val="000000" w:themeColor="text1"/>
                <w:sz w:val="18"/>
                <w:szCs w:val="18"/>
              </w:rPr>
              <w:t>-55,6%</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FDBB3A3" w14:textId="0823DDA7" w:rsidR="24B852B7" w:rsidRDefault="24B852B7" w:rsidP="002A3DFA">
            <w:pPr>
              <w:jc w:val="right"/>
            </w:pPr>
            <w:r w:rsidRPr="24B852B7">
              <w:rPr>
                <w:rFonts w:ascii="Calibri" w:eastAsia="Calibri" w:hAnsi="Calibri" w:cs="Calibri"/>
                <w:color w:val="000000" w:themeColor="text1"/>
                <w:sz w:val="18"/>
                <w:szCs w:val="18"/>
              </w:rPr>
              <w:t>9,8%</w:t>
            </w:r>
          </w:p>
        </w:tc>
      </w:tr>
      <w:tr w:rsidR="24B852B7" w14:paraId="2B9E87FF" w14:textId="77777777" w:rsidTr="002F3E13">
        <w:trPr>
          <w:trHeight w:hRule="exact" w:val="284"/>
          <w:jc w:val="center"/>
        </w:trPr>
        <w:tc>
          <w:tcPr>
            <w:tcW w:w="2340"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67DAF8" w14:textId="088080E0" w:rsidR="24B852B7" w:rsidRDefault="24B852B7">
            <w:r w:rsidRPr="24B852B7">
              <w:rPr>
                <w:rFonts w:ascii="Calibri" w:eastAsia="Calibri" w:hAnsi="Calibri" w:cs="Calibri"/>
                <w:b/>
                <w:bCs/>
                <w:color w:val="000000" w:themeColor="text1"/>
                <w:sz w:val="18"/>
                <w:szCs w:val="18"/>
              </w:rPr>
              <w:t>Perda estimada dos créditos</w:t>
            </w:r>
            <w:r>
              <w:br/>
            </w:r>
            <w:r w:rsidRPr="24B852B7">
              <w:rPr>
                <w:rFonts w:ascii="Calibri" w:eastAsia="Calibri" w:hAnsi="Calibri" w:cs="Calibri"/>
                <w:b/>
                <w:bCs/>
                <w:color w:val="000000" w:themeColor="text1"/>
                <w:sz w:val="18"/>
                <w:szCs w:val="18"/>
              </w:rPr>
              <w:t>com liquidação duvidosa</w:t>
            </w:r>
          </w:p>
        </w:tc>
        <w:tc>
          <w:tcPr>
            <w:tcW w:w="1710"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DA8E1C" w14:textId="6C9E63B6" w:rsidR="24B852B7" w:rsidRDefault="24B852B7">
            <w:r w:rsidRPr="24B852B7">
              <w:rPr>
                <w:rFonts w:ascii="Calibri" w:eastAsia="Calibri" w:hAnsi="Calibri" w:cs="Calibri"/>
                <w:color w:val="000000" w:themeColor="text1"/>
                <w:sz w:val="18"/>
                <w:szCs w:val="18"/>
              </w:rPr>
              <w:t>Estados</w:t>
            </w:r>
          </w:p>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7911CAD8" w14:textId="48EF839C" w:rsidR="24B852B7" w:rsidRDefault="24B852B7" w:rsidP="002A3DFA">
            <w:pPr>
              <w:jc w:val="right"/>
            </w:pPr>
            <w:r w:rsidRPr="24B852B7">
              <w:rPr>
                <w:rFonts w:ascii="Calibri" w:eastAsia="Calibri" w:hAnsi="Calibri" w:cs="Calibri"/>
                <w:color w:val="000000" w:themeColor="text1"/>
                <w:sz w:val="18"/>
                <w:szCs w:val="18"/>
              </w:rPr>
              <w:t>19.587,60</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70DBDD" w14:textId="7835DD49" w:rsidR="24B852B7" w:rsidRDefault="24B852B7" w:rsidP="002A3DFA">
            <w:pPr>
              <w:jc w:val="right"/>
            </w:pPr>
            <w:r w:rsidRPr="24B852B7">
              <w:rPr>
                <w:rFonts w:ascii="Calibri" w:eastAsia="Calibri" w:hAnsi="Calibri" w:cs="Calibri"/>
                <w:color w:val="000000" w:themeColor="text1"/>
                <w:sz w:val="18"/>
                <w:szCs w:val="18"/>
              </w:rPr>
              <w:t>30.410,7</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BC6C1B4" w14:textId="45773800" w:rsidR="24B852B7" w:rsidRDefault="24B852B7" w:rsidP="002A3DFA">
            <w:pPr>
              <w:jc w:val="right"/>
            </w:pPr>
            <w:r w:rsidRPr="24B852B7">
              <w:rPr>
                <w:rFonts w:ascii="Calibri" w:eastAsia="Calibri" w:hAnsi="Calibri" w:cs="Calibri"/>
                <w:color w:val="000000" w:themeColor="text1"/>
                <w:sz w:val="18"/>
                <w:szCs w:val="18"/>
              </w:rPr>
              <w:t>341.312,7</w:t>
            </w:r>
          </w:p>
        </w:tc>
      </w:tr>
      <w:tr w:rsidR="24B852B7" w14:paraId="17A9D458"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FBA06B" w14:textId="77777777" w:rsidR="00422732" w:rsidRDefault="00422732"/>
        </w:tc>
        <w:tc>
          <w:tcPr>
            <w:tcW w:w="171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1EAB6B" w14:textId="77777777" w:rsidR="00422732" w:rsidRDefault="00422732"/>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3E8B154D" w14:textId="17D54FE7" w:rsidR="24B852B7" w:rsidRDefault="24B852B7" w:rsidP="002A3DFA">
            <w:pPr>
              <w:jc w:val="right"/>
            </w:pPr>
            <w:r w:rsidRPr="24B852B7">
              <w:rPr>
                <w:rFonts w:ascii="Calibri" w:eastAsia="Calibri" w:hAnsi="Calibri" w:cs="Calibri"/>
                <w:color w:val="000000" w:themeColor="text1"/>
                <w:sz w:val="18"/>
                <w:szCs w:val="18"/>
              </w:rPr>
              <w:t>-64,4%</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5AD5D1" w14:textId="0EF9A660" w:rsidR="24B852B7" w:rsidRDefault="24B852B7" w:rsidP="002A3DFA">
            <w:pPr>
              <w:jc w:val="right"/>
            </w:pPr>
            <w:r w:rsidRPr="24B852B7">
              <w:rPr>
                <w:rFonts w:ascii="Calibri" w:eastAsia="Calibri" w:hAnsi="Calibri" w:cs="Calibri"/>
                <w:color w:val="000000" w:themeColor="text1"/>
                <w:sz w:val="18"/>
                <w:szCs w:val="18"/>
              </w:rPr>
              <w:t>55,3%</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D104A4E" w14:textId="43ACBFFE" w:rsidR="24B852B7" w:rsidRDefault="24B852B7" w:rsidP="002A3DFA">
            <w:pPr>
              <w:jc w:val="right"/>
            </w:pPr>
            <w:r w:rsidRPr="24B852B7">
              <w:rPr>
                <w:rFonts w:ascii="Calibri" w:eastAsia="Calibri" w:hAnsi="Calibri" w:cs="Calibri"/>
                <w:color w:val="000000" w:themeColor="text1"/>
                <w:sz w:val="18"/>
                <w:szCs w:val="18"/>
              </w:rPr>
              <w:t>1022,3%</w:t>
            </w:r>
          </w:p>
        </w:tc>
      </w:tr>
      <w:tr w:rsidR="24B852B7" w14:paraId="3DF03A04"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950FDE" w14:textId="77777777" w:rsidR="00422732" w:rsidRDefault="00422732"/>
        </w:tc>
        <w:tc>
          <w:tcPr>
            <w:tcW w:w="1710"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214E4B" w14:textId="4F5064BF" w:rsidR="24B852B7" w:rsidRDefault="24B852B7">
            <w:r w:rsidRPr="24B852B7">
              <w:rPr>
                <w:rFonts w:ascii="Calibri" w:eastAsia="Calibri" w:hAnsi="Calibri" w:cs="Calibri"/>
                <w:color w:val="000000" w:themeColor="text1"/>
                <w:sz w:val="18"/>
                <w:szCs w:val="18"/>
              </w:rPr>
              <w:t>Municípios</w:t>
            </w:r>
          </w:p>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500BC049" w14:textId="409F6091" w:rsidR="24B852B7" w:rsidRDefault="24B852B7" w:rsidP="002A3DFA">
            <w:pPr>
              <w:jc w:val="right"/>
            </w:pPr>
            <w:r w:rsidRPr="24B852B7">
              <w:rPr>
                <w:rFonts w:ascii="Calibri" w:eastAsia="Calibri" w:hAnsi="Calibri" w:cs="Calibri"/>
                <w:color w:val="000000" w:themeColor="text1"/>
                <w:sz w:val="18"/>
                <w:szCs w:val="18"/>
              </w:rPr>
              <w:t>1.913,80</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6A93878" w14:textId="2BC1F0A5" w:rsidR="24B852B7" w:rsidRDefault="24B852B7" w:rsidP="002A3DFA">
            <w:pPr>
              <w:jc w:val="right"/>
            </w:pPr>
            <w:r w:rsidRPr="24B852B7">
              <w:rPr>
                <w:rFonts w:ascii="Calibri" w:eastAsia="Calibri" w:hAnsi="Calibri" w:cs="Calibri"/>
                <w:color w:val="000000" w:themeColor="text1"/>
                <w:sz w:val="18"/>
                <w:szCs w:val="18"/>
              </w:rPr>
              <w:t>2.256,7</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07AB975" w14:textId="4A39AF8D" w:rsidR="24B852B7" w:rsidRDefault="24B852B7" w:rsidP="002A3DFA">
            <w:pPr>
              <w:jc w:val="right"/>
            </w:pPr>
            <w:r w:rsidRPr="24B852B7">
              <w:rPr>
                <w:rFonts w:ascii="Calibri" w:eastAsia="Calibri" w:hAnsi="Calibri" w:cs="Calibri"/>
                <w:color w:val="000000" w:themeColor="text1"/>
                <w:sz w:val="18"/>
                <w:szCs w:val="18"/>
              </w:rPr>
              <w:t>5.451,4</w:t>
            </w:r>
          </w:p>
        </w:tc>
      </w:tr>
      <w:tr w:rsidR="24B852B7" w14:paraId="044B5B5D"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F194C3" w14:textId="77777777" w:rsidR="00422732" w:rsidRDefault="00422732"/>
        </w:tc>
        <w:tc>
          <w:tcPr>
            <w:tcW w:w="171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2A22CB" w14:textId="77777777" w:rsidR="00422732" w:rsidRDefault="00422732"/>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4DD18AC1" w14:textId="1D7DB4E4" w:rsidR="24B852B7" w:rsidRDefault="24B852B7" w:rsidP="002A3DFA">
            <w:pPr>
              <w:jc w:val="right"/>
            </w:pPr>
            <w:r w:rsidRPr="24B852B7">
              <w:rPr>
                <w:rFonts w:ascii="Calibri" w:eastAsia="Calibri" w:hAnsi="Calibri" w:cs="Calibri"/>
                <w:color w:val="000000" w:themeColor="text1"/>
                <w:sz w:val="18"/>
                <w:szCs w:val="18"/>
              </w:rPr>
              <w:t>6,5%</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C705266" w14:textId="33980E97" w:rsidR="24B852B7" w:rsidRDefault="24B852B7" w:rsidP="002A3DFA">
            <w:pPr>
              <w:jc w:val="right"/>
            </w:pPr>
            <w:r w:rsidRPr="24B852B7">
              <w:rPr>
                <w:rFonts w:ascii="Calibri" w:eastAsia="Calibri" w:hAnsi="Calibri" w:cs="Calibri"/>
                <w:color w:val="000000" w:themeColor="text1"/>
                <w:sz w:val="18"/>
                <w:szCs w:val="18"/>
              </w:rPr>
              <w:t>17,9%</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94D7A2B" w14:textId="46306B11" w:rsidR="24B852B7" w:rsidRDefault="24B852B7" w:rsidP="002A3DFA">
            <w:pPr>
              <w:jc w:val="right"/>
            </w:pPr>
            <w:r w:rsidRPr="24B852B7">
              <w:rPr>
                <w:rFonts w:ascii="Calibri" w:eastAsia="Calibri" w:hAnsi="Calibri" w:cs="Calibri"/>
                <w:color w:val="000000" w:themeColor="text1"/>
                <w:sz w:val="18"/>
                <w:szCs w:val="18"/>
              </w:rPr>
              <w:t>141,6%</w:t>
            </w:r>
          </w:p>
        </w:tc>
      </w:tr>
      <w:tr w:rsidR="24B852B7" w14:paraId="62A641B6"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EA2062" w14:textId="77777777" w:rsidR="00422732" w:rsidRDefault="00422732"/>
        </w:tc>
        <w:tc>
          <w:tcPr>
            <w:tcW w:w="1710"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511163" w14:textId="7C7F094F" w:rsidR="24B852B7" w:rsidRDefault="24B852B7">
            <w:r w:rsidRPr="24B852B7">
              <w:rPr>
                <w:rFonts w:ascii="Calibri" w:eastAsia="Calibri" w:hAnsi="Calibri" w:cs="Calibri"/>
                <w:color w:val="000000" w:themeColor="text1"/>
                <w:sz w:val="18"/>
                <w:szCs w:val="18"/>
              </w:rPr>
              <w:t>Administração</w:t>
            </w:r>
            <w:r>
              <w:br/>
            </w:r>
            <w:r w:rsidRPr="24B852B7">
              <w:rPr>
                <w:rFonts w:ascii="Calibri" w:eastAsia="Calibri" w:hAnsi="Calibri" w:cs="Calibri"/>
                <w:color w:val="000000" w:themeColor="text1"/>
                <w:sz w:val="18"/>
                <w:szCs w:val="18"/>
              </w:rPr>
              <w:t>direta e indireta</w:t>
            </w:r>
          </w:p>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5B41AF54" w14:textId="023FC09C" w:rsidR="24B852B7" w:rsidRDefault="24B852B7" w:rsidP="002A3DFA">
            <w:pPr>
              <w:jc w:val="right"/>
            </w:pPr>
            <w:r w:rsidRPr="24B852B7">
              <w:rPr>
                <w:rFonts w:ascii="Calibri" w:eastAsia="Calibri" w:hAnsi="Calibri" w:cs="Calibri"/>
                <w:color w:val="000000" w:themeColor="text1"/>
                <w:sz w:val="18"/>
                <w:szCs w:val="18"/>
              </w:rPr>
              <w:t>1.532,20</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5FF013E" w14:textId="6DA57F70" w:rsidR="24B852B7" w:rsidRDefault="24B852B7" w:rsidP="002A3DFA">
            <w:pPr>
              <w:jc w:val="right"/>
            </w:pPr>
            <w:r w:rsidRPr="24B852B7">
              <w:rPr>
                <w:rFonts w:ascii="Calibri" w:eastAsia="Calibri" w:hAnsi="Calibri" w:cs="Calibri"/>
                <w:color w:val="000000" w:themeColor="text1"/>
                <w:sz w:val="18"/>
                <w:szCs w:val="18"/>
              </w:rPr>
              <w:t>2.042,7</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447C708" w14:textId="0116D7E3" w:rsidR="24B852B7" w:rsidRDefault="24B852B7" w:rsidP="002A3DFA">
            <w:pPr>
              <w:jc w:val="right"/>
            </w:pPr>
            <w:r w:rsidRPr="24B852B7">
              <w:rPr>
                <w:rFonts w:ascii="Calibri" w:eastAsia="Calibri" w:hAnsi="Calibri" w:cs="Calibri"/>
                <w:color w:val="000000" w:themeColor="text1"/>
                <w:sz w:val="18"/>
                <w:szCs w:val="18"/>
              </w:rPr>
              <w:t>3.175,8</w:t>
            </w:r>
          </w:p>
        </w:tc>
      </w:tr>
      <w:tr w:rsidR="24B852B7" w14:paraId="33515CAC"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69139C" w14:textId="77777777" w:rsidR="00422732" w:rsidRDefault="00422732"/>
        </w:tc>
        <w:tc>
          <w:tcPr>
            <w:tcW w:w="171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16D044" w14:textId="77777777" w:rsidR="00422732" w:rsidRDefault="00422732"/>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513D8943" w14:textId="070D9540" w:rsidR="24B852B7" w:rsidRDefault="24B852B7" w:rsidP="002A3DFA">
            <w:pPr>
              <w:jc w:val="right"/>
            </w:pPr>
            <w:r w:rsidRPr="24B852B7">
              <w:rPr>
                <w:rFonts w:ascii="Calibri" w:eastAsia="Calibri" w:hAnsi="Calibri" w:cs="Calibri"/>
                <w:color w:val="000000" w:themeColor="text1"/>
                <w:sz w:val="18"/>
                <w:szCs w:val="18"/>
              </w:rPr>
              <w:t>1117,0%</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9C0E34D" w14:textId="170E9257" w:rsidR="24B852B7" w:rsidRDefault="24B852B7" w:rsidP="002A3DFA">
            <w:pPr>
              <w:jc w:val="right"/>
            </w:pPr>
            <w:r w:rsidRPr="24B852B7">
              <w:rPr>
                <w:rFonts w:ascii="Calibri" w:eastAsia="Calibri" w:hAnsi="Calibri" w:cs="Calibri"/>
                <w:color w:val="000000" w:themeColor="text1"/>
                <w:sz w:val="18"/>
                <w:szCs w:val="18"/>
              </w:rPr>
              <w:t>33,3%</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39AEB00" w14:textId="50131D80" w:rsidR="24B852B7" w:rsidRDefault="24B852B7" w:rsidP="002A3DFA">
            <w:pPr>
              <w:jc w:val="right"/>
            </w:pPr>
            <w:r w:rsidRPr="24B852B7">
              <w:rPr>
                <w:rFonts w:ascii="Calibri" w:eastAsia="Calibri" w:hAnsi="Calibri" w:cs="Calibri"/>
                <w:color w:val="000000" w:themeColor="text1"/>
                <w:sz w:val="18"/>
                <w:szCs w:val="18"/>
              </w:rPr>
              <w:t>55,5%</w:t>
            </w:r>
          </w:p>
        </w:tc>
      </w:tr>
      <w:tr w:rsidR="24B852B7" w14:paraId="22F30DE6"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3668E0" w14:textId="77777777" w:rsidR="00422732" w:rsidRDefault="00422732"/>
        </w:tc>
        <w:tc>
          <w:tcPr>
            <w:tcW w:w="1710"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CB56C2" w14:textId="597C720E" w:rsidR="24B852B7" w:rsidRDefault="24B852B7">
            <w:r w:rsidRPr="24B852B7">
              <w:rPr>
                <w:rFonts w:ascii="Calibri" w:eastAsia="Calibri" w:hAnsi="Calibri" w:cs="Calibri"/>
                <w:color w:val="000000" w:themeColor="text1"/>
                <w:sz w:val="18"/>
                <w:szCs w:val="18"/>
              </w:rPr>
              <w:t>Subtotal</w:t>
            </w:r>
          </w:p>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65D9BAA7" w14:textId="6464DE07" w:rsidR="24B852B7" w:rsidRDefault="24B852B7" w:rsidP="002A3DFA">
            <w:pPr>
              <w:jc w:val="right"/>
            </w:pPr>
            <w:r w:rsidRPr="24B852B7">
              <w:rPr>
                <w:rFonts w:ascii="Calibri" w:eastAsia="Calibri" w:hAnsi="Calibri" w:cs="Calibri"/>
                <w:color w:val="000000" w:themeColor="text1"/>
                <w:sz w:val="18"/>
                <w:szCs w:val="18"/>
              </w:rPr>
              <w:t>23.033,6</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674D4D9" w14:textId="0CA6A616" w:rsidR="24B852B7" w:rsidRDefault="24B852B7" w:rsidP="002A3DFA">
            <w:pPr>
              <w:jc w:val="right"/>
            </w:pPr>
            <w:r w:rsidRPr="24B852B7">
              <w:rPr>
                <w:rFonts w:ascii="Calibri" w:eastAsia="Calibri" w:hAnsi="Calibri" w:cs="Calibri"/>
                <w:color w:val="000000" w:themeColor="text1"/>
                <w:sz w:val="18"/>
                <w:szCs w:val="18"/>
              </w:rPr>
              <w:t>34.710,1</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C412D34" w14:textId="703E5C60" w:rsidR="24B852B7" w:rsidRDefault="24B852B7" w:rsidP="002A3DFA">
            <w:pPr>
              <w:jc w:val="right"/>
            </w:pPr>
            <w:r w:rsidRPr="24B852B7">
              <w:rPr>
                <w:rFonts w:ascii="Calibri" w:eastAsia="Calibri" w:hAnsi="Calibri" w:cs="Calibri"/>
                <w:color w:val="000000" w:themeColor="text1"/>
                <w:sz w:val="18"/>
                <w:szCs w:val="18"/>
              </w:rPr>
              <w:t>349.939,9</w:t>
            </w:r>
          </w:p>
        </w:tc>
      </w:tr>
      <w:tr w:rsidR="24B852B7" w14:paraId="080F9034" w14:textId="77777777" w:rsidTr="002F3E13">
        <w:trPr>
          <w:trHeight w:hRule="exact" w:val="284"/>
          <w:jc w:val="center"/>
        </w:trPr>
        <w:tc>
          <w:tcPr>
            <w:tcW w:w="234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6BDD9C" w14:textId="77777777" w:rsidR="00422732" w:rsidRDefault="00422732"/>
        </w:tc>
        <w:tc>
          <w:tcPr>
            <w:tcW w:w="171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3EBD58" w14:textId="77777777" w:rsidR="00422732" w:rsidRDefault="00422732"/>
        </w:tc>
        <w:tc>
          <w:tcPr>
            <w:tcW w:w="1620" w:type="dxa"/>
            <w:tcBorders>
              <w:top w:val="single" w:sz="8" w:space="0" w:color="BFBFBF" w:themeColor="background1" w:themeShade="BF"/>
              <w:left w:val="single" w:sz="4" w:space="0" w:color="D9D9D9" w:themeColor="background1" w:themeShade="D9"/>
              <w:bottom w:val="single" w:sz="8" w:space="0" w:color="BFBFBF" w:themeColor="background1" w:themeShade="BF"/>
              <w:right w:val="single" w:sz="8" w:space="0" w:color="BFBFBF" w:themeColor="background1" w:themeShade="BF"/>
            </w:tcBorders>
          </w:tcPr>
          <w:p w14:paraId="6494B22A" w14:textId="7CE9E39A" w:rsidR="24B852B7" w:rsidRDefault="24B852B7" w:rsidP="002A3DFA">
            <w:pPr>
              <w:jc w:val="right"/>
            </w:pPr>
            <w:r w:rsidRPr="24B852B7">
              <w:rPr>
                <w:rFonts w:ascii="Calibri" w:eastAsia="Calibri" w:hAnsi="Calibri" w:cs="Calibri"/>
                <w:color w:val="000000" w:themeColor="text1"/>
                <w:sz w:val="18"/>
                <w:szCs w:val="18"/>
              </w:rPr>
              <w:t>-59,5%</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C5CD9E" w14:textId="7AC11C67" w:rsidR="24B852B7" w:rsidRDefault="24B852B7" w:rsidP="002A3DFA">
            <w:pPr>
              <w:jc w:val="right"/>
            </w:pPr>
            <w:r w:rsidRPr="24B852B7">
              <w:rPr>
                <w:rFonts w:ascii="Calibri" w:eastAsia="Calibri" w:hAnsi="Calibri" w:cs="Calibri"/>
                <w:color w:val="000000" w:themeColor="text1"/>
                <w:sz w:val="18"/>
                <w:szCs w:val="18"/>
              </w:rPr>
              <w:t>50,7%</w:t>
            </w:r>
          </w:p>
        </w:tc>
        <w:tc>
          <w:tcPr>
            <w:tcW w:w="1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DFC65" w14:textId="78E570D8" w:rsidR="24B852B7" w:rsidRDefault="24B852B7" w:rsidP="002A3DFA">
            <w:pPr>
              <w:jc w:val="right"/>
            </w:pPr>
            <w:r w:rsidRPr="24B852B7">
              <w:rPr>
                <w:rFonts w:ascii="Calibri" w:eastAsia="Calibri" w:hAnsi="Calibri" w:cs="Calibri"/>
                <w:color w:val="000000" w:themeColor="text1"/>
                <w:sz w:val="18"/>
                <w:szCs w:val="18"/>
              </w:rPr>
              <w:t>908,2%</w:t>
            </w:r>
          </w:p>
        </w:tc>
      </w:tr>
      <w:tr w:rsidR="24B852B7" w14:paraId="0A16C142" w14:textId="77777777" w:rsidTr="002F3E13">
        <w:trPr>
          <w:trHeight w:hRule="exact" w:val="284"/>
          <w:jc w:val="center"/>
        </w:trPr>
        <w:tc>
          <w:tcPr>
            <w:tcW w:w="4050"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08080" w:themeFill="background1" w:themeFillShade="80"/>
            <w:vAlign w:val="center"/>
          </w:tcPr>
          <w:p w14:paraId="7E8289B9" w14:textId="2F8DAF87" w:rsidR="24B852B7" w:rsidRDefault="24B852B7" w:rsidP="24B852B7">
            <w:pPr>
              <w:jc w:val="center"/>
            </w:pPr>
            <w:r w:rsidRPr="24B852B7">
              <w:rPr>
                <w:rFonts w:ascii="Calibri" w:eastAsia="Calibri" w:hAnsi="Calibri" w:cs="Calibri"/>
                <w:b/>
                <w:bCs/>
                <w:color w:val="FFFFFF" w:themeColor="background1"/>
                <w:sz w:val="18"/>
                <w:szCs w:val="18"/>
              </w:rPr>
              <w:t>Total</w:t>
            </w:r>
          </w:p>
        </w:tc>
        <w:tc>
          <w:tcPr>
            <w:tcW w:w="1620" w:type="dxa"/>
            <w:tcBorders>
              <w:left w:val="single" w:sz="4" w:space="0" w:color="D9D9D9" w:themeColor="background1" w:themeShade="D9"/>
            </w:tcBorders>
            <w:shd w:val="clear" w:color="auto" w:fill="808080" w:themeFill="background1" w:themeFillShade="80"/>
          </w:tcPr>
          <w:p w14:paraId="32211F2A" w14:textId="236ACC88" w:rsidR="24B852B7" w:rsidRDefault="24B852B7" w:rsidP="002A3DFA">
            <w:pPr>
              <w:jc w:val="right"/>
            </w:pPr>
            <w:r w:rsidRPr="24B852B7">
              <w:rPr>
                <w:rFonts w:ascii="Calibri" w:eastAsia="Calibri" w:hAnsi="Calibri" w:cs="Calibri"/>
                <w:b/>
                <w:bCs/>
                <w:color w:val="FFFFFF" w:themeColor="background1"/>
                <w:sz w:val="18"/>
                <w:szCs w:val="18"/>
              </w:rPr>
              <w:t>23.988,1</w:t>
            </w:r>
          </w:p>
        </w:tc>
        <w:tc>
          <w:tcPr>
            <w:tcW w:w="1560" w:type="dxa"/>
            <w:tcBorders>
              <w:top w:val="single" w:sz="8" w:space="0" w:color="BFBFBF" w:themeColor="background1" w:themeShade="BF"/>
              <w:bottom w:val="nil"/>
              <w:right w:val="single" w:sz="8" w:space="0" w:color="BFBFBF" w:themeColor="background1" w:themeShade="BF"/>
            </w:tcBorders>
            <w:shd w:val="clear" w:color="auto" w:fill="808080" w:themeFill="background1" w:themeFillShade="80"/>
          </w:tcPr>
          <w:p w14:paraId="2386BB5B" w14:textId="53354869" w:rsidR="24B852B7" w:rsidRDefault="24B852B7" w:rsidP="002A3DFA">
            <w:pPr>
              <w:jc w:val="right"/>
            </w:pPr>
            <w:r w:rsidRPr="24B852B7">
              <w:rPr>
                <w:rFonts w:ascii="Calibri" w:eastAsia="Calibri" w:hAnsi="Calibri" w:cs="Calibri"/>
                <w:b/>
                <w:bCs/>
                <w:color w:val="FFFFFF" w:themeColor="background1"/>
                <w:sz w:val="18"/>
                <w:szCs w:val="18"/>
              </w:rPr>
              <w:t>35.133,6</w:t>
            </w:r>
          </w:p>
        </w:tc>
        <w:tc>
          <w:tcPr>
            <w:tcW w:w="162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808080" w:themeFill="background1" w:themeFillShade="80"/>
          </w:tcPr>
          <w:p w14:paraId="3909CD93" w14:textId="3E27B72A" w:rsidR="24B852B7" w:rsidRDefault="24B852B7" w:rsidP="002A3DFA">
            <w:pPr>
              <w:jc w:val="right"/>
            </w:pPr>
            <w:r w:rsidRPr="24B852B7">
              <w:rPr>
                <w:rFonts w:ascii="Calibri" w:eastAsia="Calibri" w:hAnsi="Calibri" w:cs="Calibri"/>
                <w:b/>
                <w:bCs/>
                <w:color w:val="FFFFFF" w:themeColor="background1"/>
                <w:sz w:val="18"/>
                <w:szCs w:val="18"/>
              </w:rPr>
              <w:t>350.404,9</w:t>
            </w:r>
          </w:p>
        </w:tc>
      </w:tr>
      <w:tr w:rsidR="24B852B7" w14:paraId="0DA35ECD" w14:textId="77777777" w:rsidTr="002F3E13">
        <w:trPr>
          <w:trHeight w:hRule="exact" w:val="284"/>
          <w:jc w:val="center"/>
        </w:trPr>
        <w:tc>
          <w:tcPr>
            <w:tcW w:w="4050" w:type="dxa"/>
            <w:gridSpan w:val="2"/>
            <w:vMerge/>
            <w:tcBorders>
              <w:top w:val="single" w:sz="8"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B43EAE" w14:textId="77777777" w:rsidR="00422732" w:rsidRDefault="00422732"/>
        </w:tc>
        <w:tc>
          <w:tcPr>
            <w:tcW w:w="1620" w:type="dxa"/>
            <w:tcBorders>
              <w:left w:val="single" w:sz="4" w:space="0" w:color="D9D9D9" w:themeColor="background1" w:themeShade="D9"/>
              <w:bottom w:val="single" w:sz="8" w:space="0" w:color="BFBFBF" w:themeColor="background1" w:themeShade="BF"/>
              <w:right w:val="nil"/>
            </w:tcBorders>
            <w:shd w:val="clear" w:color="auto" w:fill="808080" w:themeFill="background1" w:themeFillShade="80"/>
          </w:tcPr>
          <w:p w14:paraId="754123BF" w14:textId="3A036F6F" w:rsidR="24B852B7" w:rsidRDefault="24B852B7" w:rsidP="002A3DFA">
            <w:pPr>
              <w:jc w:val="right"/>
            </w:pPr>
            <w:r w:rsidRPr="24B852B7">
              <w:rPr>
                <w:rFonts w:ascii="Calibri" w:eastAsia="Calibri" w:hAnsi="Calibri" w:cs="Calibri"/>
                <w:b/>
                <w:bCs/>
                <w:color w:val="FFFFFF" w:themeColor="background1"/>
                <w:sz w:val="18"/>
                <w:szCs w:val="18"/>
              </w:rPr>
              <w:t>-58,9%</w:t>
            </w:r>
          </w:p>
        </w:tc>
        <w:tc>
          <w:tcPr>
            <w:tcW w:w="1560" w:type="dxa"/>
            <w:tcBorders>
              <w:top w:val="nil"/>
              <w:left w:val="nil"/>
              <w:bottom w:val="single" w:sz="8" w:space="0" w:color="BFBFBF" w:themeColor="background1" w:themeShade="BF"/>
              <w:right w:val="single" w:sz="8" w:space="0" w:color="BFBFBF" w:themeColor="background1" w:themeShade="BF"/>
            </w:tcBorders>
            <w:shd w:val="clear" w:color="auto" w:fill="808080" w:themeFill="background1" w:themeFillShade="80"/>
          </w:tcPr>
          <w:p w14:paraId="301872F5" w14:textId="176E4B4F" w:rsidR="24B852B7" w:rsidRDefault="24B852B7" w:rsidP="002A3DFA">
            <w:pPr>
              <w:jc w:val="right"/>
            </w:pPr>
            <w:r w:rsidRPr="24B852B7">
              <w:rPr>
                <w:rFonts w:ascii="Calibri" w:eastAsia="Calibri" w:hAnsi="Calibri" w:cs="Calibri"/>
                <w:b/>
                <w:bCs/>
                <w:color w:val="FFFFFF" w:themeColor="background1"/>
                <w:sz w:val="18"/>
                <w:szCs w:val="18"/>
              </w:rPr>
              <w:t>46,5%</w:t>
            </w:r>
          </w:p>
        </w:tc>
        <w:tc>
          <w:tcPr>
            <w:tcW w:w="162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808080" w:themeFill="background1" w:themeFillShade="80"/>
          </w:tcPr>
          <w:p w14:paraId="6C914184" w14:textId="3333438A" w:rsidR="24B852B7" w:rsidRDefault="24B852B7" w:rsidP="002A3DFA">
            <w:pPr>
              <w:jc w:val="right"/>
            </w:pPr>
            <w:r w:rsidRPr="24B852B7">
              <w:rPr>
                <w:rFonts w:ascii="Calibri" w:eastAsia="Calibri" w:hAnsi="Calibri" w:cs="Calibri"/>
                <w:b/>
                <w:bCs/>
                <w:color w:val="FFFFFF" w:themeColor="background1"/>
                <w:sz w:val="18"/>
                <w:szCs w:val="18"/>
              </w:rPr>
              <w:t>897,3%</w:t>
            </w:r>
          </w:p>
        </w:tc>
      </w:tr>
    </w:tbl>
    <w:p w14:paraId="3715FA2C" w14:textId="77777777" w:rsidR="002F3E13" w:rsidRDefault="009C39E2" w:rsidP="00CB18D4">
      <w:pPr>
        <w:spacing w:after="0" w:line="240" w:lineRule="auto"/>
        <w:ind w:left="709"/>
        <w:jc w:val="both"/>
        <w:rPr>
          <w:rFonts w:ascii="Calibri" w:eastAsia="Calibri" w:hAnsi="Calibri" w:cs="Calibri"/>
          <w:i/>
          <w:color w:val="000000" w:themeColor="text1"/>
          <w:sz w:val="16"/>
          <w:szCs w:val="16"/>
        </w:rPr>
      </w:pPr>
      <w:proofErr w:type="gramStart"/>
      <w:r w:rsidRPr="00623DE9">
        <w:rPr>
          <w:rFonts w:ascii="Calibri" w:eastAsia="Calibri" w:hAnsi="Calibri" w:cs="Calibri"/>
          <w:i/>
          <w:color w:val="000000" w:themeColor="text1"/>
          <w:sz w:val="16"/>
          <w:szCs w:val="16"/>
          <w:vertAlign w:val="superscript"/>
        </w:rPr>
        <w:t>1</w:t>
      </w:r>
      <w:proofErr w:type="gramEnd"/>
      <w:r w:rsidRPr="00813D7D">
        <w:rPr>
          <w:rFonts w:ascii="Calibri" w:eastAsia="Calibri" w:hAnsi="Calibri" w:cs="Calibri"/>
          <w:i/>
          <w:color w:val="000000" w:themeColor="text1"/>
          <w:sz w:val="16"/>
          <w:szCs w:val="16"/>
        </w:rPr>
        <w:t xml:space="preserve"> Variação em relação ao período anterior</w:t>
      </w:r>
      <w:r>
        <w:rPr>
          <w:rFonts w:ascii="Calibri" w:eastAsia="Calibri" w:hAnsi="Calibri" w:cs="Calibri"/>
          <w:i/>
          <w:color w:val="000000" w:themeColor="text1"/>
          <w:sz w:val="16"/>
          <w:szCs w:val="16"/>
        </w:rPr>
        <w:t xml:space="preserve"> </w:t>
      </w:r>
    </w:p>
    <w:p w14:paraId="5512E67A" w14:textId="4E448E5A" w:rsidR="009C39E2" w:rsidRPr="002F3E13" w:rsidRDefault="009C39E2" w:rsidP="00CB18D4">
      <w:pPr>
        <w:spacing w:after="0" w:line="240" w:lineRule="auto"/>
        <w:ind w:left="709"/>
        <w:jc w:val="both"/>
        <w:rPr>
          <w:rFonts w:ascii="Calibri" w:eastAsia="Calibri" w:hAnsi="Calibri" w:cs="Calibri"/>
          <w:i/>
          <w:color w:val="000000" w:themeColor="text1"/>
          <w:sz w:val="16"/>
          <w:szCs w:val="16"/>
        </w:rPr>
      </w:pPr>
      <w:r w:rsidRPr="00E2245C">
        <w:rPr>
          <w:rFonts w:ascii="Calibri" w:eastAsia="Calibri" w:hAnsi="Calibri" w:cs="Calibri"/>
          <w:b/>
          <w:i/>
          <w:color w:val="000000" w:themeColor="text1"/>
          <w:sz w:val="16"/>
          <w:szCs w:val="16"/>
        </w:rPr>
        <w:t>Fonte e elaboração:</w:t>
      </w:r>
      <w:r w:rsidRPr="00813D7D">
        <w:rPr>
          <w:rFonts w:ascii="Calibri" w:eastAsia="Calibri" w:hAnsi="Calibri" w:cs="Calibri"/>
          <w:i/>
          <w:color w:val="000000" w:themeColor="text1"/>
          <w:sz w:val="16"/>
          <w:szCs w:val="16"/>
        </w:rPr>
        <w:t xml:space="preserve"> STN/ME.</w:t>
      </w:r>
    </w:p>
    <w:p w14:paraId="6FD63242" w14:textId="77777777" w:rsidR="009C39E2" w:rsidRDefault="009C39E2" w:rsidP="002F3E13">
      <w:pPr>
        <w:spacing w:line="257" w:lineRule="exact"/>
        <w:ind w:left="708" w:firstLine="1418"/>
        <w:jc w:val="both"/>
        <w:rPr>
          <w:rFonts w:ascii="Calibri" w:eastAsia="Calibri" w:hAnsi="Calibri" w:cs="Calibri"/>
          <w:color w:val="000000" w:themeColor="text1"/>
          <w:sz w:val="24"/>
          <w:szCs w:val="24"/>
        </w:rPr>
      </w:pPr>
    </w:p>
    <w:p w14:paraId="4CAA40DD" w14:textId="052E73D9" w:rsidR="51659D34" w:rsidRDefault="51659D34" w:rsidP="24B852B7">
      <w:pPr>
        <w:spacing w:line="257" w:lineRule="exact"/>
        <w:ind w:firstLine="1418"/>
        <w:jc w:val="both"/>
      </w:pPr>
      <w:r w:rsidRPr="24B852B7">
        <w:rPr>
          <w:rFonts w:ascii="Calibri" w:eastAsia="Calibri" w:hAnsi="Calibri" w:cs="Calibri"/>
          <w:color w:val="000000" w:themeColor="text1"/>
          <w:sz w:val="24"/>
          <w:szCs w:val="24"/>
        </w:rPr>
        <w:t xml:space="preserve">A variação positiva de 897,3% em relação à posição do exercício anterior nos registros de ajuste de perdas aplicados aos haveres se deve à </w:t>
      </w:r>
      <w:proofErr w:type="gramStart"/>
      <w:r w:rsidRPr="24B852B7">
        <w:rPr>
          <w:rFonts w:ascii="Calibri" w:eastAsia="Calibri" w:hAnsi="Calibri" w:cs="Calibri"/>
          <w:color w:val="000000" w:themeColor="text1"/>
          <w:sz w:val="24"/>
          <w:szCs w:val="24"/>
        </w:rPr>
        <w:t>implementação</w:t>
      </w:r>
      <w:proofErr w:type="gramEnd"/>
      <w:r w:rsidRPr="24B852B7">
        <w:rPr>
          <w:rFonts w:ascii="Calibri" w:eastAsia="Calibri" w:hAnsi="Calibri" w:cs="Calibri"/>
          <w:color w:val="000000" w:themeColor="text1"/>
          <w:sz w:val="24"/>
          <w:szCs w:val="24"/>
        </w:rPr>
        <w:t xml:space="preserve"> da nova metodologia para os critérios de reconhecimento de ajuste de perdas.</w:t>
      </w:r>
      <w:r w:rsidR="009C39E2">
        <w:rPr>
          <w:rFonts w:ascii="Calibri" w:eastAsia="Calibri" w:hAnsi="Calibri" w:cs="Calibri"/>
          <w:color w:val="000000" w:themeColor="text1"/>
          <w:sz w:val="24"/>
          <w:szCs w:val="24"/>
        </w:rPr>
        <w:t xml:space="preserve"> </w:t>
      </w:r>
    </w:p>
    <w:p w14:paraId="3F59DCED" w14:textId="4849A0F1" w:rsidR="51659D34" w:rsidRDefault="51659D34" w:rsidP="00883290">
      <w:pPr>
        <w:spacing w:line="257" w:lineRule="exact"/>
        <w:ind w:firstLine="1417"/>
        <w:jc w:val="both"/>
      </w:pPr>
      <w:r w:rsidRPr="24B852B7">
        <w:rPr>
          <w:rFonts w:ascii="Calibri" w:eastAsia="Calibri" w:hAnsi="Calibri" w:cs="Calibri"/>
          <w:color w:val="000000" w:themeColor="text1"/>
          <w:sz w:val="24"/>
          <w:szCs w:val="24"/>
        </w:rPr>
        <w:t>Tal mudança é originária de recomendação exarada</w:t>
      </w:r>
      <w:r w:rsidRPr="24B852B7" w:rsidDel="00AC26BB">
        <w:rPr>
          <w:rFonts w:ascii="Calibri" w:eastAsia="Calibri" w:hAnsi="Calibri" w:cs="Calibri"/>
          <w:color w:val="000000" w:themeColor="text1"/>
          <w:sz w:val="24"/>
          <w:szCs w:val="24"/>
        </w:rPr>
        <w:t xml:space="preserve"> </w:t>
      </w:r>
      <w:r w:rsidRPr="24B852B7">
        <w:rPr>
          <w:rFonts w:ascii="Calibri" w:eastAsia="Calibri" w:hAnsi="Calibri" w:cs="Calibri"/>
          <w:color w:val="000000" w:themeColor="text1"/>
          <w:sz w:val="24"/>
          <w:szCs w:val="24"/>
        </w:rPr>
        <w:t>por meio do Acórdão nº 1437/2020–TCU–Plenário</w:t>
      </w:r>
      <w:r w:rsidR="00AC26BB">
        <w:rPr>
          <w:rFonts w:ascii="Calibri" w:eastAsia="Calibri" w:hAnsi="Calibri" w:cs="Calibri"/>
          <w:color w:val="000000" w:themeColor="text1"/>
          <w:sz w:val="24"/>
          <w:szCs w:val="24"/>
        </w:rPr>
        <w:t>.</w:t>
      </w:r>
      <w:r w:rsidRPr="24B852B7">
        <w:rPr>
          <w:rFonts w:ascii="Calibri" w:eastAsia="Calibri" w:hAnsi="Calibri" w:cs="Calibri"/>
          <w:color w:val="000000" w:themeColor="text1"/>
          <w:sz w:val="24"/>
          <w:szCs w:val="24"/>
        </w:rPr>
        <w:t xml:space="preserve"> </w:t>
      </w:r>
    </w:p>
    <w:p w14:paraId="473DAF2C" w14:textId="2511A6B6" w:rsidR="51659D34" w:rsidRDefault="51659D34" w:rsidP="00A911D5">
      <w:pPr>
        <w:spacing w:after="120" w:line="240" w:lineRule="auto"/>
        <w:ind w:firstLine="1418"/>
        <w:jc w:val="both"/>
      </w:pPr>
      <w:r w:rsidRPr="24B852B7">
        <w:rPr>
          <w:rFonts w:ascii="Calibri" w:eastAsia="Calibri" w:hAnsi="Calibri" w:cs="Calibri"/>
          <w:color w:val="000000" w:themeColor="text1"/>
          <w:sz w:val="24"/>
          <w:szCs w:val="24"/>
        </w:rPr>
        <w:t>Em razão da determinação mencionada, elaborou</w:t>
      </w:r>
      <w:r w:rsidR="00AC26BB">
        <w:rPr>
          <w:rFonts w:ascii="Calibri" w:eastAsia="Calibri" w:hAnsi="Calibri" w:cs="Calibri"/>
          <w:color w:val="000000" w:themeColor="text1"/>
          <w:sz w:val="24"/>
          <w:szCs w:val="24"/>
        </w:rPr>
        <w:t>-se</w:t>
      </w:r>
      <w:r w:rsidRPr="24B852B7">
        <w:rPr>
          <w:rFonts w:ascii="Calibri" w:eastAsia="Calibri" w:hAnsi="Calibri" w:cs="Calibri"/>
          <w:color w:val="000000" w:themeColor="text1"/>
          <w:sz w:val="24"/>
          <w:szCs w:val="24"/>
        </w:rPr>
        <w:t xml:space="preserve"> uma série de estudos, </w:t>
      </w:r>
      <w:r w:rsidR="00AC26BB">
        <w:rPr>
          <w:rFonts w:ascii="Calibri" w:eastAsia="Calibri" w:hAnsi="Calibri" w:cs="Calibri"/>
          <w:color w:val="000000" w:themeColor="text1"/>
          <w:sz w:val="24"/>
          <w:szCs w:val="24"/>
        </w:rPr>
        <w:t xml:space="preserve">que </w:t>
      </w:r>
      <w:r w:rsidRPr="24B852B7">
        <w:rPr>
          <w:rFonts w:ascii="Calibri" w:eastAsia="Calibri" w:hAnsi="Calibri" w:cs="Calibri"/>
          <w:color w:val="000000" w:themeColor="text1"/>
          <w:sz w:val="24"/>
          <w:szCs w:val="24"/>
        </w:rPr>
        <w:t>indicaram a necessidade de modificação dos critérios para o reconhecimento dos ajustes de perdas, inclusive com o reconhecimento de valores concernentes aos contratos inclusos no Regime de Recuperação Fiscal (RRF).</w:t>
      </w:r>
    </w:p>
    <w:p w14:paraId="5402227D" w14:textId="5AB1FD80" w:rsidR="51659D34" w:rsidRDefault="51659D34" w:rsidP="00A911D5">
      <w:pPr>
        <w:spacing w:after="120" w:line="240" w:lineRule="auto"/>
        <w:ind w:firstLine="1418"/>
        <w:jc w:val="both"/>
      </w:pPr>
      <w:r w:rsidRPr="24B852B7">
        <w:rPr>
          <w:rFonts w:ascii="Calibri" w:eastAsia="Calibri" w:hAnsi="Calibri" w:cs="Calibri"/>
          <w:color w:val="000000" w:themeColor="text1"/>
          <w:sz w:val="24"/>
          <w:szCs w:val="24"/>
        </w:rPr>
        <w:t xml:space="preserve">A metodologia anterior previa o registro de ajuste de perdas somente para: a) saldos vencidos de empréstimos e refinanciamentos com atrasos superiores </w:t>
      </w:r>
      <w:proofErr w:type="gramStart"/>
      <w:r w:rsidRPr="24B852B7">
        <w:rPr>
          <w:rFonts w:ascii="Calibri" w:eastAsia="Calibri" w:hAnsi="Calibri" w:cs="Calibri"/>
          <w:color w:val="000000" w:themeColor="text1"/>
          <w:sz w:val="24"/>
          <w:szCs w:val="24"/>
        </w:rPr>
        <w:t>a</w:t>
      </w:r>
      <w:proofErr w:type="gramEnd"/>
      <w:r w:rsidRPr="24B852B7">
        <w:rPr>
          <w:rFonts w:ascii="Calibri" w:eastAsia="Calibri" w:hAnsi="Calibri" w:cs="Calibri"/>
          <w:color w:val="000000" w:themeColor="text1"/>
          <w:sz w:val="24"/>
          <w:szCs w:val="24"/>
        </w:rPr>
        <w:t xml:space="preserve"> 180 dias e/ou decorrentes de liminares ajuizadas contra a União; b) avais honrados pela União e impedidos de recuperação mediante execução de </w:t>
      </w:r>
      <w:proofErr w:type="spellStart"/>
      <w:r w:rsidRPr="24B852B7">
        <w:rPr>
          <w:rFonts w:ascii="Calibri" w:eastAsia="Calibri" w:hAnsi="Calibri" w:cs="Calibri"/>
          <w:color w:val="000000" w:themeColor="text1"/>
          <w:sz w:val="24"/>
          <w:szCs w:val="24"/>
        </w:rPr>
        <w:t>contragarantias</w:t>
      </w:r>
      <w:proofErr w:type="spellEnd"/>
      <w:r w:rsidRPr="24B852B7">
        <w:rPr>
          <w:rFonts w:ascii="Calibri" w:eastAsia="Calibri" w:hAnsi="Calibri" w:cs="Calibri"/>
          <w:color w:val="000000" w:themeColor="text1"/>
          <w:sz w:val="24"/>
          <w:szCs w:val="24"/>
        </w:rPr>
        <w:t xml:space="preserve"> por força de liminares judiciais, após decorridos 180 dias; e c) impactos decorrentes da implementação das condições da LC nº 148/2014.</w:t>
      </w:r>
    </w:p>
    <w:p w14:paraId="5AFACC84" w14:textId="1FCDAA5C" w:rsidR="51659D34" w:rsidRDefault="51659D34" w:rsidP="00A911D5">
      <w:pPr>
        <w:spacing w:after="120" w:line="240" w:lineRule="auto"/>
        <w:ind w:firstLine="1418"/>
        <w:jc w:val="both"/>
      </w:pPr>
      <w:r w:rsidRPr="24B852B7">
        <w:rPr>
          <w:rFonts w:ascii="Calibri" w:eastAsia="Calibri" w:hAnsi="Calibri" w:cs="Calibri"/>
          <w:color w:val="000000" w:themeColor="text1"/>
          <w:sz w:val="24"/>
          <w:szCs w:val="24"/>
        </w:rPr>
        <w:t xml:space="preserve">Por sua vez, a nova metodologia possibilita o registro de ajuste de perdas com base na metodologia denominada “CAPAG PLUS”. Essa metodologia utiliza informações de CAPAG (Capacidade de Pagamento), publicadas pela STN, as quais são convertidas para </w:t>
      </w:r>
      <w:r w:rsidRPr="24B852B7">
        <w:rPr>
          <w:rFonts w:ascii="Calibri" w:eastAsia="Calibri" w:hAnsi="Calibri" w:cs="Calibri"/>
          <w:i/>
          <w:iCs/>
          <w:color w:val="000000" w:themeColor="text1"/>
          <w:sz w:val="24"/>
          <w:szCs w:val="24"/>
        </w:rPr>
        <w:t>ratings</w:t>
      </w:r>
      <w:r w:rsidRPr="24B852B7">
        <w:rPr>
          <w:rFonts w:ascii="Calibri" w:eastAsia="Calibri" w:hAnsi="Calibri" w:cs="Calibri"/>
          <w:color w:val="000000" w:themeColor="text1"/>
          <w:sz w:val="24"/>
          <w:szCs w:val="24"/>
        </w:rPr>
        <w:t xml:space="preserve"> do Modelo em tela, e em seguida são consideradas informações concernentes às pendências jurídicas dos contratos e à sua adesão ao Regime de Recuperação Fiscal. Com isso, são obtidos os </w:t>
      </w:r>
      <w:r w:rsidRPr="24B852B7">
        <w:rPr>
          <w:rFonts w:ascii="Calibri" w:eastAsia="Calibri" w:hAnsi="Calibri" w:cs="Calibri"/>
          <w:i/>
          <w:iCs/>
          <w:color w:val="000000" w:themeColor="text1"/>
          <w:sz w:val="24"/>
          <w:szCs w:val="24"/>
        </w:rPr>
        <w:t>ratings</w:t>
      </w:r>
      <w:r w:rsidRPr="24B852B7">
        <w:rPr>
          <w:rFonts w:ascii="Calibri" w:eastAsia="Calibri" w:hAnsi="Calibri" w:cs="Calibri"/>
          <w:color w:val="000000" w:themeColor="text1"/>
          <w:sz w:val="24"/>
          <w:szCs w:val="24"/>
        </w:rPr>
        <w:t xml:space="preserve"> finais, distribuídos de “AA” (correspondente ao percentual de ajuste de perdas de 0%) a “H” (correspondente ao percentual ajuste de perdas de 100%), sendo os percentuais aplicados aos saldos devedores dos respectivos contratos, conforme disposto na</w:t>
      </w:r>
      <w:r w:rsidR="005A5290">
        <w:rPr>
          <w:rFonts w:ascii="Calibri" w:eastAsia="Calibri" w:hAnsi="Calibri" w:cs="Calibri"/>
          <w:color w:val="000000" w:themeColor="text1"/>
          <w:sz w:val="24"/>
          <w:szCs w:val="24"/>
        </w:rPr>
        <w:t xml:space="preserve"> </w:t>
      </w:r>
      <w:r w:rsidR="00955265" w:rsidRPr="00955265">
        <w:rPr>
          <w:rFonts w:ascii="Calibri" w:eastAsia="Calibri" w:hAnsi="Calibri" w:cs="Calibri"/>
          <w:color w:val="000000" w:themeColor="text1"/>
          <w:sz w:val="24"/>
          <w:szCs w:val="24"/>
        </w:rPr>
        <w:fldChar w:fldCharType="begin"/>
      </w:r>
      <w:r w:rsidR="00955265" w:rsidRPr="00955265">
        <w:rPr>
          <w:rFonts w:ascii="Calibri" w:eastAsia="Calibri" w:hAnsi="Calibri" w:cs="Calibri"/>
          <w:color w:val="000000" w:themeColor="text1"/>
          <w:sz w:val="24"/>
          <w:szCs w:val="24"/>
        </w:rPr>
        <w:instrText xml:space="preserve"> REF _Ref67429686 \h  \* MERGEFORMAT </w:instrText>
      </w:r>
      <w:r w:rsidR="00955265" w:rsidRPr="00955265">
        <w:rPr>
          <w:rFonts w:ascii="Calibri" w:eastAsia="Calibri" w:hAnsi="Calibri" w:cs="Calibri"/>
          <w:color w:val="000000" w:themeColor="text1"/>
          <w:sz w:val="24"/>
          <w:szCs w:val="24"/>
        </w:rPr>
      </w:r>
      <w:r w:rsidR="00955265" w:rsidRPr="00955265">
        <w:rPr>
          <w:rFonts w:ascii="Calibri" w:eastAsia="Calibri" w:hAnsi="Calibri" w:cs="Calibri"/>
          <w:color w:val="000000" w:themeColor="text1"/>
          <w:sz w:val="24"/>
          <w:szCs w:val="24"/>
        </w:rPr>
        <w:fldChar w:fldCharType="separate"/>
      </w:r>
      <w:r w:rsidR="00304F5F" w:rsidRPr="00304F5F">
        <w:rPr>
          <w:rFonts w:eastAsia="Calibri"/>
          <w:color w:val="000000" w:themeColor="text1"/>
          <w:sz w:val="24"/>
          <w:szCs w:val="24"/>
        </w:rPr>
        <w:t xml:space="preserve">Tabela </w:t>
      </w:r>
      <w:r w:rsidR="00304F5F" w:rsidRPr="00304F5F">
        <w:rPr>
          <w:noProof/>
          <w:color w:val="000000" w:themeColor="text1"/>
          <w:sz w:val="24"/>
          <w:szCs w:val="24"/>
        </w:rPr>
        <w:t>49</w:t>
      </w:r>
      <w:r w:rsidR="00955265" w:rsidRPr="00955265">
        <w:rPr>
          <w:rFonts w:ascii="Calibri" w:eastAsia="Calibri" w:hAnsi="Calibri" w:cs="Calibri"/>
          <w:color w:val="000000" w:themeColor="text1"/>
          <w:sz w:val="24"/>
          <w:szCs w:val="24"/>
        </w:rPr>
        <w:fldChar w:fldCharType="end"/>
      </w:r>
      <w:r w:rsidR="00955265" w:rsidRPr="00955265">
        <w:rPr>
          <w:rFonts w:ascii="Calibri" w:eastAsia="Calibri" w:hAnsi="Calibri" w:cs="Calibri"/>
          <w:color w:val="000000" w:themeColor="text1"/>
          <w:sz w:val="24"/>
          <w:szCs w:val="24"/>
        </w:rPr>
        <w:t>.</w:t>
      </w:r>
      <w:r w:rsidR="00955265">
        <w:rPr>
          <w:rFonts w:ascii="Calibri" w:eastAsia="Calibri" w:hAnsi="Calibri" w:cs="Calibri"/>
          <w:color w:val="000000" w:themeColor="text1"/>
          <w:sz w:val="24"/>
          <w:szCs w:val="24"/>
        </w:rPr>
        <w:t xml:space="preserve"> </w:t>
      </w:r>
    </w:p>
    <w:p w14:paraId="7D25C4E5" w14:textId="037F402E" w:rsidR="51659D34" w:rsidRDefault="51659D34" w:rsidP="002C4268">
      <w:pPr>
        <w:pStyle w:val="Legenda"/>
        <w:jc w:val="center"/>
      </w:pPr>
      <w:bookmarkStart w:id="362" w:name="_Ref67429686"/>
      <w:bookmarkStart w:id="363" w:name="_Toc69121395"/>
      <w:r w:rsidRPr="00A53C7F">
        <w:rPr>
          <w:rFonts w:asciiTheme="minorHAnsi" w:eastAsia="Calibri" w:hAnsiTheme="minorHAnsi"/>
          <w:i w:val="0"/>
          <w:color w:val="000000" w:themeColor="text1"/>
          <w:sz w:val="22"/>
          <w:szCs w:val="22"/>
        </w:rPr>
        <w:t xml:space="preserve">Tabela </w:t>
      </w:r>
      <w:r w:rsidR="00A53C7F" w:rsidRPr="00A53C7F">
        <w:rPr>
          <w:rFonts w:asciiTheme="minorHAnsi" w:hAnsiTheme="minorHAnsi"/>
          <w:i w:val="0"/>
          <w:iCs w:val="0"/>
          <w:color w:val="000000" w:themeColor="text1"/>
          <w:sz w:val="22"/>
          <w:szCs w:val="22"/>
        </w:rPr>
        <w:fldChar w:fldCharType="begin"/>
      </w:r>
      <w:r w:rsidR="00A53C7F" w:rsidRPr="00A53C7F">
        <w:rPr>
          <w:rFonts w:asciiTheme="minorHAnsi" w:hAnsiTheme="minorHAnsi"/>
          <w:i w:val="0"/>
          <w:iCs w:val="0"/>
          <w:color w:val="000000" w:themeColor="text1"/>
          <w:sz w:val="22"/>
          <w:szCs w:val="22"/>
        </w:rPr>
        <w:instrText xml:space="preserve"> SEQ Tabela \* ARABIC </w:instrText>
      </w:r>
      <w:r w:rsidR="00A53C7F" w:rsidRPr="00A53C7F">
        <w:rPr>
          <w:rFonts w:asciiTheme="minorHAnsi" w:hAnsiTheme="minorHAnsi"/>
          <w:i w:val="0"/>
          <w:iCs w:val="0"/>
          <w:color w:val="000000" w:themeColor="text1"/>
          <w:sz w:val="22"/>
          <w:szCs w:val="22"/>
        </w:rPr>
        <w:fldChar w:fldCharType="separate"/>
      </w:r>
      <w:r w:rsidR="00304F5F">
        <w:rPr>
          <w:rFonts w:asciiTheme="minorHAnsi" w:hAnsiTheme="minorHAnsi"/>
          <w:i w:val="0"/>
          <w:iCs w:val="0"/>
          <w:noProof/>
          <w:color w:val="000000" w:themeColor="text1"/>
          <w:sz w:val="22"/>
          <w:szCs w:val="22"/>
        </w:rPr>
        <w:t>49</w:t>
      </w:r>
      <w:r w:rsidR="00A53C7F" w:rsidRPr="00A53C7F">
        <w:rPr>
          <w:rFonts w:asciiTheme="minorHAnsi" w:hAnsiTheme="minorHAnsi"/>
          <w:i w:val="0"/>
          <w:iCs w:val="0"/>
          <w:color w:val="000000" w:themeColor="text1"/>
          <w:sz w:val="22"/>
          <w:szCs w:val="22"/>
        </w:rPr>
        <w:fldChar w:fldCharType="end"/>
      </w:r>
      <w:bookmarkEnd w:id="362"/>
      <w:r w:rsidR="00A53C7F" w:rsidRPr="00A53C7F">
        <w:rPr>
          <w:rFonts w:asciiTheme="minorHAnsi" w:hAnsiTheme="minorHAnsi"/>
          <w:i w:val="0"/>
          <w:iCs w:val="0"/>
          <w:color w:val="000000" w:themeColor="text1"/>
          <w:sz w:val="22"/>
          <w:szCs w:val="22"/>
        </w:rPr>
        <w:t xml:space="preserve"> -</w:t>
      </w:r>
      <w:r w:rsidRPr="00A53C7F">
        <w:rPr>
          <w:rFonts w:asciiTheme="minorHAnsi" w:eastAsia="Calibri" w:hAnsiTheme="minorHAnsi"/>
          <w:i w:val="0"/>
          <w:color w:val="000000" w:themeColor="text1"/>
          <w:sz w:val="22"/>
          <w:szCs w:val="22"/>
        </w:rPr>
        <w:t xml:space="preserve"> Matriz do Modelo de Ajuste de Perdas da STN</w:t>
      </w:r>
      <w:bookmarkEnd w:id="363"/>
      <w:r w:rsidRPr="00A53C7F">
        <w:rPr>
          <w:rFonts w:asciiTheme="minorHAnsi" w:eastAsia="Calibri" w:hAnsiTheme="minorHAnsi"/>
          <w:i w:val="0"/>
          <w:color w:val="000000" w:themeColor="text1"/>
          <w:sz w:val="22"/>
          <w:szCs w:val="22"/>
        </w:rPr>
        <w:t xml:space="preserve"> </w:t>
      </w:r>
    </w:p>
    <w:tbl>
      <w:tblPr>
        <w:tblW w:w="0" w:type="auto"/>
        <w:jc w:val="center"/>
        <w:tblLayout w:type="fixed"/>
        <w:tblLook w:val="06A0" w:firstRow="1" w:lastRow="0" w:firstColumn="1" w:lastColumn="0" w:noHBand="1" w:noVBand="1"/>
      </w:tblPr>
      <w:tblGrid>
        <w:gridCol w:w="1691"/>
        <w:gridCol w:w="1418"/>
        <w:gridCol w:w="2693"/>
      </w:tblGrid>
      <w:tr w:rsidR="24B852B7" w14:paraId="0FA6946E" w14:textId="77777777" w:rsidTr="00CB18D4">
        <w:trPr>
          <w:trHeight w:val="765"/>
          <w:tblHeader/>
          <w:jc w:val="center"/>
        </w:trPr>
        <w:tc>
          <w:tcPr>
            <w:tcW w:w="1691"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59410EB3" w14:textId="7861D254" w:rsidR="24B852B7" w:rsidRPr="00201095" w:rsidRDefault="24B852B7" w:rsidP="00201095">
            <w:pPr>
              <w:jc w:val="center"/>
              <w:rPr>
                <w:rFonts w:ascii="Calibri" w:eastAsia="Calibri" w:hAnsi="Calibri" w:cs="Calibri"/>
                <w:b/>
                <w:bCs/>
                <w:color w:val="FFFFFF" w:themeColor="background1"/>
                <w:sz w:val="20"/>
                <w:szCs w:val="20"/>
              </w:rPr>
            </w:pPr>
            <w:r w:rsidRPr="00201095">
              <w:rPr>
                <w:rFonts w:ascii="Calibri" w:eastAsia="Calibri" w:hAnsi="Calibri" w:cs="Calibri"/>
                <w:b/>
                <w:bCs/>
                <w:color w:val="FFFFFF" w:themeColor="background1"/>
                <w:sz w:val="20"/>
                <w:szCs w:val="20"/>
              </w:rPr>
              <w:lastRenderedPageBreak/>
              <w:t>Estágio conforme Modelo do IFRS 9 / CPC 48</w:t>
            </w:r>
          </w:p>
        </w:tc>
        <w:tc>
          <w:tcPr>
            <w:tcW w:w="1418"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7FFD5B1C" w14:textId="66DB64E8" w:rsidR="24B852B7" w:rsidRPr="00201095" w:rsidRDefault="24B852B7" w:rsidP="00201095">
            <w:pPr>
              <w:jc w:val="center"/>
              <w:rPr>
                <w:rFonts w:ascii="Calibri" w:eastAsia="Calibri" w:hAnsi="Calibri" w:cs="Calibri"/>
                <w:b/>
                <w:bCs/>
                <w:color w:val="FFFFFF" w:themeColor="background1"/>
                <w:sz w:val="20"/>
                <w:szCs w:val="20"/>
              </w:rPr>
            </w:pPr>
            <w:r w:rsidRPr="00201095">
              <w:rPr>
                <w:rFonts w:ascii="Calibri" w:eastAsia="Calibri" w:hAnsi="Calibri" w:cs="Calibri"/>
                <w:b/>
                <w:bCs/>
                <w:color w:val="FFFFFF" w:themeColor="background1"/>
                <w:sz w:val="20"/>
                <w:szCs w:val="20"/>
              </w:rPr>
              <w:t>Nível de Risco / Rating</w:t>
            </w:r>
          </w:p>
        </w:tc>
        <w:tc>
          <w:tcPr>
            <w:tcW w:w="2693"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29B7974A" w14:textId="686C71B6" w:rsidR="24B852B7" w:rsidRPr="00201095" w:rsidRDefault="24B852B7" w:rsidP="00201095">
            <w:pPr>
              <w:jc w:val="center"/>
              <w:rPr>
                <w:rFonts w:ascii="Calibri" w:eastAsia="Calibri" w:hAnsi="Calibri" w:cs="Calibri"/>
                <w:b/>
                <w:bCs/>
                <w:color w:val="FFFFFF" w:themeColor="background1"/>
                <w:sz w:val="20"/>
                <w:szCs w:val="20"/>
              </w:rPr>
            </w:pPr>
            <w:r w:rsidRPr="00201095">
              <w:rPr>
                <w:rFonts w:ascii="Calibri" w:eastAsia="Calibri" w:hAnsi="Calibri" w:cs="Calibri"/>
                <w:b/>
                <w:bCs/>
                <w:color w:val="FFFFFF" w:themeColor="background1"/>
                <w:sz w:val="20"/>
                <w:szCs w:val="20"/>
              </w:rPr>
              <w:t>Ajustes para Perdas Estimadas (em % do saldo devedor dos financiamentos)</w:t>
            </w:r>
          </w:p>
        </w:tc>
      </w:tr>
      <w:tr w:rsidR="24B852B7" w14:paraId="53F4A921" w14:textId="77777777" w:rsidTr="00CB18D4">
        <w:trPr>
          <w:trHeight w:hRule="exact" w:val="284"/>
          <w:jc w:val="center"/>
        </w:trPr>
        <w:tc>
          <w:tcPr>
            <w:tcW w:w="1644" w:type="dxa"/>
            <w:tcBorders>
              <w:top w:val="single" w:sz="8" w:space="0" w:color="auto"/>
              <w:left w:val="single" w:sz="8" w:space="0" w:color="auto"/>
              <w:bottom w:val="single" w:sz="4" w:space="0" w:color="000000" w:themeColor="text1"/>
              <w:right w:val="single" w:sz="8" w:space="0" w:color="auto"/>
            </w:tcBorders>
            <w:vAlign w:val="center"/>
          </w:tcPr>
          <w:p w14:paraId="63C10411" w14:textId="56F2EA6E" w:rsidR="24B852B7" w:rsidRDefault="24B852B7" w:rsidP="24B852B7">
            <w:pPr>
              <w:spacing w:line="240" w:lineRule="exact"/>
              <w:jc w:val="center"/>
            </w:pPr>
            <w:r w:rsidRPr="24B852B7">
              <w:rPr>
                <w:rFonts w:ascii="Calibri" w:eastAsia="Calibri" w:hAnsi="Calibri" w:cs="Calibri"/>
                <w:sz w:val="20"/>
                <w:szCs w:val="20"/>
              </w:rPr>
              <w:t>Primeiro Estágio</w:t>
            </w:r>
          </w:p>
        </w:tc>
        <w:tc>
          <w:tcPr>
            <w:tcW w:w="1418" w:type="dxa"/>
            <w:tcBorders>
              <w:top w:val="single" w:sz="8" w:space="0" w:color="auto"/>
              <w:left w:val="single" w:sz="8" w:space="0" w:color="auto"/>
              <w:bottom w:val="single" w:sz="8" w:space="0" w:color="auto"/>
              <w:right w:val="single" w:sz="8" w:space="0" w:color="auto"/>
            </w:tcBorders>
            <w:vAlign w:val="center"/>
          </w:tcPr>
          <w:p w14:paraId="3F67845D" w14:textId="18E62498" w:rsidR="24B852B7" w:rsidRDefault="24B852B7" w:rsidP="24B852B7">
            <w:pPr>
              <w:spacing w:line="240" w:lineRule="exact"/>
              <w:jc w:val="center"/>
            </w:pPr>
            <w:r w:rsidRPr="24B852B7">
              <w:rPr>
                <w:rFonts w:ascii="Calibri" w:eastAsia="Calibri" w:hAnsi="Calibri" w:cs="Calibri"/>
                <w:sz w:val="20"/>
                <w:szCs w:val="20"/>
              </w:rPr>
              <w:t>AA</w:t>
            </w:r>
          </w:p>
        </w:tc>
        <w:tc>
          <w:tcPr>
            <w:tcW w:w="2693" w:type="dxa"/>
            <w:tcBorders>
              <w:top w:val="single" w:sz="8" w:space="0" w:color="auto"/>
              <w:left w:val="single" w:sz="8" w:space="0" w:color="auto"/>
              <w:bottom w:val="single" w:sz="8" w:space="0" w:color="auto"/>
              <w:right w:val="single" w:sz="8" w:space="0" w:color="auto"/>
            </w:tcBorders>
            <w:vAlign w:val="center"/>
          </w:tcPr>
          <w:p w14:paraId="396D46DE" w14:textId="19D96159" w:rsidR="24B852B7" w:rsidRDefault="24B852B7" w:rsidP="24B852B7">
            <w:pPr>
              <w:spacing w:line="240" w:lineRule="exact"/>
              <w:jc w:val="center"/>
            </w:pPr>
            <w:r w:rsidRPr="24B852B7">
              <w:rPr>
                <w:rFonts w:ascii="Calibri" w:eastAsia="Calibri" w:hAnsi="Calibri" w:cs="Calibri"/>
                <w:sz w:val="20"/>
                <w:szCs w:val="20"/>
              </w:rPr>
              <w:t>0,00%</w:t>
            </w:r>
          </w:p>
        </w:tc>
      </w:tr>
      <w:tr w:rsidR="24B852B7" w14:paraId="69D7D96B" w14:textId="77777777" w:rsidTr="00CB18D4">
        <w:trPr>
          <w:trHeight w:hRule="exact" w:val="284"/>
          <w:jc w:val="center"/>
        </w:trPr>
        <w:tc>
          <w:tcPr>
            <w:tcW w:w="16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F2B9F" w14:textId="0026A058" w:rsidR="24B852B7" w:rsidRDefault="24B852B7" w:rsidP="24B852B7">
            <w:pPr>
              <w:spacing w:line="240" w:lineRule="exact"/>
              <w:jc w:val="center"/>
            </w:pPr>
            <w:r w:rsidRPr="24B852B7">
              <w:rPr>
                <w:rFonts w:ascii="Calibri" w:eastAsia="Calibri" w:hAnsi="Calibri" w:cs="Calibri"/>
                <w:sz w:val="20"/>
                <w:szCs w:val="20"/>
              </w:rPr>
              <w:t>Segundo Estágio</w:t>
            </w:r>
          </w:p>
        </w:tc>
        <w:tc>
          <w:tcPr>
            <w:tcW w:w="1418" w:type="dxa"/>
            <w:tcBorders>
              <w:top w:val="single" w:sz="8" w:space="0" w:color="auto"/>
              <w:left w:val="single" w:sz="4" w:space="0" w:color="000000" w:themeColor="text1"/>
              <w:bottom w:val="single" w:sz="8" w:space="0" w:color="auto"/>
              <w:right w:val="single" w:sz="8" w:space="0" w:color="auto"/>
            </w:tcBorders>
            <w:vAlign w:val="center"/>
          </w:tcPr>
          <w:p w14:paraId="2DA3485C" w14:textId="2D752E5A" w:rsidR="24B852B7" w:rsidRDefault="24B852B7" w:rsidP="24B852B7">
            <w:pPr>
              <w:spacing w:line="240" w:lineRule="exact"/>
              <w:jc w:val="center"/>
            </w:pPr>
            <w:r w:rsidRPr="24B852B7">
              <w:rPr>
                <w:rFonts w:ascii="Calibri" w:eastAsia="Calibri" w:hAnsi="Calibri" w:cs="Calibri"/>
                <w:sz w:val="20"/>
                <w:szCs w:val="20"/>
              </w:rPr>
              <w:t>A</w:t>
            </w:r>
          </w:p>
        </w:tc>
        <w:tc>
          <w:tcPr>
            <w:tcW w:w="2693" w:type="dxa"/>
            <w:tcBorders>
              <w:top w:val="single" w:sz="8" w:space="0" w:color="auto"/>
              <w:left w:val="single" w:sz="8" w:space="0" w:color="auto"/>
              <w:bottom w:val="single" w:sz="8" w:space="0" w:color="auto"/>
              <w:right w:val="single" w:sz="8" w:space="0" w:color="auto"/>
            </w:tcBorders>
            <w:vAlign w:val="center"/>
          </w:tcPr>
          <w:p w14:paraId="23BD6BD5" w14:textId="1E04E864" w:rsidR="24B852B7" w:rsidRDefault="24B852B7" w:rsidP="24B852B7">
            <w:pPr>
              <w:spacing w:line="240" w:lineRule="exact"/>
              <w:jc w:val="center"/>
            </w:pPr>
            <w:r w:rsidRPr="24B852B7">
              <w:rPr>
                <w:rFonts w:ascii="Calibri" w:eastAsia="Calibri" w:hAnsi="Calibri" w:cs="Calibri"/>
                <w:sz w:val="20"/>
                <w:szCs w:val="20"/>
              </w:rPr>
              <w:t>1,00%</w:t>
            </w:r>
          </w:p>
        </w:tc>
      </w:tr>
      <w:tr w:rsidR="24B852B7" w14:paraId="5E9D56C9" w14:textId="77777777" w:rsidTr="00CB18D4">
        <w:trPr>
          <w:trHeight w:hRule="exact" w:val="284"/>
          <w:jc w:val="center"/>
        </w:trPr>
        <w:tc>
          <w:tcPr>
            <w:tcW w:w="1644" w:type="dxa"/>
            <w:vMerge/>
            <w:tcBorders>
              <w:top w:val="single" w:sz="4" w:space="0" w:color="D9D9D9" w:themeColor="background1" w:themeShade="D9"/>
              <w:left w:val="single" w:sz="4" w:space="0" w:color="000000" w:themeColor="text1"/>
              <w:bottom w:val="single" w:sz="4" w:space="0" w:color="000000" w:themeColor="text1"/>
              <w:right w:val="single" w:sz="4" w:space="0" w:color="000000" w:themeColor="text1"/>
            </w:tcBorders>
            <w:vAlign w:val="center"/>
          </w:tcPr>
          <w:p w14:paraId="549FDC38" w14:textId="77777777" w:rsidR="00422732" w:rsidRDefault="00422732"/>
        </w:tc>
        <w:tc>
          <w:tcPr>
            <w:tcW w:w="1418" w:type="dxa"/>
            <w:tcBorders>
              <w:top w:val="single" w:sz="8" w:space="0" w:color="auto"/>
              <w:left w:val="single" w:sz="4" w:space="0" w:color="000000" w:themeColor="text1"/>
              <w:bottom w:val="single" w:sz="8" w:space="0" w:color="auto"/>
              <w:right w:val="single" w:sz="8" w:space="0" w:color="auto"/>
            </w:tcBorders>
            <w:vAlign w:val="center"/>
          </w:tcPr>
          <w:p w14:paraId="174F49CE" w14:textId="44E46FDC" w:rsidR="24B852B7" w:rsidRDefault="24B852B7" w:rsidP="24B852B7">
            <w:pPr>
              <w:spacing w:line="240" w:lineRule="exact"/>
              <w:jc w:val="center"/>
            </w:pPr>
            <w:r w:rsidRPr="24B852B7">
              <w:rPr>
                <w:rFonts w:ascii="Calibri" w:eastAsia="Calibri" w:hAnsi="Calibri" w:cs="Calibri"/>
                <w:sz w:val="20"/>
                <w:szCs w:val="20"/>
              </w:rPr>
              <w:t>B</w:t>
            </w:r>
          </w:p>
        </w:tc>
        <w:tc>
          <w:tcPr>
            <w:tcW w:w="2693" w:type="dxa"/>
            <w:tcBorders>
              <w:top w:val="single" w:sz="8" w:space="0" w:color="auto"/>
              <w:left w:val="single" w:sz="8" w:space="0" w:color="auto"/>
              <w:bottom w:val="single" w:sz="8" w:space="0" w:color="auto"/>
              <w:right w:val="single" w:sz="8" w:space="0" w:color="auto"/>
            </w:tcBorders>
            <w:vAlign w:val="center"/>
          </w:tcPr>
          <w:p w14:paraId="0A3A5204" w14:textId="1EFD5470" w:rsidR="24B852B7" w:rsidRDefault="24B852B7" w:rsidP="24B852B7">
            <w:pPr>
              <w:spacing w:line="240" w:lineRule="exact"/>
              <w:jc w:val="center"/>
            </w:pPr>
            <w:r w:rsidRPr="24B852B7">
              <w:rPr>
                <w:rFonts w:ascii="Calibri" w:eastAsia="Calibri" w:hAnsi="Calibri" w:cs="Calibri"/>
                <w:sz w:val="20"/>
                <w:szCs w:val="20"/>
              </w:rPr>
              <w:t>2,00%</w:t>
            </w:r>
          </w:p>
        </w:tc>
      </w:tr>
      <w:tr w:rsidR="24B852B7" w14:paraId="09DA6B7E" w14:textId="77777777" w:rsidTr="00CB18D4">
        <w:trPr>
          <w:trHeight w:hRule="exact" w:val="284"/>
          <w:jc w:val="center"/>
        </w:trPr>
        <w:tc>
          <w:tcPr>
            <w:tcW w:w="1644" w:type="dxa"/>
            <w:vMerge/>
            <w:tcBorders>
              <w:top w:val="single" w:sz="4" w:space="0" w:color="D9D9D9" w:themeColor="background1" w:themeShade="D9"/>
              <w:left w:val="single" w:sz="4" w:space="0" w:color="000000" w:themeColor="text1"/>
              <w:bottom w:val="single" w:sz="4" w:space="0" w:color="000000" w:themeColor="text1"/>
              <w:right w:val="single" w:sz="4" w:space="0" w:color="000000" w:themeColor="text1"/>
            </w:tcBorders>
            <w:vAlign w:val="center"/>
          </w:tcPr>
          <w:p w14:paraId="75FDE267" w14:textId="77777777" w:rsidR="00422732" w:rsidRDefault="00422732"/>
        </w:tc>
        <w:tc>
          <w:tcPr>
            <w:tcW w:w="1418" w:type="dxa"/>
            <w:tcBorders>
              <w:top w:val="single" w:sz="8" w:space="0" w:color="auto"/>
              <w:left w:val="single" w:sz="4" w:space="0" w:color="000000" w:themeColor="text1"/>
              <w:bottom w:val="single" w:sz="8" w:space="0" w:color="auto"/>
              <w:right w:val="single" w:sz="8" w:space="0" w:color="auto"/>
            </w:tcBorders>
            <w:vAlign w:val="center"/>
          </w:tcPr>
          <w:p w14:paraId="1DEC0EF4" w14:textId="3A967E9D" w:rsidR="24B852B7" w:rsidRDefault="24B852B7" w:rsidP="24B852B7">
            <w:pPr>
              <w:spacing w:line="240" w:lineRule="exact"/>
              <w:jc w:val="center"/>
            </w:pPr>
            <w:r w:rsidRPr="24B852B7">
              <w:rPr>
                <w:rFonts w:ascii="Calibri" w:eastAsia="Calibri" w:hAnsi="Calibri" w:cs="Calibri"/>
                <w:sz w:val="20"/>
                <w:szCs w:val="20"/>
              </w:rPr>
              <w:t>C</w:t>
            </w:r>
          </w:p>
        </w:tc>
        <w:tc>
          <w:tcPr>
            <w:tcW w:w="2693" w:type="dxa"/>
            <w:tcBorders>
              <w:top w:val="single" w:sz="8" w:space="0" w:color="auto"/>
              <w:left w:val="single" w:sz="8" w:space="0" w:color="auto"/>
              <w:bottom w:val="single" w:sz="8" w:space="0" w:color="auto"/>
              <w:right w:val="single" w:sz="8" w:space="0" w:color="auto"/>
            </w:tcBorders>
            <w:vAlign w:val="center"/>
          </w:tcPr>
          <w:p w14:paraId="4EAD1FE1" w14:textId="6CBBBEB7" w:rsidR="24B852B7" w:rsidRDefault="24B852B7" w:rsidP="24B852B7">
            <w:pPr>
              <w:spacing w:line="240" w:lineRule="exact"/>
              <w:jc w:val="center"/>
            </w:pPr>
            <w:r w:rsidRPr="24B852B7">
              <w:rPr>
                <w:rFonts w:ascii="Calibri" w:eastAsia="Calibri" w:hAnsi="Calibri" w:cs="Calibri"/>
                <w:sz w:val="20"/>
                <w:szCs w:val="20"/>
              </w:rPr>
              <w:t>5,00%</w:t>
            </w:r>
          </w:p>
        </w:tc>
      </w:tr>
      <w:tr w:rsidR="24B852B7" w14:paraId="2CF9DAF8" w14:textId="77777777" w:rsidTr="00CB18D4">
        <w:trPr>
          <w:trHeight w:hRule="exact" w:val="284"/>
          <w:jc w:val="center"/>
        </w:trPr>
        <w:tc>
          <w:tcPr>
            <w:tcW w:w="1644" w:type="dxa"/>
            <w:vMerge/>
            <w:tcBorders>
              <w:top w:val="single" w:sz="4" w:space="0" w:color="D9D9D9" w:themeColor="background1" w:themeShade="D9"/>
              <w:left w:val="single" w:sz="4" w:space="0" w:color="000000" w:themeColor="text1"/>
              <w:bottom w:val="single" w:sz="4" w:space="0" w:color="000000" w:themeColor="text1"/>
              <w:right w:val="single" w:sz="4" w:space="0" w:color="000000" w:themeColor="text1"/>
            </w:tcBorders>
            <w:vAlign w:val="center"/>
          </w:tcPr>
          <w:p w14:paraId="4515757B" w14:textId="77777777" w:rsidR="00422732" w:rsidRDefault="00422732"/>
        </w:tc>
        <w:tc>
          <w:tcPr>
            <w:tcW w:w="1418" w:type="dxa"/>
            <w:tcBorders>
              <w:top w:val="single" w:sz="8" w:space="0" w:color="auto"/>
              <w:left w:val="single" w:sz="4" w:space="0" w:color="000000" w:themeColor="text1"/>
              <w:bottom w:val="single" w:sz="8" w:space="0" w:color="auto"/>
              <w:right w:val="single" w:sz="8" w:space="0" w:color="auto"/>
            </w:tcBorders>
            <w:vAlign w:val="center"/>
          </w:tcPr>
          <w:p w14:paraId="4C0735BC" w14:textId="1498EE4C" w:rsidR="24B852B7" w:rsidRDefault="24B852B7" w:rsidP="24B852B7">
            <w:pPr>
              <w:spacing w:line="240" w:lineRule="exact"/>
              <w:jc w:val="center"/>
            </w:pPr>
            <w:r w:rsidRPr="24B852B7">
              <w:rPr>
                <w:rFonts w:ascii="Calibri" w:eastAsia="Calibri" w:hAnsi="Calibri" w:cs="Calibri"/>
                <w:sz w:val="20"/>
                <w:szCs w:val="20"/>
              </w:rPr>
              <w:t>D</w:t>
            </w:r>
          </w:p>
        </w:tc>
        <w:tc>
          <w:tcPr>
            <w:tcW w:w="2693" w:type="dxa"/>
            <w:tcBorders>
              <w:top w:val="single" w:sz="8" w:space="0" w:color="auto"/>
              <w:left w:val="single" w:sz="8" w:space="0" w:color="auto"/>
              <w:bottom w:val="single" w:sz="8" w:space="0" w:color="auto"/>
              <w:right w:val="single" w:sz="8" w:space="0" w:color="auto"/>
            </w:tcBorders>
            <w:vAlign w:val="center"/>
          </w:tcPr>
          <w:p w14:paraId="7DC38BC9" w14:textId="4386069F" w:rsidR="24B852B7" w:rsidRDefault="24B852B7" w:rsidP="24B852B7">
            <w:pPr>
              <w:spacing w:line="240" w:lineRule="exact"/>
              <w:jc w:val="center"/>
            </w:pPr>
            <w:r w:rsidRPr="24B852B7">
              <w:rPr>
                <w:rFonts w:ascii="Calibri" w:eastAsia="Calibri" w:hAnsi="Calibri" w:cs="Calibri"/>
                <w:sz w:val="20"/>
                <w:szCs w:val="20"/>
              </w:rPr>
              <w:t>10,00%</w:t>
            </w:r>
          </w:p>
        </w:tc>
      </w:tr>
      <w:tr w:rsidR="24B852B7" w14:paraId="53CDEFEE" w14:textId="77777777" w:rsidTr="00CB18D4">
        <w:trPr>
          <w:trHeight w:hRule="exact" w:val="284"/>
          <w:jc w:val="center"/>
        </w:trPr>
        <w:tc>
          <w:tcPr>
            <w:tcW w:w="1644" w:type="dxa"/>
            <w:vMerge/>
            <w:tcBorders>
              <w:top w:val="single" w:sz="4" w:space="0" w:color="D9D9D9" w:themeColor="background1" w:themeShade="D9"/>
              <w:left w:val="single" w:sz="4" w:space="0" w:color="000000" w:themeColor="text1"/>
              <w:bottom w:val="single" w:sz="4" w:space="0" w:color="000000" w:themeColor="text1"/>
              <w:right w:val="single" w:sz="4" w:space="0" w:color="000000" w:themeColor="text1"/>
            </w:tcBorders>
            <w:vAlign w:val="center"/>
          </w:tcPr>
          <w:p w14:paraId="6DF0687A" w14:textId="77777777" w:rsidR="00422732" w:rsidRDefault="00422732"/>
        </w:tc>
        <w:tc>
          <w:tcPr>
            <w:tcW w:w="1418" w:type="dxa"/>
            <w:tcBorders>
              <w:top w:val="single" w:sz="8" w:space="0" w:color="auto"/>
              <w:left w:val="single" w:sz="4" w:space="0" w:color="000000" w:themeColor="text1"/>
              <w:bottom w:val="single" w:sz="8" w:space="0" w:color="auto"/>
              <w:right w:val="single" w:sz="8" w:space="0" w:color="auto"/>
            </w:tcBorders>
            <w:vAlign w:val="center"/>
          </w:tcPr>
          <w:p w14:paraId="53EDC14E" w14:textId="52E7637D" w:rsidR="24B852B7" w:rsidRDefault="24B852B7" w:rsidP="24B852B7">
            <w:pPr>
              <w:spacing w:line="240" w:lineRule="exact"/>
              <w:jc w:val="center"/>
            </w:pPr>
            <w:r w:rsidRPr="24B852B7">
              <w:rPr>
                <w:rFonts w:ascii="Calibri" w:eastAsia="Calibri" w:hAnsi="Calibri" w:cs="Calibri"/>
                <w:sz w:val="20"/>
                <w:szCs w:val="20"/>
              </w:rPr>
              <w:t>E</w:t>
            </w:r>
          </w:p>
        </w:tc>
        <w:tc>
          <w:tcPr>
            <w:tcW w:w="2693" w:type="dxa"/>
            <w:tcBorders>
              <w:top w:val="single" w:sz="8" w:space="0" w:color="auto"/>
              <w:left w:val="single" w:sz="8" w:space="0" w:color="auto"/>
              <w:bottom w:val="single" w:sz="8" w:space="0" w:color="auto"/>
              <w:right w:val="single" w:sz="8" w:space="0" w:color="auto"/>
            </w:tcBorders>
            <w:vAlign w:val="center"/>
          </w:tcPr>
          <w:p w14:paraId="11A85D23" w14:textId="267303C1" w:rsidR="24B852B7" w:rsidRDefault="24B852B7" w:rsidP="24B852B7">
            <w:pPr>
              <w:spacing w:line="240" w:lineRule="exact"/>
              <w:jc w:val="center"/>
            </w:pPr>
            <w:r w:rsidRPr="24B852B7">
              <w:rPr>
                <w:rFonts w:ascii="Calibri" w:eastAsia="Calibri" w:hAnsi="Calibri" w:cs="Calibri"/>
                <w:sz w:val="20"/>
                <w:szCs w:val="20"/>
              </w:rPr>
              <w:t>30,00%</w:t>
            </w:r>
          </w:p>
        </w:tc>
      </w:tr>
      <w:tr w:rsidR="24B852B7" w14:paraId="4EFD3263" w14:textId="77777777" w:rsidTr="00CB18D4">
        <w:trPr>
          <w:trHeight w:hRule="exact" w:val="284"/>
          <w:jc w:val="center"/>
        </w:trPr>
        <w:tc>
          <w:tcPr>
            <w:tcW w:w="1644" w:type="dxa"/>
            <w:vMerge/>
            <w:tcBorders>
              <w:top w:val="single" w:sz="4" w:space="0" w:color="D9D9D9" w:themeColor="background1" w:themeShade="D9"/>
              <w:left w:val="single" w:sz="4" w:space="0" w:color="000000" w:themeColor="text1"/>
              <w:bottom w:val="single" w:sz="4" w:space="0" w:color="000000" w:themeColor="text1"/>
              <w:right w:val="single" w:sz="4" w:space="0" w:color="000000" w:themeColor="text1"/>
            </w:tcBorders>
            <w:vAlign w:val="center"/>
          </w:tcPr>
          <w:p w14:paraId="687A37D5" w14:textId="77777777" w:rsidR="00422732" w:rsidRDefault="00422732"/>
        </w:tc>
        <w:tc>
          <w:tcPr>
            <w:tcW w:w="1418" w:type="dxa"/>
            <w:tcBorders>
              <w:top w:val="single" w:sz="8" w:space="0" w:color="auto"/>
              <w:left w:val="single" w:sz="4" w:space="0" w:color="000000" w:themeColor="text1"/>
              <w:bottom w:val="single" w:sz="8" w:space="0" w:color="auto"/>
              <w:right w:val="single" w:sz="8" w:space="0" w:color="auto"/>
            </w:tcBorders>
            <w:vAlign w:val="center"/>
          </w:tcPr>
          <w:p w14:paraId="4487DFB7" w14:textId="774F96CD" w:rsidR="24B852B7" w:rsidRDefault="24B852B7" w:rsidP="24B852B7">
            <w:pPr>
              <w:spacing w:line="240" w:lineRule="exact"/>
              <w:jc w:val="center"/>
            </w:pPr>
            <w:r w:rsidRPr="24B852B7">
              <w:rPr>
                <w:rFonts w:ascii="Calibri" w:eastAsia="Calibri" w:hAnsi="Calibri" w:cs="Calibri"/>
                <w:sz w:val="20"/>
                <w:szCs w:val="20"/>
              </w:rPr>
              <w:t>F</w:t>
            </w:r>
          </w:p>
        </w:tc>
        <w:tc>
          <w:tcPr>
            <w:tcW w:w="2693" w:type="dxa"/>
            <w:tcBorders>
              <w:top w:val="single" w:sz="8" w:space="0" w:color="auto"/>
              <w:left w:val="single" w:sz="8" w:space="0" w:color="auto"/>
              <w:bottom w:val="single" w:sz="8" w:space="0" w:color="auto"/>
              <w:right w:val="single" w:sz="8" w:space="0" w:color="auto"/>
            </w:tcBorders>
            <w:vAlign w:val="center"/>
          </w:tcPr>
          <w:p w14:paraId="45C3980E" w14:textId="3F86211C" w:rsidR="24B852B7" w:rsidRDefault="24B852B7" w:rsidP="24B852B7">
            <w:pPr>
              <w:spacing w:line="240" w:lineRule="exact"/>
              <w:jc w:val="center"/>
            </w:pPr>
            <w:r w:rsidRPr="24B852B7">
              <w:rPr>
                <w:rFonts w:ascii="Calibri" w:eastAsia="Calibri" w:hAnsi="Calibri" w:cs="Calibri"/>
                <w:sz w:val="20"/>
                <w:szCs w:val="20"/>
              </w:rPr>
              <w:t>50,00%</w:t>
            </w:r>
          </w:p>
        </w:tc>
      </w:tr>
      <w:tr w:rsidR="24B852B7" w14:paraId="0F940026" w14:textId="77777777" w:rsidTr="00CB18D4">
        <w:trPr>
          <w:trHeight w:hRule="exact" w:val="284"/>
          <w:jc w:val="center"/>
        </w:trPr>
        <w:tc>
          <w:tcPr>
            <w:tcW w:w="1644" w:type="dxa"/>
            <w:vMerge/>
            <w:tcBorders>
              <w:top w:val="single" w:sz="4" w:space="0" w:color="D9D9D9" w:themeColor="background1" w:themeShade="D9"/>
              <w:left w:val="single" w:sz="4" w:space="0" w:color="000000" w:themeColor="text1"/>
              <w:bottom w:val="single" w:sz="4" w:space="0" w:color="000000" w:themeColor="text1"/>
              <w:right w:val="single" w:sz="4" w:space="0" w:color="000000" w:themeColor="text1"/>
            </w:tcBorders>
            <w:vAlign w:val="center"/>
          </w:tcPr>
          <w:p w14:paraId="1D2199B2" w14:textId="77777777" w:rsidR="00422732" w:rsidRDefault="00422732"/>
        </w:tc>
        <w:tc>
          <w:tcPr>
            <w:tcW w:w="1418" w:type="dxa"/>
            <w:tcBorders>
              <w:top w:val="single" w:sz="8" w:space="0" w:color="auto"/>
              <w:left w:val="single" w:sz="4" w:space="0" w:color="000000" w:themeColor="text1"/>
              <w:bottom w:val="single" w:sz="8" w:space="0" w:color="auto"/>
              <w:right w:val="single" w:sz="8" w:space="0" w:color="auto"/>
            </w:tcBorders>
            <w:vAlign w:val="center"/>
          </w:tcPr>
          <w:p w14:paraId="060D8CED" w14:textId="0BAA8385" w:rsidR="24B852B7" w:rsidRDefault="24B852B7" w:rsidP="24B852B7">
            <w:pPr>
              <w:spacing w:line="240" w:lineRule="exact"/>
              <w:jc w:val="center"/>
            </w:pPr>
            <w:r w:rsidRPr="24B852B7">
              <w:rPr>
                <w:rFonts w:ascii="Calibri" w:eastAsia="Calibri" w:hAnsi="Calibri" w:cs="Calibri"/>
                <w:sz w:val="20"/>
                <w:szCs w:val="20"/>
              </w:rPr>
              <w:t>G</w:t>
            </w:r>
          </w:p>
        </w:tc>
        <w:tc>
          <w:tcPr>
            <w:tcW w:w="2693" w:type="dxa"/>
            <w:tcBorders>
              <w:top w:val="single" w:sz="8" w:space="0" w:color="auto"/>
              <w:left w:val="single" w:sz="8" w:space="0" w:color="auto"/>
              <w:bottom w:val="single" w:sz="8" w:space="0" w:color="auto"/>
              <w:right w:val="single" w:sz="8" w:space="0" w:color="auto"/>
            </w:tcBorders>
            <w:vAlign w:val="center"/>
          </w:tcPr>
          <w:p w14:paraId="229C8FA2" w14:textId="773B6D42" w:rsidR="24B852B7" w:rsidRDefault="24B852B7" w:rsidP="24B852B7">
            <w:pPr>
              <w:spacing w:line="240" w:lineRule="exact"/>
              <w:jc w:val="center"/>
            </w:pPr>
            <w:r w:rsidRPr="24B852B7">
              <w:rPr>
                <w:rFonts w:ascii="Calibri" w:eastAsia="Calibri" w:hAnsi="Calibri" w:cs="Calibri"/>
                <w:sz w:val="20"/>
                <w:szCs w:val="20"/>
              </w:rPr>
              <w:t>70,00%</w:t>
            </w:r>
          </w:p>
        </w:tc>
      </w:tr>
      <w:tr w:rsidR="24B852B7" w14:paraId="6699C550" w14:textId="77777777" w:rsidTr="00CB18D4">
        <w:trPr>
          <w:trHeight w:hRule="exact" w:val="284"/>
          <w:jc w:val="center"/>
        </w:trPr>
        <w:tc>
          <w:tcPr>
            <w:tcW w:w="1644" w:type="dxa"/>
            <w:tcBorders>
              <w:top w:val="single" w:sz="4" w:space="0" w:color="000000" w:themeColor="text1"/>
              <w:left w:val="single" w:sz="8" w:space="0" w:color="auto"/>
              <w:bottom w:val="single" w:sz="8" w:space="0" w:color="000000" w:themeColor="text1"/>
              <w:right w:val="single" w:sz="8" w:space="0" w:color="auto"/>
            </w:tcBorders>
            <w:vAlign w:val="center"/>
          </w:tcPr>
          <w:p w14:paraId="6353D24B" w14:textId="24BE7080" w:rsidR="24B852B7" w:rsidRDefault="24B852B7" w:rsidP="24B852B7">
            <w:pPr>
              <w:spacing w:line="240" w:lineRule="exact"/>
              <w:jc w:val="center"/>
            </w:pPr>
            <w:r w:rsidRPr="24B852B7">
              <w:rPr>
                <w:rFonts w:ascii="Calibri" w:eastAsia="Calibri" w:hAnsi="Calibri" w:cs="Calibri"/>
                <w:sz w:val="20"/>
                <w:szCs w:val="20"/>
              </w:rPr>
              <w:t>Terceiro Estágio</w:t>
            </w:r>
          </w:p>
        </w:tc>
        <w:tc>
          <w:tcPr>
            <w:tcW w:w="1418" w:type="dxa"/>
            <w:tcBorders>
              <w:top w:val="single" w:sz="8" w:space="0" w:color="auto"/>
              <w:left w:val="single" w:sz="8" w:space="0" w:color="auto"/>
              <w:bottom w:val="single" w:sz="8" w:space="0" w:color="auto"/>
              <w:right w:val="single" w:sz="8" w:space="0" w:color="auto"/>
            </w:tcBorders>
            <w:vAlign w:val="center"/>
          </w:tcPr>
          <w:p w14:paraId="142571C4" w14:textId="53A507D7" w:rsidR="24B852B7" w:rsidRDefault="24B852B7" w:rsidP="24B852B7">
            <w:pPr>
              <w:spacing w:line="240" w:lineRule="exact"/>
              <w:jc w:val="center"/>
            </w:pPr>
            <w:r w:rsidRPr="24B852B7">
              <w:rPr>
                <w:rFonts w:ascii="Calibri" w:eastAsia="Calibri" w:hAnsi="Calibri" w:cs="Calibri"/>
                <w:sz w:val="20"/>
                <w:szCs w:val="20"/>
              </w:rPr>
              <w:t>H</w:t>
            </w:r>
          </w:p>
        </w:tc>
        <w:tc>
          <w:tcPr>
            <w:tcW w:w="2693" w:type="dxa"/>
            <w:tcBorders>
              <w:top w:val="single" w:sz="8" w:space="0" w:color="auto"/>
              <w:left w:val="single" w:sz="8" w:space="0" w:color="auto"/>
              <w:bottom w:val="single" w:sz="8" w:space="0" w:color="auto"/>
              <w:right w:val="single" w:sz="8" w:space="0" w:color="auto"/>
            </w:tcBorders>
            <w:vAlign w:val="center"/>
          </w:tcPr>
          <w:p w14:paraId="598586C7" w14:textId="58CDF51E" w:rsidR="24B852B7" w:rsidRDefault="24B852B7" w:rsidP="24B852B7">
            <w:pPr>
              <w:spacing w:line="240" w:lineRule="exact"/>
              <w:jc w:val="center"/>
            </w:pPr>
            <w:r w:rsidRPr="24B852B7">
              <w:rPr>
                <w:rFonts w:ascii="Calibri" w:eastAsia="Calibri" w:hAnsi="Calibri" w:cs="Calibri"/>
                <w:sz w:val="20"/>
                <w:szCs w:val="20"/>
              </w:rPr>
              <w:t>100,00%</w:t>
            </w:r>
          </w:p>
        </w:tc>
      </w:tr>
    </w:tbl>
    <w:p w14:paraId="50CA19F7" w14:textId="1CA83BEB" w:rsidR="51659D34" w:rsidRPr="002C4268" w:rsidRDefault="009C39E2" w:rsidP="009C39E2">
      <w:pPr>
        <w:spacing w:line="240" w:lineRule="exact"/>
        <w:rPr>
          <w:sz w:val="16"/>
          <w:szCs w:val="16"/>
        </w:rPr>
      </w:pPr>
      <w:r>
        <w:t xml:space="preserve">                                          </w:t>
      </w:r>
      <w:r w:rsidR="002C4268" w:rsidRPr="00DD6563">
        <w:rPr>
          <w:rFonts w:ascii="Calibri" w:eastAsia="Calibri" w:hAnsi="Calibri" w:cs="Calibri"/>
          <w:b/>
          <w:i/>
          <w:color w:val="000000" w:themeColor="text1"/>
          <w:sz w:val="16"/>
          <w:szCs w:val="16"/>
        </w:rPr>
        <w:t>Fonte e elaboração:</w:t>
      </w:r>
      <w:r w:rsidR="002C4268" w:rsidRPr="00DD6563">
        <w:rPr>
          <w:rFonts w:ascii="Calibri" w:eastAsia="Calibri" w:hAnsi="Calibri" w:cs="Calibri"/>
          <w:i/>
          <w:color w:val="000000" w:themeColor="text1"/>
          <w:sz w:val="16"/>
          <w:szCs w:val="16"/>
        </w:rPr>
        <w:t xml:space="preserve"> STN/ME.</w:t>
      </w:r>
    </w:p>
    <w:p w14:paraId="592FCBF9" w14:textId="748830B3" w:rsidR="51659D34" w:rsidRDefault="51659D34" w:rsidP="24B852B7">
      <w:pPr>
        <w:spacing w:line="257" w:lineRule="exact"/>
        <w:ind w:firstLine="1418"/>
        <w:jc w:val="both"/>
      </w:pPr>
      <w:r w:rsidRPr="24B852B7">
        <w:rPr>
          <w:rFonts w:ascii="Calibri" w:eastAsia="Calibri" w:hAnsi="Calibri" w:cs="Calibri"/>
          <w:color w:val="000000" w:themeColor="text1"/>
          <w:sz w:val="24"/>
          <w:szCs w:val="24"/>
        </w:rPr>
        <w:t xml:space="preserve"> </w:t>
      </w:r>
    </w:p>
    <w:p w14:paraId="1A17BDDF" w14:textId="75D9B628" w:rsidR="51659D34" w:rsidRDefault="51659D34" w:rsidP="00A911D5">
      <w:pPr>
        <w:spacing w:after="120" w:line="240" w:lineRule="auto"/>
        <w:ind w:firstLine="1418"/>
        <w:jc w:val="both"/>
      </w:pPr>
      <w:r w:rsidRPr="24B852B7">
        <w:rPr>
          <w:rFonts w:ascii="Calibri" w:eastAsia="Calibri" w:hAnsi="Calibri" w:cs="Calibri"/>
          <w:color w:val="000000" w:themeColor="text1"/>
          <w:sz w:val="24"/>
          <w:szCs w:val="24"/>
        </w:rPr>
        <w:t xml:space="preserve">A atribuição dos </w:t>
      </w:r>
      <w:r w:rsidRPr="24B852B7">
        <w:rPr>
          <w:rFonts w:ascii="Calibri" w:eastAsia="Calibri" w:hAnsi="Calibri" w:cs="Calibri"/>
          <w:i/>
          <w:iCs/>
          <w:color w:val="000000" w:themeColor="text1"/>
          <w:sz w:val="24"/>
          <w:szCs w:val="24"/>
        </w:rPr>
        <w:t>ratings</w:t>
      </w:r>
      <w:r w:rsidRPr="24B852B7">
        <w:rPr>
          <w:rFonts w:ascii="Calibri" w:eastAsia="Calibri" w:hAnsi="Calibri" w:cs="Calibri"/>
          <w:color w:val="000000" w:themeColor="text1"/>
          <w:sz w:val="24"/>
          <w:szCs w:val="24"/>
        </w:rPr>
        <w:t xml:space="preserve"> é efetuada de forma mensal a todos os ativos registrados na carteira, sendo vedada mais de uma mudança de classificação de risco para cada contrato / mutuário dentro de um mesmo mês. Após a classificação dos contratos conforme os </w:t>
      </w:r>
      <w:r w:rsidRPr="24B852B7">
        <w:rPr>
          <w:rFonts w:ascii="Calibri" w:eastAsia="Calibri" w:hAnsi="Calibri" w:cs="Calibri"/>
          <w:i/>
          <w:iCs/>
          <w:color w:val="000000" w:themeColor="text1"/>
          <w:sz w:val="24"/>
          <w:szCs w:val="24"/>
        </w:rPr>
        <w:t>ratings</w:t>
      </w:r>
      <w:r w:rsidRPr="24B852B7">
        <w:rPr>
          <w:rFonts w:ascii="Calibri" w:eastAsia="Calibri" w:hAnsi="Calibri" w:cs="Calibri"/>
          <w:color w:val="000000" w:themeColor="text1"/>
          <w:sz w:val="24"/>
          <w:szCs w:val="24"/>
        </w:rPr>
        <w:t xml:space="preserve"> representados </w:t>
      </w:r>
      <w:r w:rsidRPr="00955265">
        <w:rPr>
          <w:rFonts w:ascii="Calibri" w:eastAsia="Calibri" w:hAnsi="Calibri" w:cs="Calibri"/>
          <w:color w:val="000000" w:themeColor="text1"/>
          <w:sz w:val="24"/>
          <w:szCs w:val="24"/>
        </w:rPr>
        <w:t>na</w:t>
      </w:r>
      <w:r w:rsidR="00955265">
        <w:rPr>
          <w:rFonts w:ascii="Calibri" w:eastAsia="Calibri" w:hAnsi="Calibri" w:cs="Calibri"/>
          <w:color w:val="000000" w:themeColor="text1"/>
          <w:sz w:val="24"/>
          <w:szCs w:val="24"/>
        </w:rPr>
        <w:t xml:space="preserve"> </w:t>
      </w:r>
      <w:r w:rsidR="00955265" w:rsidRPr="00955265">
        <w:rPr>
          <w:rFonts w:ascii="Calibri" w:eastAsia="Calibri" w:hAnsi="Calibri" w:cs="Calibri"/>
          <w:color w:val="000000" w:themeColor="text1"/>
          <w:sz w:val="24"/>
          <w:szCs w:val="24"/>
        </w:rPr>
        <w:fldChar w:fldCharType="begin"/>
      </w:r>
      <w:r w:rsidR="00955265" w:rsidRPr="00955265">
        <w:rPr>
          <w:rFonts w:ascii="Calibri" w:eastAsia="Calibri" w:hAnsi="Calibri" w:cs="Calibri"/>
          <w:color w:val="000000" w:themeColor="text1"/>
          <w:sz w:val="24"/>
          <w:szCs w:val="24"/>
        </w:rPr>
        <w:instrText xml:space="preserve"> REF _Ref67429758 \h  \* MERGEFORMAT </w:instrText>
      </w:r>
      <w:r w:rsidR="00955265" w:rsidRPr="00955265">
        <w:rPr>
          <w:rFonts w:ascii="Calibri" w:eastAsia="Calibri" w:hAnsi="Calibri" w:cs="Calibri"/>
          <w:color w:val="000000" w:themeColor="text1"/>
          <w:sz w:val="24"/>
          <w:szCs w:val="24"/>
        </w:rPr>
      </w:r>
      <w:r w:rsidR="00955265" w:rsidRPr="00955265">
        <w:rPr>
          <w:rFonts w:ascii="Calibri" w:eastAsia="Calibri" w:hAnsi="Calibri" w:cs="Calibri"/>
          <w:color w:val="000000" w:themeColor="text1"/>
          <w:sz w:val="24"/>
          <w:szCs w:val="24"/>
        </w:rPr>
        <w:fldChar w:fldCharType="separate"/>
      </w:r>
      <w:r w:rsidR="00304F5F" w:rsidRPr="00304F5F">
        <w:rPr>
          <w:rFonts w:eastAsia="Calibri"/>
          <w:color w:val="000000" w:themeColor="text1"/>
          <w:sz w:val="24"/>
          <w:szCs w:val="24"/>
        </w:rPr>
        <w:t xml:space="preserve">Tabela </w:t>
      </w:r>
      <w:r w:rsidR="00304F5F" w:rsidRPr="00304F5F">
        <w:rPr>
          <w:noProof/>
          <w:color w:val="000000" w:themeColor="text1"/>
          <w:sz w:val="24"/>
          <w:szCs w:val="24"/>
        </w:rPr>
        <w:t>50</w:t>
      </w:r>
      <w:r w:rsidR="00955265" w:rsidRPr="00955265">
        <w:rPr>
          <w:rFonts w:ascii="Calibri" w:eastAsia="Calibri" w:hAnsi="Calibri" w:cs="Calibri"/>
          <w:color w:val="000000" w:themeColor="text1"/>
          <w:sz w:val="24"/>
          <w:szCs w:val="24"/>
        </w:rPr>
        <w:fldChar w:fldCharType="end"/>
      </w:r>
      <w:r w:rsidRPr="00955265">
        <w:rPr>
          <w:rFonts w:ascii="Calibri" w:eastAsia="Calibri" w:hAnsi="Calibri" w:cs="Calibri"/>
          <w:color w:val="000000" w:themeColor="text1"/>
          <w:sz w:val="24"/>
          <w:szCs w:val="24"/>
        </w:rPr>
        <w:t>,</w:t>
      </w:r>
      <w:r w:rsidRPr="00377C16">
        <w:rPr>
          <w:rFonts w:ascii="Calibri" w:eastAsia="Calibri" w:hAnsi="Calibri" w:cs="Calibri"/>
          <w:color w:val="000000" w:themeColor="text1"/>
          <w:sz w:val="24"/>
          <w:szCs w:val="24"/>
        </w:rPr>
        <w:t xml:space="preserve"> </w:t>
      </w:r>
      <w:r w:rsidRPr="24B852B7">
        <w:rPr>
          <w:rFonts w:ascii="Calibri" w:eastAsia="Calibri" w:hAnsi="Calibri" w:cs="Calibri"/>
          <w:color w:val="000000" w:themeColor="text1"/>
          <w:sz w:val="24"/>
          <w:szCs w:val="24"/>
        </w:rPr>
        <w:t xml:space="preserve">são aplicáveis os respectivos percentuais para ajuste de perdas </w:t>
      </w:r>
      <w:proofErr w:type="gramStart"/>
      <w:r w:rsidRPr="24B852B7">
        <w:rPr>
          <w:rFonts w:ascii="Calibri" w:eastAsia="Calibri" w:hAnsi="Calibri" w:cs="Calibri"/>
          <w:color w:val="000000" w:themeColor="text1"/>
          <w:sz w:val="24"/>
          <w:szCs w:val="24"/>
        </w:rPr>
        <w:t>estimadas calculados sobre os saldos devedores dos contratos registrados no Sistema de Acompanhamentos de Haveres Financeiros junto a Estados e Municípios</w:t>
      </w:r>
      <w:proofErr w:type="gramEnd"/>
      <w:r w:rsidRPr="24B852B7">
        <w:rPr>
          <w:rFonts w:ascii="Calibri" w:eastAsia="Calibri" w:hAnsi="Calibri" w:cs="Calibri"/>
          <w:color w:val="000000" w:themeColor="text1"/>
          <w:sz w:val="24"/>
          <w:szCs w:val="24"/>
        </w:rPr>
        <w:t xml:space="preserve"> – SAHEM.</w:t>
      </w:r>
    </w:p>
    <w:p w14:paraId="00674F22" w14:textId="33345519" w:rsidR="00CB18D4" w:rsidRPr="00CB18D4" w:rsidRDefault="51659D34" w:rsidP="00CB18D4">
      <w:pPr>
        <w:pStyle w:val="Legenda"/>
        <w:jc w:val="center"/>
        <w:rPr>
          <w:rFonts w:asciiTheme="minorHAnsi" w:eastAsia="Calibri" w:hAnsiTheme="minorHAnsi"/>
          <w:i w:val="0"/>
          <w:color w:val="000000" w:themeColor="text1"/>
          <w:sz w:val="22"/>
          <w:szCs w:val="22"/>
        </w:rPr>
      </w:pPr>
      <w:bookmarkStart w:id="364" w:name="_Ref67429758"/>
      <w:bookmarkStart w:id="365" w:name="_Toc69121396"/>
      <w:r w:rsidRPr="00A53C7F">
        <w:rPr>
          <w:rFonts w:asciiTheme="minorHAnsi" w:eastAsia="Calibri" w:hAnsiTheme="minorHAnsi"/>
          <w:i w:val="0"/>
          <w:color w:val="000000" w:themeColor="text1"/>
          <w:sz w:val="22"/>
          <w:szCs w:val="22"/>
        </w:rPr>
        <w:t xml:space="preserve">Tabela </w:t>
      </w:r>
      <w:r w:rsidR="00A53C7F" w:rsidRPr="00A53C7F">
        <w:rPr>
          <w:rFonts w:asciiTheme="minorHAnsi" w:hAnsiTheme="minorHAnsi"/>
          <w:i w:val="0"/>
          <w:iCs w:val="0"/>
          <w:color w:val="000000" w:themeColor="text1"/>
          <w:sz w:val="22"/>
          <w:szCs w:val="22"/>
        </w:rPr>
        <w:fldChar w:fldCharType="begin"/>
      </w:r>
      <w:r w:rsidR="00A53C7F" w:rsidRPr="00A53C7F">
        <w:rPr>
          <w:rFonts w:asciiTheme="minorHAnsi" w:hAnsiTheme="minorHAnsi"/>
          <w:i w:val="0"/>
          <w:iCs w:val="0"/>
          <w:color w:val="000000" w:themeColor="text1"/>
          <w:sz w:val="22"/>
          <w:szCs w:val="22"/>
        </w:rPr>
        <w:instrText xml:space="preserve"> SEQ Tabela \* ARABIC </w:instrText>
      </w:r>
      <w:r w:rsidR="00A53C7F" w:rsidRPr="00A53C7F">
        <w:rPr>
          <w:rFonts w:asciiTheme="minorHAnsi" w:hAnsiTheme="minorHAnsi"/>
          <w:i w:val="0"/>
          <w:iCs w:val="0"/>
          <w:color w:val="000000" w:themeColor="text1"/>
          <w:sz w:val="22"/>
          <w:szCs w:val="22"/>
        </w:rPr>
        <w:fldChar w:fldCharType="separate"/>
      </w:r>
      <w:r w:rsidR="00304F5F">
        <w:rPr>
          <w:rFonts w:asciiTheme="minorHAnsi" w:hAnsiTheme="minorHAnsi"/>
          <w:i w:val="0"/>
          <w:iCs w:val="0"/>
          <w:noProof/>
          <w:color w:val="000000" w:themeColor="text1"/>
          <w:sz w:val="22"/>
          <w:szCs w:val="22"/>
        </w:rPr>
        <w:t>50</w:t>
      </w:r>
      <w:r w:rsidR="00A53C7F" w:rsidRPr="00A53C7F">
        <w:rPr>
          <w:rFonts w:asciiTheme="minorHAnsi" w:hAnsiTheme="minorHAnsi"/>
          <w:i w:val="0"/>
          <w:iCs w:val="0"/>
          <w:color w:val="000000" w:themeColor="text1"/>
          <w:sz w:val="22"/>
          <w:szCs w:val="22"/>
        </w:rPr>
        <w:fldChar w:fldCharType="end"/>
      </w:r>
      <w:bookmarkEnd w:id="364"/>
      <w:r w:rsidR="00A53C7F" w:rsidRPr="00A53C7F">
        <w:rPr>
          <w:rFonts w:asciiTheme="minorHAnsi" w:hAnsiTheme="minorHAnsi"/>
          <w:i w:val="0"/>
          <w:iCs w:val="0"/>
          <w:color w:val="000000" w:themeColor="text1"/>
          <w:sz w:val="22"/>
          <w:szCs w:val="22"/>
        </w:rPr>
        <w:t xml:space="preserve"> -</w:t>
      </w:r>
      <w:r w:rsidRPr="00A53C7F">
        <w:rPr>
          <w:rFonts w:asciiTheme="minorHAnsi" w:eastAsia="Calibri" w:hAnsiTheme="minorHAnsi"/>
          <w:i w:val="0"/>
          <w:color w:val="000000" w:themeColor="text1"/>
          <w:sz w:val="22"/>
          <w:szCs w:val="22"/>
        </w:rPr>
        <w:t xml:space="preserve"> Tabela de Conversão das Notas CAPAG para ratings da matriz STN</w:t>
      </w:r>
      <w:bookmarkEnd w:id="365"/>
    </w:p>
    <w:tbl>
      <w:tblPr>
        <w:tblW w:w="0" w:type="auto"/>
        <w:tblInd w:w="2825" w:type="dxa"/>
        <w:tblLayout w:type="fixed"/>
        <w:tblLook w:val="06A0" w:firstRow="1" w:lastRow="0" w:firstColumn="1" w:lastColumn="0" w:noHBand="1" w:noVBand="1"/>
      </w:tblPr>
      <w:tblGrid>
        <w:gridCol w:w="1375"/>
        <w:gridCol w:w="2027"/>
      </w:tblGrid>
      <w:tr w:rsidR="24B852B7" w14:paraId="40F8FC28" w14:textId="77777777" w:rsidTr="00CB18D4">
        <w:trPr>
          <w:trHeight w:val="300"/>
          <w:tblHeader/>
        </w:trPr>
        <w:tc>
          <w:tcPr>
            <w:tcW w:w="1375"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7DD0CBA4" w14:textId="078EF1BA" w:rsidR="24B852B7" w:rsidRPr="00201095" w:rsidRDefault="24B852B7" w:rsidP="24B852B7">
            <w:pPr>
              <w:spacing w:line="240" w:lineRule="exact"/>
              <w:jc w:val="center"/>
              <w:rPr>
                <w:color w:val="FFFFFF" w:themeColor="background1"/>
              </w:rPr>
            </w:pPr>
            <w:r w:rsidRPr="00201095">
              <w:rPr>
                <w:rFonts w:ascii="Calibri" w:eastAsia="Calibri" w:hAnsi="Calibri" w:cs="Calibri"/>
                <w:b/>
                <w:bCs/>
                <w:color w:val="FFFFFF" w:themeColor="background1"/>
                <w:sz w:val="20"/>
                <w:szCs w:val="20"/>
              </w:rPr>
              <w:t>Classificação Final CAPAG</w:t>
            </w:r>
          </w:p>
        </w:tc>
        <w:tc>
          <w:tcPr>
            <w:tcW w:w="2027"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34402499" w14:textId="575EB65A" w:rsidR="24B852B7" w:rsidRPr="00201095" w:rsidRDefault="24B852B7" w:rsidP="24B852B7">
            <w:pPr>
              <w:spacing w:line="240" w:lineRule="exact"/>
              <w:jc w:val="center"/>
              <w:rPr>
                <w:color w:val="FFFFFF" w:themeColor="background1"/>
              </w:rPr>
            </w:pPr>
            <w:r w:rsidRPr="00201095">
              <w:rPr>
                <w:rFonts w:ascii="Calibri" w:eastAsia="Calibri" w:hAnsi="Calibri" w:cs="Calibri"/>
                <w:b/>
                <w:bCs/>
                <w:color w:val="FFFFFF" w:themeColor="background1"/>
                <w:sz w:val="20"/>
                <w:szCs w:val="20"/>
              </w:rPr>
              <w:t>Nível de Risco / Rating da matriz STN</w:t>
            </w:r>
          </w:p>
        </w:tc>
      </w:tr>
      <w:tr w:rsidR="24B852B7" w14:paraId="5F2CD4D8" w14:textId="77777777" w:rsidTr="00CB18D4">
        <w:trPr>
          <w:trHeight w:hRule="exact" w:val="284"/>
        </w:trPr>
        <w:tc>
          <w:tcPr>
            <w:tcW w:w="1375" w:type="dxa"/>
            <w:tcBorders>
              <w:top w:val="single" w:sz="8" w:space="0" w:color="auto"/>
              <w:left w:val="single" w:sz="8" w:space="0" w:color="auto"/>
              <w:bottom w:val="single" w:sz="8" w:space="0" w:color="auto"/>
              <w:right w:val="single" w:sz="8" w:space="0" w:color="auto"/>
            </w:tcBorders>
            <w:vAlign w:val="center"/>
          </w:tcPr>
          <w:p w14:paraId="4EB1F3C2" w14:textId="263A0ED3" w:rsidR="24B852B7" w:rsidRDefault="24B852B7" w:rsidP="24B852B7">
            <w:pPr>
              <w:spacing w:line="240" w:lineRule="exact"/>
              <w:jc w:val="center"/>
            </w:pPr>
            <w:r w:rsidRPr="24B852B7">
              <w:rPr>
                <w:rFonts w:ascii="Calibri" w:eastAsia="Calibri" w:hAnsi="Calibri" w:cs="Calibri"/>
                <w:color w:val="000000" w:themeColor="text1"/>
                <w:sz w:val="20"/>
                <w:szCs w:val="20"/>
              </w:rPr>
              <w:t>A</w:t>
            </w:r>
          </w:p>
        </w:tc>
        <w:tc>
          <w:tcPr>
            <w:tcW w:w="2027" w:type="dxa"/>
            <w:tcBorders>
              <w:top w:val="single" w:sz="8" w:space="0" w:color="auto"/>
              <w:left w:val="single" w:sz="8" w:space="0" w:color="auto"/>
              <w:bottom w:val="single" w:sz="8" w:space="0" w:color="auto"/>
              <w:right w:val="single" w:sz="8" w:space="0" w:color="auto"/>
            </w:tcBorders>
            <w:vAlign w:val="center"/>
          </w:tcPr>
          <w:p w14:paraId="0653F21B" w14:textId="054C7A03" w:rsidR="24B852B7" w:rsidRDefault="24B852B7" w:rsidP="24B852B7">
            <w:pPr>
              <w:spacing w:line="240" w:lineRule="exact"/>
              <w:jc w:val="center"/>
            </w:pPr>
            <w:r w:rsidRPr="24B852B7">
              <w:rPr>
                <w:rFonts w:ascii="Calibri" w:eastAsia="Calibri" w:hAnsi="Calibri" w:cs="Calibri"/>
                <w:color w:val="000000" w:themeColor="text1"/>
                <w:sz w:val="20"/>
                <w:szCs w:val="20"/>
              </w:rPr>
              <w:t>AA</w:t>
            </w:r>
          </w:p>
        </w:tc>
      </w:tr>
      <w:tr w:rsidR="24B852B7" w14:paraId="36802D53" w14:textId="77777777" w:rsidTr="00CB18D4">
        <w:trPr>
          <w:trHeight w:hRule="exact" w:val="284"/>
        </w:trPr>
        <w:tc>
          <w:tcPr>
            <w:tcW w:w="1375" w:type="dxa"/>
            <w:tcBorders>
              <w:top w:val="single" w:sz="8" w:space="0" w:color="auto"/>
              <w:left w:val="single" w:sz="8" w:space="0" w:color="auto"/>
              <w:bottom w:val="single" w:sz="8" w:space="0" w:color="auto"/>
              <w:right w:val="single" w:sz="8" w:space="0" w:color="auto"/>
            </w:tcBorders>
            <w:vAlign w:val="center"/>
          </w:tcPr>
          <w:p w14:paraId="1A4CDECE" w14:textId="67636761" w:rsidR="24B852B7" w:rsidRDefault="24B852B7" w:rsidP="24B852B7">
            <w:pPr>
              <w:spacing w:line="240" w:lineRule="exact"/>
              <w:jc w:val="center"/>
            </w:pPr>
            <w:r w:rsidRPr="24B852B7">
              <w:rPr>
                <w:rFonts w:ascii="Calibri" w:eastAsia="Calibri" w:hAnsi="Calibri" w:cs="Calibri"/>
                <w:color w:val="000000" w:themeColor="text1"/>
                <w:sz w:val="20"/>
                <w:szCs w:val="20"/>
              </w:rPr>
              <w:t>B</w:t>
            </w:r>
          </w:p>
        </w:tc>
        <w:tc>
          <w:tcPr>
            <w:tcW w:w="2027" w:type="dxa"/>
            <w:tcBorders>
              <w:top w:val="single" w:sz="8" w:space="0" w:color="auto"/>
              <w:left w:val="single" w:sz="8" w:space="0" w:color="auto"/>
              <w:bottom w:val="single" w:sz="8" w:space="0" w:color="auto"/>
              <w:right w:val="single" w:sz="8" w:space="0" w:color="auto"/>
            </w:tcBorders>
            <w:vAlign w:val="center"/>
          </w:tcPr>
          <w:p w14:paraId="3019F3F8" w14:textId="0CEC0835" w:rsidR="24B852B7" w:rsidRDefault="24B852B7" w:rsidP="24B852B7">
            <w:pPr>
              <w:spacing w:line="240" w:lineRule="exact"/>
              <w:jc w:val="center"/>
            </w:pPr>
            <w:r w:rsidRPr="24B852B7">
              <w:rPr>
                <w:rFonts w:ascii="Calibri" w:eastAsia="Calibri" w:hAnsi="Calibri" w:cs="Calibri"/>
                <w:color w:val="000000" w:themeColor="text1"/>
                <w:sz w:val="20"/>
                <w:szCs w:val="20"/>
              </w:rPr>
              <w:t>C</w:t>
            </w:r>
          </w:p>
        </w:tc>
      </w:tr>
      <w:tr w:rsidR="24B852B7" w14:paraId="5421337B" w14:textId="77777777" w:rsidTr="00CB18D4">
        <w:trPr>
          <w:trHeight w:hRule="exact" w:val="284"/>
        </w:trPr>
        <w:tc>
          <w:tcPr>
            <w:tcW w:w="1375" w:type="dxa"/>
            <w:tcBorders>
              <w:top w:val="single" w:sz="8" w:space="0" w:color="auto"/>
              <w:left w:val="single" w:sz="8" w:space="0" w:color="auto"/>
              <w:bottom w:val="single" w:sz="8" w:space="0" w:color="auto"/>
              <w:right w:val="single" w:sz="8" w:space="0" w:color="auto"/>
            </w:tcBorders>
            <w:vAlign w:val="center"/>
          </w:tcPr>
          <w:p w14:paraId="04F22A0D" w14:textId="54C5E66B" w:rsidR="24B852B7" w:rsidRDefault="24B852B7" w:rsidP="24B852B7">
            <w:pPr>
              <w:spacing w:line="240" w:lineRule="exact"/>
              <w:jc w:val="center"/>
            </w:pPr>
            <w:r w:rsidRPr="24B852B7">
              <w:rPr>
                <w:rFonts w:ascii="Calibri" w:eastAsia="Calibri" w:hAnsi="Calibri" w:cs="Calibri"/>
                <w:color w:val="000000" w:themeColor="text1"/>
                <w:sz w:val="20"/>
                <w:szCs w:val="20"/>
              </w:rPr>
              <w:t>C</w:t>
            </w:r>
          </w:p>
        </w:tc>
        <w:tc>
          <w:tcPr>
            <w:tcW w:w="2027" w:type="dxa"/>
            <w:tcBorders>
              <w:top w:val="single" w:sz="8" w:space="0" w:color="auto"/>
              <w:left w:val="single" w:sz="8" w:space="0" w:color="auto"/>
              <w:bottom w:val="single" w:sz="8" w:space="0" w:color="auto"/>
              <w:right w:val="single" w:sz="8" w:space="0" w:color="auto"/>
            </w:tcBorders>
            <w:vAlign w:val="center"/>
          </w:tcPr>
          <w:p w14:paraId="776A75F5" w14:textId="35F732FA" w:rsidR="24B852B7" w:rsidRDefault="24B852B7" w:rsidP="24B852B7">
            <w:pPr>
              <w:spacing w:line="240" w:lineRule="exact"/>
              <w:jc w:val="center"/>
            </w:pPr>
            <w:r w:rsidRPr="24B852B7">
              <w:rPr>
                <w:rFonts w:ascii="Calibri" w:eastAsia="Calibri" w:hAnsi="Calibri" w:cs="Calibri"/>
                <w:color w:val="000000" w:themeColor="text1"/>
                <w:sz w:val="20"/>
                <w:szCs w:val="20"/>
              </w:rPr>
              <w:t>F</w:t>
            </w:r>
          </w:p>
        </w:tc>
      </w:tr>
      <w:tr w:rsidR="24B852B7" w14:paraId="5C2D867D" w14:textId="77777777" w:rsidTr="00CB18D4">
        <w:trPr>
          <w:trHeight w:hRule="exact" w:val="284"/>
        </w:trPr>
        <w:tc>
          <w:tcPr>
            <w:tcW w:w="1375" w:type="dxa"/>
            <w:tcBorders>
              <w:top w:val="single" w:sz="8" w:space="0" w:color="auto"/>
              <w:left w:val="single" w:sz="8" w:space="0" w:color="auto"/>
              <w:bottom w:val="single" w:sz="8" w:space="0" w:color="auto"/>
              <w:right w:val="single" w:sz="8" w:space="0" w:color="auto"/>
            </w:tcBorders>
            <w:vAlign w:val="center"/>
          </w:tcPr>
          <w:p w14:paraId="00425394" w14:textId="38A8B68F" w:rsidR="24B852B7" w:rsidRDefault="24B852B7" w:rsidP="24B852B7">
            <w:pPr>
              <w:spacing w:line="240" w:lineRule="exact"/>
              <w:jc w:val="center"/>
            </w:pPr>
            <w:r w:rsidRPr="24B852B7">
              <w:rPr>
                <w:rFonts w:ascii="Calibri" w:eastAsia="Calibri" w:hAnsi="Calibri" w:cs="Calibri"/>
                <w:color w:val="000000" w:themeColor="text1"/>
                <w:sz w:val="20"/>
                <w:szCs w:val="20"/>
              </w:rPr>
              <w:t>D</w:t>
            </w:r>
          </w:p>
        </w:tc>
        <w:tc>
          <w:tcPr>
            <w:tcW w:w="2027" w:type="dxa"/>
            <w:tcBorders>
              <w:top w:val="single" w:sz="8" w:space="0" w:color="auto"/>
              <w:left w:val="single" w:sz="8" w:space="0" w:color="auto"/>
              <w:bottom w:val="single" w:sz="8" w:space="0" w:color="auto"/>
              <w:right w:val="single" w:sz="8" w:space="0" w:color="auto"/>
            </w:tcBorders>
            <w:vAlign w:val="center"/>
          </w:tcPr>
          <w:p w14:paraId="13E817DE" w14:textId="3E6A24F1" w:rsidR="24B852B7" w:rsidRDefault="24B852B7" w:rsidP="24B852B7">
            <w:pPr>
              <w:spacing w:line="240" w:lineRule="exact"/>
              <w:jc w:val="center"/>
            </w:pPr>
            <w:r w:rsidRPr="24B852B7">
              <w:rPr>
                <w:rFonts w:ascii="Calibri" w:eastAsia="Calibri" w:hAnsi="Calibri" w:cs="Calibri"/>
                <w:color w:val="000000" w:themeColor="text1"/>
                <w:sz w:val="20"/>
                <w:szCs w:val="20"/>
              </w:rPr>
              <w:t>H</w:t>
            </w:r>
          </w:p>
        </w:tc>
      </w:tr>
      <w:tr w:rsidR="24B852B7" w14:paraId="13B49338" w14:textId="77777777" w:rsidTr="00CB18D4">
        <w:trPr>
          <w:trHeight w:hRule="exact" w:val="284"/>
        </w:trPr>
        <w:tc>
          <w:tcPr>
            <w:tcW w:w="1375" w:type="dxa"/>
            <w:tcBorders>
              <w:top w:val="single" w:sz="8" w:space="0" w:color="auto"/>
              <w:left w:val="single" w:sz="8" w:space="0" w:color="auto"/>
              <w:bottom w:val="single" w:sz="8" w:space="0" w:color="auto"/>
              <w:right w:val="single" w:sz="8" w:space="0" w:color="auto"/>
            </w:tcBorders>
            <w:vAlign w:val="center"/>
          </w:tcPr>
          <w:p w14:paraId="55652E54" w14:textId="6A1BC947" w:rsidR="24B852B7" w:rsidRDefault="24B852B7" w:rsidP="24B852B7">
            <w:pPr>
              <w:spacing w:line="240" w:lineRule="exact"/>
              <w:jc w:val="center"/>
            </w:pPr>
            <w:proofErr w:type="spellStart"/>
            <w:proofErr w:type="gramStart"/>
            <w:r w:rsidRPr="24B852B7">
              <w:rPr>
                <w:rFonts w:ascii="Calibri" w:eastAsia="Calibri" w:hAnsi="Calibri" w:cs="Calibri"/>
                <w:color w:val="000000" w:themeColor="text1"/>
                <w:sz w:val="20"/>
                <w:szCs w:val="20"/>
              </w:rPr>
              <w:t>n.d</w:t>
            </w:r>
            <w:proofErr w:type="spellEnd"/>
            <w:r w:rsidRPr="24B852B7">
              <w:rPr>
                <w:rFonts w:ascii="Calibri" w:eastAsia="Calibri" w:hAnsi="Calibri" w:cs="Calibri"/>
                <w:color w:val="000000" w:themeColor="text1"/>
                <w:sz w:val="20"/>
                <w:szCs w:val="20"/>
              </w:rPr>
              <w:t>.</w:t>
            </w:r>
            <w:proofErr w:type="gramEnd"/>
          </w:p>
        </w:tc>
        <w:tc>
          <w:tcPr>
            <w:tcW w:w="2027" w:type="dxa"/>
            <w:tcBorders>
              <w:top w:val="single" w:sz="8" w:space="0" w:color="auto"/>
              <w:left w:val="single" w:sz="8" w:space="0" w:color="auto"/>
              <w:bottom w:val="single" w:sz="8" w:space="0" w:color="auto"/>
              <w:right w:val="single" w:sz="8" w:space="0" w:color="auto"/>
            </w:tcBorders>
            <w:vAlign w:val="center"/>
          </w:tcPr>
          <w:p w14:paraId="648D0D81" w14:textId="19EAB0F4" w:rsidR="24B852B7" w:rsidRDefault="24B852B7" w:rsidP="24B852B7">
            <w:pPr>
              <w:spacing w:line="240" w:lineRule="exact"/>
              <w:jc w:val="center"/>
            </w:pPr>
            <w:r w:rsidRPr="24B852B7">
              <w:rPr>
                <w:rFonts w:ascii="Calibri" w:eastAsia="Calibri" w:hAnsi="Calibri" w:cs="Calibri"/>
                <w:color w:val="000000" w:themeColor="text1"/>
                <w:sz w:val="20"/>
                <w:szCs w:val="20"/>
              </w:rPr>
              <w:t>H</w:t>
            </w:r>
          </w:p>
        </w:tc>
      </w:tr>
      <w:tr w:rsidR="24B852B7" w14:paraId="66C4CB52" w14:textId="77777777" w:rsidTr="00CB18D4">
        <w:trPr>
          <w:trHeight w:hRule="exact" w:val="284"/>
        </w:trPr>
        <w:tc>
          <w:tcPr>
            <w:tcW w:w="1375" w:type="dxa"/>
            <w:tcBorders>
              <w:top w:val="single" w:sz="8" w:space="0" w:color="auto"/>
              <w:left w:val="single" w:sz="8" w:space="0" w:color="auto"/>
              <w:bottom w:val="single" w:sz="8" w:space="0" w:color="auto"/>
              <w:right w:val="single" w:sz="8" w:space="0" w:color="auto"/>
            </w:tcBorders>
            <w:vAlign w:val="center"/>
          </w:tcPr>
          <w:p w14:paraId="061EC04D" w14:textId="4CAC6951" w:rsidR="24B852B7" w:rsidRDefault="24B852B7" w:rsidP="24B852B7">
            <w:pPr>
              <w:spacing w:line="240" w:lineRule="exact"/>
              <w:jc w:val="center"/>
            </w:pPr>
            <w:proofErr w:type="gramStart"/>
            <w:r w:rsidRPr="24B852B7">
              <w:rPr>
                <w:rFonts w:ascii="Calibri" w:eastAsia="Calibri" w:hAnsi="Calibri" w:cs="Calibri"/>
                <w:color w:val="000000" w:themeColor="text1"/>
                <w:sz w:val="20"/>
                <w:szCs w:val="20"/>
              </w:rPr>
              <w:t>suspensa</w:t>
            </w:r>
            <w:proofErr w:type="gramEnd"/>
          </w:p>
        </w:tc>
        <w:tc>
          <w:tcPr>
            <w:tcW w:w="2027" w:type="dxa"/>
            <w:tcBorders>
              <w:top w:val="single" w:sz="8" w:space="0" w:color="auto"/>
              <w:left w:val="single" w:sz="8" w:space="0" w:color="auto"/>
              <w:bottom w:val="single" w:sz="8" w:space="0" w:color="auto"/>
              <w:right w:val="single" w:sz="8" w:space="0" w:color="auto"/>
            </w:tcBorders>
            <w:vAlign w:val="center"/>
          </w:tcPr>
          <w:p w14:paraId="489B6F4D" w14:textId="036401B1" w:rsidR="24B852B7" w:rsidRDefault="24B852B7" w:rsidP="24B852B7">
            <w:pPr>
              <w:spacing w:line="240" w:lineRule="exact"/>
              <w:jc w:val="center"/>
            </w:pPr>
            <w:r w:rsidRPr="24B852B7">
              <w:rPr>
                <w:rFonts w:ascii="Calibri" w:eastAsia="Calibri" w:hAnsi="Calibri" w:cs="Calibri"/>
                <w:color w:val="000000" w:themeColor="text1"/>
                <w:sz w:val="20"/>
                <w:szCs w:val="20"/>
              </w:rPr>
              <w:t>H</w:t>
            </w:r>
          </w:p>
        </w:tc>
      </w:tr>
    </w:tbl>
    <w:p w14:paraId="3B36C4C0" w14:textId="77777777" w:rsidR="002C4268" w:rsidRDefault="002C4268" w:rsidP="002C4268">
      <w:pPr>
        <w:spacing w:line="257" w:lineRule="exact"/>
        <w:ind w:left="1414" w:firstLine="1418"/>
        <w:jc w:val="both"/>
        <w:rPr>
          <w:rFonts w:ascii="Calibri" w:eastAsia="Calibri" w:hAnsi="Calibri" w:cs="Calibri"/>
          <w:i/>
          <w:color w:val="000000" w:themeColor="text1"/>
          <w:sz w:val="16"/>
          <w:szCs w:val="16"/>
        </w:rPr>
      </w:pPr>
      <w:r w:rsidRPr="00DF7A55">
        <w:rPr>
          <w:rFonts w:ascii="Calibri" w:eastAsia="Calibri" w:hAnsi="Calibri" w:cs="Calibri"/>
          <w:b/>
          <w:i/>
          <w:color w:val="000000" w:themeColor="text1"/>
          <w:sz w:val="16"/>
          <w:szCs w:val="16"/>
        </w:rPr>
        <w:t>Fonte e elaboração:</w:t>
      </w:r>
      <w:r w:rsidRPr="00DA1BCF">
        <w:rPr>
          <w:rFonts w:ascii="Calibri" w:eastAsia="Calibri" w:hAnsi="Calibri" w:cs="Calibri"/>
          <w:i/>
          <w:color w:val="000000" w:themeColor="text1"/>
          <w:sz w:val="16"/>
          <w:szCs w:val="16"/>
        </w:rPr>
        <w:t xml:space="preserve"> STN/ME.</w:t>
      </w:r>
    </w:p>
    <w:p w14:paraId="24AC5949" w14:textId="2F399A86" w:rsidR="51659D34" w:rsidRPr="00F16DDD" w:rsidRDefault="51659D34" w:rsidP="00F16DDD">
      <w:pPr>
        <w:ind w:firstLine="1418"/>
        <w:jc w:val="both"/>
        <w:rPr>
          <w:rFonts w:ascii="Calibri" w:eastAsia="Calibri" w:hAnsi="Calibri" w:cs="Calibri"/>
          <w:color w:val="000000" w:themeColor="text1"/>
          <w:sz w:val="24"/>
          <w:szCs w:val="24"/>
        </w:rPr>
      </w:pPr>
      <w:r w:rsidRPr="24B852B7">
        <w:rPr>
          <w:rFonts w:ascii="Calibri" w:eastAsia="Calibri" w:hAnsi="Calibri" w:cs="Calibri"/>
          <w:color w:val="000000" w:themeColor="text1"/>
          <w:sz w:val="24"/>
          <w:szCs w:val="24"/>
        </w:rPr>
        <w:t xml:space="preserve">O impacto decorrente da aplicação da metodologia “CAPAG PLUS” evidencia o efeito das liminares judiciais sobre a carteira de créditos gerida pela STN, assim como reflete as </w:t>
      </w:r>
      <w:proofErr w:type="spellStart"/>
      <w:r w:rsidRPr="24B852B7">
        <w:rPr>
          <w:rFonts w:ascii="Calibri" w:eastAsia="Calibri" w:hAnsi="Calibri" w:cs="Calibri"/>
          <w:color w:val="000000" w:themeColor="text1"/>
          <w:sz w:val="24"/>
          <w:szCs w:val="24"/>
        </w:rPr>
        <w:t>CAPAGs</w:t>
      </w:r>
      <w:proofErr w:type="spellEnd"/>
      <w:r w:rsidRPr="24B852B7">
        <w:rPr>
          <w:rFonts w:ascii="Calibri" w:eastAsia="Calibri" w:hAnsi="Calibri" w:cs="Calibri"/>
          <w:color w:val="000000" w:themeColor="text1"/>
          <w:sz w:val="24"/>
          <w:szCs w:val="24"/>
        </w:rPr>
        <w:t xml:space="preserve"> atribuídas aos entes com base na metodologia desenvolvida pela STN.</w:t>
      </w:r>
    </w:p>
    <w:p w14:paraId="0015BA6E" w14:textId="0784522F" w:rsidR="51659D34" w:rsidRPr="00F16DDD" w:rsidRDefault="51659D34" w:rsidP="00F16DDD">
      <w:pPr>
        <w:ind w:firstLine="1418"/>
        <w:jc w:val="both"/>
        <w:rPr>
          <w:rFonts w:ascii="Calibri" w:eastAsia="Calibri" w:hAnsi="Calibri" w:cs="Calibri"/>
          <w:color w:val="000000" w:themeColor="text1"/>
          <w:sz w:val="24"/>
          <w:szCs w:val="24"/>
        </w:rPr>
      </w:pPr>
      <w:r w:rsidRPr="24B852B7">
        <w:rPr>
          <w:rFonts w:ascii="Calibri" w:eastAsia="Calibri" w:hAnsi="Calibri" w:cs="Calibri"/>
          <w:color w:val="000000" w:themeColor="text1"/>
          <w:sz w:val="24"/>
          <w:szCs w:val="24"/>
        </w:rPr>
        <w:t xml:space="preserve">Cabe destacar que a nova metodologia não modificou a rotina mensal de registro dos impactos decorrentes da </w:t>
      </w:r>
      <w:proofErr w:type="gramStart"/>
      <w:r w:rsidRPr="24B852B7">
        <w:rPr>
          <w:rFonts w:ascii="Calibri" w:eastAsia="Calibri" w:hAnsi="Calibri" w:cs="Calibri"/>
          <w:color w:val="000000" w:themeColor="text1"/>
          <w:sz w:val="24"/>
          <w:szCs w:val="24"/>
        </w:rPr>
        <w:t>implementação</w:t>
      </w:r>
      <w:proofErr w:type="gramEnd"/>
      <w:r w:rsidRPr="24B852B7">
        <w:rPr>
          <w:rFonts w:ascii="Calibri" w:eastAsia="Calibri" w:hAnsi="Calibri" w:cs="Calibri"/>
          <w:color w:val="000000" w:themeColor="text1"/>
          <w:sz w:val="24"/>
          <w:szCs w:val="24"/>
        </w:rPr>
        <w:t xml:space="preserve"> das condições da LC nº 148/2014. Por fim, a variação negativa de 100% na conta dos Estados se deve à adesão do Estado de Roraima às condições da referida LC, de forma que todos os Estados acabaram por aderir às condições da Lei Complementar em tela.</w:t>
      </w:r>
    </w:p>
    <w:p w14:paraId="15D3DE9F" w14:textId="1879947D" w:rsidR="24B852B7" w:rsidRDefault="24B852B7" w:rsidP="24B852B7"/>
    <w:p w14:paraId="5BD11D4E" w14:textId="6627711A" w:rsidR="00EA236C" w:rsidRPr="009B04B3" w:rsidRDefault="00EA236C" w:rsidP="004B6E26">
      <w:pPr>
        <w:pStyle w:val="Ttulo4"/>
        <w:keepLines/>
        <w:numPr>
          <w:ilvl w:val="3"/>
          <w:numId w:val="36"/>
        </w:numPr>
        <w:spacing w:before="240" w:after="120"/>
        <w:ind w:left="862" w:hanging="862"/>
        <w:jc w:val="left"/>
        <w:rPr>
          <w:rFonts w:asciiTheme="minorHAnsi" w:hAnsiTheme="minorHAnsi"/>
        </w:rPr>
      </w:pPr>
      <w:bookmarkStart w:id="366" w:name="_Hlk2874759"/>
      <w:r w:rsidRPr="24B852B7">
        <w:rPr>
          <w:rFonts w:asciiTheme="minorHAnsi" w:hAnsiTheme="minorHAnsi"/>
        </w:rPr>
        <w:t>Riscos Fiscais não mais considerados</w:t>
      </w:r>
      <w:bookmarkEnd w:id="366"/>
    </w:p>
    <w:p w14:paraId="46A560FE" w14:textId="22C9F6CE" w:rsidR="79D344AA" w:rsidRDefault="79D344AA" w:rsidP="24B852B7">
      <w:pPr>
        <w:ind w:firstLine="1418"/>
        <w:jc w:val="both"/>
      </w:pPr>
      <w:r w:rsidRPr="24B852B7">
        <w:rPr>
          <w:rFonts w:ascii="Calibri" w:eastAsia="Calibri" w:hAnsi="Calibri" w:cs="Calibri"/>
          <w:color w:val="000000" w:themeColor="text1"/>
          <w:sz w:val="24"/>
          <w:szCs w:val="24"/>
        </w:rPr>
        <w:t xml:space="preserve">Os riscos de frustração de receitas em decorrência da aplicação da </w:t>
      </w:r>
      <w:r w:rsidR="009B4849">
        <w:rPr>
          <w:rFonts w:ascii="Calibri" w:eastAsia="Calibri" w:hAnsi="Calibri" w:cs="Calibri"/>
          <w:color w:val="000000" w:themeColor="text1"/>
          <w:sz w:val="24"/>
          <w:szCs w:val="24"/>
        </w:rPr>
        <w:t>LC</w:t>
      </w:r>
      <w:r w:rsidRPr="24B852B7">
        <w:rPr>
          <w:rFonts w:ascii="Calibri" w:eastAsia="Calibri" w:hAnsi="Calibri" w:cs="Calibri"/>
          <w:color w:val="000000" w:themeColor="text1"/>
          <w:sz w:val="24"/>
          <w:szCs w:val="24"/>
        </w:rPr>
        <w:t xml:space="preserve"> nº 156/2016, aplicável aos refinanciamentos amparados pela Lei nº 9.496/1997 foi mencionado no Anexo de Riscos </w:t>
      </w:r>
      <w:r w:rsidRPr="24B852B7">
        <w:rPr>
          <w:rFonts w:ascii="Calibri" w:eastAsia="Calibri" w:hAnsi="Calibri" w:cs="Calibri"/>
          <w:color w:val="000000" w:themeColor="text1"/>
          <w:sz w:val="24"/>
          <w:szCs w:val="24"/>
        </w:rPr>
        <w:lastRenderedPageBreak/>
        <w:t xml:space="preserve">Fiscais da LDO 2021, porém não está sendo considerado na presente versão, uma vez que foram previstos e apresentados os impactos materializados em decorrência da </w:t>
      </w:r>
      <w:proofErr w:type="gramStart"/>
      <w:r w:rsidRPr="24B852B7">
        <w:rPr>
          <w:rFonts w:ascii="Calibri" w:eastAsia="Calibri" w:hAnsi="Calibri" w:cs="Calibri"/>
          <w:color w:val="000000" w:themeColor="text1"/>
          <w:sz w:val="24"/>
          <w:szCs w:val="24"/>
        </w:rPr>
        <w:t>implementação</w:t>
      </w:r>
      <w:proofErr w:type="gramEnd"/>
      <w:r w:rsidRPr="24B852B7">
        <w:rPr>
          <w:rFonts w:ascii="Calibri" w:eastAsia="Calibri" w:hAnsi="Calibri" w:cs="Calibri"/>
          <w:color w:val="000000" w:themeColor="text1"/>
          <w:sz w:val="24"/>
          <w:szCs w:val="24"/>
        </w:rPr>
        <w:t xml:space="preserve"> do referido normativo para o período de 2017 a 2019, não tendo sido efetuada previsão de impacto para os exercícios posteriores.</w:t>
      </w:r>
    </w:p>
    <w:p w14:paraId="5B0C566B" w14:textId="677FF299" w:rsidR="79D344AA" w:rsidRDefault="79D344AA" w:rsidP="24B852B7">
      <w:pPr>
        <w:ind w:firstLine="1418"/>
        <w:jc w:val="both"/>
        <w:rPr>
          <w:rFonts w:ascii="Calibri" w:eastAsia="Calibri" w:hAnsi="Calibri" w:cs="Calibri"/>
          <w:color w:val="000000" w:themeColor="text1"/>
          <w:sz w:val="24"/>
          <w:szCs w:val="24"/>
        </w:rPr>
      </w:pPr>
      <w:r w:rsidRPr="24B852B7">
        <w:rPr>
          <w:rFonts w:ascii="Calibri" w:eastAsia="Calibri" w:hAnsi="Calibri" w:cs="Calibri"/>
          <w:color w:val="000000" w:themeColor="text1"/>
          <w:sz w:val="24"/>
          <w:szCs w:val="24"/>
        </w:rPr>
        <w:t xml:space="preserve">O mesmo se aplica aos riscos de riscos de frustração de receitas em decorrência da aplicação da </w:t>
      </w:r>
      <w:r w:rsidR="009B4849">
        <w:rPr>
          <w:rFonts w:ascii="Calibri" w:eastAsia="Calibri" w:hAnsi="Calibri" w:cs="Calibri"/>
          <w:color w:val="000000" w:themeColor="text1"/>
          <w:sz w:val="24"/>
          <w:szCs w:val="24"/>
        </w:rPr>
        <w:t>LC</w:t>
      </w:r>
      <w:r w:rsidRPr="24B852B7">
        <w:rPr>
          <w:rFonts w:ascii="Calibri" w:eastAsia="Calibri" w:hAnsi="Calibri" w:cs="Calibri"/>
          <w:color w:val="000000" w:themeColor="text1"/>
          <w:sz w:val="24"/>
          <w:szCs w:val="24"/>
        </w:rPr>
        <w:t xml:space="preserve"> nº 159/2017, também aplicável aos refinanciamentos amparados pela Lei nº 9.496/1997, e mencionado no Anexo de Riscos Fiscais da LDO 2021. Como os impactos previstos e materializados se </w:t>
      </w:r>
      <w:proofErr w:type="gramStart"/>
      <w:r w:rsidRPr="24B852B7">
        <w:rPr>
          <w:rFonts w:ascii="Calibri" w:eastAsia="Calibri" w:hAnsi="Calibri" w:cs="Calibri"/>
          <w:color w:val="000000" w:themeColor="text1"/>
          <w:sz w:val="24"/>
          <w:szCs w:val="24"/>
        </w:rPr>
        <w:t>referiam,</w:t>
      </w:r>
      <w:proofErr w:type="gramEnd"/>
      <w:r w:rsidRPr="24B852B7">
        <w:rPr>
          <w:rFonts w:ascii="Calibri" w:eastAsia="Calibri" w:hAnsi="Calibri" w:cs="Calibri"/>
          <w:color w:val="000000" w:themeColor="text1"/>
          <w:sz w:val="24"/>
          <w:szCs w:val="24"/>
        </w:rPr>
        <w:t xml:space="preserve"> da mesma forma que no caso anterior, ao período de 2017 a 2019, tais riscos também não foram incluídos na presente versão do Anexo.</w:t>
      </w:r>
    </w:p>
    <w:p w14:paraId="7F9C4257" w14:textId="77777777" w:rsidR="00CB187C" w:rsidRDefault="00CB187C" w:rsidP="24B852B7">
      <w:pPr>
        <w:ind w:firstLine="1418"/>
        <w:jc w:val="both"/>
      </w:pPr>
    </w:p>
    <w:p w14:paraId="011DC1B4" w14:textId="77777777" w:rsidR="00EA236C" w:rsidRPr="009B04B3" w:rsidRDefault="00EA236C" w:rsidP="00D260DD">
      <w:pPr>
        <w:pStyle w:val="Ttulo3"/>
        <w:keepNext w:val="0"/>
        <w:numPr>
          <w:ilvl w:val="2"/>
          <w:numId w:val="36"/>
        </w:numPr>
        <w:spacing w:before="240" w:after="120"/>
        <w:ind w:left="720" w:hanging="720"/>
        <w:rPr>
          <w:rFonts w:asciiTheme="minorHAnsi" w:hAnsiTheme="minorHAnsi"/>
          <w:b/>
          <w:smallCaps w:val="0"/>
        </w:rPr>
      </w:pPr>
      <w:bookmarkStart w:id="367" w:name="_Toc67318006"/>
      <w:bookmarkStart w:id="368" w:name="_Toc67929660"/>
      <w:bookmarkStart w:id="369" w:name="_Toc69121239"/>
      <w:r w:rsidRPr="219819B8">
        <w:rPr>
          <w:rFonts w:asciiTheme="minorHAnsi" w:hAnsiTheme="minorHAnsi"/>
          <w:b/>
          <w:smallCaps w:val="0"/>
        </w:rPr>
        <w:t>Haveres Financeiros Não Relacionados a Entes Federativos</w:t>
      </w:r>
      <w:bookmarkEnd w:id="367"/>
      <w:bookmarkEnd w:id="368"/>
      <w:bookmarkEnd w:id="369"/>
    </w:p>
    <w:p w14:paraId="007CA860" w14:textId="5A0CE3AB" w:rsidR="1F81D0A3" w:rsidRDefault="1F81D0A3" w:rsidP="219819B8">
      <w:pPr>
        <w:ind w:firstLine="1418"/>
        <w:jc w:val="both"/>
      </w:pPr>
      <w:r w:rsidRPr="219819B8">
        <w:rPr>
          <w:rFonts w:ascii="Calibri" w:eastAsia="Calibri" w:hAnsi="Calibri" w:cs="Calibri"/>
          <w:sz w:val="24"/>
          <w:szCs w:val="24"/>
        </w:rPr>
        <w:t>Os haveres financeiros da União não relacionados a entes federativos, sob a gestão da STN, são atualmente classificados em seis categorias, conforme a norma ou ato que lhes deu origem, sendo elas:</w:t>
      </w:r>
    </w:p>
    <w:p w14:paraId="5365335D" w14:textId="63AC524D" w:rsidR="1F81D0A3" w:rsidRDefault="1F81D0A3" w:rsidP="219819B8">
      <w:pPr>
        <w:ind w:firstLine="1418"/>
        <w:jc w:val="both"/>
      </w:pPr>
      <w:r w:rsidRPr="219819B8">
        <w:rPr>
          <w:rFonts w:ascii="Calibri" w:eastAsia="Calibri" w:hAnsi="Calibri" w:cs="Calibri"/>
          <w:sz w:val="24"/>
          <w:szCs w:val="24"/>
        </w:rPr>
        <w:t xml:space="preserve"> </w:t>
      </w:r>
    </w:p>
    <w:p w14:paraId="70BEC57C" w14:textId="22A21979" w:rsidR="1F81D0A3" w:rsidRDefault="1F81D0A3" w:rsidP="219819B8">
      <w:pPr>
        <w:pStyle w:val="PargrafodaLista"/>
        <w:numPr>
          <w:ilvl w:val="0"/>
          <w:numId w:val="1"/>
        </w:numPr>
        <w:jc w:val="both"/>
        <w:rPr>
          <w:rFonts w:eastAsiaTheme="minorEastAsia"/>
          <w:i/>
          <w:iCs/>
          <w:sz w:val="24"/>
          <w:szCs w:val="24"/>
        </w:rPr>
      </w:pPr>
      <w:r w:rsidRPr="219819B8">
        <w:rPr>
          <w:rFonts w:ascii="Calibri" w:eastAsia="Calibri" w:hAnsi="Calibri" w:cs="Calibri"/>
          <w:i/>
          <w:iCs/>
          <w:sz w:val="24"/>
          <w:szCs w:val="24"/>
        </w:rPr>
        <w:t>Haveres Originários de Empréstimos concedidos às Instituições Financeiras</w:t>
      </w:r>
    </w:p>
    <w:p w14:paraId="3D48C253" w14:textId="43F340D5" w:rsidR="1F81D0A3" w:rsidRDefault="1F81D0A3" w:rsidP="219819B8">
      <w:pPr>
        <w:ind w:firstLine="1418"/>
        <w:jc w:val="both"/>
      </w:pPr>
      <w:r w:rsidRPr="219819B8">
        <w:rPr>
          <w:rFonts w:ascii="Calibri" w:eastAsia="Calibri" w:hAnsi="Calibri" w:cs="Calibri"/>
          <w:sz w:val="24"/>
          <w:szCs w:val="24"/>
        </w:rPr>
        <w:t>Este grupo é composto pelos haveres oriundos da concessão de empréstimos às Instituições Financeiras. O volume de recursos nos contratos aqui incluídos corresponde a aproximadamente 81% do total dos haveres da União não Relacionados aos Entes Federativos sob a gestão da STN, com o Banco Nacional de Desenvolvimento Econômico e Social (BNDES) aparecendo como a principal contraparte. O restante dos contratos encontra-se pulverizado entre Banco do Brasil (BB), Caixa Econômica Federal (CAIXA), Banco do Nordeste do Brasil (BNB) e Banco da Amazônia (BASA).</w:t>
      </w:r>
    </w:p>
    <w:p w14:paraId="3532B8C4" w14:textId="63408DBC" w:rsidR="1F81D0A3" w:rsidRDefault="1F81D0A3" w:rsidP="219819B8">
      <w:pPr>
        <w:pStyle w:val="PargrafodaLista"/>
        <w:numPr>
          <w:ilvl w:val="0"/>
          <w:numId w:val="1"/>
        </w:numPr>
        <w:jc w:val="both"/>
        <w:rPr>
          <w:rFonts w:eastAsiaTheme="minorEastAsia"/>
          <w:i/>
          <w:iCs/>
          <w:sz w:val="24"/>
          <w:szCs w:val="24"/>
        </w:rPr>
      </w:pPr>
      <w:r w:rsidRPr="219819B8">
        <w:rPr>
          <w:rFonts w:ascii="Calibri" w:eastAsia="Calibri" w:hAnsi="Calibri" w:cs="Calibri"/>
          <w:i/>
          <w:iCs/>
          <w:sz w:val="24"/>
          <w:szCs w:val="24"/>
        </w:rPr>
        <w:t>Haveres Originários de Operações de Crédito Rural</w:t>
      </w:r>
    </w:p>
    <w:p w14:paraId="7E154D23" w14:textId="396DD0FA" w:rsidR="1F81D0A3" w:rsidRDefault="1F81D0A3" w:rsidP="219819B8">
      <w:pPr>
        <w:ind w:firstLine="1418"/>
        <w:jc w:val="both"/>
      </w:pPr>
      <w:r w:rsidRPr="219819B8">
        <w:rPr>
          <w:rFonts w:ascii="Calibri" w:eastAsia="Calibri" w:hAnsi="Calibri" w:cs="Calibri"/>
          <w:sz w:val="24"/>
          <w:szCs w:val="24"/>
        </w:rPr>
        <w:t>Estão compreendidos neste grupo os haveres oriundos de programas de crédito rural, dentre os quais destacamos: Securitização, Programa Especial de Saneamento de Ativos (PESA), Pronaf, Estoques de produtos agrícolas operacionalizados pela CONAB (Programa de Garantia de Preço Mínimo ao Produtor – PGPM), Programa de Recuperação da Lavoura Cacaueira Baiana – PRLCB e outros.</w:t>
      </w:r>
    </w:p>
    <w:p w14:paraId="290D4C59" w14:textId="11ECAE6C" w:rsidR="1F81D0A3" w:rsidRDefault="1F81D0A3" w:rsidP="219819B8">
      <w:pPr>
        <w:pStyle w:val="PargrafodaLista"/>
        <w:numPr>
          <w:ilvl w:val="0"/>
          <w:numId w:val="1"/>
        </w:numPr>
        <w:jc w:val="both"/>
        <w:rPr>
          <w:rFonts w:eastAsiaTheme="minorEastAsia"/>
          <w:i/>
          <w:iCs/>
          <w:sz w:val="24"/>
          <w:szCs w:val="24"/>
        </w:rPr>
      </w:pPr>
      <w:r w:rsidRPr="219819B8">
        <w:rPr>
          <w:rFonts w:ascii="Calibri" w:eastAsia="Calibri" w:hAnsi="Calibri" w:cs="Calibri"/>
          <w:i/>
          <w:iCs/>
          <w:sz w:val="24"/>
          <w:szCs w:val="24"/>
        </w:rPr>
        <w:t>Haveres Originários de Operações de Cessões de Créditos</w:t>
      </w:r>
    </w:p>
    <w:p w14:paraId="687420AE" w14:textId="50F64AD6" w:rsidR="1F81D0A3" w:rsidRDefault="1F81D0A3" w:rsidP="219819B8">
      <w:pPr>
        <w:ind w:firstLine="1418"/>
        <w:jc w:val="both"/>
      </w:pPr>
      <w:r w:rsidRPr="219819B8">
        <w:rPr>
          <w:rFonts w:ascii="Calibri" w:eastAsia="Calibri" w:hAnsi="Calibri" w:cs="Calibri"/>
          <w:sz w:val="24"/>
          <w:szCs w:val="24"/>
        </w:rPr>
        <w:t xml:space="preserve">São os haveres decorrentes de operações realizadas entre a União e Entidades públicas envolvendo a aquisição de créditos, como a </w:t>
      </w:r>
      <w:proofErr w:type="gramStart"/>
      <w:r w:rsidRPr="219819B8">
        <w:rPr>
          <w:rFonts w:ascii="Calibri" w:eastAsia="Calibri" w:hAnsi="Calibri" w:cs="Calibri"/>
          <w:sz w:val="24"/>
          <w:szCs w:val="24"/>
        </w:rPr>
        <w:t>realizada com a empresa Centrais Elétricas Brasileiras</w:t>
      </w:r>
      <w:proofErr w:type="gramEnd"/>
      <w:r w:rsidRPr="219819B8">
        <w:rPr>
          <w:rFonts w:ascii="Calibri" w:eastAsia="Calibri" w:hAnsi="Calibri" w:cs="Calibri"/>
          <w:sz w:val="24"/>
          <w:szCs w:val="24"/>
        </w:rPr>
        <w:t xml:space="preserve"> S.A. (</w:t>
      </w:r>
      <w:proofErr w:type="spellStart"/>
      <w:r w:rsidRPr="219819B8">
        <w:rPr>
          <w:rFonts w:ascii="Calibri" w:eastAsia="Calibri" w:hAnsi="Calibri" w:cs="Calibri"/>
          <w:sz w:val="24"/>
          <w:szCs w:val="24"/>
        </w:rPr>
        <w:t>Eletrobr</w:t>
      </w:r>
      <w:r w:rsidR="00DE01F4">
        <w:rPr>
          <w:rFonts w:ascii="Calibri" w:eastAsia="Calibri" w:hAnsi="Calibri" w:cs="Calibri"/>
          <w:sz w:val="24"/>
          <w:szCs w:val="24"/>
        </w:rPr>
        <w:t>a</w:t>
      </w:r>
      <w:r w:rsidRPr="219819B8">
        <w:rPr>
          <w:rFonts w:ascii="Calibri" w:eastAsia="Calibri" w:hAnsi="Calibri" w:cs="Calibri"/>
          <w:sz w:val="24"/>
          <w:szCs w:val="24"/>
        </w:rPr>
        <w:t>s</w:t>
      </w:r>
      <w:proofErr w:type="spellEnd"/>
      <w:r w:rsidRPr="219819B8">
        <w:rPr>
          <w:rFonts w:ascii="Calibri" w:eastAsia="Calibri" w:hAnsi="Calibri" w:cs="Calibri"/>
          <w:sz w:val="24"/>
          <w:szCs w:val="24"/>
        </w:rPr>
        <w:t>), e da extinção de empresas públicas, a exemplo da Rede Ferroviária Federal S/A (RFFSA).</w:t>
      </w:r>
    </w:p>
    <w:p w14:paraId="54BDBF2F" w14:textId="4BB7F7F6" w:rsidR="1F81D0A3" w:rsidRDefault="1F81D0A3" w:rsidP="219819B8">
      <w:pPr>
        <w:pStyle w:val="PargrafodaLista"/>
        <w:numPr>
          <w:ilvl w:val="0"/>
          <w:numId w:val="1"/>
        </w:numPr>
        <w:jc w:val="both"/>
        <w:rPr>
          <w:rFonts w:eastAsiaTheme="minorEastAsia"/>
          <w:i/>
          <w:iCs/>
          <w:sz w:val="24"/>
          <w:szCs w:val="24"/>
        </w:rPr>
      </w:pPr>
      <w:r w:rsidRPr="219819B8">
        <w:rPr>
          <w:rFonts w:ascii="Calibri" w:eastAsia="Calibri" w:hAnsi="Calibri" w:cs="Calibri"/>
          <w:i/>
          <w:iCs/>
          <w:sz w:val="24"/>
          <w:szCs w:val="24"/>
        </w:rPr>
        <w:t>Haveres Originários de Operações de Crédito à Exportação</w:t>
      </w:r>
    </w:p>
    <w:p w14:paraId="3F7F18F1" w14:textId="14CB14BA" w:rsidR="1F81D0A3" w:rsidRDefault="1F81D0A3" w:rsidP="219819B8">
      <w:pPr>
        <w:ind w:firstLine="1418"/>
        <w:jc w:val="both"/>
      </w:pPr>
      <w:r w:rsidRPr="219819B8">
        <w:rPr>
          <w:rFonts w:ascii="Calibri" w:eastAsia="Calibri" w:hAnsi="Calibri" w:cs="Calibri"/>
          <w:sz w:val="24"/>
          <w:szCs w:val="24"/>
        </w:rPr>
        <w:t>Neste grupo encontram-se os haveres decorrentes do crédito à exportação, basicamente relativos ao Programa de Financiamento às Exportações (Proex).</w:t>
      </w:r>
    </w:p>
    <w:p w14:paraId="0D19DF01" w14:textId="554101B7" w:rsidR="1F81D0A3" w:rsidRDefault="1F81D0A3" w:rsidP="219819B8">
      <w:pPr>
        <w:pStyle w:val="PargrafodaLista"/>
        <w:numPr>
          <w:ilvl w:val="0"/>
          <w:numId w:val="1"/>
        </w:numPr>
        <w:jc w:val="both"/>
        <w:rPr>
          <w:rFonts w:eastAsiaTheme="minorEastAsia"/>
          <w:i/>
          <w:iCs/>
          <w:sz w:val="24"/>
          <w:szCs w:val="24"/>
        </w:rPr>
      </w:pPr>
      <w:r w:rsidRPr="219819B8">
        <w:rPr>
          <w:rFonts w:ascii="Calibri" w:eastAsia="Calibri" w:hAnsi="Calibri" w:cs="Calibri"/>
          <w:i/>
          <w:iCs/>
          <w:sz w:val="24"/>
          <w:szCs w:val="24"/>
        </w:rPr>
        <w:lastRenderedPageBreak/>
        <w:t>Haveres Originários de Empréstimos a Entidades Não Financeiras</w:t>
      </w:r>
    </w:p>
    <w:p w14:paraId="2AE4FB07" w14:textId="07B97C98" w:rsidR="1F81D0A3" w:rsidRDefault="1F81D0A3" w:rsidP="219819B8">
      <w:pPr>
        <w:ind w:firstLine="1418"/>
        <w:jc w:val="both"/>
      </w:pPr>
      <w:r w:rsidRPr="219819B8">
        <w:rPr>
          <w:rFonts w:ascii="Calibri" w:eastAsia="Calibri" w:hAnsi="Calibri" w:cs="Calibri"/>
          <w:sz w:val="24"/>
          <w:szCs w:val="24"/>
        </w:rPr>
        <w:t>Este grupo de haveres é composto por operações onde a contraparte é a Administração Nacional de Eletricidade do Paraguai (ANDE).</w:t>
      </w:r>
    </w:p>
    <w:p w14:paraId="0AD990EB" w14:textId="5F1ABACB" w:rsidR="1F81D0A3" w:rsidRDefault="1F81D0A3" w:rsidP="219819B8">
      <w:pPr>
        <w:pStyle w:val="PargrafodaLista"/>
        <w:numPr>
          <w:ilvl w:val="0"/>
          <w:numId w:val="1"/>
        </w:numPr>
        <w:jc w:val="both"/>
        <w:rPr>
          <w:rFonts w:eastAsiaTheme="minorEastAsia"/>
          <w:i/>
          <w:iCs/>
          <w:sz w:val="24"/>
          <w:szCs w:val="24"/>
        </w:rPr>
      </w:pPr>
      <w:r w:rsidRPr="219819B8">
        <w:rPr>
          <w:rFonts w:ascii="Calibri" w:eastAsia="Calibri" w:hAnsi="Calibri" w:cs="Calibri"/>
          <w:i/>
          <w:iCs/>
          <w:sz w:val="24"/>
          <w:szCs w:val="24"/>
        </w:rPr>
        <w:t>Programa Emergencial de Suporte ao Emprego - PESE/FOPAG</w:t>
      </w:r>
    </w:p>
    <w:p w14:paraId="1EF2285D" w14:textId="1E3F6BFC" w:rsidR="1F81D0A3" w:rsidRDefault="1F81D0A3" w:rsidP="219819B8">
      <w:pPr>
        <w:ind w:firstLine="1418"/>
        <w:jc w:val="both"/>
      </w:pPr>
      <w:r w:rsidRPr="219819B8">
        <w:rPr>
          <w:rFonts w:ascii="Calibri" w:eastAsia="Calibri" w:hAnsi="Calibri" w:cs="Calibri"/>
          <w:sz w:val="24"/>
          <w:szCs w:val="24"/>
        </w:rPr>
        <w:t>Este grupo de Haveres se refere à ação orçamentária criada em 2020 para concessão de financiamentos para pagamento de folha salarial no âmbito do Programa Especial de Suporte a Empregos (MP 944/2020, convertida na Lei nº 14.043, de 19 de agosto de 2020), devido à pandemia do COVID-19.</w:t>
      </w:r>
    </w:p>
    <w:p w14:paraId="25FDB8AA" w14:textId="13430189" w:rsidR="219819B8" w:rsidRDefault="219819B8" w:rsidP="219819B8">
      <w:pPr>
        <w:spacing w:after="120" w:line="240" w:lineRule="auto"/>
        <w:ind w:firstLine="1418"/>
        <w:jc w:val="both"/>
        <w:rPr>
          <w:rFonts w:cs="Times New Roman"/>
          <w:sz w:val="24"/>
          <w:szCs w:val="24"/>
          <w:lang w:eastAsia="pt-BR"/>
        </w:rPr>
      </w:pPr>
    </w:p>
    <w:p w14:paraId="0012CF61" w14:textId="2BE9442E" w:rsidR="00EA236C" w:rsidRPr="009B04B3" w:rsidRDefault="001F07F8" w:rsidP="00D260DD">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Evolução dos haveres e créditos</w:t>
      </w:r>
    </w:p>
    <w:p w14:paraId="5FB5265D" w14:textId="404F81D0" w:rsidR="00EA236C" w:rsidRPr="009B04B3" w:rsidRDefault="00EA236C" w:rsidP="00704C72">
      <w:pPr>
        <w:spacing w:after="120" w:line="240" w:lineRule="auto"/>
        <w:ind w:firstLine="1418"/>
        <w:jc w:val="both"/>
        <w:rPr>
          <w:rFonts w:cs="Times New Roman"/>
          <w:sz w:val="24"/>
          <w:szCs w:val="24"/>
          <w:lang w:eastAsia="pt-BR"/>
        </w:rPr>
      </w:pPr>
      <w:r w:rsidRPr="219819B8">
        <w:rPr>
          <w:rFonts w:cs="Times New Roman"/>
          <w:sz w:val="24"/>
          <w:szCs w:val="24"/>
          <w:lang w:eastAsia="pt-BR"/>
        </w:rPr>
        <w:t>No tocante à evolução dos haveres e créditos, a</w:t>
      </w:r>
      <w:r w:rsidR="007A3BB0" w:rsidRPr="219819B8">
        <w:rPr>
          <w:rFonts w:cs="Times New Roman"/>
          <w:sz w:val="24"/>
          <w:szCs w:val="24"/>
          <w:lang w:eastAsia="pt-BR"/>
        </w:rPr>
        <w:t xml:space="preserve"> </w:t>
      </w:r>
      <w:r w:rsidR="003851A0" w:rsidRPr="003851A0">
        <w:rPr>
          <w:rFonts w:cs="Times New Roman"/>
          <w:sz w:val="24"/>
          <w:szCs w:val="24"/>
          <w:lang w:eastAsia="pt-BR"/>
        </w:rPr>
        <w:fldChar w:fldCharType="begin"/>
      </w:r>
      <w:r w:rsidR="003851A0" w:rsidRPr="003851A0">
        <w:rPr>
          <w:rFonts w:cs="Times New Roman"/>
          <w:sz w:val="24"/>
          <w:szCs w:val="24"/>
          <w:lang w:eastAsia="pt-BR"/>
        </w:rPr>
        <w:instrText xml:space="preserve"> REF _Ref67905069 \h  \* MERGEFORMAT </w:instrText>
      </w:r>
      <w:r w:rsidR="003851A0" w:rsidRPr="003851A0">
        <w:rPr>
          <w:rFonts w:cs="Times New Roman"/>
          <w:sz w:val="24"/>
          <w:szCs w:val="24"/>
          <w:lang w:eastAsia="pt-BR"/>
        </w:rPr>
      </w:r>
      <w:r w:rsidR="003851A0" w:rsidRPr="003851A0">
        <w:rPr>
          <w:rFonts w:cs="Times New Roman"/>
          <w:sz w:val="24"/>
          <w:szCs w:val="24"/>
          <w:lang w:eastAsia="pt-BR"/>
        </w:rPr>
        <w:fldChar w:fldCharType="separate"/>
      </w:r>
      <w:r w:rsidR="00304F5F" w:rsidRPr="00304F5F">
        <w:rPr>
          <w:rFonts w:cstheme="minorHAnsi"/>
          <w:sz w:val="24"/>
          <w:szCs w:val="24"/>
        </w:rPr>
        <w:t xml:space="preserve">Tabela </w:t>
      </w:r>
      <w:r w:rsidR="00304F5F" w:rsidRPr="00304F5F">
        <w:rPr>
          <w:rFonts w:cstheme="minorHAnsi"/>
          <w:noProof/>
          <w:sz w:val="24"/>
          <w:szCs w:val="24"/>
        </w:rPr>
        <w:t>51</w:t>
      </w:r>
      <w:r w:rsidR="003851A0" w:rsidRPr="003851A0">
        <w:rPr>
          <w:rFonts w:cs="Times New Roman"/>
          <w:sz w:val="24"/>
          <w:szCs w:val="24"/>
          <w:lang w:eastAsia="pt-BR"/>
        </w:rPr>
        <w:fldChar w:fldCharType="end"/>
      </w:r>
      <w:r w:rsidR="007A3BB0" w:rsidRPr="219819B8">
        <w:rPr>
          <w:rFonts w:cs="Times New Roman"/>
          <w:sz w:val="24"/>
          <w:szCs w:val="24"/>
          <w:lang w:eastAsia="pt-BR"/>
        </w:rPr>
        <w:t xml:space="preserve"> </w:t>
      </w:r>
      <w:r w:rsidRPr="219819B8">
        <w:rPr>
          <w:rFonts w:cs="Times New Roman"/>
          <w:sz w:val="24"/>
          <w:szCs w:val="24"/>
          <w:lang w:eastAsia="pt-BR"/>
        </w:rPr>
        <w:t>apresenta o histórico dos valores</w:t>
      </w:r>
      <w:r w:rsidR="006504F3" w:rsidRPr="219819B8">
        <w:rPr>
          <w:rFonts w:cs="Times New Roman"/>
          <w:sz w:val="24"/>
          <w:szCs w:val="24"/>
          <w:lang w:eastAsia="pt-BR"/>
        </w:rPr>
        <w:t xml:space="preserve"> do</w:t>
      </w:r>
      <w:r w:rsidRPr="219819B8">
        <w:rPr>
          <w:rFonts w:cs="Times New Roman"/>
          <w:sz w:val="24"/>
          <w:szCs w:val="24"/>
          <w:lang w:eastAsia="pt-BR"/>
        </w:rPr>
        <w:t xml:space="preserve"> estoque, por exercício, segundo haver financeiro </w:t>
      </w:r>
      <w:proofErr w:type="gramStart"/>
      <w:r w:rsidRPr="219819B8">
        <w:rPr>
          <w:rFonts w:cs="Times New Roman"/>
          <w:sz w:val="24"/>
          <w:szCs w:val="24"/>
          <w:lang w:eastAsia="pt-BR"/>
        </w:rPr>
        <w:t>sob gestão</w:t>
      </w:r>
      <w:proofErr w:type="gramEnd"/>
      <w:r w:rsidRPr="219819B8">
        <w:rPr>
          <w:rFonts w:cs="Times New Roman"/>
          <w:sz w:val="24"/>
          <w:szCs w:val="24"/>
          <w:lang w:eastAsia="pt-BR"/>
        </w:rPr>
        <w:t xml:space="preserve"> da STN.</w:t>
      </w:r>
    </w:p>
    <w:p w14:paraId="6B3EF6C9" w14:textId="7692E841" w:rsidR="470A7844" w:rsidRPr="003851A0" w:rsidRDefault="3A12C3D7" w:rsidP="003851A0">
      <w:pPr>
        <w:pStyle w:val="Legenda"/>
        <w:jc w:val="center"/>
        <w:rPr>
          <w:rFonts w:asciiTheme="minorHAnsi" w:hAnsiTheme="minorHAnsi" w:cstheme="minorHAnsi"/>
          <w:i w:val="0"/>
          <w:color w:val="auto"/>
          <w:sz w:val="22"/>
          <w:szCs w:val="22"/>
        </w:rPr>
      </w:pPr>
      <w:bookmarkStart w:id="370" w:name="_Ref67905069"/>
      <w:bookmarkStart w:id="371" w:name="_Toc69121397"/>
      <w:r w:rsidRPr="003851A0">
        <w:rPr>
          <w:rFonts w:asciiTheme="minorHAnsi" w:eastAsia="Calibri" w:hAnsiTheme="minorHAnsi" w:cstheme="minorHAnsi"/>
          <w:i w:val="0"/>
          <w:color w:val="auto"/>
          <w:sz w:val="22"/>
          <w:szCs w:val="22"/>
        </w:rPr>
        <w:t xml:space="preserve">Tabela </w:t>
      </w:r>
      <w:r w:rsidR="003851A0" w:rsidRPr="003851A0">
        <w:rPr>
          <w:rFonts w:asciiTheme="minorHAnsi" w:hAnsiTheme="minorHAnsi" w:cstheme="minorHAnsi"/>
          <w:i w:val="0"/>
          <w:color w:val="auto"/>
          <w:sz w:val="22"/>
          <w:szCs w:val="22"/>
        </w:rPr>
        <w:fldChar w:fldCharType="begin"/>
      </w:r>
      <w:r w:rsidR="003851A0" w:rsidRPr="003851A0">
        <w:rPr>
          <w:rFonts w:asciiTheme="minorHAnsi" w:hAnsiTheme="minorHAnsi" w:cstheme="minorHAnsi"/>
          <w:i w:val="0"/>
          <w:color w:val="auto"/>
          <w:sz w:val="22"/>
          <w:szCs w:val="22"/>
        </w:rPr>
        <w:instrText xml:space="preserve"> SEQ Tabela \* ARABIC </w:instrText>
      </w:r>
      <w:r w:rsidR="003851A0" w:rsidRPr="003851A0">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51</w:t>
      </w:r>
      <w:r w:rsidR="003851A0" w:rsidRPr="003851A0">
        <w:rPr>
          <w:rFonts w:asciiTheme="minorHAnsi" w:hAnsiTheme="minorHAnsi" w:cstheme="minorHAnsi"/>
          <w:i w:val="0"/>
          <w:color w:val="auto"/>
          <w:sz w:val="22"/>
          <w:szCs w:val="22"/>
        </w:rPr>
        <w:fldChar w:fldCharType="end"/>
      </w:r>
      <w:bookmarkEnd w:id="370"/>
      <w:r w:rsidRPr="003851A0">
        <w:rPr>
          <w:rFonts w:asciiTheme="minorHAnsi" w:eastAsia="Calibri" w:hAnsiTheme="minorHAnsi" w:cstheme="minorHAnsi"/>
          <w:i w:val="0"/>
          <w:color w:val="auto"/>
          <w:sz w:val="22"/>
          <w:szCs w:val="22"/>
        </w:rPr>
        <w:t xml:space="preserve"> - </w:t>
      </w:r>
      <w:r w:rsidRPr="007A2F1C">
        <w:rPr>
          <w:rFonts w:ascii="Calibri" w:eastAsia="Calibri" w:hAnsi="Calibri" w:cs="Calibri"/>
          <w:i w:val="0"/>
          <w:color w:val="auto"/>
          <w:sz w:val="22"/>
          <w:szCs w:val="22"/>
        </w:rPr>
        <w:t xml:space="preserve">Evolução do estoque, segundo haver financeiro </w:t>
      </w:r>
      <w:proofErr w:type="gramStart"/>
      <w:r w:rsidRPr="007A2F1C">
        <w:rPr>
          <w:rFonts w:ascii="Calibri" w:eastAsia="Calibri" w:hAnsi="Calibri" w:cs="Calibri"/>
          <w:i w:val="0"/>
          <w:color w:val="auto"/>
          <w:sz w:val="22"/>
          <w:szCs w:val="22"/>
        </w:rPr>
        <w:t>sob gestão</w:t>
      </w:r>
      <w:proofErr w:type="gramEnd"/>
      <w:r w:rsidRPr="007A2F1C">
        <w:rPr>
          <w:rFonts w:ascii="Calibri" w:eastAsia="Calibri" w:hAnsi="Calibri" w:cs="Calibri"/>
          <w:i w:val="0"/>
          <w:color w:val="auto"/>
          <w:sz w:val="22"/>
          <w:szCs w:val="22"/>
        </w:rPr>
        <w:t xml:space="preserve"> da STN, por exercício</w:t>
      </w:r>
      <w:bookmarkEnd w:id="371"/>
    </w:p>
    <w:tbl>
      <w:tblPr>
        <w:tblW w:w="0" w:type="auto"/>
        <w:tblLayout w:type="fixed"/>
        <w:tblLook w:val="04A0" w:firstRow="1" w:lastRow="0" w:firstColumn="1" w:lastColumn="0" w:noHBand="0" w:noVBand="1"/>
      </w:tblPr>
      <w:tblGrid>
        <w:gridCol w:w="5253"/>
        <w:gridCol w:w="1165"/>
        <w:gridCol w:w="1165"/>
        <w:gridCol w:w="1165"/>
        <w:gridCol w:w="1165"/>
      </w:tblGrid>
      <w:tr w:rsidR="00837171" w:rsidRPr="00837171" w14:paraId="13DBAEB3" w14:textId="77777777" w:rsidTr="00837171">
        <w:trPr>
          <w:trHeight w:val="15"/>
        </w:trPr>
        <w:tc>
          <w:tcPr>
            <w:tcW w:w="9582" w:type="dxa"/>
            <w:gridSpan w:val="5"/>
            <w:tcBorders>
              <w:top w:val="nil"/>
              <w:left w:val="nil"/>
              <w:bottom w:val="single" w:sz="8" w:space="0" w:color="BFBFBF" w:themeColor="background1" w:themeShade="BF"/>
              <w:right w:val="nil"/>
            </w:tcBorders>
            <w:vAlign w:val="bottom"/>
          </w:tcPr>
          <w:p w14:paraId="110E4F12" w14:textId="322449B4" w:rsidR="00837171" w:rsidRPr="00837171" w:rsidRDefault="00837171" w:rsidP="00837171">
            <w:pPr>
              <w:spacing w:after="0" w:line="240" w:lineRule="auto"/>
              <w:jc w:val="right"/>
              <w:rPr>
                <w:rFonts w:ascii="Calibri" w:eastAsia="Calibri" w:hAnsi="Calibri" w:cs="Calibri"/>
                <w:i/>
                <w:iCs/>
                <w:sz w:val="16"/>
                <w:szCs w:val="16"/>
              </w:rPr>
            </w:pPr>
            <w:r w:rsidRPr="219819B8">
              <w:rPr>
                <w:rFonts w:ascii="Calibri" w:eastAsia="Calibri" w:hAnsi="Calibri" w:cs="Calibri"/>
                <w:i/>
                <w:iCs/>
                <w:sz w:val="16"/>
                <w:szCs w:val="16"/>
              </w:rPr>
              <w:t>Em R$ milhões</w:t>
            </w:r>
          </w:p>
        </w:tc>
      </w:tr>
      <w:tr w:rsidR="219819B8" w14:paraId="66378B22" w14:textId="77777777" w:rsidTr="219819B8">
        <w:trPr>
          <w:trHeight w:val="15"/>
        </w:trPr>
        <w:tc>
          <w:tcPr>
            <w:tcW w:w="5253"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67A9FF5" w14:textId="0970B217" w:rsidR="219819B8" w:rsidRDefault="219819B8" w:rsidP="219819B8">
            <w:pPr>
              <w:jc w:val="center"/>
            </w:pPr>
            <w:r w:rsidRPr="219819B8">
              <w:rPr>
                <w:rFonts w:ascii="Calibri" w:eastAsia="Calibri" w:hAnsi="Calibri" w:cs="Calibri"/>
                <w:b/>
                <w:bCs/>
                <w:color w:val="FFFFFF" w:themeColor="background1"/>
                <w:sz w:val="20"/>
                <w:szCs w:val="20"/>
              </w:rPr>
              <w:t>Haver Financeiro</w:t>
            </w:r>
          </w:p>
        </w:tc>
        <w:tc>
          <w:tcPr>
            <w:tcW w:w="4660" w:type="dxa"/>
            <w:gridSpan w:val="4"/>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1CDF4BD9" w14:textId="4D34FA58" w:rsidR="219819B8" w:rsidRDefault="219819B8" w:rsidP="219819B8">
            <w:pPr>
              <w:jc w:val="center"/>
            </w:pPr>
            <w:r w:rsidRPr="219819B8">
              <w:rPr>
                <w:rFonts w:ascii="Calibri" w:eastAsia="Calibri" w:hAnsi="Calibri" w:cs="Calibri"/>
                <w:b/>
                <w:bCs/>
                <w:color w:val="FFFFFF" w:themeColor="background1"/>
                <w:sz w:val="20"/>
                <w:szCs w:val="20"/>
              </w:rPr>
              <w:t>Estoque</w:t>
            </w:r>
          </w:p>
          <w:p w14:paraId="6D418B38" w14:textId="7F00CD16" w:rsidR="219819B8" w:rsidRDefault="219819B8" w:rsidP="219819B8">
            <w:pPr>
              <w:jc w:val="center"/>
            </w:pPr>
            <w:r w:rsidRPr="219819B8">
              <w:rPr>
                <w:rFonts w:ascii="Calibri" w:eastAsia="Calibri" w:hAnsi="Calibri" w:cs="Calibri"/>
                <w:color w:val="FFFFFF" w:themeColor="background1"/>
                <w:sz w:val="20"/>
                <w:szCs w:val="20"/>
              </w:rPr>
              <w:t>Valor Realizado ($)</w:t>
            </w:r>
          </w:p>
          <w:p w14:paraId="3C544CFF" w14:textId="6D104668" w:rsidR="219819B8" w:rsidRDefault="219819B8" w:rsidP="219819B8">
            <w:pPr>
              <w:jc w:val="center"/>
            </w:pPr>
            <w:r w:rsidRPr="219819B8">
              <w:rPr>
                <w:rFonts w:ascii="Calibri" w:eastAsia="Calibri" w:hAnsi="Calibri" w:cs="Calibri"/>
                <w:color w:val="FFFFFF" w:themeColor="background1"/>
                <w:sz w:val="20"/>
                <w:szCs w:val="20"/>
              </w:rPr>
              <w:t>Variação</w:t>
            </w:r>
            <w:r w:rsidRPr="219819B8">
              <w:rPr>
                <w:rFonts w:ascii="Calibri" w:eastAsia="Calibri" w:hAnsi="Calibri" w:cs="Calibri"/>
                <w:color w:val="FFFFFF" w:themeColor="background1"/>
                <w:sz w:val="20"/>
                <w:szCs w:val="20"/>
                <w:vertAlign w:val="superscript"/>
              </w:rPr>
              <w:t xml:space="preserve"> </w:t>
            </w:r>
            <w:proofErr w:type="gramStart"/>
            <w:r w:rsidRPr="219819B8">
              <w:rPr>
                <w:rFonts w:ascii="Calibri" w:eastAsia="Calibri" w:hAnsi="Calibri" w:cs="Calibri"/>
                <w:color w:val="FFFFFF" w:themeColor="background1"/>
                <w:sz w:val="20"/>
                <w:szCs w:val="20"/>
                <w:vertAlign w:val="superscript"/>
              </w:rPr>
              <w:t>1</w:t>
            </w:r>
            <w:proofErr w:type="gramEnd"/>
            <w:r w:rsidRPr="219819B8">
              <w:rPr>
                <w:rFonts w:ascii="Calibri" w:eastAsia="Calibri" w:hAnsi="Calibri" w:cs="Calibri"/>
                <w:color w:val="FFFFFF" w:themeColor="background1"/>
                <w:sz w:val="20"/>
                <w:szCs w:val="20"/>
              </w:rPr>
              <w:t xml:space="preserve"> (%)</w:t>
            </w:r>
          </w:p>
        </w:tc>
      </w:tr>
      <w:tr w:rsidR="219819B8" w14:paraId="4D413771" w14:textId="77777777" w:rsidTr="2CEEB9C7">
        <w:trPr>
          <w:trHeight w:val="15"/>
        </w:trPr>
        <w:tc>
          <w:tcPr>
            <w:tcW w:w="5253" w:type="dxa"/>
            <w:vMerge/>
            <w:vAlign w:val="center"/>
          </w:tcPr>
          <w:p w14:paraId="00625654" w14:textId="77777777" w:rsidR="00422732" w:rsidRDefault="00422732"/>
        </w:tc>
        <w:tc>
          <w:tcPr>
            <w:tcW w:w="116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404040" w:themeFill="text1" w:themeFillTint="BF"/>
          </w:tcPr>
          <w:p w14:paraId="04B617E8" w14:textId="4C21A937" w:rsidR="219819B8" w:rsidRDefault="219819B8" w:rsidP="219819B8">
            <w:pPr>
              <w:jc w:val="center"/>
            </w:pPr>
            <w:r w:rsidRPr="219819B8">
              <w:rPr>
                <w:rFonts w:ascii="Calibri" w:eastAsia="Calibri" w:hAnsi="Calibri" w:cs="Calibri"/>
                <w:color w:val="FFFFFF" w:themeColor="background1"/>
                <w:sz w:val="20"/>
                <w:szCs w:val="20"/>
              </w:rPr>
              <w:t>2017</w:t>
            </w:r>
          </w:p>
        </w:tc>
        <w:tc>
          <w:tcPr>
            <w:tcW w:w="11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490A2AB2" w14:textId="0D296907" w:rsidR="219819B8" w:rsidRDefault="219819B8" w:rsidP="219819B8">
            <w:pPr>
              <w:jc w:val="center"/>
            </w:pPr>
            <w:r w:rsidRPr="219819B8">
              <w:rPr>
                <w:rFonts w:ascii="Calibri" w:eastAsia="Calibri" w:hAnsi="Calibri" w:cs="Calibri"/>
                <w:color w:val="FFFFFF" w:themeColor="background1"/>
                <w:sz w:val="20"/>
                <w:szCs w:val="20"/>
              </w:rPr>
              <w:t>2018</w:t>
            </w:r>
          </w:p>
        </w:tc>
        <w:tc>
          <w:tcPr>
            <w:tcW w:w="11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625F6AD1" w14:textId="23C36892" w:rsidR="219819B8" w:rsidRDefault="219819B8" w:rsidP="219819B8">
            <w:pPr>
              <w:jc w:val="center"/>
            </w:pPr>
            <w:r w:rsidRPr="219819B8">
              <w:rPr>
                <w:rFonts w:ascii="Calibri" w:eastAsia="Calibri" w:hAnsi="Calibri" w:cs="Calibri"/>
                <w:color w:val="FFFFFF" w:themeColor="background1"/>
                <w:sz w:val="20"/>
                <w:szCs w:val="20"/>
              </w:rPr>
              <w:t>2019</w:t>
            </w:r>
          </w:p>
        </w:tc>
        <w:tc>
          <w:tcPr>
            <w:tcW w:w="11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61232332" w14:textId="08E09A6B" w:rsidR="219819B8" w:rsidRDefault="219819B8" w:rsidP="219819B8">
            <w:pPr>
              <w:jc w:val="center"/>
            </w:pPr>
            <w:r w:rsidRPr="219819B8">
              <w:rPr>
                <w:rFonts w:ascii="Calibri" w:eastAsia="Calibri" w:hAnsi="Calibri" w:cs="Calibri"/>
                <w:color w:val="FFFFFF" w:themeColor="background1"/>
                <w:sz w:val="20"/>
                <w:szCs w:val="20"/>
              </w:rPr>
              <w:t>2020</w:t>
            </w:r>
          </w:p>
        </w:tc>
      </w:tr>
      <w:tr w:rsidR="219819B8" w14:paraId="47376BD8" w14:textId="77777777" w:rsidTr="219819B8">
        <w:trPr>
          <w:trHeight w:val="15"/>
        </w:trPr>
        <w:tc>
          <w:tcPr>
            <w:tcW w:w="525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16262DC" w14:textId="64A5D96B" w:rsidR="219819B8" w:rsidRDefault="219819B8">
            <w:r w:rsidRPr="219819B8">
              <w:rPr>
                <w:rFonts w:ascii="Calibri" w:eastAsia="Calibri" w:hAnsi="Calibri" w:cs="Calibri"/>
                <w:sz w:val="18"/>
                <w:szCs w:val="18"/>
              </w:rPr>
              <w:t>Empréstimos às Instituições Financeiras</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4D4E7E0" w14:textId="6FA76297" w:rsidR="219819B8" w:rsidRDefault="219819B8" w:rsidP="219819B8">
            <w:pPr>
              <w:jc w:val="right"/>
            </w:pPr>
            <w:r w:rsidRPr="219819B8">
              <w:rPr>
                <w:rFonts w:ascii="Calibri" w:eastAsia="Calibri" w:hAnsi="Calibri" w:cs="Calibri"/>
                <w:sz w:val="18"/>
                <w:szCs w:val="18"/>
              </w:rPr>
              <w:t xml:space="preserve">464.688,6 </w:t>
            </w:r>
          </w:p>
          <w:p w14:paraId="23DA5201" w14:textId="0AFFB3A6" w:rsidR="219819B8" w:rsidRDefault="219819B8" w:rsidP="219819B8">
            <w:pPr>
              <w:jc w:val="right"/>
            </w:pPr>
            <w:r w:rsidRPr="219819B8">
              <w:rPr>
                <w:rFonts w:ascii="Calibri" w:eastAsia="Calibri" w:hAnsi="Calibri" w:cs="Calibri"/>
                <w:sz w:val="18"/>
                <w:szCs w:val="18"/>
              </w:rPr>
              <w:t>-4.9%</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EC7E738" w14:textId="3D09FDD7" w:rsidR="219819B8" w:rsidRDefault="219819B8" w:rsidP="219819B8">
            <w:pPr>
              <w:jc w:val="right"/>
            </w:pPr>
            <w:r w:rsidRPr="219819B8">
              <w:rPr>
                <w:rFonts w:ascii="Calibri" w:eastAsia="Calibri" w:hAnsi="Calibri" w:cs="Calibri"/>
                <w:sz w:val="18"/>
                <w:szCs w:val="18"/>
              </w:rPr>
              <w:t>361.683,2</w:t>
            </w:r>
          </w:p>
          <w:p w14:paraId="14716C4A" w14:textId="017D19B3" w:rsidR="219819B8" w:rsidRDefault="219819B8" w:rsidP="219819B8">
            <w:pPr>
              <w:jc w:val="right"/>
            </w:pPr>
            <w:r w:rsidRPr="219819B8">
              <w:rPr>
                <w:rFonts w:ascii="Calibri" w:eastAsia="Calibri" w:hAnsi="Calibri" w:cs="Calibri"/>
                <w:sz w:val="18"/>
                <w:szCs w:val="18"/>
              </w:rPr>
              <w:t>-22,2%</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65DAB32" w14:textId="738D24FE" w:rsidR="219819B8" w:rsidRDefault="219819B8" w:rsidP="219819B8">
            <w:pPr>
              <w:jc w:val="right"/>
            </w:pPr>
            <w:r w:rsidRPr="219819B8">
              <w:rPr>
                <w:rFonts w:ascii="Calibri" w:eastAsia="Calibri" w:hAnsi="Calibri" w:cs="Calibri"/>
                <w:sz w:val="18"/>
                <w:szCs w:val="18"/>
              </w:rPr>
              <w:t>241.183,7</w:t>
            </w:r>
          </w:p>
          <w:p w14:paraId="3234F8ED" w14:textId="279C7AA1" w:rsidR="219819B8" w:rsidRDefault="219819B8" w:rsidP="219819B8">
            <w:pPr>
              <w:jc w:val="right"/>
            </w:pPr>
            <w:r w:rsidRPr="219819B8">
              <w:rPr>
                <w:rFonts w:ascii="Calibri" w:eastAsia="Calibri" w:hAnsi="Calibri" w:cs="Calibri"/>
                <w:sz w:val="18"/>
                <w:szCs w:val="18"/>
              </w:rPr>
              <w:t>-33,3%</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E05FC06" w14:textId="0A1AA57F" w:rsidR="219819B8" w:rsidRDefault="219819B8" w:rsidP="219819B8">
            <w:pPr>
              <w:jc w:val="right"/>
            </w:pPr>
            <w:r w:rsidRPr="219819B8">
              <w:rPr>
                <w:rFonts w:ascii="Calibri" w:eastAsia="Calibri" w:hAnsi="Calibri" w:cs="Calibri"/>
                <w:sz w:val="18"/>
                <w:szCs w:val="18"/>
              </w:rPr>
              <w:t xml:space="preserve">235.726,3 </w:t>
            </w:r>
          </w:p>
          <w:p w14:paraId="04A7D8F0" w14:textId="483A3F4C" w:rsidR="219819B8" w:rsidRDefault="219819B8" w:rsidP="219819B8">
            <w:pPr>
              <w:jc w:val="right"/>
            </w:pPr>
            <w:r w:rsidRPr="219819B8">
              <w:rPr>
                <w:rFonts w:ascii="Calibri" w:eastAsia="Calibri" w:hAnsi="Calibri" w:cs="Calibri"/>
                <w:sz w:val="18"/>
                <w:szCs w:val="18"/>
              </w:rPr>
              <w:t>-2,3%</w:t>
            </w:r>
          </w:p>
        </w:tc>
      </w:tr>
      <w:tr w:rsidR="219819B8" w14:paraId="07C19E1C" w14:textId="77777777" w:rsidTr="219819B8">
        <w:trPr>
          <w:trHeight w:val="15"/>
        </w:trPr>
        <w:tc>
          <w:tcPr>
            <w:tcW w:w="52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96F2EE" w14:textId="2F4F2A4A" w:rsidR="219819B8" w:rsidRDefault="219819B8">
            <w:r w:rsidRPr="219819B8">
              <w:rPr>
                <w:rFonts w:ascii="Calibri" w:eastAsia="Calibri" w:hAnsi="Calibri" w:cs="Calibri"/>
                <w:sz w:val="18"/>
                <w:szCs w:val="18"/>
              </w:rPr>
              <w:t>Operações de Crédito Rural</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7E131E" w14:textId="231FA95E" w:rsidR="219819B8" w:rsidRDefault="219819B8" w:rsidP="219819B8">
            <w:pPr>
              <w:jc w:val="right"/>
            </w:pPr>
            <w:r w:rsidRPr="219819B8">
              <w:rPr>
                <w:rFonts w:ascii="Calibri" w:eastAsia="Calibri" w:hAnsi="Calibri" w:cs="Calibri"/>
                <w:sz w:val="18"/>
                <w:szCs w:val="18"/>
              </w:rPr>
              <w:t>23.256,0</w:t>
            </w:r>
          </w:p>
          <w:p w14:paraId="21596396" w14:textId="2BE1FD00" w:rsidR="219819B8" w:rsidRDefault="219819B8" w:rsidP="219819B8">
            <w:pPr>
              <w:jc w:val="right"/>
            </w:pPr>
            <w:r w:rsidRPr="219819B8">
              <w:rPr>
                <w:rFonts w:ascii="Calibri" w:eastAsia="Calibri" w:hAnsi="Calibri" w:cs="Calibri"/>
                <w:sz w:val="18"/>
                <w:szCs w:val="18"/>
              </w:rPr>
              <w:t>13,9%</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D9D372" w14:textId="6970F7D3" w:rsidR="219819B8" w:rsidRDefault="219819B8" w:rsidP="219819B8">
            <w:pPr>
              <w:jc w:val="right"/>
            </w:pPr>
            <w:r w:rsidRPr="219819B8">
              <w:rPr>
                <w:rFonts w:ascii="Calibri" w:eastAsia="Calibri" w:hAnsi="Calibri" w:cs="Calibri"/>
                <w:sz w:val="18"/>
                <w:szCs w:val="18"/>
              </w:rPr>
              <w:t>14.290,4</w:t>
            </w:r>
          </w:p>
          <w:p w14:paraId="5EA11EBA" w14:textId="5223F0D5" w:rsidR="219819B8" w:rsidRDefault="219819B8" w:rsidP="219819B8">
            <w:pPr>
              <w:jc w:val="right"/>
            </w:pPr>
            <w:r w:rsidRPr="219819B8">
              <w:rPr>
                <w:rFonts w:ascii="Calibri" w:eastAsia="Calibri" w:hAnsi="Calibri" w:cs="Calibri"/>
                <w:sz w:val="18"/>
                <w:szCs w:val="18"/>
              </w:rPr>
              <w:t>-38,6%</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106097" w14:textId="1A2BB9CC" w:rsidR="219819B8" w:rsidRDefault="219819B8" w:rsidP="219819B8">
            <w:pPr>
              <w:jc w:val="right"/>
            </w:pPr>
            <w:r w:rsidRPr="219819B8">
              <w:rPr>
                <w:rFonts w:ascii="Calibri" w:eastAsia="Calibri" w:hAnsi="Calibri" w:cs="Calibri"/>
                <w:sz w:val="18"/>
                <w:szCs w:val="18"/>
              </w:rPr>
              <w:t>10.478,5</w:t>
            </w:r>
          </w:p>
          <w:p w14:paraId="4D96BC9C" w14:textId="65A6F49A" w:rsidR="219819B8" w:rsidRDefault="219819B8" w:rsidP="219819B8">
            <w:pPr>
              <w:jc w:val="right"/>
            </w:pPr>
            <w:r w:rsidRPr="219819B8">
              <w:rPr>
                <w:rFonts w:ascii="Calibri" w:eastAsia="Calibri" w:hAnsi="Calibri" w:cs="Calibri"/>
                <w:sz w:val="18"/>
                <w:szCs w:val="18"/>
              </w:rPr>
              <w:t>-26,7%</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C431AEF" w14:textId="67FAB1F0" w:rsidR="219819B8" w:rsidRDefault="219819B8" w:rsidP="219819B8">
            <w:pPr>
              <w:jc w:val="right"/>
            </w:pPr>
            <w:r w:rsidRPr="219819B8">
              <w:rPr>
                <w:rFonts w:ascii="Calibri" w:eastAsia="Calibri" w:hAnsi="Calibri" w:cs="Calibri"/>
                <w:sz w:val="18"/>
                <w:szCs w:val="18"/>
              </w:rPr>
              <w:t xml:space="preserve">6.632,3 </w:t>
            </w:r>
          </w:p>
          <w:p w14:paraId="08576152" w14:textId="1D419267" w:rsidR="219819B8" w:rsidRDefault="219819B8" w:rsidP="219819B8">
            <w:pPr>
              <w:jc w:val="right"/>
            </w:pPr>
            <w:r w:rsidRPr="219819B8">
              <w:rPr>
                <w:rFonts w:ascii="Calibri" w:eastAsia="Calibri" w:hAnsi="Calibri" w:cs="Calibri"/>
                <w:sz w:val="18"/>
                <w:szCs w:val="18"/>
              </w:rPr>
              <w:t>-36,7%</w:t>
            </w:r>
          </w:p>
        </w:tc>
      </w:tr>
      <w:tr w:rsidR="219819B8" w14:paraId="0ED98D9D" w14:textId="77777777" w:rsidTr="219819B8">
        <w:trPr>
          <w:trHeight w:val="15"/>
        </w:trPr>
        <w:tc>
          <w:tcPr>
            <w:tcW w:w="52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04619D2" w14:textId="7BA0F4C7" w:rsidR="219819B8" w:rsidRDefault="219819B8">
            <w:r w:rsidRPr="219819B8">
              <w:rPr>
                <w:rFonts w:ascii="Calibri" w:eastAsia="Calibri" w:hAnsi="Calibri" w:cs="Calibri"/>
                <w:sz w:val="18"/>
                <w:szCs w:val="18"/>
              </w:rPr>
              <w:t>Operações de Cessões de Crédito (ou estruturadas)</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BCF6610" w14:textId="2797ABBF" w:rsidR="219819B8" w:rsidRDefault="219819B8" w:rsidP="219819B8">
            <w:pPr>
              <w:jc w:val="right"/>
            </w:pPr>
            <w:r w:rsidRPr="219819B8">
              <w:rPr>
                <w:rFonts w:ascii="Calibri" w:eastAsia="Calibri" w:hAnsi="Calibri" w:cs="Calibri"/>
                <w:sz w:val="18"/>
                <w:szCs w:val="18"/>
              </w:rPr>
              <w:t>18.285,2</w:t>
            </w:r>
          </w:p>
          <w:p w14:paraId="7D387B71" w14:textId="4B9D6E69" w:rsidR="219819B8" w:rsidRDefault="219819B8" w:rsidP="219819B8">
            <w:pPr>
              <w:jc w:val="right"/>
            </w:pPr>
            <w:r w:rsidRPr="219819B8">
              <w:rPr>
                <w:rFonts w:ascii="Calibri" w:eastAsia="Calibri" w:hAnsi="Calibri" w:cs="Calibri"/>
                <w:sz w:val="18"/>
                <w:szCs w:val="18"/>
              </w:rPr>
              <w:t>-20,2%</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2022C00" w14:textId="48A4163C" w:rsidR="219819B8" w:rsidRDefault="219819B8" w:rsidP="219819B8">
            <w:pPr>
              <w:jc w:val="right"/>
            </w:pPr>
            <w:r w:rsidRPr="219819B8">
              <w:rPr>
                <w:rFonts w:ascii="Calibri" w:eastAsia="Calibri" w:hAnsi="Calibri" w:cs="Calibri"/>
                <w:sz w:val="18"/>
                <w:szCs w:val="18"/>
              </w:rPr>
              <w:t>15.367,5</w:t>
            </w:r>
          </w:p>
          <w:p w14:paraId="71592EA9" w14:textId="296B3552" w:rsidR="219819B8" w:rsidRDefault="219819B8" w:rsidP="219819B8">
            <w:pPr>
              <w:jc w:val="right"/>
            </w:pPr>
            <w:r w:rsidRPr="219819B8">
              <w:rPr>
                <w:rFonts w:ascii="Calibri" w:eastAsia="Calibri" w:hAnsi="Calibri" w:cs="Calibri"/>
                <w:sz w:val="18"/>
                <w:szCs w:val="18"/>
              </w:rPr>
              <w:t>-16,0%</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7B431E4" w14:textId="17DCE9E5" w:rsidR="219819B8" w:rsidRDefault="219819B8" w:rsidP="219819B8">
            <w:pPr>
              <w:jc w:val="right"/>
            </w:pPr>
            <w:r w:rsidRPr="219819B8">
              <w:rPr>
                <w:rFonts w:ascii="Calibri" w:eastAsia="Calibri" w:hAnsi="Calibri" w:cs="Calibri"/>
                <w:sz w:val="18"/>
                <w:szCs w:val="18"/>
              </w:rPr>
              <w:t>11.565,1</w:t>
            </w:r>
          </w:p>
          <w:p w14:paraId="58B01D2B" w14:textId="18ED153B" w:rsidR="219819B8" w:rsidRDefault="219819B8" w:rsidP="219819B8">
            <w:pPr>
              <w:jc w:val="right"/>
            </w:pPr>
            <w:r w:rsidRPr="219819B8">
              <w:rPr>
                <w:rFonts w:ascii="Calibri" w:eastAsia="Calibri" w:hAnsi="Calibri" w:cs="Calibri"/>
                <w:sz w:val="18"/>
                <w:szCs w:val="18"/>
              </w:rPr>
              <w:t>-24,7%</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5637F99" w14:textId="660114F1" w:rsidR="219819B8" w:rsidRDefault="219819B8" w:rsidP="219819B8">
            <w:pPr>
              <w:jc w:val="right"/>
            </w:pPr>
            <w:r w:rsidRPr="219819B8">
              <w:rPr>
                <w:rFonts w:ascii="Calibri" w:eastAsia="Calibri" w:hAnsi="Calibri" w:cs="Calibri"/>
                <w:sz w:val="18"/>
                <w:szCs w:val="18"/>
              </w:rPr>
              <w:t xml:space="preserve">10.799,1 </w:t>
            </w:r>
          </w:p>
          <w:p w14:paraId="0B261DAB" w14:textId="0108D135" w:rsidR="219819B8" w:rsidRDefault="219819B8" w:rsidP="219819B8">
            <w:pPr>
              <w:jc w:val="right"/>
            </w:pPr>
            <w:r w:rsidRPr="219819B8">
              <w:rPr>
                <w:rFonts w:ascii="Calibri" w:eastAsia="Calibri" w:hAnsi="Calibri" w:cs="Calibri"/>
                <w:sz w:val="18"/>
                <w:szCs w:val="18"/>
              </w:rPr>
              <w:t>-6,6%</w:t>
            </w:r>
          </w:p>
        </w:tc>
      </w:tr>
      <w:tr w:rsidR="219819B8" w14:paraId="1BBF3B26" w14:textId="77777777" w:rsidTr="219819B8">
        <w:trPr>
          <w:trHeight w:val="15"/>
        </w:trPr>
        <w:tc>
          <w:tcPr>
            <w:tcW w:w="52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48BC19" w14:textId="2970E2DF" w:rsidR="219819B8" w:rsidRDefault="219819B8">
            <w:r w:rsidRPr="219819B8">
              <w:rPr>
                <w:rFonts w:ascii="Calibri" w:eastAsia="Calibri" w:hAnsi="Calibri" w:cs="Calibri"/>
                <w:sz w:val="18"/>
                <w:szCs w:val="18"/>
              </w:rPr>
              <w:t>Operações de Crédito à Exportação</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C9FE79" w14:textId="152F0AA3" w:rsidR="219819B8" w:rsidRDefault="219819B8" w:rsidP="219819B8">
            <w:pPr>
              <w:jc w:val="right"/>
            </w:pPr>
            <w:r w:rsidRPr="219819B8">
              <w:rPr>
                <w:rFonts w:ascii="Calibri" w:eastAsia="Calibri" w:hAnsi="Calibri" w:cs="Calibri"/>
                <w:sz w:val="18"/>
                <w:szCs w:val="18"/>
              </w:rPr>
              <w:t>3.751,0</w:t>
            </w:r>
          </w:p>
          <w:p w14:paraId="19A1450F" w14:textId="45E3E6A8" w:rsidR="219819B8" w:rsidRDefault="219819B8" w:rsidP="219819B8">
            <w:pPr>
              <w:jc w:val="right"/>
            </w:pPr>
            <w:r w:rsidRPr="219819B8">
              <w:rPr>
                <w:rFonts w:ascii="Calibri" w:eastAsia="Calibri" w:hAnsi="Calibri" w:cs="Calibri"/>
                <w:sz w:val="18"/>
                <w:szCs w:val="18"/>
              </w:rPr>
              <w:t>32,2%</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5CA3A8" w14:textId="7C658705" w:rsidR="219819B8" w:rsidRDefault="219819B8" w:rsidP="219819B8">
            <w:pPr>
              <w:jc w:val="right"/>
            </w:pPr>
            <w:r w:rsidRPr="219819B8">
              <w:rPr>
                <w:rFonts w:ascii="Calibri" w:eastAsia="Calibri" w:hAnsi="Calibri" w:cs="Calibri"/>
                <w:sz w:val="18"/>
                <w:szCs w:val="18"/>
              </w:rPr>
              <w:t>3.701,6</w:t>
            </w:r>
          </w:p>
          <w:p w14:paraId="01933C6A" w14:textId="103A19B7" w:rsidR="219819B8" w:rsidRDefault="219819B8" w:rsidP="219819B8">
            <w:pPr>
              <w:jc w:val="right"/>
            </w:pPr>
            <w:r w:rsidRPr="219819B8">
              <w:rPr>
                <w:rFonts w:ascii="Calibri" w:eastAsia="Calibri" w:hAnsi="Calibri" w:cs="Calibri"/>
                <w:sz w:val="18"/>
                <w:szCs w:val="18"/>
              </w:rPr>
              <w:t>-1,3%</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CB6934" w14:textId="37BCE075" w:rsidR="219819B8" w:rsidRDefault="219819B8" w:rsidP="219819B8">
            <w:pPr>
              <w:jc w:val="right"/>
            </w:pPr>
            <w:r w:rsidRPr="219819B8">
              <w:rPr>
                <w:rFonts w:ascii="Calibri" w:eastAsia="Calibri" w:hAnsi="Calibri" w:cs="Calibri"/>
                <w:sz w:val="18"/>
                <w:szCs w:val="18"/>
              </w:rPr>
              <w:t>4.029,9</w:t>
            </w:r>
          </w:p>
          <w:p w14:paraId="1DFC1DF7" w14:textId="69796F2E" w:rsidR="219819B8" w:rsidRDefault="219819B8" w:rsidP="219819B8">
            <w:pPr>
              <w:jc w:val="right"/>
            </w:pPr>
            <w:r w:rsidRPr="219819B8">
              <w:rPr>
                <w:rFonts w:ascii="Calibri" w:eastAsia="Calibri" w:hAnsi="Calibri" w:cs="Calibri"/>
                <w:sz w:val="18"/>
                <w:szCs w:val="18"/>
              </w:rPr>
              <w:t>8,9%</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48D2E78" w14:textId="7E251CA3" w:rsidR="219819B8" w:rsidRDefault="219819B8" w:rsidP="219819B8">
            <w:pPr>
              <w:jc w:val="right"/>
            </w:pPr>
            <w:r w:rsidRPr="219819B8">
              <w:rPr>
                <w:rFonts w:ascii="Calibri" w:eastAsia="Calibri" w:hAnsi="Calibri" w:cs="Calibri"/>
                <w:sz w:val="18"/>
                <w:szCs w:val="18"/>
              </w:rPr>
              <w:t xml:space="preserve">5.236,3 </w:t>
            </w:r>
          </w:p>
          <w:p w14:paraId="72FD1AB1" w14:textId="37FD4711" w:rsidR="219819B8" w:rsidRDefault="219819B8" w:rsidP="219819B8">
            <w:pPr>
              <w:jc w:val="right"/>
            </w:pPr>
            <w:r w:rsidRPr="219819B8">
              <w:rPr>
                <w:rFonts w:ascii="Calibri" w:eastAsia="Calibri" w:hAnsi="Calibri" w:cs="Calibri"/>
                <w:sz w:val="18"/>
                <w:szCs w:val="18"/>
              </w:rPr>
              <w:t>29,9%</w:t>
            </w:r>
          </w:p>
        </w:tc>
      </w:tr>
      <w:tr w:rsidR="219819B8" w14:paraId="31338C49" w14:textId="77777777" w:rsidTr="219819B8">
        <w:trPr>
          <w:trHeight w:val="15"/>
        </w:trPr>
        <w:tc>
          <w:tcPr>
            <w:tcW w:w="52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42221A1" w14:textId="7119CFA1" w:rsidR="219819B8" w:rsidRDefault="219819B8">
            <w:r w:rsidRPr="219819B8">
              <w:rPr>
                <w:rFonts w:ascii="Calibri" w:eastAsia="Calibri" w:hAnsi="Calibri" w:cs="Calibri"/>
                <w:sz w:val="18"/>
                <w:szCs w:val="18"/>
              </w:rPr>
              <w:t>Empréstimos a Entidades Não Financeiras</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758DA1" w14:textId="055DCCE1" w:rsidR="219819B8" w:rsidRDefault="219819B8" w:rsidP="219819B8">
            <w:pPr>
              <w:jc w:val="right"/>
            </w:pPr>
            <w:r w:rsidRPr="219819B8">
              <w:rPr>
                <w:rFonts w:ascii="Calibri" w:eastAsia="Calibri" w:hAnsi="Calibri" w:cs="Calibri"/>
                <w:sz w:val="18"/>
                <w:szCs w:val="18"/>
              </w:rPr>
              <w:t>88,1</w:t>
            </w:r>
          </w:p>
          <w:p w14:paraId="0CA5C558" w14:textId="5E027652" w:rsidR="219819B8" w:rsidRDefault="219819B8" w:rsidP="219819B8">
            <w:pPr>
              <w:jc w:val="right"/>
            </w:pPr>
            <w:r w:rsidRPr="219819B8">
              <w:rPr>
                <w:rFonts w:ascii="Calibri" w:eastAsia="Calibri" w:hAnsi="Calibri" w:cs="Calibri"/>
                <w:sz w:val="18"/>
                <w:szCs w:val="18"/>
              </w:rPr>
              <w:t>-16,0%</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163019C" w14:textId="30FC26CB" w:rsidR="219819B8" w:rsidRDefault="219819B8" w:rsidP="219819B8">
            <w:pPr>
              <w:jc w:val="right"/>
            </w:pPr>
            <w:r w:rsidRPr="219819B8">
              <w:rPr>
                <w:rFonts w:ascii="Calibri" w:eastAsia="Calibri" w:hAnsi="Calibri" w:cs="Calibri"/>
                <w:sz w:val="18"/>
                <w:szCs w:val="18"/>
              </w:rPr>
              <w:t>89,7</w:t>
            </w:r>
          </w:p>
          <w:p w14:paraId="05A166ED" w14:textId="48A9075D" w:rsidR="219819B8" w:rsidRDefault="219819B8" w:rsidP="219819B8">
            <w:pPr>
              <w:jc w:val="right"/>
            </w:pPr>
            <w:r w:rsidRPr="219819B8">
              <w:rPr>
                <w:rFonts w:ascii="Calibri" w:eastAsia="Calibri" w:hAnsi="Calibri" w:cs="Calibri"/>
                <w:sz w:val="18"/>
                <w:szCs w:val="18"/>
              </w:rPr>
              <w:t>1,8%</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4281276" w14:textId="09111650" w:rsidR="219819B8" w:rsidRDefault="219819B8" w:rsidP="219819B8">
            <w:pPr>
              <w:jc w:val="right"/>
            </w:pPr>
            <w:r w:rsidRPr="219819B8">
              <w:rPr>
                <w:rFonts w:ascii="Calibri" w:eastAsia="Calibri" w:hAnsi="Calibri" w:cs="Calibri"/>
                <w:sz w:val="18"/>
                <w:szCs w:val="18"/>
              </w:rPr>
              <w:t>73,9</w:t>
            </w:r>
          </w:p>
          <w:p w14:paraId="3E233F9A" w14:textId="37E1A221" w:rsidR="219819B8" w:rsidRDefault="219819B8" w:rsidP="219819B8">
            <w:pPr>
              <w:jc w:val="right"/>
            </w:pPr>
            <w:r w:rsidRPr="219819B8">
              <w:rPr>
                <w:rFonts w:ascii="Calibri" w:eastAsia="Calibri" w:hAnsi="Calibri" w:cs="Calibri"/>
                <w:sz w:val="18"/>
                <w:szCs w:val="18"/>
              </w:rPr>
              <w:t>-17,6%</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1BC0295" w14:textId="7A46EBEE" w:rsidR="219819B8" w:rsidRDefault="219819B8" w:rsidP="219819B8">
            <w:pPr>
              <w:jc w:val="right"/>
            </w:pPr>
            <w:r w:rsidRPr="219819B8">
              <w:rPr>
                <w:rFonts w:ascii="Calibri" w:eastAsia="Calibri" w:hAnsi="Calibri" w:cs="Calibri"/>
                <w:sz w:val="18"/>
                <w:szCs w:val="18"/>
              </w:rPr>
              <w:t xml:space="preserve">66,5 </w:t>
            </w:r>
          </w:p>
          <w:p w14:paraId="6BBD7245" w14:textId="0593BB31" w:rsidR="219819B8" w:rsidRDefault="219819B8" w:rsidP="219819B8">
            <w:pPr>
              <w:jc w:val="right"/>
            </w:pPr>
            <w:r w:rsidRPr="219819B8">
              <w:rPr>
                <w:rFonts w:ascii="Calibri" w:eastAsia="Calibri" w:hAnsi="Calibri" w:cs="Calibri"/>
                <w:sz w:val="18"/>
                <w:szCs w:val="18"/>
              </w:rPr>
              <w:t>-9,9%</w:t>
            </w:r>
          </w:p>
        </w:tc>
      </w:tr>
      <w:tr w:rsidR="219819B8" w14:paraId="36270639" w14:textId="77777777" w:rsidTr="219819B8">
        <w:trPr>
          <w:trHeight w:val="15"/>
        </w:trPr>
        <w:tc>
          <w:tcPr>
            <w:tcW w:w="52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3D99FC" w14:textId="1CB3139C" w:rsidR="219819B8" w:rsidRDefault="219819B8">
            <w:r w:rsidRPr="219819B8">
              <w:rPr>
                <w:rFonts w:ascii="Calibri" w:eastAsia="Calibri" w:hAnsi="Calibri" w:cs="Calibri"/>
                <w:sz w:val="18"/>
                <w:szCs w:val="18"/>
              </w:rPr>
              <w:t>Programa Emergencial de Suporte ao Emprego - PESE/FOPAG</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8CC685" w14:textId="33C6CF82" w:rsidR="219819B8" w:rsidRDefault="219819B8"/>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403CF7" w14:textId="3B726895" w:rsidR="219819B8" w:rsidRDefault="219819B8" w:rsidP="219819B8">
            <w:pPr>
              <w:jc w:val="right"/>
            </w:pPr>
            <w:r w:rsidRPr="219819B8">
              <w:rPr>
                <w:rFonts w:ascii="Calibri" w:eastAsia="Calibri" w:hAnsi="Calibri" w:cs="Calibri"/>
                <w:sz w:val="18"/>
                <w:szCs w:val="18"/>
              </w:rPr>
              <w:t xml:space="preserve"> </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F679E8" w14:textId="5A751005" w:rsidR="219819B8" w:rsidRDefault="219819B8"/>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826889" w14:textId="3FA37FD1" w:rsidR="219819B8" w:rsidRDefault="219819B8" w:rsidP="219819B8">
            <w:pPr>
              <w:jc w:val="right"/>
            </w:pPr>
            <w:r w:rsidRPr="219819B8">
              <w:rPr>
                <w:rFonts w:ascii="Calibri" w:eastAsia="Calibri" w:hAnsi="Calibri" w:cs="Calibri"/>
                <w:sz w:val="18"/>
                <w:szCs w:val="18"/>
              </w:rPr>
              <w:t>6.895,3</w:t>
            </w:r>
          </w:p>
        </w:tc>
      </w:tr>
      <w:tr w:rsidR="219819B8" w14:paraId="74C940E7" w14:textId="77777777" w:rsidTr="219819B8">
        <w:trPr>
          <w:trHeight w:val="15"/>
        </w:trPr>
        <w:tc>
          <w:tcPr>
            <w:tcW w:w="52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586BE924" w14:textId="4870D177" w:rsidR="219819B8" w:rsidRDefault="219819B8">
            <w:r w:rsidRPr="219819B8">
              <w:rPr>
                <w:rFonts w:ascii="Calibri" w:eastAsia="Calibri" w:hAnsi="Calibri" w:cs="Calibri"/>
                <w:color w:val="FFFFFF" w:themeColor="background1"/>
                <w:sz w:val="18"/>
                <w:szCs w:val="18"/>
              </w:rPr>
              <w:t>Total</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654D23E3" w14:textId="336FD79A" w:rsidR="219819B8" w:rsidRDefault="219819B8" w:rsidP="219819B8">
            <w:pPr>
              <w:jc w:val="right"/>
            </w:pPr>
            <w:r w:rsidRPr="219819B8">
              <w:rPr>
                <w:rFonts w:ascii="Calibri" w:eastAsia="Calibri" w:hAnsi="Calibri" w:cs="Calibri"/>
                <w:color w:val="FFFFFF" w:themeColor="background1"/>
                <w:sz w:val="18"/>
                <w:szCs w:val="18"/>
              </w:rPr>
              <w:t>510.069,0</w:t>
            </w:r>
          </w:p>
          <w:p w14:paraId="47991223" w14:textId="2525AE5E" w:rsidR="219819B8" w:rsidRDefault="219819B8" w:rsidP="219819B8">
            <w:pPr>
              <w:jc w:val="right"/>
            </w:pPr>
            <w:r w:rsidRPr="219819B8">
              <w:rPr>
                <w:rFonts w:ascii="Calibri" w:eastAsia="Calibri" w:hAnsi="Calibri" w:cs="Calibri"/>
                <w:color w:val="FFFFFF" w:themeColor="background1"/>
                <w:sz w:val="18"/>
                <w:szCs w:val="18"/>
              </w:rPr>
              <w:t>-4,6%</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5D8E341F" w14:textId="17E07660" w:rsidR="219819B8" w:rsidRDefault="219819B8" w:rsidP="219819B8">
            <w:pPr>
              <w:jc w:val="right"/>
            </w:pPr>
            <w:r w:rsidRPr="219819B8">
              <w:rPr>
                <w:rFonts w:ascii="Calibri" w:eastAsia="Calibri" w:hAnsi="Calibri" w:cs="Calibri"/>
                <w:color w:val="FFFFFF" w:themeColor="background1"/>
                <w:sz w:val="18"/>
                <w:szCs w:val="18"/>
              </w:rPr>
              <w:t>395.132,4</w:t>
            </w:r>
          </w:p>
          <w:p w14:paraId="318A72AD" w14:textId="672756CC" w:rsidR="219819B8" w:rsidRDefault="219819B8" w:rsidP="219819B8">
            <w:pPr>
              <w:jc w:val="right"/>
            </w:pPr>
            <w:r w:rsidRPr="219819B8">
              <w:rPr>
                <w:rFonts w:ascii="Calibri" w:eastAsia="Calibri" w:hAnsi="Calibri" w:cs="Calibri"/>
                <w:color w:val="FFFFFF" w:themeColor="background1"/>
                <w:sz w:val="18"/>
                <w:szCs w:val="18"/>
              </w:rPr>
              <w:t>-22,5%</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7DD7645F" w14:textId="24D79638" w:rsidR="219819B8" w:rsidRDefault="219819B8" w:rsidP="219819B8">
            <w:pPr>
              <w:jc w:val="right"/>
            </w:pPr>
            <w:r w:rsidRPr="219819B8">
              <w:rPr>
                <w:rFonts w:ascii="Calibri" w:eastAsia="Calibri" w:hAnsi="Calibri" w:cs="Calibri"/>
                <w:color w:val="FFFFFF" w:themeColor="background1"/>
                <w:sz w:val="18"/>
                <w:szCs w:val="18"/>
              </w:rPr>
              <w:t>267.331,1</w:t>
            </w:r>
          </w:p>
          <w:p w14:paraId="51C9371C" w14:textId="1639616D" w:rsidR="219819B8" w:rsidRDefault="219819B8" w:rsidP="219819B8">
            <w:pPr>
              <w:jc w:val="right"/>
            </w:pPr>
            <w:r w:rsidRPr="219819B8">
              <w:rPr>
                <w:rFonts w:ascii="Calibri" w:eastAsia="Calibri" w:hAnsi="Calibri" w:cs="Calibri"/>
                <w:color w:val="FFFFFF" w:themeColor="background1"/>
                <w:sz w:val="18"/>
                <w:szCs w:val="18"/>
              </w:rPr>
              <w:t>-32,3%</w:t>
            </w:r>
          </w:p>
        </w:tc>
        <w:tc>
          <w:tcPr>
            <w:tcW w:w="1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708262C1" w14:textId="78D45BE7" w:rsidR="219819B8" w:rsidRDefault="219819B8" w:rsidP="219819B8">
            <w:pPr>
              <w:jc w:val="right"/>
            </w:pPr>
            <w:r w:rsidRPr="219819B8">
              <w:rPr>
                <w:rFonts w:ascii="Calibri" w:eastAsia="Calibri" w:hAnsi="Calibri" w:cs="Calibri"/>
                <w:color w:val="FFFFFF" w:themeColor="background1"/>
                <w:sz w:val="18"/>
                <w:szCs w:val="18"/>
              </w:rPr>
              <w:t>265.355,8</w:t>
            </w:r>
          </w:p>
          <w:p w14:paraId="79172AD1" w14:textId="4CF8DC94" w:rsidR="219819B8" w:rsidRDefault="63B182AF" w:rsidP="219819B8">
            <w:pPr>
              <w:jc w:val="right"/>
              <w:rPr>
                <w:rFonts w:ascii="Calibri" w:eastAsia="Calibri" w:hAnsi="Calibri" w:cs="Calibri"/>
                <w:color w:val="FFFFFF" w:themeColor="background1"/>
                <w:sz w:val="18"/>
                <w:szCs w:val="18"/>
              </w:rPr>
            </w:pPr>
            <w:r w:rsidRPr="4343583C">
              <w:rPr>
                <w:rFonts w:ascii="Calibri" w:eastAsia="Calibri" w:hAnsi="Calibri" w:cs="Calibri"/>
                <w:color w:val="FFFFFF" w:themeColor="background1"/>
                <w:sz w:val="18"/>
                <w:szCs w:val="18"/>
              </w:rPr>
              <w:t>-0,73</w:t>
            </w:r>
            <w:r w:rsidRPr="26D2782A">
              <w:rPr>
                <w:rFonts w:ascii="Calibri" w:eastAsia="Calibri" w:hAnsi="Calibri" w:cs="Calibri"/>
                <w:color w:val="FFFFFF" w:themeColor="background1"/>
                <w:sz w:val="18"/>
                <w:szCs w:val="18"/>
              </w:rPr>
              <w:t>%</w:t>
            </w:r>
          </w:p>
        </w:tc>
      </w:tr>
      <w:tr w:rsidR="219819B8" w14:paraId="0CDBEF9D" w14:textId="77777777" w:rsidTr="003851A0">
        <w:trPr>
          <w:trHeight w:val="20"/>
        </w:trPr>
        <w:tc>
          <w:tcPr>
            <w:tcW w:w="8748" w:type="dxa"/>
            <w:gridSpan w:val="4"/>
            <w:tcBorders>
              <w:top w:val="single" w:sz="8" w:space="0" w:color="BFBFBF" w:themeColor="background1" w:themeShade="BF"/>
              <w:left w:val="nil"/>
              <w:bottom w:val="nil"/>
              <w:right w:val="nil"/>
            </w:tcBorders>
          </w:tcPr>
          <w:p w14:paraId="6B07E116" w14:textId="76589DEE" w:rsidR="007A11B8" w:rsidRDefault="219819B8" w:rsidP="00883290">
            <w:pPr>
              <w:spacing w:after="0"/>
              <w:jc w:val="both"/>
            </w:pPr>
            <w:proofErr w:type="gramStart"/>
            <w:r w:rsidRPr="219819B8">
              <w:rPr>
                <w:rFonts w:ascii="Calibri" w:eastAsia="Calibri" w:hAnsi="Calibri" w:cs="Calibri"/>
                <w:i/>
                <w:iCs/>
                <w:sz w:val="16"/>
                <w:szCs w:val="16"/>
                <w:vertAlign w:val="superscript"/>
              </w:rPr>
              <w:t>1</w:t>
            </w:r>
            <w:proofErr w:type="gramEnd"/>
            <w:r w:rsidRPr="219819B8">
              <w:rPr>
                <w:rFonts w:ascii="Calibri" w:eastAsia="Calibri" w:hAnsi="Calibri" w:cs="Calibri"/>
                <w:i/>
                <w:iCs/>
                <w:sz w:val="16"/>
                <w:szCs w:val="16"/>
                <w:vertAlign w:val="superscript"/>
              </w:rPr>
              <w:t xml:space="preserve"> </w:t>
            </w:r>
            <w:r w:rsidRPr="219819B8">
              <w:rPr>
                <w:rFonts w:ascii="Calibri" w:eastAsia="Calibri" w:hAnsi="Calibri" w:cs="Calibri"/>
                <w:i/>
                <w:iCs/>
                <w:sz w:val="16"/>
                <w:szCs w:val="16"/>
              </w:rPr>
              <w:t>Variação em relação ao exercício imediatamente anterior.</w:t>
            </w:r>
            <w:r w:rsidR="007A11B8">
              <w:rPr>
                <w:rFonts w:ascii="Calibri" w:eastAsia="Calibri" w:hAnsi="Calibri" w:cs="Calibri"/>
                <w:b/>
                <w:bCs/>
                <w:i/>
                <w:iCs/>
                <w:sz w:val="16"/>
                <w:szCs w:val="16"/>
              </w:rPr>
              <w:t xml:space="preserve"> </w:t>
            </w:r>
          </w:p>
          <w:p w14:paraId="2D780900" w14:textId="00478C31" w:rsidR="219819B8" w:rsidRDefault="219819B8" w:rsidP="00883290">
            <w:pPr>
              <w:spacing w:after="0"/>
              <w:jc w:val="both"/>
            </w:pPr>
            <w:r w:rsidRPr="219819B8">
              <w:rPr>
                <w:rFonts w:ascii="Calibri" w:eastAsia="Calibri" w:hAnsi="Calibri" w:cs="Calibri"/>
                <w:b/>
                <w:bCs/>
                <w:i/>
                <w:iCs/>
                <w:sz w:val="16"/>
                <w:szCs w:val="16"/>
              </w:rPr>
              <w:t>Fonte e elaboração</w:t>
            </w:r>
            <w:r w:rsidRPr="219819B8">
              <w:rPr>
                <w:rFonts w:ascii="Calibri" w:eastAsia="Calibri" w:hAnsi="Calibri" w:cs="Calibri"/>
                <w:i/>
                <w:iCs/>
                <w:sz w:val="16"/>
                <w:szCs w:val="16"/>
              </w:rPr>
              <w:t>: STN/ME.</w:t>
            </w:r>
          </w:p>
        </w:tc>
        <w:tc>
          <w:tcPr>
            <w:tcW w:w="1165" w:type="dxa"/>
            <w:tcBorders>
              <w:top w:val="single" w:sz="8" w:space="0" w:color="BFBFBF" w:themeColor="background1" w:themeShade="BF"/>
              <w:left w:val="nil"/>
              <w:bottom w:val="nil"/>
              <w:right w:val="nil"/>
            </w:tcBorders>
          </w:tcPr>
          <w:p w14:paraId="15D76261" w14:textId="579EA3CD" w:rsidR="219819B8" w:rsidRDefault="219819B8" w:rsidP="219819B8">
            <w:pPr>
              <w:jc w:val="both"/>
              <w:rPr>
                <w:rFonts w:ascii="Calibri" w:eastAsia="Calibri" w:hAnsi="Calibri" w:cs="Calibri"/>
                <w:i/>
                <w:iCs/>
                <w:sz w:val="16"/>
                <w:szCs w:val="16"/>
                <w:vertAlign w:val="superscript"/>
              </w:rPr>
            </w:pPr>
          </w:p>
        </w:tc>
      </w:tr>
    </w:tbl>
    <w:p w14:paraId="189A2997" w14:textId="3168F8FE" w:rsidR="2CEEB9C7" w:rsidRDefault="2CEEB9C7"/>
    <w:p w14:paraId="7C9BF0E3" w14:textId="6745C167" w:rsidR="470A7844" w:rsidRDefault="470A7844" w:rsidP="470A7844"/>
    <w:p w14:paraId="1D9A1205" w14:textId="4496EAE2" w:rsidR="00C87CF5" w:rsidRPr="009B04B3" w:rsidRDefault="00C87CF5" w:rsidP="00D260DD">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lastRenderedPageBreak/>
        <w:t xml:space="preserve">Evolução </w:t>
      </w:r>
      <w:r w:rsidR="00C7331F" w:rsidRPr="009B04B3">
        <w:rPr>
          <w:rFonts w:asciiTheme="minorHAnsi" w:hAnsiTheme="minorHAnsi"/>
        </w:rPr>
        <w:t xml:space="preserve">e estimativas </w:t>
      </w:r>
      <w:r w:rsidRPr="009B04B3">
        <w:rPr>
          <w:rFonts w:asciiTheme="minorHAnsi" w:hAnsiTheme="minorHAnsi"/>
        </w:rPr>
        <w:t>dos fluxos</w:t>
      </w:r>
    </w:p>
    <w:p w14:paraId="07882B95" w14:textId="7E82A208" w:rsidR="00014301" w:rsidRPr="009B04B3" w:rsidRDefault="00120272" w:rsidP="00014301">
      <w:pPr>
        <w:spacing w:after="120" w:line="240" w:lineRule="auto"/>
        <w:ind w:firstLine="1418"/>
        <w:jc w:val="both"/>
        <w:rPr>
          <w:rFonts w:cs="Times New Roman"/>
          <w:sz w:val="24"/>
          <w:szCs w:val="24"/>
          <w:lang w:eastAsia="pt-BR"/>
        </w:rPr>
      </w:pPr>
      <w:r w:rsidRPr="219819B8">
        <w:rPr>
          <w:rFonts w:cs="Times New Roman"/>
          <w:sz w:val="24"/>
          <w:szCs w:val="24"/>
          <w:lang w:eastAsia="pt-BR"/>
        </w:rPr>
        <w:t xml:space="preserve">Quanto à </w:t>
      </w:r>
      <w:r w:rsidR="00014301" w:rsidRPr="219819B8">
        <w:rPr>
          <w:rFonts w:cs="Times New Roman"/>
          <w:sz w:val="24"/>
          <w:szCs w:val="24"/>
          <w:lang w:eastAsia="pt-BR"/>
        </w:rPr>
        <w:t xml:space="preserve">evolução </w:t>
      </w:r>
      <w:r w:rsidR="00991891" w:rsidRPr="219819B8">
        <w:rPr>
          <w:rFonts w:cs="Times New Roman"/>
          <w:sz w:val="24"/>
          <w:szCs w:val="24"/>
          <w:lang w:eastAsia="pt-BR"/>
        </w:rPr>
        <w:t>dos fluxos</w:t>
      </w:r>
      <w:r w:rsidR="00014301" w:rsidRPr="219819B8">
        <w:rPr>
          <w:rFonts w:cs="Times New Roman"/>
          <w:sz w:val="24"/>
          <w:szCs w:val="24"/>
          <w:lang w:eastAsia="pt-BR"/>
        </w:rPr>
        <w:t>,</w:t>
      </w:r>
      <w:r w:rsidR="00E6342E" w:rsidRPr="219819B8">
        <w:rPr>
          <w:rFonts w:cs="Times New Roman"/>
          <w:sz w:val="24"/>
          <w:szCs w:val="24"/>
          <w:lang w:eastAsia="pt-BR"/>
        </w:rPr>
        <w:t xml:space="preserve"> a </w:t>
      </w:r>
      <w:r w:rsidR="003851A0" w:rsidRPr="003851A0">
        <w:rPr>
          <w:rFonts w:cs="Times New Roman"/>
          <w:sz w:val="24"/>
          <w:szCs w:val="24"/>
          <w:lang w:eastAsia="pt-BR"/>
        </w:rPr>
        <w:fldChar w:fldCharType="begin"/>
      </w:r>
      <w:r w:rsidR="003851A0" w:rsidRPr="003851A0">
        <w:rPr>
          <w:rFonts w:cs="Times New Roman"/>
          <w:sz w:val="24"/>
          <w:szCs w:val="24"/>
          <w:lang w:eastAsia="pt-BR"/>
        </w:rPr>
        <w:instrText xml:space="preserve"> REF _Ref67905171 \h  \* MERGEFORMAT </w:instrText>
      </w:r>
      <w:r w:rsidR="003851A0" w:rsidRPr="003851A0">
        <w:rPr>
          <w:rFonts w:cs="Times New Roman"/>
          <w:sz w:val="24"/>
          <w:szCs w:val="24"/>
          <w:lang w:eastAsia="pt-BR"/>
        </w:rPr>
      </w:r>
      <w:r w:rsidR="003851A0" w:rsidRPr="003851A0">
        <w:rPr>
          <w:rFonts w:cs="Times New Roman"/>
          <w:sz w:val="24"/>
          <w:szCs w:val="24"/>
          <w:lang w:eastAsia="pt-BR"/>
        </w:rPr>
        <w:fldChar w:fldCharType="separate"/>
      </w:r>
      <w:r w:rsidR="00304F5F" w:rsidRPr="00304F5F">
        <w:rPr>
          <w:rFonts w:cstheme="minorHAnsi"/>
          <w:sz w:val="24"/>
          <w:szCs w:val="24"/>
        </w:rPr>
        <w:t xml:space="preserve">Tabela </w:t>
      </w:r>
      <w:r w:rsidR="00304F5F" w:rsidRPr="00304F5F">
        <w:rPr>
          <w:rFonts w:cstheme="minorHAnsi"/>
          <w:noProof/>
          <w:sz w:val="24"/>
          <w:szCs w:val="24"/>
        </w:rPr>
        <w:t>52</w:t>
      </w:r>
      <w:r w:rsidR="003851A0" w:rsidRPr="003851A0">
        <w:rPr>
          <w:rFonts w:cs="Times New Roman"/>
          <w:sz w:val="24"/>
          <w:szCs w:val="24"/>
          <w:lang w:eastAsia="pt-BR"/>
        </w:rPr>
        <w:fldChar w:fldCharType="end"/>
      </w:r>
      <w:r w:rsidR="00014301" w:rsidRPr="219819B8">
        <w:rPr>
          <w:rFonts w:cs="Times New Roman"/>
          <w:sz w:val="24"/>
          <w:szCs w:val="24"/>
          <w:lang w:eastAsia="pt-BR"/>
        </w:rPr>
        <w:t xml:space="preserve"> apresenta </w:t>
      </w:r>
      <w:r w:rsidR="00ED735B" w:rsidRPr="219819B8">
        <w:rPr>
          <w:rFonts w:cs="Times New Roman"/>
          <w:sz w:val="24"/>
          <w:szCs w:val="24"/>
          <w:lang w:eastAsia="pt-BR"/>
        </w:rPr>
        <w:t xml:space="preserve">uma </w:t>
      </w:r>
      <w:r w:rsidR="005458D3" w:rsidRPr="219819B8">
        <w:rPr>
          <w:rFonts w:cs="Times New Roman"/>
          <w:sz w:val="24"/>
          <w:szCs w:val="24"/>
          <w:lang w:eastAsia="pt-BR"/>
        </w:rPr>
        <w:t>comparação entre os fluxos, estimados e realizados</w:t>
      </w:r>
      <w:r w:rsidR="00014301" w:rsidRPr="219819B8">
        <w:rPr>
          <w:rFonts w:cs="Times New Roman"/>
          <w:sz w:val="24"/>
          <w:szCs w:val="24"/>
          <w:lang w:eastAsia="pt-BR"/>
        </w:rPr>
        <w:t xml:space="preserve">, por exercício, segundo haver financeiro </w:t>
      </w:r>
      <w:proofErr w:type="gramStart"/>
      <w:r w:rsidR="00014301" w:rsidRPr="219819B8">
        <w:rPr>
          <w:rFonts w:cs="Times New Roman"/>
          <w:sz w:val="24"/>
          <w:szCs w:val="24"/>
          <w:lang w:eastAsia="pt-BR"/>
        </w:rPr>
        <w:t>sob gestão</w:t>
      </w:r>
      <w:proofErr w:type="gramEnd"/>
      <w:r w:rsidR="00014301" w:rsidRPr="219819B8">
        <w:rPr>
          <w:rFonts w:cs="Times New Roman"/>
          <w:sz w:val="24"/>
          <w:szCs w:val="24"/>
          <w:lang w:eastAsia="pt-BR"/>
        </w:rPr>
        <w:t xml:space="preserve"> da STN.</w:t>
      </w:r>
    </w:p>
    <w:p w14:paraId="2B671C08" w14:textId="12205E03" w:rsidR="1C4FA8AF" w:rsidRPr="003851A0" w:rsidRDefault="1C4FA8AF" w:rsidP="003851A0">
      <w:pPr>
        <w:pStyle w:val="Legenda"/>
        <w:jc w:val="center"/>
        <w:rPr>
          <w:rFonts w:asciiTheme="minorHAnsi" w:hAnsiTheme="minorHAnsi" w:cstheme="minorHAnsi"/>
          <w:i w:val="0"/>
          <w:color w:val="auto"/>
          <w:sz w:val="22"/>
          <w:szCs w:val="22"/>
        </w:rPr>
      </w:pPr>
      <w:bookmarkStart w:id="372" w:name="_Ref67905171"/>
      <w:bookmarkStart w:id="373" w:name="_Toc69121398"/>
      <w:r w:rsidRPr="003851A0">
        <w:rPr>
          <w:rFonts w:asciiTheme="minorHAnsi" w:eastAsia="Calibri" w:hAnsiTheme="minorHAnsi" w:cstheme="minorHAnsi"/>
          <w:i w:val="0"/>
          <w:color w:val="auto"/>
          <w:sz w:val="22"/>
          <w:szCs w:val="22"/>
        </w:rPr>
        <w:t xml:space="preserve">Tabela </w:t>
      </w:r>
      <w:r w:rsidR="003851A0" w:rsidRPr="003851A0">
        <w:rPr>
          <w:rFonts w:asciiTheme="minorHAnsi" w:hAnsiTheme="minorHAnsi" w:cstheme="minorHAnsi"/>
          <w:i w:val="0"/>
          <w:color w:val="auto"/>
          <w:sz w:val="22"/>
          <w:szCs w:val="22"/>
        </w:rPr>
        <w:fldChar w:fldCharType="begin"/>
      </w:r>
      <w:r w:rsidR="003851A0" w:rsidRPr="003851A0">
        <w:rPr>
          <w:rFonts w:asciiTheme="minorHAnsi" w:hAnsiTheme="minorHAnsi" w:cstheme="minorHAnsi"/>
          <w:i w:val="0"/>
          <w:color w:val="auto"/>
          <w:sz w:val="22"/>
          <w:szCs w:val="22"/>
        </w:rPr>
        <w:instrText xml:space="preserve"> SEQ Tabela \* ARABIC </w:instrText>
      </w:r>
      <w:r w:rsidR="003851A0" w:rsidRPr="003851A0">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52</w:t>
      </w:r>
      <w:r w:rsidR="003851A0" w:rsidRPr="003851A0">
        <w:rPr>
          <w:rFonts w:asciiTheme="minorHAnsi" w:hAnsiTheme="minorHAnsi" w:cstheme="minorHAnsi"/>
          <w:i w:val="0"/>
          <w:color w:val="auto"/>
          <w:sz w:val="22"/>
          <w:szCs w:val="22"/>
        </w:rPr>
        <w:fldChar w:fldCharType="end"/>
      </w:r>
      <w:bookmarkEnd w:id="372"/>
      <w:r w:rsidRPr="003851A0">
        <w:rPr>
          <w:rFonts w:asciiTheme="minorHAnsi" w:eastAsia="Calibri" w:hAnsiTheme="minorHAnsi" w:cstheme="minorHAnsi"/>
          <w:i w:val="0"/>
          <w:color w:val="auto"/>
          <w:sz w:val="22"/>
          <w:szCs w:val="22"/>
        </w:rPr>
        <w:t xml:space="preserve"> - </w:t>
      </w:r>
      <w:r w:rsidRPr="007A2F1C">
        <w:rPr>
          <w:rFonts w:ascii="Calibri" w:eastAsia="Calibri" w:hAnsi="Calibri" w:cs="Calibri"/>
          <w:i w:val="0"/>
          <w:color w:val="auto"/>
          <w:sz w:val="22"/>
          <w:szCs w:val="22"/>
        </w:rPr>
        <w:t>Fluxos estimados e realizados segundo haver financeiro</w:t>
      </w:r>
      <w:bookmarkEnd w:id="373"/>
    </w:p>
    <w:tbl>
      <w:tblPr>
        <w:tblW w:w="0" w:type="auto"/>
        <w:tblLayout w:type="fixed"/>
        <w:tblLook w:val="04A0" w:firstRow="1" w:lastRow="0" w:firstColumn="1" w:lastColumn="0" w:noHBand="0" w:noVBand="1"/>
      </w:tblPr>
      <w:tblGrid>
        <w:gridCol w:w="4705"/>
        <w:gridCol w:w="345"/>
        <w:gridCol w:w="1046"/>
        <w:gridCol w:w="992"/>
        <w:gridCol w:w="992"/>
        <w:gridCol w:w="1096"/>
      </w:tblGrid>
      <w:tr w:rsidR="00837171" w14:paraId="63C1475C" w14:textId="77777777" w:rsidTr="00837171">
        <w:trPr>
          <w:trHeight w:val="15"/>
        </w:trPr>
        <w:tc>
          <w:tcPr>
            <w:tcW w:w="9176" w:type="dxa"/>
            <w:gridSpan w:val="6"/>
            <w:tcBorders>
              <w:top w:val="nil"/>
              <w:left w:val="nil"/>
              <w:bottom w:val="single" w:sz="8" w:space="0" w:color="BFBFBF" w:themeColor="background1" w:themeShade="BF"/>
              <w:right w:val="nil"/>
            </w:tcBorders>
            <w:vAlign w:val="bottom"/>
          </w:tcPr>
          <w:p w14:paraId="5083EBA6" w14:textId="77438F65" w:rsidR="00837171" w:rsidRPr="00837171" w:rsidRDefault="00837171" w:rsidP="00837171">
            <w:pPr>
              <w:spacing w:after="0" w:line="240" w:lineRule="auto"/>
              <w:jc w:val="right"/>
              <w:rPr>
                <w:rFonts w:ascii="Calibri" w:eastAsia="Calibri" w:hAnsi="Calibri" w:cs="Calibri"/>
                <w:i/>
                <w:iCs/>
                <w:sz w:val="16"/>
                <w:szCs w:val="16"/>
              </w:rPr>
            </w:pPr>
          </w:p>
          <w:p w14:paraId="4E71F0F1" w14:textId="12382BD1" w:rsidR="00837171" w:rsidRPr="00837171" w:rsidRDefault="00837171" w:rsidP="003851A0">
            <w:pPr>
              <w:spacing w:after="0" w:line="240" w:lineRule="auto"/>
              <w:jc w:val="right"/>
              <w:rPr>
                <w:rFonts w:ascii="Calibri" w:eastAsia="Calibri" w:hAnsi="Calibri" w:cs="Calibri"/>
                <w:i/>
                <w:iCs/>
                <w:sz w:val="16"/>
                <w:szCs w:val="16"/>
              </w:rPr>
            </w:pPr>
            <w:r w:rsidRPr="219819B8">
              <w:rPr>
                <w:rFonts w:ascii="Calibri" w:eastAsia="Calibri" w:hAnsi="Calibri" w:cs="Calibri"/>
                <w:i/>
                <w:iCs/>
                <w:sz w:val="16"/>
                <w:szCs w:val="16"/>
              </w:rPr>
              <w:t>Em R$ milhões</w:t>
            </w:r>
          </w:p>
        </w:tc>
      </w:tr>
      <w:tr w:rsidR="219819B8" w14:paraId="20630177" w14:textId="77777777" w:rsidTr="2CEEB9C7">
        <w:trPr>
          <w:trHeight w:val="15"/>
        </w:trPr>
        <w:tc>
          <w:tcPr>
            <w:tcW w:w="4705"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68754922" w14:textId="07C9BDD0" w:rsidR="219819B8" w:rsidRDefault="219819B8" w:rsidP="219819B8">
            <w:pPr>
              <w:jc w:val="center"/>
            </w:pPr>
            <w:r w:rsidRPr="219819B8">
              <w:rPr>
                <w:rFonts w:ascii="Calibri" w:eastAsia="Calibri" w:hAnsi="Calibri" w:cs="Calibri"/>
                <w:b/>
                <w:bCs/>
                <w:color w:val="FFFFFF" w:themeColor="background1"/>
                <w:sz w:val="20"/>
                <w:szCs w:val="20"/>
              </w:rPr>
              <w:t>Haver Financeiro</w:t>
            </w:r>
          </w:p>
        </w:tc>
        <w:tc>
          <w:tcPr>
            <w:tcW w:w="4471" w:type="dxa"/>
            <w:gridSpan w:val="5"/>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271F826E" w14:textId="08C0FFAA" w:rsidR="219819B8" w:rsidRDefault="219819B8" w:rsidP="219819B8">
            <w:pPr>
              <w:jc w:val="center"/>
            </w:pPr>
            <w:r w:rsidRPr="219819B8">
              <w:rPr>
                <w:rFonts w:ascii="Calibri" w:eastAsia="Calibri" w:hAnsi="Calibri" w:cs="Calibri"/>
                <w:b/>
                <w:bCs/>
                <w:color w:val="FFFFFF" w:themeColor="background1"/>
                <w:sz w:val="20"/>
                <w:szCs w:val="20"/>
              </w:rPr>
              <w:t>Fluxo</w:t>
            </w:r>
          </w:p>
          <w:p w14:paraId="41E6F37E" w14:textId="288C2A20" w:rsidR="219819B8" w:rsidRDefault="219819B8" w:rsidP="219819B8">
            <w:pPr>
              <w:jc w:val="center"/>
            </w:pPr>
            <w:r w:rsidRPr="219819B8">
              <w:rPr>
                <w:rFonts w:ascii="Calibri" w:eastAsia="Calibri" w:hAnsi="Calibri" w:cs="Calibri"/>
                <w:color w:val="FFFFFF" w:themeColor="background1"/>
                <w:sz w:val="20"/>
                <w:szCs w:val="20"/>
              </w:rPr>
              <w:t>Valor Estimado (E)</w:t>
            </w:r>
          </w:p>
          <w:p w14:paraId="24CA7628" w14:textId="56658F59" w:rsidR="219819B8" w:rsidRDefault="219819B8" w:rsidP="219819B8">
            <w:pPr>
              <w:jc w:val="center"/>
            </w:pPr>
            <w:r w:rsidRPr="219819B8">
              <w:rPr>
                <w:rFonts w:ascii="Calibri" w:eastAsia="Calibri" w:hAnsi="Calibri" w:cs="Calibri"/>
                <w:color w:val="FFFFFF" w:themeColor="background1"/>
                <w:sz w:val="20"/>
                <w:szCs w:val="20"/>
              </w:rPr>
              <w:t>Valor Realizado (R)</w:t>
            </w:r>
          </w:p>
          <w:p w14:paraId="1F622CDA" w14:textId="00DB6D22" w:rsidR="219819B8" w:rsidRDefault="219819B8" w:rsidP="219819B8">
            <w:pPr>
              <w:jc w:val="center"/>
            </w:pPr>
            <w:r w:rsidRPr="219819B8">
              <w:rPr>
                <w:rFonts w:ascii="Calibri" w:eastAsia="Calibri" w:hAnsi="Calibri" w:cs="Calibri"/>
                <w:color w:val="FFFFFF" w:themeColor="background1"/>
                <w:sz w:val="20"/>
                <w:szCs w:val="20"/>
              </w:rPr>
              <w:t>Variação</w:t>
            </w:r>
            <w:r w:rsidRPr="219819B8">
              <w:rPr>
                <w:rFonts w:ascii="Calibri" w:eastAsia="Calibri" w:hAnsi="Calibri" w:cs="Calibri"/>
                <w:color w:val="FFFFFF" w:themeColor="background1"/>
                <w:sz w:val="20"/>
                <w:szCs w:val="20"/>
                <w:vertAlign w:val="superscript"/>
              </w:rPr>
              <w:t xml:space="preserve"> </w:t>
            </w:r>
            <w:proofErr w:type="gramStart"/>
            <w:r w:rsidRPr="219819B8">
              <w:rPr>
                <w:rFonts w:ascii="Calibri" w:eastAsia="Calibri" w:hAnsi="Calibri" w:cs="Calibri"/>
                <w:color w:val="FFFFFF" w:themeColor="background1"/>
                <w:sz w:val="20"/>
                <w:szCs w:val="20"/>
                <w:vertAlign w:val="superscript"/>
              </w:rPr>
              <w:t>1</w:t>
            </w:r>
            <w:proofErr w:type="gramEnd"/>
            <w:r w:rsidRPr="219819B8">
              <w:rPr>
                <w:rFonts w:ascii="Calibri" w:eastAsia="Calibri" w:hAnsi="Calibri" w:cs="Calibri"/>
                <w:color w:val="FFFFFF" w:themeColor="background1"/>
                <w:sz w:val="20"/>
                <w:szCs w:val="20"/>
              </w:rPr>
              <w:t xml:space="preserve"> (%)</w:t>
            </w:r>
          </w:p>
        </w:tc>
      </w:tr>
      <w:tr w:rsidR="219819B8" w14:paraId="66F2F24A" w14:textId="77777777" w:rsidTr="2CEEB9C7">
        <w:trPr>
          <w:trHeight w:val="15"/>
        </w:trPr>
        <w:tc>
          <w:tcPr>
            <w:tcW w:w="4705" w:type="dxa"/>
            <w:vMerge/>
            <w:vAlign w:val="center"/>
          </w:tcPr>
          <w:p w14:paraId="04921C7D" w14:textId="77777777" w:rsidR="00422732" w:rsidRDefault="00422732"/>
        </w:tc>
        <w:tc>
          <w:tcPr>
            <w:tcW w:w="34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404040" w:themeFill="text1" w:themeFillTint="BF"/>
          </w:tcPr>
          <w:p w14:paraId="705A9062" w14:textId="6D8C386E" w:rsidR="219819B8" w:rsidRDefault="219819B8" w:rsidP="219819B8">
            <w:pPr>
              <w:jc w:val="center"/>
            </w:pPr>
            <w:r w:rsidRPr="219819B8">
              <w:rPr>
                <w:rFonts w:ascii="Calibri" w:eastAsia="Calibri" w:hAnsi="Calibri" w:cs="Calibri"/>
                <w:b/>
                <w:bCs/>
                <w:color w:val="FFFFFF" w:themeColor="background1"/>
                <w:sz w:val="20"/>
                <w:szCs w:val="20"/>
              </w:rPr>
              <w:t xml:space="preserve"> </w:t>
            </w:r>
          </w:p>
        </w:tc>
        <w:tc>
          <w:tcPr>
            <w:tcW w:w="104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602E3D49" w14:textId="4D2200C8" w:rsidR="219819B8" w:rsidRDefault="219819B8" w:rsidP="219819B8">
            <w:pPr>
              <w:jc w:val="center"/>
            </w:pPr>
            <w:r w:rsidRPr="219819B8">
              <w:rPr>
                <w:rFonts w:ascii="Calibri" w:eastAsia="Calibri" w:hAnsi="Calibri" w:cs="Calibri"/>
                <w:color w:val="FFFFFF" w:themeColor="background1"/>
                <w:sz w:val="20"/>
                <w:szCs w:val="20"/>
              </w:rPr>
              <w:t>2017</w:t>
            </w:r>
          </w:p>
        </w:tc>
        <w:tc>
          <w:tcPr>
            <w:tcW w:w="9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527F08FC" w14:textId="445B2728" w:rsidR="219819B8" w:rsidRDefault="219819B8" w:rsidP="219819B8">
            <w:pPr>
              <w:jc w:val="center"/>
            </w:pPr>
            <w:r w:rsidRPr="219819B8">
              <w:rPr>
                <w:rFonts w:ascii="Calibri" w:eastAsia="Calibri" w:hAnsi="Calibri" w:cs="Calibri"/>
                <w:color w:val="FFFFFF" w:themeColor="background1"/>
                <w:sz w:val="20"/>
                <w:szCs w:val="20"/>
              </w:rPr>
              <w:t>2018</w:t>
            </w:r>
          </w:p>
        </w:tc>
        <w:tc>
          <w:tcPr>
            <w:tcW w:w="9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10EAE3F4" w14:textId="3825E568" w:rsidR="219819B8" w:rsidRDefault="219819B8" w:rsidP="219819B8">
            <w:pPr>
              <w:jc w:val="center"/>
            </w:pPr>
            <w:r w:rsidRPr="219819B8">
              <w:rPr>
                <w:rFonts w:ascii="Calibri" w:eastAsia="Calibri" w:hAnsi="Calibri" w:cs="Calibri"/>
                <w:color w:val="FFFFFF" w:themeColor="background1"/>
                <w:sz w:val="20"/>
                <w:szCs w:val="20"/>
              </w:rPr>
              <w:t>2019</w:t>
            </w:r>
          </w:p>
        </w:tc>
        <w:tc>
          <w:tcPr>
            <w:tcW w:w="109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1DF7D44B" w14:textId="31FD07AA" w:rsidR="219819B8" w:rsidRDefault="219819B8" w:rsidP="219819B8">
            <w:pPr>
              <w:jc w:val="center"/>
            </w:pPr>
            <w:r w:rsidRPr="219819B8">
              <w:rPr>
                <w:rFonts w:ascii="Calibri" w:eastAsia="Calibri" w:hAnsi="Calibri" w:cs="Calibri"/>
                <w:color w:val="FFFFFF" w:themeColor="background1"/>
                <w:sz w:val="20"/>
                <w:szCs w:val="20"/>
              </w:rPr>
              <w:t>2020</w:t>
            </w:r>
          </w:p>
        </w:tc>
      </w:tr>
      <w:tr w:rsidR="219819B8" w14:paraId="18BDAEBD" w14:textId="77777777" w:rsidTr="003851A0">
        <w:trPr>
          <w:trHeight w:val="1065"/>
        </w:trPr>
        <w:tc>
          <w:tcPr>
            <w:tcW w:w="4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6B1848D" w14:textId="31026C26" w:rsidR="219819B8" w:rsidRDefault="219819B8" w:rsidP="55496DC5">
            <w:pPr>
              <w:spacing w:line="240" w:lineRule="auto"/>
            </w:pPr>
            <w:r w:rsidRPr="55496DC5">
              <w:rPr>
                <w:rFonts w:ascii="Calibri" w:eastAsia="Calibri" w:hAnsi="Calibri" w:cs="Calibri"/>
                <w:sz w:val="18"/>
                <w:szCs w:val="18"/>
              </w:rPr>
              <w:t>Empréstimos às Instituições Financeiras</w:t>
            </w:r>
          </w:p>
        </w:tc>
        <w:tc>
          <w:tcPr>
            <w:tcW w:w="3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8F1BC47" w14:textId="77777777" w:rsidR="000D3957" w:rsidRDefault="219819B8" w:rsidP="55496DC5">
            <w:pPr>
              <w:spacing w:line="240" w:lineRule="auto"/>
              <w:jc w:val="center"/>
              <w:rPr>
                <w:rFonts w:ascii="Calibri" w:eastAsia="Calibri" w:hAnsi="Calibri" w:cs="Calibri"/>
                <w:sz w:val="18"/>
                <w:szCs w:val="18"/>
              </w:rPr>
            </w:pPr>
            <w:r w:rsidRPr="55496DC5">
              <w:rPr>
                <w:rFonts w:ascii="Calibri" w:eastAsia="Calibri" w:hAnsi="Calibri" w:cs="Calibri"/>
                <w:sz w:val="18"/>
                <w:szCs w:val="18"/>
              </w:rPr>
              <w:t>E</w:t>
            </w:r>
          </w:p>
          <w:p w14:paraId="5DAF41BC" w14:textId="77777777" w:rsidR="000D3957" w:rsidRDefault="219819B8" w:rsidP="55496DC5">
            <w:pPr>
              <w:spacing w:line="240" w:lineRule="auto"/>
              <w:jc w:val="center"/>
              <w:rPr>
                <w:rFonts w:ascii="Calibri" w:eastAsia="Calibri" w:hAnsi="Calibri" w:cs="Calibri"/>
                <w:sz w:val="18"/>
                <w:szCs w:val="18"/>
              </w:rPr>
            </w:pPr>
            <w:r w:rsidRPr="55496DC5">
              <w:rPr>
                <w:rFonts w:ascii="Calibri" w:eastAsia="Calibri" w:hAnsi="Calibri" w:cs="Calibri"/>
                <w:sz w:val="18"/>
                <w:szCs w:val="18"/>
              </w:rPr>
              <w:t>R</w:t>
            </w:r>
          </w:p>
          <w:p w14:paraId="70B179A1" w14:textId="2CD0B4A7" w:rsidR="219819B8" w:rsidRDefault="219819B8" w:rsidP="55496DC5">
            <w:pPr>
              <w:spacing w:line="240" w:lineRule="auto"/>
              <w:jc w:val="center"/>
            </w:pPr>
            <w:r w:rsidRPr="55496DC5">
              <w:rPr>
                <w:rFonts w:ascii="Calibri" w:eastAsia="Calibri" w:hAnsi="Calibri" w:cs="Calibri"/>
                <w:sz w:val="18"/>
                <w:szCs w:val="18"/>
              </w:rPr>
              <w:t>%</w:t>
            </w:r>
          </w:p>
        </w:tc>
        <w:tc>
          <w:tcPr>
            <w:tcW w:w="10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1C4367F" w14:textId="7E478565" w:rsidR="219819B8" w:rsidRDefault="219819B8" w:rsidP="55496DC5">
            <w:pPr>
              <w:spacing w:line="240" w:lineRule="auto"/>
              <w:jc w:val="right"/>
            </w:pPr>
            <w:r w:rsidRPr="55496DC5">
              <w:rPr>
                <w:rFonts w:ascii="Calibri" w:eastAsia="Calibri" w:hAnsi="Calibri" w:cs="Calibri"/>
                <w:sz w:val="18"/>
                <w:szCs w:val="18"/>
              </w:rPr>
              <w:t>9.512,0</w:t>
            </w:r>
          </w:p>
          <w:p w14:paraId="1E23C3FE" w14:textId="2A61F1E5" w:rsidR="219819B8" w:rsidRDefault="219819B8" w:rsidP="55496DC5">
            <w:pPr>
              <w:spacing w:line="240" w:lineRule="auto"/>
              <w:jc w:val="right"/>
            </w:pPr>
            <w:r w:rsidRPr="55496DC5">
              <w:rPr>
                <w:rFonts w:ascii="Calibri" w:eastAsia="Calibri" w:hAnsi="Calibri" w:cs="Calibri"/>
                <w:sz w:val="18"/>
                <w:szCs w:val="18"/>
              </w:rPr>
              <w:t>53.770,8</w:t>
            </w:r>
          </w:p>
          <w:p w14:paraId="6CB71B63" w14:textId="2B37E3C6" w:rsidR="219819B8" w:rsidRDefault="219819B8" w:rsidP="55496DC5">
            <w:pPr>
              <w:spacing w:line="240" w:lineRule="auto"/>
              <w:jc w:val="right"/>
            </w:pPr>
            <w:r w:rsidRPr="55496DC5">
              <w:rPr>
                <w:rFonts w:ascii="Calibri" w:eastAsia="Calibri" w:hAnsi="Calibri" w:cs="Calibri"/>
                <w:sz w:val="18"/>
                <w:szCs w:val="18"/>
              </w:rPr>
              <w:t>465,3%</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93ABB92" w14:textId="38EA3899" w:rsidR="219819B8" w:rsidRDefault="219819B8" w:rsidP="55496DC5">
            <w:pPr>
              <w:spacing w:line="240" w:lineRule="auto"/>
              <w:jc w:val="right"/>
            </w:pPr>
            <w:r w:rsidRPr="55496DC5">
              <w:rPr>
                <w:rFonts w:ascii="Calibri" w:eastAsia="Calibri" w:hAnsi="Calibri" w:cs="Calibri"/>
                <w:sz w:val="18"/>
                <w:szCs w:val="18"/>
              </w:rPr>
              <w:t>3.806,0</w:t>
            </w:r>
          </w:p>
          <w:p w14:paraId="2A497AD8" w14:textId="2B3D28E6" w:rsidR="219819B8" w:rsidRDefault="219819B8" w:rsidP="55496DC5">
            <w:pPr>
              <w:spacing w:line="240" w:lineRule="auto"/>
              <w:jc w:val="right"/>
            </w:pPr>
            <w:r w:rsidRPr="55496DC5">
              <w:rPr>
                <w:rFonts w:ascii="Calibri" w:eastAsia="Calibri" w:hAnsi="Calibri" w:cs="Calibri"/>
                <w:sz w:val="18"/>
                <w:szCs w:val="18"/>
              </w:rPr>
              <w:t>131.694,0</w:t>
            </w:r>
          </w:p>
          <w:p w14:paraId="2040EB92" w14:textId="7117AFC6" w:rsidR="219819B8" w:rsidRDefault="219819B8" w:rsidP="55496DC5">
            <w:pPr>
              <w:spacing w:line="240" w:lineRule="auto"/>
              <w:jc w:val="right"/>
            </w:pPr>
            <w:r w:rsidRPr="55496DC5">
              <w:rPr>
                <w:rFonts w:ascii="Calibri" w:eastAsia="Calibri" w:hAnsi="Calibri" w:cs="Calibri"/>
                <w:sz w:val="18"/>
                <w:szCs w:val="18"/>
              </w:rPr>
              <w:t>3.360,2%</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6133516" w14:textId="7C35A9E9" w:rsidR="219819B8" w:rsidRDefault="219819B8" w:rsidP="55496DC5">
            <w:pPr>
              <w:spacing w:line="240" w:lineRule="auto"/>
              <w:jc w:val="right"/>
            </w:pPr>
            <w:r w:rsidRPr="55496DC5">
              <w:rPr>
                <w:rFonts w:ascii="Calibri" w:eastAsia="Calibri" w:hAnsi="Calibri" w:cs="Calibri"/>
                <w:sz w:val="18"/>
                <w:szCs w:val="18"/>
              </w:rPr>
              <w:t>25.759,8</w:t>
            </w:r>
          </w:p>
          <w:p w14:paraId="688F6788" w14:textId="6E78AFB7" w:rsidR="219819B8" w:rsidRDefault="219819B8" w:rsidP="55496DC5">
            <w:pPr>
              <w:spacing w:line="240" w:lineRule="auto"/>
              <w:jc w:val="right"/>
            </w:pPr>
            <w:r w:rsidRPr="55496DC5">
              <w:rPr>
                <w:rFonts w:ascii="Calibri" w:eastAsia="Calibri" w:hAnsi="Calibri" w:cs="Calibri"/>
                <w:sz w:val="18"/>
                <w:szCs w:val="18"/>
              </w:rPr>
              <w:t>136.654,0</w:t>
            </w:r>
          </w:p>
          <w:p w14:paraId="0E509BE6" w14:textId="792B9853" w:rsidR="219819B8" w:rsidRDefault="219819B8" w:rsidP="55496DC5">
            <w:pPr>
              <w:spacing w:line="240" w:lineRule="auto"/>
              <w:jc w:val="right"/>
            </w:pPr>
            <w:r w:rsidRPr="55496DC5">
              <w:rPr>
                <w:rFonts w:ascii="Calibri" w:eastAsia="Calibri" w:hAnsi="Calibri" w:cs="Calibri"/>
                <w:sz w:val="18"/>
                <w:szCs w:val="18"/>
              </w:rPr>
              <w:t>430,5%</w:t>
            </w:r>
          </w:p>
        </w:tc>
        <w:tc>
          <w:tcPr>
            <w:tcW w:w="10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BB9AD0D" w14:textId="77777777" w:rsidR="00235546" w:rsidRDefault="219819B8" w:rsidP="55496DC5">
            <w:pPr>
              <w:spacing w:line="240" w:lineRule="auto"/>
              <w:jc w:val="right"/>
              <w:rPr>
                <w:rFonts w:ascii="Calibri" w:eastAsia="Calibri" w:hAnsi="Calibri" w:cs="Calibri"/>
                <w:sz w:val="18"/>
                <w:szCs w:val="18"/>
              </w:rPr>
            </w:pPr>
            <w:r w:rsidRPr="55496DC5">
              <w:rPr>
                <w:rFonts w:ascii="Calibri" w:eastAsia="Calibri" w:hAnsi="Calibri" w:cs="Calibri"/>
                <w:sz w:val="18"/>
                <w:szCs w:val="18"/>
              </w:rPr>
              <w:t xml:space="preserve">24.478,4 </w:t>
            </w:r>
          </w:p>
          <w:p w14:paraId="6A61AD12" w14:textId="5621DA1F" w:rsidR="219819B8" w:rsidRDefault="219819B8" w:rsidP="55496DC5">
            <w:pPr>
              <w:spacing w:line="240" w:lineRule="auto"/>
              <w:jc w:val="right"/>
            </w:pPr>
            <w:r w:rsidRPr="55496DC5">
              <w:rPr>
                <w:rFonts w:ascii="Calibri" w:eastAsia="Calibri" w:hAnsi="Calibri" w:cs="Calibri"/>
                <w:sz w:val="18"/>
                <w:szCs w:val="18"/>
              </w:rPr>
              <w:t xml:space="preserve">18.604,5 </w:t>
            </w:r>
          </w:p>
          <w:p w14:paraId="2C729988" w14:textId="1AD2A4B1" w:rsidR="219819B8" w:rsidRDefault="219819B8" w:rsidP="55496DC5">
            <w:pPr>
              <w:spacing w:line="240" w:lineRule="auto"/>
              <w:jc w:val="right"/>
            </w:pPr>
            <w:r w:rsidRPr="55496DC5">
              <w:rPr>
                <w:rFonts w:ascii="Calibri" w:eastAsia="Calibri" w:hAnsi="Calibri" w:cs="Calibri"/>
                <w:sz w:val="18"/>
                <w:szCs w:val="18"/>
              </w:rPr>
              <w:t xml:space="preserve">    -24,0%</w:t>
            </w:r>
          </w:p>
        </w:tc>
      </w:tr>
      <w:tr w:rsidR="219819B8" w14:paraId="26E2E8B2" w14:textId="77777777" w:rsidTr="003851A0">
        <w:trPr>
          <w:trHeight w:val="15"/>
        </w:trPr>
        <w:tc>
          <w:tcPr>
            <w:tcW w:w="47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B6A518" w14:textId="3B8B627D" w:rsidR="219819B8" w:rsidRDefault="219819B8">
            <w:r w:rsidRPr="219819B8">
              <w:rPr>
                <w:rFonts w:ascii="Calibri" w:eastAsia="Calibri" w:hAnsi="Calibri" w:cs="Calibri"/>
                <w:sz w:val="18"/>
                <w:szCs w:val="18"/>
              </w:rPr>
              <w:t>Operações de Crédito Rural</w:t>
            </w:r>
          </w:p>
        </w:tc>
        <w:tc>
          <w:tcPr>
            <w:tcW w:w="3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0D602FE" w14:textId="77777777" w:rsidR="000D3957"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E</w:t>
            </w:r>
          </w:p>
          <w:p w14:paraId="2CFC6A2E" w14:textId="77777777" w:rsidR="000D3957"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R</w:t>
            </w:r>
          </w:p>
          <w:p w14:paraId="0B57A955" w14:textId="2D3D8AA3" w:rsidR="219819B8" w:rsidRDefault="219819B8" w:rsidP="219819B8">
            <w:pPr>
              <w:jc w:val="center"/>
            </w:pPr>
            <w:r w:rsidRPr="55496DC5">
              <w:rPr>
                <w:rFonts w:ascii="Calibri" w:eastAsia="Calibri" w:hAnsi="Calibri" w:cs="Calibri"/>
                <w:sz w:val="18"/>
                <w:szCs w:val="18"/>
              </w:rPr>
              <w:t>%</w:t>
            </w:r>
          </w:p>
        </w:tc>
        <w:tc>
          <w:tcPr>
            <w:tcW w:w="10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ED4A5FA" w14:textId="4F161EEB" w:rsidR="219819B8" w:rsidRDefault="219819B8" w:rsidP="219819B8">
            <w:pPr>
              <w:jc w:val="right"/>
            </w:pPr>
            <w:r w:rsidRPr="219819B8">
              <w:rPr>
                <w:rFonts w:ascii="Calibri" w:eastAsia="Calibri" w:hAnsi="Calibri" w:cs="Calibri"/>
                <w:sz w:val="18"/>
                <w:szCs w:val="18"/>
              </w:rPr>
              <w:t>359,6</w:t>
            </w:r>
          </w:p>
          <w:p w14:paraId="6063E5C3" w14:textId="5BDC03D3" w:rsidR="219819B8" w:rsidRDefault="219819B8" w:rsidP="219819B8">
            <w:pPr>
              <w:jc w:val="right"/>
            </w:pPr>
            <w:r w:rsidRPr="219819B8">
              <w:rPr>
                <w:rFonts w:ascii="Calibri" w:eastAsia="Calibri" w:hAnsi="Calibri" w:cs="Calibri"/>
                <w:sz w:val="18"/>
                <w:szCs w:val="18"/>
              </w:rPr>
              <w:t>366,6</w:t>
            </w:r>
          </w:p>
          <w:p w14:paraId="0CC4DBC8" w14:textId="706E1FCB" w:rsidR="219819B8" w:rsidRDefault="219819B8" w:rsidP="219819B8">
            <w:pPr>
              <w:jc w:val="right"/>
            </w:pPr>
            <w:r w:rsidRPr="219819B8">
              <w:rPr>
                <w:rFonts w:ascii="Calibri" w:eastAsia="Calibri" w:hAnsi="Calibri" w:cs="Calibri"/>
                <w:sz w:val="18"/>
                <w:szCs w:val="18"/>
              </w:rPr>
              <w:t>1,9%</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D51170E" w14:textId="5FA9820C" w:rsidR="219819B8" w:rsidRDefault="219819B8" w:rsidP="219819B8">
            <w:pPr>
              <w:jc w:val="right"/>
            </w:pPr>
            <w:r w:rsidRPr="219819B8">
              <w:rPr>
                <w:rFonts w:ascii="Calibri" w:eastAsia="Calibri" w:hAnsi="Calibri" w:cs="Calibri"/>
                <w:sz w:val="18"/>
                <w:szCs w:val="18"/>
              </w:rPr>
              <w:t>1.058,2</w:t>
            </w:r>
          </w:p>
          <w:p w14:paraId="04E73D91" w14:textId="2431A185" w:rsidR="219819B8" w:rsidRDefault="219819B8" w:rsidP="219819B8">
            <w:pPr>
              <w:jc w:val="right"/>
            </w:pPr>
            <w:r w:rsidRPr="219819B8">
              <w:rPr>
                <w:rFonts w:ascii="Calibri" w:eastAsia="Calibri" w:hAnsi="Calibri" w:cs="Calibri"/>
                <w:sz w:val="18"/>
                <w:szCs w:val="18"/>
              </w:rPr>
              <w:t>6.302,2</w:t>
            </w:r>
          </w:p>
          <w:p w14:paraId="134EFB0C" w14:textId="204FA2D0" w:rsidR="219819B8" w:rsidRDefault="219819B8" w:rsidP="219819B8">
            <w:pPr>
              <w:jc w:val="right"/>
            </w:pPr>
            <w:r w:rsidRPr="219819B8">
              <w:rPr>
                <w:rFonts w:ascii="Calibri" w:eastAsia="Calibri" w:hAnsi="Calibri" w:cs="Calibri"/>
                <w:sz w:val="18"/>
                <w:szCs w:val="18"/>
              </w:rPr>
              <w:t>495,6%</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3785D69" w14:textId="3F6D89CA" w:rsidR="219819B8" w:rsidRDefault="219819B8" w:rsidP="219819B8">
            <w:pPr>
              <w:jc w:val="right"/>
            </w:pPr>
            <w:r w:rsidRPr="219819B8">
              <w:rPr>
                <w:rFonts w:ascii="Calibri" w:eastAsia="Calibri" w:hAnsi="Calibri" w:cs="Calibri"/>
                <w:sz w:val="18"/>
                <w:szCs w:val="18"/>
              </w:rPr>
              <w:t>5.695,1</w:t>
            </w:r>
          </w:p>
          <w:p w14:paraId="2D1A45D2" w14:textId="40323477" w:rsidR="219819B8" w:rsidRDefault="219819B8" w:rsidP="219819B8">
            <w:pPr>
              <w:jc w:val="right"/>
            </w:pPr>
            <w:r w:rsidRPr="219819B8">
              <w:rPr>
                <w:rFonts w:ascii="Calibri" w:eastAsia="Calibri" w:hAnsi="Calibri" w:cs="Calibri"/>
                <w:sz w:val="18"/>
                <w:szCs w:val="18"/>
              </w:rPr>
              <w:t>6.964,8</w:t>
            </w:r>
          </w:p>
          <w:p w14:paraId="707F9B76" w14:textId="220F205D" w:rsidR="219819B8" w:rsidRDefault="219819B8" w:rsidP="219819B8">
            <w:pPr>
              <w:jc w:val="right"/>
            </w:pPr>
            <w:r w:rsidRPr="219819B8">
              <w:rPr>
                <w:rFonts w:ascii="Calibri" w:eastAsia="Calibri" w:hAnsi="Calibri" w:cs="Calibri"/>
                <w:sz w:val="18"/>
                <w:szCs w:val="18"/>
              </w:rPr>
              <w:t>22,3%</w:t>
            </w:r>
          </w:p>
        </w:tc>
        <w:tc>
          <w:tcPr>
            <w:tcW w:w="10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EC7631" w14:textId="77777777" w:rsidR="00235546" w:rsidRDefault="219819B8" w:rsidP="219819B8">
            <w:pPr>
              <w:jc w:val="right"/>
              <w:rPr>
                <w:rFonts w:ascii="Calibri" w:eastAsia="Calibri" w:hAnsi="Calibri" w:cs="Calibri"/>
                <w:sz w:val="18"/>
                <w:szCs w:val="18"/>
              </w:rPr>
            </w:pPr>
            <w:r w:rsidRPr="219819B8">
              <w:rPr>
                <w:rFonts w:ascii="Calibri" w:eastAsia="Calibri" w:hAnsi="Calibri" w:cs="Calibri"/>
                <w:sz w:val="18"/>
                <w:szCs w:val="18"/>
              </w:rPr>
              <w:t xml:space="preserve">4.420,5 </w:t>
            </w:r>
          </w:p>
          <w:p w14:paraId="70F021BF" w14:textId="4D30CB1A" w:rsidR="219819B8" w:rsidRDefault="219819B8" w:rsidP="219819B8">
            <w:pPr>
              <w:jc w:val="right"/>
            </w:pPr>
            <w:r w:rsidRPr="219819B8">
              <w:rPr>
                <w:rFonts w:ascii="Calibri" w:eastAsia="Calibri" w:hAnsi="Calibri" w:cs="Calibri"/>
                <w:sz w:val="18"/>
                <w:szCs w:val="18"/>
              </w:rPr>
              <w:t xml:space="preserve">4.593,5 </w:t>
            </w:r>
          </w:p>
          <w:p w14:paraId="69BC3D32" w14:textId="38DE4000" w:rsidR="219819B8" w:rsidRDefault="219819B8" w:rsidP="219819B8">
            <w:pPr>
              <w:jc w:val="right"/>
            </w:pPr>
            <w:r w:rsidRPr="219819B8">
              <w:rPr>
                <w:rFonts w:ascii="Calibri" w:eastAsia="Calibri" w:hAnsi="Calibri" w:cs="Calibri"/>
                <w:sz w:val="18"/>
                <w:szCs w:val="18"/>
              </w:rPr>
              <w:t xml:space="preserve">      3,9%</w:t>
            </w:r>
          </w:p>
        </w:tc>
      </w:tr>
      <w:tr w:rsidR="219819B8" w14:paraId="19B2DB50" w14:textId="77777777" w:rsidTr="003851A0">
        <w:trPr>
          <w:trHeight w:val="15"/>
        </w:trPr>
        <w:tc>
          <w:tcPr>
            <w:tcW w:w="47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0BFA27F" w14:textId="7873D3B4" w:rsidR="219819B8" w:rsidRDefault="219819B8">
            <w:r w:rsidRPr="219819B8">
              <w:rPr>
                <w:rFonts w:ascii="Calibri" w:eastAsia="Calibri" w:hAnsi="Calibri" w:cs="Calibri"/>
                <w:sz w:val="18"/>
                <w:szCs w:val="18"/>
              </w:rPr>
              <w:t>Operações de Cessões de Crédito (ou estruturadas)</w:t>
            </w:r>
          </w:p>
        </w:tc>
        <w:tc>
          <w:tcPr>
            <w:tcW w:w="3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0DDCF60" w14:textId="77777777" w:rsidR="000D3957"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E</w:t>
            </w:r>
          </w:p>
          <w:p w14:paraId="7F17FAD9" w14:textId="77777777" w:rsidR="000D3957"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R</w:t>
            </w:r>
          </w:p>
          <w:p w14:paraId="3FE1DFCE" w14:textId="78696A17" w:rsidR="219819B8" w:rsidRDefault="219819B8" w:rsidP="219819B8">
            <w:pPr>
              <w:jc w:val="center"/>
            </w:pPr>
            <w:r w:rsidRPr="55496DC5">
              <w:rPr>
                <w:rFonts w:ascii="Calibri" w:eastAsia="Calibri" w:hAnsi="Calibri" w:cs="Calibri"/>
                <w:sz w:val="18"/>
                <w:szCs w:val="18"/>
              </w:rPr>
              <w:t>%</w:t>
            </w:r>
          </w:p>
        </w:tc>
        <w:tc>
          <w:tcPr>
            <w:tcW w:w="10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A3EBF70" w14:textId="0D16506E" w:rsidR="219819B8" w:rsidRDefault="219819B8" w:rsidP="219819B8">
            <w:pPr>
              <w:jc w:val="right"/>
            </w:pPr>
            <w:r w:rsidRPr="219819B8">
              <w:rPr>
                <w:rFonts w:ascii="Calibri" w:eastAsia="Calibri" w:hAnsi="Calibri" w:cs="Calibri"/>
                <w:sz w:val="18"/>
                <w:szCs w:val="18"/>
              </w:rPr>
              <w:t>6.393,9</w:t>
            </w:r>
          </w:p>
          <w:p w14:paraId="2FA0640F" w14:textId="3046442B" w:rsidR="219819B8" w:rsidRDefault="219819B8" w:rsidP="219819B8">
            <w:pPr>
              <w:jc w:val="right"/>
            </w:pPr>
            <w:r w:rsidRPr="219819B8">
              <w:rPr>
                <w:rFonts w:ascii="Calibri" w:eastAsia="Calibri" w:hAnsi="Calibri" w:cs="Calibri"/>
                <w:sz w:val="18"/>
                <w:szCs w:val="18"/>
              </w:rPr>
              <w:t>5.382,8</w:t>
            </w:r>
          </w:p>
          <w:p w14:paraId="5D6E7D2F" w14:textId="1477606A" w:rsidR="219819B8" w:rsidRDefault="219819B8" w:rsidP="219819B8">
            <w:pPr>
              <w:jc w:val="right"/>
            </w:pPr>
            <w:r w:rsidRPr="219819B8">
              <w:rPr>
                <w:rFonts w:ascii="Calibri" w:eastAsia="Calibri" w:hAnsi="Calibri" w:cs="Calibri"/>
                <w:sz w:val="18"/>
                <w:szCs w:val="18"/>
              </w:rPr>
              <w:t>15,8%</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C42F007" w14:textId="446649A8" w:rsidR="219819B8" w:rsidRDefault="219819B8" w:rsidP="219819B8">
            <w:pPr>
              <w:jc w:val="right"/>
            </w:pPr>
            <w:r w:rsidRPr="219819B8">
              <w:rPr>
                <w:rFonts w:ascii="Calibri" w:eastAsia="Calibri" w:hAnsi="Calibri" w:cs="Calibri"/>
                <w:sz w:val="18"/>
                <w:szCs w:val="18"/>
              </w:rPr>
              <w:t>5.130,9</w:t>
            </w:r>
          </w:p>
          <w:p w14:paraId="75502C19" w14:textId="6505E1D4" w:rsidR="219819B8" w:rsidRDefault="219819B8" w:rsidP="219819B8">
            <w:pPr>
              <w:jc w:val="right"/>
            </w:pPr>
            <w:r w:rsidRPr="219819B8">
              <w:rPr>
                <w:rFonts w:ascii="Calibri" w:eastAsia="Calibri" w:hAnsi="Calibri" w:cs="Calibri"/>
                <w:sz w:val="18"/>
                <w:szCs w:val="18"/>
              </w:rPr>
              <w:t>6.100,4</w:t>
            </w:r>
          </w:p>
          <w:p w14:paraId="2A7920E1" w14:textId="15D43B12" w:rsidR="219819B8" w:rsidRDefault="219819B8" w:rsidP="219819B8">
            <w:pPr>
              <w:jc w:val="right"/>
            </w:pPr>
            <w:r w:rsidRPr="219819B8">
              <w:rPr>
                <w:rFonts w:ascii="Calibri" w:eastAsia="Calibri" w:hAnsi="Calibri" w:cs="Calibri"/>
                <w:sz w:val="18"/>
                <w:szCs w:val="18"/>
              </w:rPr>
              <w:t>18,9%</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53516076" w14:textId="00C264CF" w:rsidR="219819B8" w:rsidRDefault="219819B8" w:rsidP="219819B8">
            <w:pPr>
              <w:jc w:val="right"/>
            </w:pPr>
            <w:r w:rsidRPr="219819B8">
              <w:rPr>
                <w:rFonts w:ascii="Calibri" w:eastAsia="Calibri" w:hAnsi="Calibri" w:cs="Calibri"/>
                <w:sz w:val="18"/>
                <w:szCs w:val="18"/>
              </w:rPr>
              <w:t>5.625,8</w:t>
            </w:r>
          </w:p>
          <w:p w14:paraId="200A0C2B" w14:textId="09F6063E" w:rsidR="219819B8" w:rsidRDefault="219819B8" w:rsidP="219819B8">
            <w:pPr>
              <w:jc w:val="right"/>
            </w:pPr>
            <w:r w:rsidRPr="219819B8">
              <w:rPr>
                <w:rFonts w:ascii="Calibri" w:eastAsia="Calibri" w:hAnsi="Calibri" w:cs="Calibri"/>
                <w:sz w:val="18"/>
                <w:szCs w:val="18"/>
              </w:rPr>
              <w:t>7.222,0</w:t>
            </w:r>
          </w:p>
          <w:p w14:paraId="06103D19" w14:textId="23A38D40" w:rsidR="219819B8" w:rsidRDefault="219819B8" w:rsidP="219819B8">
            <w:pPr>
              <w:jc w:val="right"/>
            </w:pPr>
            <w:r w:rsidRPr="219819B8">
              <w:rPr>
                <w:rFonts w:ascii="Calibri" w:eastAsia="Calibri" w:hAnsi="Calibri" w:cs="Calibri"/>
                <w:sz w:val="18"/>
                <w:szCs w:val="18"/>
              </w:rPr>
              <w:t>28,4%</w:t>
            </w:r>
          </w:p>
        </w:tc>
        <w:tc>
          <w:tcPr>
            <w:tcW w:w="10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381ED01" w14:textId="77777777" w:rsidR="00235546" w:rsidRDefault="219819B8" w:rsidP="219819B8">
            <w:pPr>
              <w:jc w:val="right"/>
              <w:rPr>
                <w:rFonts w:ascii="Calibri" w:eastAsia="Calibri" w:hAnsi="Calibri" w:cs="Calibri"/>
                <w:sz w:val="18"/>
                <w:szCs w:val="18"/>
              </w:rPr>
            </w:pPr>
            <w:r w:rsidRPr="219819B8">
              <w:rPr>
                <w:rFonts w:ascii="Calibri" w:eastAsia="Calibri" w:hAnsi="Calibri" w:cs="Calibri"/>
                <w:sz w:val="18"/>
                <w:szCs w:val="18"/>
              </w:rPr>
              <w:t xml:space="preserve">2.269,4 </w:t>
            </w:r>
          </w:p>
          <w:p w14:paraId="53A0D4D4" w14:textId="017F162A" w:rsidR="219819B8" w:rsidRDefault="219819B8" w:rsidP="219819B8">
            <w:pPr>
              <w:jc w:val="right"/>
            </w:pPr>
            <w:r w:rsidRPr="219819B8">
              <w:rPr>
                <w:rFonts w:ascii="Calibri" w:eastAsia="Calibri" w:hAnsi="Calibri" w:cs="Calibri"/>
                <w:sz w:val="18"/>
                <w:szCs w:val="18"/>
              </w:rPr>
              <w:t xml:space="preserve">5.286,6 </w:t>
            </w:r>
          </w:p>
          <w:p w14:paraId="2B8A0E51" w14:textId="349D7FD4" w:rsidR="219819B8" w:rsidRDefault="219819B8" w:rsidP="219819B8">
            <w:pPr>
              <w:jc w:val="right"/>
            </w:pPr>
            <w:r w:rsidRPr="219819B8">
              <w:rPr>
                <w:rFonts w:ascii="Calibri" w:eastAsia="Calibri" w:hAnsi="Calibri" w:cs="Calibri"/>
                <w:sz w:val="18"/>
                <w:szCs w:val="18"/>
              </w:rPr>
              <w:t xml:space="preserve"> 133,0%</w:t>
            </w:r>
          </w:p>
        </w:tc>
      </w:tr>
      <w:tr w:rsidR="219819B8" w14:paraId="3DF90A05" w14:textId="77777777" w:rsidTr="003851A0">
        <w:trPr>
          <w:trHeight w:val="15"/>
        </w:trPr>
        <w:tc>
          <w:tcPr>
            <w:tcW w:w="47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A7E9A5" w14:textId="46C1113E" w:rsidR="219819B8" w:rsidRDefault="219819B8">
            <w:r w:rsidRPr="219819B8">
              <w:rPr>
                <w:rFonts w:ascii="Calibri" w:eastAsia="Calibri" w:hAnsi="Calibri" w:cs="Calibri"/>
                <w:sz w:val="18"/>
                <w:szCs w:val="18"/>
              </w:rPr>
              <w:t>Operações de Crédito à Exportação</w:t>
            </w:r>
          </w:p>
        </w:tc>
        <w:tc>
          <w:tcPr>
            <w:tcW w:w="3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7C93174" w14:textId="77777777" w:rsidR="00235546"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E</w:t>
            </w:r>
          </w:p>
          <w:p w14:paraId="30324622" w14:textId="77777777" w:rsidR="00235546"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R</w:t>
            </w:r>
          </w:p>
          <w:p w14:paraId="5115A6D7" w14:textId="1C7ADB0D" w:rsidR="219819B8" w:rsidRDefault="219819B8" w:rsidP="219819B8">
            <w:pPr>
              <w:jc w:val="center"/>
            </w:pPr>
            <w:r w:rsidRPr="55496DC5">
              <w:rPr>
                <w:rFonts w:ascii="Calibri" w:eastAsia="Calibri" w:hAnsi="Calibri" w:cs="Calibri"/>
                <w:sz w:val="18"/>
                <w:szCs w:val="18"/>
              </w:rPr>
              <w:t>%</w:t>
            </w:r>
          </w:p>
        </w:tc>
        <w:tc>
          <w:tcPr>
            <w:tcW w:w="10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71D236F" w14:textId="17A9B0CB" w:rsidR="219819B8" w:rsidRDefault="219819B8" w:rsidP="219819B8">
            <w:pPr>
              <w:jc w:val="right"/>
            </w:pPr>
            <w:r w:rsidRPr="219819B8">
              <w:rPr>
                <w:rFonts w:ascii="Calibri" w:eastAsia="Calibri" w:hAnsi="Calibri" w:cs="Calibri"/>
                <w:sz w:val="18"/>
                <w:szCs w:val="18"/>
              </w:rPr>
              <w:t>1.385,5</w:t>
            </w:r>
          </w:p>
          <w:p w14:paraId="568F0AFA" w14:textId="43330E7C" w:rsidR="219819B8" w:rsidRDefault="219819B8" w:rsidP="219819B8">
            <w:pPr>
              <w:jc w:val="right"/>
            </w:pPr>
            <w:r w:rsidRPr="219819B8">
              <w:rPr>
                <w:rFonts w:ascii="Calibri" w:eastAsia="Calibri" w:hAnsi="Calibri" w:cs="Calibri"/>
                <w:sz w:val="18"/>
                <w:szCs w:val="18"/>
              </w:rPr>
              <w:t>1.143,7</w:t>
            </w:r>
          </w:p>
          <w:p w14:paraId="7F36F891" w14:textId="1508CAD1" w:rsidR="219819B8" w:rsidRDefault="219819B8" w:rsidP="219819B8">
            <w:pPr>
              <w:jc w:val="right"/>
            </w:pPr>
            <w:r w:rsidRPr="219819B8">
              <w:rPr>
                <w:rFonts w:ascii="Calibri" w:eastAsia="Calibri" w:hAnsi="Calibri" w:cs="Calibri"/>
                <w:sz w:val="18"/>
                <w:szCs w:val="18"/>
              </w:rPr>
              <w:t>17,5%</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C40F7F1" w14:textId="7C3D709E" w:rsidR="219819B8" w:rsidRDefault="219819B8" w:rsidP="219819B8">
            <w:pPr>
              <w:jc w:val="right"/>
            </w:pPr>
            <w:r w:rsidRPr="219819B8">
              <w:rPr>
                <w:rFonts w:ascii="Calibri" w:eastAsia="Calibri" w:hAnsi="Calibri" w:cs="Calibri"/>
                <w:sz w:val="18"/>
                <w:szCs w:val="18"/>
              </w:rPr>
              <w:t>1.278,8</w:t>
            </w:r>
          </w:p>
          <w:p w14:paraId="3016CC4C" w14:textId="1146C56C" w:rsidR="219819B8" w:rsidRDefault="219819B8" w:rsidP="219819B8">
            <w:pPr>
              <w:jc w:val="right"/>
            </w:pPr>
            <w:r w:rsidRPr="219819B8">
              <w:rPr>
                <w:rFonts w:ascii="Calibri" w:eastAsia="Calibri" w:hAnsi="Calibri" w:cs="Calibri"/>
                <w:sz w:val="18"/>
                <w:szCs w:val="18"/>
              </w:rPr>
              <w:t>1.523,6</w:t>
            </w:r>
          </w:p>
          <w:p w14:paraId="127BFB7B" w14:textId="577DCD99" w:rsidR="219819B8" w:rsidRDefault="219819B8" w:rsidP="219819B8">
            <w:pPr>
              <w:jc w:val="right"/>
            </w:pPr>
            <w:r w:rsidRPr="219819B8">
              <w:rPr>
                <w:rFonts w:ascii="Calibri" w:eastAsia="Calibri" w:hAnsi="Calibri" w:cs="Calibri"/>
                <w:sz w:val="18"/>
                <w:szCs w:val="18"/>
              </w:rPr>
              <w:t>19,1%</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59798F3" w14:textId="3EEF0AF6" w:rsidR="219819B8" w:rsidRDefault="219819B8" w:rsidP="219819B8">
            <w:pPr>
              <w:jc w:val="right"/>
            </w:pPr>
            <w:r w:rsidRPr="219819B8">
              <w:rPr>
                <w:rFonts w:ascii="Calibri" w:eastAsia="Calibri" w:hAnsi="Calibri" w:cs="Calibri"/>
                <w:sz w:val="18"/>
                <w:szCs w:val="18"/>
              </w:rPr>
              <w:t>1.279,6</w:t>
            </w:r>
          </w:p>
          <w:p w14:paraId="3005A9D9" w14:textId="0184287E" w:rsidR="219819B8" w:rsidRDefault="219819B8" w:rsidP="219819B8">
            <w:pPr>
              <w:jc w:val="right"/>
            </w:pPr>
            <w:r w:rsidRPr="219819B8">
              <w:rPr>
                <w:rFonts w:ascii="Calibri" w:eastAsia="Calibri" w:hAnsi="Calibri" w:cs="Calibri"/>
                <w:sz w:val="18"/>
                <w:szCs w:val="18"/>
              </w:rPr>
              <w:t>1.254,8</w:t>
            </w:r>
          </w:p>
          <w:p w14:paraId="6AC8A13D" w14:textId="173413AB" w:rsidR="219819B8" w:rsidRDefault="219819B8" w:rsidP="219819B8">
            <w:pPr>
              <w:jc w:val="right"/>
            </w:pPr>
            <w:r w:rsidRPr="219819B8">
              <w:rPr>
                <w:rFonts w:ascii="Calibri" w:eastAsia="Calibri" w:hAnsi="Calibri" w:cs="Calibri"/>
                <w:sz w:val="18"/>
                <w:szCs w:val="18"/>
              </w:rPr>
              <w:t>-1,9%</w:t>
            </w:r>
          </w:p>
        </w:tc>
        <w:tc>
          <w:tcPr>
            <w:tcW w:w="10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4FBF6F1" w14:textId="77777777" w:rsidR="00235546" w:rsidRDefault="219819B8" w:rsidP="219819B8">
            <w:pPr>
              <w:jc w:val="right"/>
              <w:rPr>
                <w:rFonts w:ascii="Calibri" w:eastAsia="Calibri" w:hAnsi="Calibri" w:cs="Calibri"/>
                <w:sz w:val="18"/>
                <w:szCs w:val="18"/>
              </w:rPr>
            </w:pPr>
            <w:r w:rsidRPr="219819B8">
              <w:rPr>
                <w:rFonts w:ascii="Calibri" w:eastAsia="Calibri" w:hAnsi="Calibri" w:cs="Calibri"/>
                <w:sz w:val="18"/>
                <w:szCs w:val="18"/>
              </w:rPr>
              <w:t>882,2</w:t>
            </w:r>
          </w:p>
          <w:p w14:paraId="39A3A893" w14:textId="2C0BC0E3" w:rsidR="219819B8" w:rsidRDefault="219819B8" w:rsidP="219819B8">
            <w:pPr>
              <w:jc w:val="right"/>
            </w:pPr>
            <w:r w:rsidRPr="219819B8">
              <w:rPr>
                <w:rFonts w:ascii="Calibri" w:eastAsia="Calibri" w:hAnsi="Calibri" w:cs="Calibri"/>
                <w:sz w:val="18"/>
                <w:szCs w:val="18"/>
              </w:rPr>
              <w:t xml:space="preserve">1.328,6 </w:t>
            </w:r>
          </w:p>
          <w:p w14:paraId="72FF4721" w14:textId="5A56D62E" w:rsidR="219819B8" w:rsidRDefault="219819B8" w:rsidP="219819B8">
            <w:pPr>
              <w:jc w:val="right"/>
            </w:pPr>
            <w:r w:rsidRPr="219819B8">
              <w:rPr>
                <w:rFonts w:ascii="Calibri" w:eastAsia="Calibri" w:hAnsi="Calibri" w:cs="Calibri"/>
                <w:sz w:val="18"/>
                <w:szCs w:val="18"/>
              </w:rPr>
              <w:t xml:space="preserve">    50,6%</w:t>
            </w:r>
          </w:p>
        </w:tc>
      </w:tr>
      <w:tr w:rsidR="219819B8" w14:paraId="2E70FE15" w14:textId="77777777" w:rsidTr="003851A0">
        <w:trPr>
          <w:trHeight w:val="15"/>
        </w:trPr>
        <w:tc>
          <w:tcPr>
            <w:tcW w:w="47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B79B81" w14:textId="21AF2BB4" w:rsidR="219819B8" w:rsidRDefault="219819B8">
            <w:r w:rsidRPr="219819B8">
              <w:rPr>
                <w:rFonts w:ascii="Calibri" w:eastAsia="Calibri" w:hAnsi="Calibri" w:cs="Calibri"/>
                <w:sz w:val="18"/>
                <w:szCs w:val="18"/>
              </w:rPr>
              <w:t>Empréstimos a Entidades Não Financeiras</w:t>
            </w:r>
          </w:p>
        </w:tc>
        <w:tc>
          <w:tcPr>
            <w:tcW w:w="3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8BD7435" w14:textId="77777777" w:rsidR="00235546"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E</w:t>
            </w:r>
          </w:p>
          <w:p w14:paraId="0E9763BB" w14:textId="77777777" w:rsidR="00235546"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R</w:t>
            </w:r>
          </w:p>
          <w:p w14:paraId="166AD16E" w14:textId="271FEB6C" w:rsidR="219819B8" w:rsidRDefault="219819B8" w:rsidP="219819B8">
            <w:pPr>
              <w:jc w:val="center"/>
            </w:pPr>
            <w:r w:rsidRPr="55496DC5">
              <w:rPr>
                <w:rFonts w:ascii="Calibri" w:eastAsia="Calibri" w:hAnsi="Calibri" w:cs="Calibri"/>
                <w:sz w:val="18"/>
                <w:szCs w:val="18"/>
              </w:rPr>
              <w:t>%</w:t>
            </w:r>
          </w:p>
        </w:tc>
        <w:tc>
          <w:tcPr>
            <w:tcW w:w="10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5CFAFE5" w14:textId="4CD8B02C" w:rsidR="219819B8" w:rsidRDefault="219819B8" w:rsidP="219819B8">
            <w:pPr>
              <w:jc w:val="right"/>
            </w:pPr>
            <w:r w:rsidRPr="219819B8">
              <w:rPr>
                <w:rFonts w:ascii="Calibri" w:eastAsia="Calibri" w:hAnsi="Calibri" w:cs="Calibri"/>
                <w:sz w:val="18"/>
                <w:szCs w:val="18"/>
              </w:rPr>
              <w:t>23,4</w:t>
            </w:r>
          </w:p>
          <w:p w14:paraId="33B3A3ED" w14:textId="3CDB7527" w:rsidR="219819B8" w:rsidRDefault="219819B8" w:rsidP="219819B8">
            <w:pPr>
              <w:jc w:val="right"/>
            </w:pPr>
            <w:r w:rsidRPr="219819B8">
              <w:rPr>
                <w:rFonts w:ascii="Calibri" w:eastAsia="Calibri" w:hAnsi="Calibri" w:cs="Calibri"/>
                <w:sz w:val="18"/>
                <w:szCs w:val="18"/>
              </w:rPr>
              <w:t>19,6</w:t>
            </w:r>
          </w:p>
          <w:p w14:paraId="375E9591" w14:textId="4AB46705" w:rsidR="219819B8" w:rsidRDefault="219819B8" w:rsidP="219819B8">
            <w:pPr>
              <w:jc w:val="right"/>
            </w:pPr>
            <w:r w:rsidRPr="219819B8">
              <w:rPr>
                <w:rFonts w:ascii="Calibri" w:eastAsia="Calibri" w:hAnsi="Calibri" w:cs="Calibri"/>
                <w:sz w:val="18"/>
                <w:szCs w:val="18"/>
              </w:rPr>
              <w:t>-16,1%</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DCACD22" w14:textId="7FE279FE" w:rsidR="219819B8" w:rsidRDefault="219819B8" w:rsidP="219819B8">
            <w:pPr>
              <w:jc w:val="right"/>
            </w:pPr>
            <w:r w:rsidRPr="219819B8">
              <w:rPr>
                <w:rFonts w:ascii="Calibri" w:eastAsia="Calibri" w:hAnsi="Calibri" w:cs="Calibri"/>
                <w:sz w:val="18"/>
                <w:szCs w:val="18"/>
              </w:rPr>
              <w:t>17,7</w:t>
            </w:r>
          </w:p>
          <w:p w14:paraId="4A753867" w14:textId="0DBB39FF" w:rsidR="219819B8" w:rsidRDefault="219819B8" w:rsidP="219819B8">
            <w:pPr>
              <w:jc w:val="right"/>
            </w:pPr>
            <w:r w:rsidRPr="219819B8">
              <w:rPr>
                <w:rFonts w:ascii="Calibri" w:eastAsia="Calibri" w:hAnsi="Calibri" w:cs="Calibri"/>
                <w:sz w:val="18"/>
                <w:szCs w:val="18"/>
              </w:rPr>
              <w:t>23,4</w:t>
            </w:r>
          </w:p>
          <w:p w14:paraId="6CC0C23C" w14:textId="48B2C8BB" w:rsidR="219819B8" w:rsidRDefault="219819B8" w:rsidP="219819B8">
            <w:pPr>
              <w:jc w:val="right"/>
            </w:pPr>
            <w:r w:rsidRPr="219819B8">
              <w:rPr>
                <w:rFonts w:ascii="Calibri" w:eastAsia="Calibri" w:hAnsi="Calibri" w:cs="Calibri"/>
                <w:sz w:val="18"/>
                <w:szCs w:val="18"/>
              </w:rPr>
              <w:t>32,2%</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DAFC2D8" w14:textId="6113B1A2" w:rsidR="219819B8" w:rsidRDefault="219819B8" w:rsidP="219819B8">
            <w:pPr>
              <w:jc w:val="right"/>
            </w:pPr>
            <w:r w:rsidRPr="219819B8">
              <w:rPr>
                <w:rFonts w:ascii="Calibri" w:eastAsia="Calibri" w:hAnsi="Calibri" w:cs="Calibri"/>
                <w:sz w:val="18"/>
                <w:szCs w:val="18"/>
              </w:rPr>
              <w:t>21,9</w:t>
            </w:r>
          </w:p>
          <w:p w14:paraId="7C6CD3E8" w14:textId="793750F0" w:rsidR="219819B8" w:rsidRDefault="219819B8" w:rsidP="219819B8">
            <w:pPr>
              <w:jc w:val="right"/>
            </w:pPr>
            <w:r w:rsidRPr="219819B8">
              <w:rPr>
                <w:rFonts w:ascii="Calibri" w:eastAsia="Calibri" w:hAnsi="Calibri" w:cs="Calibri"/>
                <w:sz w:val="18"/>
                <w:szCs w:val="18"/>
              </w:rPr>
              <w:t>23,1</w:t>
            </w:r>
          </w:p>
          <w:p w14:paraId="59B9ABD9" w14:textId="7579CD84" w:rsidR="219819B8" w:rsidRDefault="219819B8" w:rsidP="219819B8">
            <w:pPr>
              <w:jc w:val="right"/>
            </w:pPr>
            <w:r w:rsidRPr="219819B8">
              <w:rPr>
                <w:rFonts w:ascii="Calibri" w:eastAsia="Calibri" w:hAnsi="Calibri" w:cs="Calibri"/>
                <w:sz w:val="18"/>
                <w:szCs w:val="18"/>
              </w:rPr>
              <w:t>5,6%</w:t>
            </w:r>
          </w:p>
        </w:tc>
        <w:tc>
          <w:tcPr>
            <w:tcW w:w="10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BBA50FE" w14:textId="67C9981F" w:rsidR="219819B8" w:rsidRDefault="219819B8" w:rsidP="219819B8">
            <w:pPr>
              <w:jc w:val="right"/>
            </w:pPr>
            <w:r w:rsidRPr="219819B8">
              <w:rPr>
                <w:rFonts w:ascii="Calibri" w:eastAsia="Calibri" w:hAnsi="Calibri" w:cs="Calibri"/>
                <w:sz w:val="18"/>
                <w:szCs w:val="18"/>
              </w:rPr>
              <w:t xml:space="preserve">21,9 </w:t>
            </w:r>
          </w:p>
          <w:p w14:paraId="261748CA" w14:textId="1E880699" w:rsidR="219819B8" w:rsidRDefault="219819B8" w:rsidP="219819B8">
            <w:pPr>
              <w:jc w:val="right"/>
            </w:pPr>
            <w:r w:rsidRPr="219819B8">
              <w:rPr>
                <w:rFonts w:ascii="Calibri" w:eastAsia="Calibri" w:hAnsi="Calibri" w:cs="Calibri"/>
                <w:sz w:val="18"/>
                <w:szCs w:val="18"/>
              </w:rPr>
              <w:t xml:space="preserve">29,8 </w:t>
            </w:r>
          </w:p>
          <w:p w14:paraId="6C4A8A25" w14:textId="598E36F3" w:rsidR="219819B8" w:rsidRDefault="219819B8" w:rsidP="219819B8">
            <w:pPr>
              <w:jc w:val="right"/>
            </w:pPr>
            <w:r w:rsidRPr="219819B8">
              <w:rPr>
                <w:rFonts w:ascii="Calibri" w:eastAsia="Calibri" w:hAnsi="Calibri" w:cs="Calibri"/>
                <w:sz w:val="18"/>
                <w:szCs w:val="18"/>
              </w:rPr>
              <w:t>36,1%</w:t>
            </w:r>
          </w:p>
        </w:tc>
      </w:tr>
      <w:tr w:rsidR="219819B8" w14:paraId="45D52EAD" w14:textId="77777777" w:rsidTr="003851A0">
        <w:trPr>
          <w:trHeight w:val="15"/>
        </w:trPr>
        <w:tc>
          <w:tcPr>
            <w:tcW w:w="47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4DE5A0" w14:textId="5C46666E" w:rsidR="219819B8" w:rsidRDefault="219819B8">
            <w:r w:rsidRPr="219819B8">
              <w:rPr>
                <w:rFonts w:ascii="Calibri" w:eastAsia="Calibri" w:hAnsi="Calibri" w:cs="Calibri"/>
                <w:sz w:val="18"/>
                <w:szCs w:val="18"/>
              </w:rPr>
              <w:t>Programa Emergencial de Suporte ao Emprego - PESE/FOPAG</w:t>
            </w:r>
          </w:p>
        </w:tc>
        <w:tc>
          <w:tcPr>
            <w:tcW w:w="3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BC44D23" w14:textId="77777777" w:rsidR="00235546"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E</w:t>
            </w:r>
          </w:p>
          <w:p w14:paraId="483F1FCF" w14:textId="77777777" w:rsidR="00235546" w:rsidRDefault="219819B8" w:rsidP="219819B8">
            <w:pPr>
              <w:jc w:val="center"/>
              <w:rPr>
                <w:rFonts w:ascii="Calibri" w:eastAsia="Calibri" w:hAnsi="Calibri" w:cs="Calibri"/>
                <w:sz w:val="18"/>
                <w:szCs w:val="18"/>
              </w:rPr>
            </w:pPr>
            <w:r w:rsidRPr="55496DC5">
              <w:rPr>
                <w:rFonts w:ascii="Calibri" w:eastAsia="Calibri" w:hAnsi="Calibri" w:cs="Calibri"/>
                <w:sz w:val="18"/>
                <w:szCs w:val="18"/>
              </w:rPr>
              <w:t>R</w:t>
            </w:r>
          </w:p>
          <w:p w14:paraId="6133B747" w14:textId="54CFF036" w:rsidR="219819B8" w:rsidRDefault="219819B8" w:rsidP="219819B8">
            <w:pPr>
              <w:jc w:val="center"/>
            </w:pPr>
            <w:r w:rsidRPr="55496DC5">
              <w:rPr>
                <w:rFonts w:ascii="Calibri" w:eastAsia="Calibri" w:hAnsi="Calibri" w:cs="Calibri"/>
                <w:sz w:val="18"/>
                <w:szCs w:val="18"/>
              </w:rPr>
              <w:t>%</w:t>
            </w:r>
          </w:p>
        </w:tc>
        <w:tc>
          <w:tcPr>
            <w:tcW w:w="10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708C153" w14:textId="06C2C24C" w:rsidR="219819B8" w:rsidRDefault="219819B8" w:rsidP="219819B8">
            <w:pPr>
              <w:jc w:val="right"/>
            </w:pPr>
            <w:r w:rsidRPr="219819B8">
              <w:rPr>
                <w:rFonts w:ascii="Calibri" w:eastAsia="Calibri" w:hAnsi="Calibri" w:cs="Calibri"/>
                <w:sz w:val="18"/>
                <w:szCs w:val="18"/>
              </w:rPr>
              <w:t xml:space="preserve"> </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83BB4BA" w14:textId="4438164D" w:rsidR="219819B8" w:rsidRDefault="219819B8" w:rsidP="219819B8">
            <w:pPr>
              <w:jc w:val="right"/>
            </w:pPr>
            <w:r w:rsidRPr="219819B8">
              <w:rPr>
                <w:rFonts w:ascii="Calibri" w:eastAsia="Calibri" w:hAnsi="Calibri" w:cs="Calibri"/>
                <w:sz w:val="18"/>
                <w:szCs w:val="18"/>
              </w:rPr>
              <w:t xml:space="preserve"> </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20254E1" w14:textId="4E055B80" w:rsidR="219819B8" w:rsidRDefault="219819B8" w:rsidP="219819B8">
            <w:pPr>
              <w:jc w:val="right"/>
            </w:pPr>
            <w:r w:rsidRPr="219819B8">
              <w:rPr>
                <w:rFonts w:ascii="Calibri" w:eastAsia="Calibri" w:hAnsi="Calibri" w:cs="Calibri"/>
                <w:sz w:val="18"/>
                <w:szCs w:val="18"/>
              </w:rPr>
              <w:t xml:space="preserve"> </w:t>
            </w:r>
          </w:p>
        </w:tc>
        <w:tc>
          <w:tcPr>
            <w:tcW w:w="10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AF39788" w14:textId="0C34AE5E" w:rsidR="219819B8" w:rsidRDefault="219819B8" w:rsidP="219819B8">
            <w:pPr>
              <w:jc w:val="right"/>
            </w:pPr>
            <w:r w:rsidRPr="219819B8">
              <w:rPr>
                <w:rFonts w:ascii="Calibri" w:eastAsia="Calibri" w:hAnsi="Calibri" w:cs="Calibri"/>
                <w:sz w:val="18"/>
                <w:szCs w:val="18"/>
              </w:rPr>
              <w:t xml:space="preserve"> </w:t>
            </w:r>
          </w:p>
          <w:p w14:paraId="253A7596" w14:textId="76E5B6A6" w:rsidR="2CEEB9C7" w:rsidRDefault="2CEEB9C7" w:rsidP="2CEEB9C7">
            <w:pPr>
              <w:jc w:val="right"/>
              <w:rPr>
                <w:rFonts w:ascii="Calibri" w:eastAsia="Calibri" w:hAnsi="Calibri" w:cs="Calibri"/>
                <w:sz w:val="18"/>
                <w:szCs w:val="18"/>
              </w:rPr>
            </w:pPr>
          </w:p>
          <w:p w14:paraId="6C2E0A2C" w14:textId="376BC148" w:rsidR="219819B8" w:rsidRDefault="219819B8" w:rsidP="219819B8">
            <w:pPr>
              <w:jc w:val="right"/>
            </w:pPr>
            <w:r w:rsidRPr="219819B8">
              <w:rPr>
                <w:rFonts w:ascii="Calibri" w:eastAsia="Calibri" w:hAnsi="Calibri" w:cs="Calibri"/>
                <w:sz w:val="18"/>
                <w:szCs w:val="18"/>
              </w:rPr>
              <w:t>22,9</w:t>
            </w:r>
          </w:p>
        </w:tc>
      </w:tr>
      <w:tr w:rsidR="219819B8" w14:paraId="5680F07A" w14:textId="77777777" w:rsidTr="003851A0">
        <w:trPr>
          <w:trHeight w:val="15"/>
        </w:trPr>
        <w:tc>
          <w:tcPr>
            <w:tcW w:w="47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288A5EF3" w14:textId="2E80F165" w:rsidR="219819B8" w:rsidRDefault="219819B8">
            <w:r w:rsidRPr="219819B8">
              <w:rPr>
                <w:rFonts w:ascii="Calibri" w:eastAsia="Calibri" w:hAnsi="Calibri" w:cs="Calibri"/>
                <w:color w:val="FFFFFF" w:themeColor="background1"/>
                <w:sz w:val="18"/>
                <w:szCs w:val="18"/>
              </w:rPr>
              <w:t>Total</w:t>
            </w:r>
          </w:p>
        </w:tc>
        <w:tc>
          <w:tcPr>
            <w:tcW w:w="3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70571924" w14:textId="77777777" w:rsidR="00235546" w:rsidRDefault="219819B8" w:rsidP="219819B8">
            <w:pPr>
              <w:jc w:val="center"/>
              <w:rPr>
                <w:rFonts w:ascii="Calibri" w:eastAsia="Calibri" w:hAnsi="Calibri" w:cs="Calibri"/>
                <w:color w:val="FFFFFF" w:themeColor="background1"/>
                <w:sz w:val="18"/>
                <w:szCs w:val="18"/>
              </w:rPr>
            </w:pPr>
            <w:r w:rsidRPr="55496DC5">
              <w:rPr>
                <w:rFonts w:ascii="Calibri" w:eastAsia="Calibri" w:hAnsi="Calibri" w:cs="Calibri"/>
                <w:color w:val="FFFFFF" w:themeColor="background1"/>
                <w:sz w:val="18"/>
                <w:szCs w:val="18"/>
              </w:rPr>
              <w:t>E</w:t>
            </w:r>
          </w:p>
          <w:p w14:paraId="51A23040" w14:textId="77777777" w:rsidR="00235546" w:rsidRDefault="219819B8" w:rsidP="219819B8">
            <w:pPr>
              <w:jc w:val="center"/>
              <w:rPr>
                <w:rFonts w:ascii="Calibri" w:eastAsia="Calibri" w:hAnsi="Calibri" w:cs="Calibri"/>
                <w:color w:val="FFFFFF" w:themeColor="background1"/>
                <w:sz w:val="18"/>
                <w:szCs w:val="18"/>
              </w:rPr>
            </w:pPr>
            <w:r w:rsidRPr="55496DC5">
              <w:rPr>
                <w:rFonts w:ascii="Calibri" w:eastAsia="Calibri" w:hAnsi="Calibri" w:cs="Calibri"/>
                <w:color w:val="FFFFFF" w:themeColor="background1"/>
                <w:sz w:val="18"/>
                <w:szCs w:val="18"/>
              </w:rPr>
              <w:t>R</w:t>
            </w:r>
          </w:p>
          <w:p w14:paraId="14A21732" w14:textId="586C666C" w:rsidR="219819B8" w:rsidRDefault="219819B8" w:rsidP="219819B8">
            <w:pPr>
              <w:jc w:val="center"/>
            </w:pPr>
            <w:r w:rsidRPr="55496DC5">
              <w:rPr>
                <w:rFonts w:ascii="Calibri" w:eastAsia="Calibri" w:hAnsi="Calibri" w:cs="Calibri"/>
                <w:color w:val="FFFFFF" w:themeColor="background1"/>
                <w:sz w:val="18"/>
                <w:szCs w:val="18"/>
              </w:rPr>
              <w:t>%</w:t>
            </w:r>
          </w:p>
        </w:tc>
        <w:tc>
          <w:tcPr>
            <w:tcW w:w="10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7B53A639" w14:textId="4AC6FC82" w:rsidR="219819B8" w:rsidRDefault="219819B8" w:rsidP="219819B8">
            <w:pPr>
              <w:jc w:val="right"/>
            </w:pPr>
            <w:r w:rsidRPr="219819B8">
              <w:rPr>
                <w:rFonts w:ascii="Calibri" w:eastAsia="Calibri" w:hAnsi="Calibri" w:cs="Calibri"/>
                <w:color w:val="FFFFFF" w:themeColor="background1"/>
                <w:sz w:val="18"/>
                <w:szCs w:val="18"/>
              </w:rPr>
              <w:t>17.674,4</w:t>
            </w:r>
          </w:p>
          <w:p w14:paraId="033A34E0" w14:textId="4F21AE02" w:rsidR="219819B8" w:rsidRDefault="219819B8" w:rsidP="219819B8">
            <w:pPr>
              <w:jc w:val="right"/>
            </w:pPr>
            <w:r w:rsidRPr="219819B8">
              <w:rPr>
                <w:rFonts w:ascii="Calibri" w:eastAsia="Calibri" w:hAnsi="Calibri" w:cs="Calibri"/>
                <w:color w:val="FFFFFF" w:themeColor="background1"/>
                <w:sz w:val="18"/>
                <w:szCs w:val="18"/>
              </w:rPr>
              <w:t>60.683,5</w:t>
            </w:r>
          </w:p>
          <w:p w14:paraId="34306E57" w14:textId="3E3C9444" w:rsidR="219819B8" w:rsidRDefault="219819B8" w:rsidP="219819B8">
            <w:pPr>
              <w:jc w:val="right"/>
            </w:pPr>
            <w:r w:rsidRPr="219819B8">
              <w:rPr>
                <w:rFonts w:ascii="Calibri" w:eastAsia="Calibri" w:hAnsi="Calibri" w:cs="Calibri"/>
                <w:color w:val="FFFFFF" w:themeColor="background1"/>
                <w:sz w:val="18"/>
                <w:szCs w:val="18"/>
              </w:rPr>
              <w:t>243,3%</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37B975CB" w14:textId="0EB00E2D" w:rsidR="219819B8" w:rsidRDefault="219819B8" w:rsidP="219819B8">
            <w:pPr>
              <w:jc w:val="right"/>
            </w:pPr>
            <w:r w:rsidRPr="219819B8">
              <w:rPr>
                <w:rFonts w:ascii="Calibri" w:eastAsia="Calibri" w:hAnsi="Calibri" w:cs="Calibri"/>
                <w:color w:val="FFFFFF" w:themeColor="background1"/>
                <w:sz w:val="18"/>
                <w:szCs w:val="18"/>
              </w:rPr>
              <w:t>11.291,6</w:t>
            </w:r>
          </w:p>
          <w:p w14:paraId="755357E1" w14:textId="4A5283AF" w:rsidR="219819B8" w:rsidRDefault="219819B8" w:rsidP="219819B8">
            <w:pPr>
              <w:jc w:val="right"/>
            </w:pPr>
            <w:r w:rsidRPr="219819B8">
              <w:rPr>
                <w:rFonts w:ascii="Calibri" w:eastAsia="Calibri" w:hAnsi="Calibri" w:cs="Calibri"/>
                <w:color w:val="FFFFFF" w:themeColor="background1"/>
                <w:sz w:val="18"/>
                <w:szCs w:val="18"/>
              </w:rPr>
              <w:t>145.643,6</w:t>
            </w:r>
          </w:p>
          <w:p w14:paraId="73EEE67E" w14:textId="57C4A231" w:rsidR="219819B8" w:rsidRDefault="219819B8" w:rsidP="219819B8">
            <w:pPr>
              <w:jc w:val="right"/>
            </w:pPr>
            <w:r w:rsidRPr="219819B8">
              <w:rPr>
                <w:rFonts w:ascii="Calibri" w:eastAsia="Calibri" w:hAnsi="Calibri" w:cs="Calibri"/>
                <w:color w:val="FFFFFF" w:themeColor="background1"/>
                <w:sz w:val="18"/>
                <w:szCs w:val="18"/>
              </w:rPr>
              <w:t>1.189,8%</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702FF4BC" w14:textId="42B79130" w:rsidR="219819B8" w:rsidRDefault="219819B8" w:rsidP="219819B8">
            <w:pPr>
              <w:jc w:val="right"/>
            </w:pPr>
            <w:r w:rsidRPr="219819B8">
              <w:rPr>
                <w:rFonts w:ascii="Calibri" w:eastAsia="Calibri" w:hAnsi="Calibri" w:cs="Calibri"/>
                <w:color w:val="FFFFFF" w:themeColor="background1"/>
                <w:sz w:val="18"/>
                <w:szCs w:val="18"/>
              </w:rPr>
              <w:t>38.382,2</w:t>
            </w:r>
          </w:p>
          <w:p w14:paraId="0A29A9B2" w14:textId="225AE682" w:rsidR="219819B8" w:rsidRDefault="219819B8" w:rsidP="219819B8">
            <w:pPr>
              <w:jc w:val="right"/>
            </w:pPr>
            <w:r w:rsidRPr="219819B8">
              <w:rPr>
                <w:rFonts w:ascii="Calibri" w:eastAsia="Calibri" w:hAnsi="Calibri" w:cs="Calibri"/>
                <w:color w:val="FFFFFF" w:themeColor="background1"/>
                <w:sz w:val="18"/>
                <w:szCs w:val="18"/>
              </w:rPr>
              <w:t>152.118,8</w:t>
            </w:r>
          </w:p>
          <w:p w14:paraId="18C2F08B" w14:textId="4AEF9B22" w:rsidR="219819B8" w:rsidRDefault="219819B8" w:rsidP="219819B8">
            <w:pPr>
              <w:jc w:val="right"/>
            </w:pPr>
            <w:r w:rsidRPr="219819B8">
              <w:rPr>
                <w:rFonts w:ascii="Calibri" w:eastAsia="Calibri" w:hAnsi="Calibri" w:cs="Calibri"/>
                <w:color w:val="FFFFFF" w:themeColor="background1"/>
                <w:sz w:val="18"/>
                <w:szCs w:val="18"/>
              </w:rPr>
              <w:t>296,3%</w:t>
            </w:r>
          </w:p>
        </w:tc>
        <w:tc>
          <w:tcPr>
            <w:tcW w:w="10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7066ACEC" w14:textId="77777777" w:rsidR="00B434F3" w:rsidRDefault="219819B8" w:rsidP="219819B8">
            <w:pPr>
              <w:jc w:val="right"/>
              <w:rPr>
                <w:rFonts w:ascii="Calibri" w:eastAsia="Calibri" w:hAnsi="Calibri" w:cs="Calibri"/>
                <w:color w:val="FFFFFF" w:themeColor="background1"/>
                <w:sz w:val="18"/>
                <w:szCs w:val="18"/>
              </w:rPr>
            </w:pPr>
            <w:r w:rsidRPr="219819B8">
              <w:rPr>
                <w:rFonts w:ascii="Calibri" w:eastAsia="Calibri" w:hAnsi="Calibri" w:cs="Calibri"/>
                <w:color w:val="FFFFFF" w:themeColor="background1"/>
                <w:sz w:val="18"/>
                <w:szCs w:val="18"/>
              </w:rPr>
              <w:t xml:space="preserve">32.072,4 </w:t>
            </w:r>
          </w:p>
          <w:p w14:paraId="71EAF110" w14:textId="0EAF268D" w:rsidR="219819B8" w:rsidRDefault="219819B8" w:rsidP="219819B8">
            <w:pPr>
              <w:jc w:val="right"/>
            </w:pPr>
            <w:r w:rsidRPr="219819B8">
              <w:rPr>
                <w:rFonts w:ascii="Calibri" w:eastAsia="Calibri" w:hAnsi="Calibri" w:cs="Calibri"/>
                <w:color w:val="FFFFFF" w:themeColor="background1"/>
                <w:sz w:val="18"/>
                <w:szCs w:val="18"/>
              </w:rPr>
              <w:t>29.866,0</w:t>
            </w:r>
          </w:p>
          <w:p w14:paraId="420308C8" w14:textId="3ED614A5" w:rsidR="219819B8" w:rsidRDefault="219819B8" w:rsidP="219819B8">
            <w:pPr>
              <w:jc w:val="right"/>
            </w:pPr>
            <w:r w:rsidRPr="219819B8">
              <w:rPr>
                <w:rFonts w:ascii="Calibri" w:eastAsia="Calibri" w:hAnsi="Calibri" w:cs="Calibri"/>
                <w:color w:val="FFFFFF" w:themeColor="background1"/>
                <w:sz w:val="18"/>
                <w:szCs w:val="18"/>
              </w:rPr>
              <w:t>-6,87%</w:t>
            </w:r>
          </w:p>
        </w:tc>
      </w:tr>
      <w:tr w:rsidR="219819B8" w14:paraId="2ED3557B" w14:textId="77777777" w:rsidTr="003851A0">
        <w:trPr>
          <w:trHeight w:val="15"/>
        </w:trPr>
        <w:tc>
          <w:tcPr>
            <w:tcW w:w="8080" w:type="dxa"/>
            <w:gridSpan w:val="5"/>
            <w:tcBorders>
              <w:top w:val="single" w:sz="8" w:space="0" w:color="BFBFBF" w:themeColor="background1" w:themeShade="BF"/>
              <w:left w:val="nil"/>
              <w:bottom w:val="nil"/>
              <w:right w:val="nil"/>
            </w:tcBorders>
          </w:tcPr>
          <w:p w14:paraId="525ECE2B" w14:textId="0500B6E5" w:rsidR="219819B8" w:rsidRPr="00D43300" w:rsidRDefault="219819B8" w:rsidP="00D43300">
            <w:pPr>
              <w:spacing w:after="0"/>
              <w:jc w:val="both"/>
              <w:rPr>
                <w:rFonts w:ascii="Calibri" w:eastAsia="Calibri" w:hAnsi="Calibri" w:cs="Calibri"/>
                <w:i/>
                <w:sz w:val="16"/>
                <w:szCs w:val="16"/>
              </w:rPr>
            </w:pPr>
            <w:proofErr w:type="gramStart"/>
            <w:r w:rsidRPr="219819B8">
              <w:rPr>
                <w:rFonts w:ascii="Calibri" w:eastAsia="Calibri" w:hAnsi="Calibri" w:cs="Calibri"/>
                <w:i/>
                <w:iCs/>
                <w:sz w:val="16"/>
                <w:szCs w:val="16"/>
                <w:vertAlign w:val="superscript"/>
              </w:rPr>
              <w:t>1</w:t>
            </w:r>
            <w:proofErr w:type="gramEnd"/>
            <w:r w:rsidRPr="219819B8">
              <w:rPr>
                <w:rFonts w:ascii="Calibri" w:eastAsia="Calibri" w:hAnsi="Calibri" w:cs="Calibri"/>
                <w:i/>
                <w:iCs/>
                <w:sz w:val="16"/>
                <w:szCs w:val="16"/>
              </w:rPr>
              <w:t xml:space="preserve"> Variação entre os valores estimados e realizados.</w:t>
            </w:r>
          </w:p>
          <w:p w14:paraId="14DA7620" w14:textId="5C9BDF4B" w:rsidR="219819B8" w:rsidRDefault="219819B8" w:rsidP="00D43300">
            <w:pPr>
              <w:spacing w:after="0"/>
              <w:jc w:val="both"/>
            </w:pPr>
            <w:r w:rsidRPr="00D43300">
              <w:rPr>
                <w:rFonts w:ascii="Calibri" w:eastAsia="Calibri" w:hAnsi="Calibri" w:cs="Calibri"/>
                <w:i/>
                <w:sz w:val="16"/>
                <w:szCs w:val="16"/>
              </w:rPr>
              <w:t>Fonte e elaboração</w:t>
            </w:r>
            <w:r w:rsidRPr="219819B8">
              <w:rPr>
                <w:rFonts w:ascii="Calibri" w:eastAsia="Calibri" w:hAnsi="Calibri" w:cs="Calibri"/>
                <w:i/>
                <w:iCs/>
                <w:sz w:val="16"/>
                <w:szCs w:val="16"/>
              </w:rPr>
              <w:t>: STN/ME.</w:t>
            </w:r>
          </w:p>
        </w:tc>
        <w:tc>
          <w:tcPr>
            <w:tcW w:w="1096" w:type="dxa"/>
            <w:tcBorders>
              <w:top w:val="single" w:sz="8" w:space="0" w:color="BFBFBF" w:themeColor="background1" w:themeShade="BF"/>
              <w:left w:val="nil"/>
              <w:bottom w:val="nil"/>
              <w:right w:val="nil"/>
            </w:tcBorders>
          </w:tcPr>
          <w:p w14:paraId="5493185D" w14:textId="42FDC6E3" w:rsidR="219819B8" w:rsidRDefault="219819B8" w:rsidP="219819B8">
            <w:pPr>
              <w:jc w:val="both"/>
              <w:rPr>
                <w:rFonts w:ascii="Calibri" w:eastAsia="Calibri" w:hAnsi="Calibri" w:cs="Calibri"/>
                <w:i/>
                <w:iCs/>
                <w:sz w:val="16"/>
                <w:szCs w:val="16"/>
                <w:vertAlign w:val="superscript"/>
              </w:rPr>
            </w:pPr>
          </w:p>
        </w:tc>
      </w:tr>
    </w:tbl>
    <w:p w14:paraId="539657F1" w14:textId="05C9616C" w:rsidR="219819B8" w:rsidRDefault="219819B8" w:rsidP="219819B8">
      <w:pPr>
        <w:spacing w:after="120" w:line="240" w:lineRule="auto"/>
        <w:ind w:firstLine="1418"/>
        <w:jc w:val="both"/>
        <w:rPr>
          <w:rFonts w:cs="Times New Roman"/>
          <w:sz w:val="24"/>
          <w:szCs w:val="24"/>
          <w:lang w:eastAsia="pt-BR"/>
        </w:rPr>
      </w:pPr>
    </w:p>
    <w:p w14:paraId="1E3CEABB" w14:textId="6561C154" w:rsidR="219819B8" w:rsidRDefault="00B8D350" w:rsidP="3C556770">
      <w:pPr>
        <w:spacing w:after="120" w:line="240" w:lineRule="auto"/>
        <w:ind w:firstLine="1418"/>
        <w:jc w:val="both"/>
      </w:pPr>
      <w:r w:rsidRPr="3C556770">
        <w:rPr>
          <w:rFonts w:ascii="Calibri" w:eastAsia="Calibri" w:hAnsi="Calibri" w:cs="Calibri"/>
          <w:sz w:val="24"/>
          <w:szCs w:val="24"/>
        </w:rPr>
        <w:lastRenderedPageBreak/>
        <w:t>No que tange às diferenças percebidas entre os valores previstos e realizados nos empréstimos concedidos às instituições financeiras em 2017, 2018 e 2019, essas decorrem das liquidações antecipadas realizadas pelo BNDES em seus contratos junto à Secretaria do Tesouro Nacional. As amortizações realizadas totalizaram em 2017, 2018 e 2019, respectivamente, R$ 50 bilhões, R$ 130 bilhões e R$ 100 bilhões. Em 2019, ainda houve amortizações antecipadas de contratos do BNB e da CEF que totalizaram R$ 11,6 bilhões. Uma vez que a decisão de amortizar extraordinariamente um empréstimo cabe ao tomador, não é possível à União projetar esses eventos financeiros com uma razoável confiança. Assim, essas liquidações não compõem a previsão de receita realizada.</w:t>
      </w:r>
    </w:p>
    <w:p w14:paraId="63678D55" w14:textId="5357BF9E" w:rsidR="00B8D350" w:rsidRDefault="00B8D350" w:rsidP="219819B8">
      <w:pPr>
        <w:ind w:firstLine="1418"/>
        <w:jc w:val="both"/>
      </w:pPr>
      <w:r w:rsidRPr="219819B8">
        <w:rPr>
          <w:rFonts w:ascii="Calibri" w:eastAsia="Calibri" w:hAnsi="Calibri" w:cs="Calibri"/>
          <w:sz w:val="24"/>
          <w:szCs w:val="24"/>
        </w:rPr>
        <w:t xml:space="preserve">Em relação à variação observada em 2018 nas operações de crédito rural, essa deriva basicamente de dois processos: o primeiro deles foi </w:t>
      </w:r>
      <w:proofErr w:type="gramStart"/>
      <w:r w:rsidRPr="219819B8">
        <w:rPr>
          <w:rFonts w:ascii="Calibri" w:eastAsia="Calibri" w:hAnsi="Calibri" w:cs="Calibri"/>
          <w:sz w:val="24"/>
          <w:szCs w:val="24"/>
        </w:rPr>
        <w:t>a</w:t>
      </w:r>
      <w:proofErr w:type="gramEnd"/>
      <w:r w:rsidRPr="219819B8">
        <w:rPr>
          <w:rFonts w:ascii="Calibri" w:eastAsia="Calibri" w:hAnsi="Calibri" w:cs="Calibri"/>
          <w:sz w:val="24"/>
          <w:szCs w:val="24"/>
        </w:rPr>
        <w:t xml:space="preserve"> regularização da dívida rural securitizada iniciado no final de 2017, mas que obteve seus principais resultados em 2018. Tal procedimento buscou junto aos bancos e cooperativas resgatar valores inadimplidos desde a década de 1990. Com a evolução do processo, houve uma recuperação significativa desses ativos que não estava inicialmente prevista. O segundo deles foi </w:t>
      </w:r>
      <w:proofErr w:type="gramStart"/>
      <w:r w:rsidRPr="219819B8">
        <w:rPr>
          <w:rFonts w:ascii="Calibri" w:eastAsia="Calibri" w:hAnsi="Calibri" w:cs="Calibri"/>
          <w:sz w:val="24"/>
          <w:szCs w:val="24"/>
        </w:rPr>
        <w:t>a</w:t>
      </w:r>
      <w:proofErr w:type="gramEnd"/>
      <w:r w:rsidRPr="219819B8">
        <w:rPr>
          <w:rFonts w:ascii="Calibri" w:eastAsia="Calibri" w:hAnsi="Calibri" w:cs="Calibri"/>
          <w:sz w:val="24"/>
          <w:szCs w:val="24"/>
        </w:rPr>
        <w:t xml:space="preserve"> liquidação de títulos </w:t>
      </w:r>
      <w:proofErr w:type="spellStart"/>
      <w:r w:rsidRPr="219819B8">
        <w:rPr>
          <w:rFonts w:ascii="Calibri" w:eastAsia="Calibri" w:hAnsi="Calibri" w:cs="Calibri"/>
          <w:sz w:val="24"/>
          <w:szCs w:val="24"/>
        </w:rPr>
        <w:t>CTN´s</w:t>
      </w:r>
      <w:proofErr w:type="spellEnd"/>
      <w:r w:rsidRPr="219819B8">
        <w:rPr>
          <w:rFonts w:ascii="Calibri" w:eastAsia="Calibri" w:hAnsi="Calibri" w:cs="Calibri"/>
          <w:sz w:val="24"/>
          <w:szCs w:val="24"/>
        </w:rPr>
        <w:t xml:space="preserve"> no montante de R$ 4,5 bilhões. Esses títulos foram emitidos inicialmente pela União como Garantia do principal das operações de PESA e depositados na CETIP em nome das instituições financeiras beneficiadas. Contudo, no caso das operações conduzidas pelo Banco do Brasil, com o advento da MP nº 2.196-3/2001, elas foram adquiridas pela União. Assim, na medida em que os títulos vencem</w:t>
      </w:r>
      <w:r w:rsidR="00EA5518">
        <w:rPr>
          <w:rFonts w:ascii="Calibri" w:eastAsia="Calibri" w:hAnsi="Calibri" w:cs="Calibri"/>
          <w:sz w:val="24"/>
          <w:szCs w:val="24"/>
        </w:rPr>
        <w:t>,</w:t>
      </w:r>
      <w:r w:rsidRPr="219819B8">
        <w:rPr>
          <w:rFonts w:ascii="Calibri" w:eastAsia="Calibri" w:hAnsi="Calibri" w:cs="Calibri"/>
          <w:sz w:val="24"/>
          <w:szCs w:val="24"/>
        </w:rPr>
        <w:t xml:space="preserve"> esses retornam ao Tesouro em um novo fluxo que não foi inicialmente previsto.</w:t>
      </w:r>
    </w:p>
    <w:p w14:paraId="53F1D054" w14:textId="2AF61C21" w:rsidR="219819B8" w:rsidRDefault="00B8D350" w:rsidP="3943BD3D">
      <w:pPr>
        <w:spacing w:after="120" w:line="240" w:lineRule="auto"/>
        <w:ind w:firstLine="1418"/>
        <w:jc w:val="both"/>
      </w:pPr>
      <w:r w:rsidRPr="3943BD3D">
        <w:rPr>
          <w:rFonts w:ascii="Calibri" w:eastAsia="Calibri" w:hAnsi="Calibri" w:cs="Calibri"/>
          <w:sz w:val="24"/>
          <w:szCs w:val="24"/>
        </w:rPr>
        <w:t xml:space="preserve">Em 2020 também se observou um aumento nas receitas de Operações de Cessões de Crédito, Operações de Crédito à Exportação e Empréstimos </w:t>
      </w:r>
      <w:proofErr w:type="gramStart"/>
      <w:r w:rsidRPr="3943BD3D">
        <w:rPr>
          <w:rFonts w:ascii="Calibri" w:eastAsia="Calibri" w:hAnsi="Calibri" w:cs="Calibri"/>
          <w:sz w:val="24"/>
          <w:szCs w:val="24"/>
        </w:rPr>
        <w:t>à</w:t>
      </w:r>
      <w:proofErr w:type="gramEnd"/>
      <w:r w:rsidRPr="3943BD3D">
        <w:rPr>
          <w:rFonts w:ascii="Calibri" w:eastAsia="Calibri" w:hAnsi="Calibri" w:cs="Calibri"/>
          <w:sz w:val="24"/>
          <w:szCs w:val="24"/>
        </w:rPr>
        <w:t xml:space="preserve"> Entidades Não Financeiras quando comparadas ao que havia sido previsto inicialmente. Esse movimento é consequência, principalmente, da forte desvalorização cambial durante o exercício, tendo em vista que muitos desses contratos são indexados ao dólar.</w:t>
      </w:r>
    </w:p>
    <w:p w14:paraId="5D988BB0" w14:textId="33FF66F1" w:rsidR="219819B8" w:rsidRDefault="00A31CE5" w:rsidP="3943BD3D">
      <w:pPr>
        <w:spacing w:after="120" w:line="240" w:lineRule="auto"/>
        <w:ind w:firstLine="1418"/>
        <w:jc w:val="both"/>
        <w:rPr>
          <w:rFonts w:cs="Times New Roman"/>
          <w:sz w:val="24"/>
          <w:szCs w:val="24"/>
          <w:lang w:eastAsia="pt-BR"/>
        </w:rPr>
      </w:pPr>
      <w:r w:rsidRPr="3943BD3D">
        <w:rPr>
          <w:rFonts w:cs="Times New Roman"/>
          <w:sz w:val="24"/>
          <w:szCs w:val="24"/>
          <w:lang w:eastAsia="pt-BR"/>
        </w:rPr>
        <w:t xml:space="preserve">Em relação às estimativas de fluxo, a </w:t>
      </w:r>
      <w:r w:rsidR="00440FE9" w:rsidRPr="00440FE9">
        <w:rPr>
          <w:rFonts w:cs="Times New Roman"/>
          <w:sz w:val="24"/>
          <w:szCs w:val="24"/>
          <w:lang w:eastAsia="pt-BR"/>
        </w:rPr>
        <w:fldChar w:fldCharType="begin"/>
      </w:r>
      <w:r w:rsidR="00440FE9" w:rsidRPr="00440FE9">
        <w:rPr>
          <w:rFonts w:cs="Times New Roman"/>
          <w:sz w:val="24"/>
          <w:szCs w:val="24"/>
          <w:lang w:eastAsia="pt-BR"/>
        </w:rPr>
        <w:instrText xml:space="preserve"> REF _Ref67909778 \h </w:instrText>
      </w:r>
      <w:r w:rsidR="00440FE9">
        <w:rPr>
          <w:rFonts w:cs="Times New Roman"/>
          <w:sz w:val="24"/>
          <w:szCs w:val="24"/>
          <w:lang w:eastAsia="pt-BR"/>
        </w:rPr>
        <w:instrText xml:space="preserve"> \* MERGEFORMAT </w:instrText>
      </w:r>
      <w:r w:rsidR="00440FE9" w:rsidRPr="00440FE9">
        <w:rPr>
          <w:rFonts w:cs="Times New Roman"/>
          <w:sz w:val="24"/>
          <w:szCs w:val="24"/>
          <w:lang w:eastAsia="pt-BR"/>
        </w:rPr>
      </w:r>
      <w:r w:rsidR="00440FE9" w:rsidRPr="00440FE9">
        <w:rPr>
          <w:rFonts w:cs="Times New Roman"/>
          <w:sz w:val="24"/>
          <w:szCs w:val="24"/>
          <w:lang w:eastAsia="pt-BR"/>
        </w:rPr>
        <w:fldChar w:fldCharType="separate"/>
      </w:r>
      <w:r w:rsidR="00304F5F" w:rsidRPr="00304F5F">
        <w:rPr>
          <w:sz w:val="24"/>
          <w:szCs w:val="24"/>
        </w:rPr>
        <w:t xml:space="preserve">Tabela </w:t>
      </w:r>
      <w:r w:rsidR="00304F5F" w:rsidRPr="00304F5F">
        <w:rPr>
          <w:noProof/>
          <w:sz w:val="24"/>
          <w:szCs w:val="24"/>
        </w:rPr>
        <w:t>53</w:t>
      </w:r>
      <w:r w:rsidR="00440FE9" w:rsidRPr="00440FE9">
        <w:rPr>
          <w:rFonts w:cs="Times New Roman"/>
          <w:sz w:val="24"/>
          <w:szCs w:val="24"/>
          <w:lang w:eastAsia="pt-BR"/>
        </w:rPr>
        <w:fldChar w:fldCharType="end"/>
      </w:r>
      <w:r w:rsidRPr="3943BD3D">
        <w:rPr>
          <w:rFonts w:cs="Times New Roman"/>
          <w:sz w:val="24"/>
          <w:szCs w:val="24"/>
          <w:lang w:eastAsia="pt-BR"/>
        </w:rPr>
        <w:t xml:space="preserve"> apresenta os respectivos valores a receber, por exercício, segundo haver financeiro </w:t>
      </w:r>
      <w:proofErr w:type="gramStart"/>
      <w:r w:rsidRPr="3943BD3D">
        <w:rPr>
          <w:rFonts w:cs="Times New Roman"/>
          <w:sz w:val="24"/>
          <w:szCs w:val="24"/>
          <w:lang w:eastAsia="pt-BR"/>
        </w:rPr>
        <w:t>sob gestão</w:t>
      </w:r>
      <w:proofErr w:type="gramEnd"/>
      <w:r w:rsidRPr="3943BD3D">
        <w:rPr>
          <w:rFonts w:cs="Times New Roman"/>
          <w:sz w:val="24"/>
          <w:szCs w:val="24"/>
          <w:lang w:eastAsia="pt-BR"/>
        </w:rPr>
        <w:t xml:space="preserve"> da STN, bem como a categorização do impacto gerado em financeiro ou primário.</w:t>
      </w:r>
    </w:p>
    <w:p w14:paraId="566B02E1" w14:textId="2F19D708" w:rsidR="219819B8" w:rsidRPr="00440FE9" w:rsidRDefault="5F862E35" w:rsidP="00440FE9">
      <w:pPr>
        <w:pStyle w:val="Legenda"/>
        <w:jc w:val="center"/>
        <w:rPr>
          <w:rFonts w:asciiTheme="minorHAnsi" w:hAnsiTheme="minorHAnsi" w:cstheme="minorHAnsi"/>
          <w:i w:val="0"/>
          <w:color w:val="auto"/>
          <w:sz w:val="22"/>
          <w:szCs w:val="22"/>
        </w:rPr>
      </w:pPr>
      <w:bookmarkStart w:id="374" w:name="_Ref67909778"/>
      <w:bookmarkStart w:id="375" w:name="_Toc69121399"/>
      <w:r w:rsidRPr="00440FE9">
        <w:rPr>
          <w:rFonts w:asciiTheme="minorHAnsi" w:eastAsia="Calibri" w:hAnsiTheme="minorHAnsi" w:cstheme="minorHAnsi"/>
          <w:i w:val="0"/>
          <w:color w:val="auto"/>
          <w:sz w:val="22"/>
          <w:szCs w:val="22"/>
        </w:rPr>
        <w:t xml:space="preserve">Tabela </w:t>
      </w:r>
      <w:r w:rsidR="00440FE9" w:rsidRPr="00440FE9">
        <w:rPr>
          <w:rFonts w:asciiTheme="minorHAnsi" w:hAnsiTheme="minorHAnsi" w:cstheme="minorHAnsi"/>
          <w:i w:val="0"/>
          <w:color w:val="auto"/>
          <w:sz w:val="22"/>
          <w:szCs w:val="22"/>
        </w:rPr>
        <w:fldChar w:fldCharType="begin"/>
      </w:r>
      <w:r w:rsidR="00440FE9" w:rsidRPr="00440FE9">
        <w:rPr>
          <w:rFonts w:asciiTheme="minorHAnsi" w:hAnsiTheme="minorHAnsi" w:cstheme="minorHAnsi"/>
          <w:i w:val="0"/>
          <w:color w:val="auto"/>
          <w:sz w:val="22"/>
          <w:szCs w:val="22"/>
        </w:rPr>
        <w:instrText xml:space="preserve"> SEQ Tabela \* ARABIC </w:instrText>
      </w:r>
      <w:r w:rsidR="00440FE9" w:rsidRPr="00440FE9">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53</w:t>
      </w:r>
      <w:r w:rsidR="00440FE9" w:rsidRPr="00440FE9">
        <w:rPr>
          <w:rFonts w:asciiTheme="minorHAnsi" w:hAnsiTheme="minorHAnsi" w:cstheme="minorHAnsi"/>
          <w:i w:val="0"/>
          <w:color w:val="auto"/>
          <w:sz w:val="22"/>
          <w:szCs w:val="22"/>
        </w:rPr>
        <w:fldChar w:fldCharType="end"/>
      </w:r>
      <w:bookmarkEnd w:id="374"/>
      <w:r w:rsidRPr="00440FE9">
        <w:rPr>
          <w:rFonts w:asciiTheme="minorHAnsi" w:eastAsia="Calibri" w:hAnsiTheme="minorHAnsi" w:cstheme="minorHAnsi"/>
          <w:i w:val="0"/>
          <w:color w:val="auto"/>
          <w:sz w:val="22"/>
          <w:szCs w:val="22"/>
        </w:rPr>
        <w:t xml:space="preserve"> - </w:t>
      </w:r>
      <w:r w:rsidRPr="00D43300">
        <w:rPr>
          <w:rFonts w:ascii="Calibri" w:eastAsia="Calibri" w:hAnsi="Calibri" w:cs="Calibri"/>
          <w:i w:val="0"/>
          <w:color w:val="auto"/>
          <w:sz w:val="22"/>
          <w:szCs w:val="22"/>
        </w:rPr>
        <w:t xml:space="preserve">Fluxos estimados, segundo haver financeiro </w:t>
      </w:r>
      <w:proofErr w:type="gramStart"/>
      <w:r w:rsidRPr="00D43300">
        <w:rPr>
          <w:rFonts w:ascii="Calibri" w:eastAsia="Calibri" w:hAnsi="Calibri" w:cs="Calibri"/>
          <w:i w:val="0"/>
          <w:color w:val="auto"/>
          <w:sz w:val="22"/>
          <w:szCs w:val="22"/>
        </w:rPr>
        <w:t>sob gestão</w:t>
      </w:r>
      <w:proofErr w:type="gramEnd"/>
      <w:r w:rsidRPr="00D43300">
        <w:rPr>
          <w:rFonts w:ascii="Calibri" w:eastAsia="Calibri" w:hAnsi="Calibri" w:cs="Calibri"/>
          <w:i w:val="0"/>
          <w:color w:val="auto"/>
          <w:sz w:val="22"/>
          <w:szCs w:val="22"/>
        </w:rPr>
        <w:t xml:space="preserve"> da STN, por exercício</w:t>
      </w:r>
      <w:bookmarkEnd w:id="375"/>
    </w:p>
    <w:tbl>
      <w:tblPr>
        <w:tblW w:w="10076" w:type="dxa"/>
        <w:jc w:val="center"/>
        <w:tblLayout w:type="fixed"/>
        <w:tblLook w:val="04A0" w:firstRow="1" w:lastRow="0" w:firstColumn="1" w:lastColumn="0" w:noHBand="0" w:noVBand="1"/>
      </w:tblPr>
      <w:tblGrid>
        <w:gridCol w:w="3904"/>
        <w:gridCol w:w="1252"/>
        <w:gridCol w:w="945"/>
        <w:gridCol w:w="915"/>
        <w:gridCol w:w="945"/>
        <w:gridCol w:w="975"/>
        <w:gridCol w:w="1140"/>
      </w:tblGrid>
      <w:tr w:rsidR="3943BD3D" w14:paraId="23F6DB5C" w14:textId="77777777" w:rsidTr="001D3A41">
        <w:trPr>
          <w:trHeight w:val="15"/>
          <w:jc w:val="center"/>
        </w:trPr>
        <w:tc>
          <w:tcPr>
            <w:tcW w:w="10076" w:type="dxa"/>
            <w:gridSpan w:val="7"/>
            <w:tcBorders>
              <w:top w:val="nil"/>
              <w:left w:val="nil"/>
              <w:bottom w:val="single" w:sz="8" w:space="0" w:color="BFBFBF" w:themeColor="background1" w:themeShade="BF"/>
              <w:right w:val="nil"/>
            </w:tcBorders>
            <w:vAlign w:val="center"/>
          </w:tcPr>
          <w:p w14:paraId="7538829E" w14:textId="5922C41B" w:rsidR="3943BD3D" w:rsidRPr="00837171" w:rsidRDefault="3943BD3D" w:rsidP="00837171">
            <w:pPr>
              <w:spacing w:after="0" w:line="240" w:lineRule="auto"/>
              <w:jc w:val="right"/>
              <w:rPr>
                <w:rFonts w:ascii="Calibri" w:eastAsia="Calibri" w:hAnsi="Calibri" w:cs="Calibri"/>
                <w:i/>
                <w:iCs/>
                <w:sz w:val="16"/>
                <w:szCs w:val="16"/>
              </w:rPr>
            </w:pPr>
            <w:r w:rsidRPr="3943BD3D">
              <w:rPr>
                <w:rFonts w:ascii="Calibri" w:eastAsia="Calibri" w:hAnsi="Calibri" w:cs="Calibri"/>
                <w:i/>
                <w:iCs/>
                <w:sz w:val="16"/>
                <w:szCs w:val="16"/>
              </w:rPr>
              <w:t>Em R$ milhões</w:t>
            </w:r>
          </w:p>
        </w:tc>
      </w:tr>
      <w:tr w:rsidR="3943BD3D" w14:paraId="443756C6" w14:textId="77777777" w:rsidTr="001D3A41">
        <w:trPr>
          <w:trHeight w:val="855"/>
          <w:jc w:val="center"/>
        </w:trPr>
        <w:tc>
          <w:tcPr>
            <w:tcW w:w="390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3723ADF" w14:textId="587274FB" w:rsidR="3943BD3D" w:rsidRDefault="3943BD3D" w:rsidP="3943BD3D">
            <w:pPr>
              <w:jc w:val="center"/>
            </w:pPr>
            <w:r w:rsidRPr="3943BD3D">
              <w:rPr>
                <w:rFonts w:ascii="Calibri" w:eastAsia="Calibri" w:hAnsi="Calibri" w:cs="Calibri"/>
                <w:b/>
                <w:bCs/>
                <w:color w:val="FFFFFF" w:themeColor="background1"/>
                <w:sz w:val="20"/>
                <w:szCs w:val="20"/>
              </w:rPr>
              <w:t>Haver Financeiro</w:t>
            </w:r>
          </w:p>
        </w:tc>
        <w:tc>
          <w:tcPr>
            <w:tcW w:w="125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CAF6FAD" w14:textId="14D429B7" w:rsidR="3943BD3D" w:rsidRDefault="3943BD3D" w:rsidP="3943BD3D">
            <w:pPr>
              <w:jc w:val="center"/>
            </w:pPr>
            <w:r w:rsidRPr="3943BD3D">
              <w:rPr>
                <w:rFonts w:ascii="Calibri" w:eastAsia="Calibri" w:hAnsi="Calibri" w:cs="Calibri"/>
                <w:b/>
                <w:bCs/>
                <w:color w:val="FFFFFF" w:themeColor="background1"/>
                <w:sz w:val="20"/>
                <w:szCs w:val="20"/>
              </w:rPr>
              <w:t>Estoque</w:t>
            </w:r>
          </w:p>
          <w:p w14:paraId="63FA8AF8" w14:textId="7DA9DF0C" w:rsidR="3943BD3D" w:rsidRDefault="3943BD3D" w:rsidP="3943BD3D">
            <w:pPr>
              <w:jc w:val="center"/>
            </w:pPr>
            <w:r w:rsidRPr="3943BD3D">
              <w:rPr>
                <w:rFonts w:ascii="Calibri" w:eastAsia="Calibri" w:hAnsi="Calibri" w:cs="Calibri"/>
                <w:color w:val="FFFFFF" w:themeColor="background1"/>
                <w:sz w:val="20"/>
                <w:szCs w:val="20"/>
              </w:rPr>
              <w:t>Valor Realizado</w:t>
            </w:r>
          </w:p>
        </w:tc>
        <w:tc>
          <w:tcPr>
            <w:tcW w:w="3780" w:type="dxa"/>
            <w:gridSpan w:val="4"/>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0836C688" w14:textId="1B777E77" w:rsidR="3943BD3D" w:rsidRDefault="3943BD3D" w:rsidP="3943BD3D">
            <w:pPr>
              <w:jc w:val="center"/>
            </w:pPr>
            <w:r w:rsidRPr="3943BD3D">
              <w:rPr>
                <w:rFonts w:ascii="Calibri" w:eastAsia="Calibri" w:hAnsi="Calibri" w:cs="Calibri"/>
                <w:b/>
                <w:bCs/>
                <w:color w:val="FFFFFF" w:themeColor="background1"/>
                <w:sz w:val="20"/>
                <w:szCs w:val="20"/>
              </w:rPr>
              <w:t>Fluxo</w:t>
            </w:r>
          </w:p>
          <w:p w14:paraId="3B4AD936" w14:textId="6C63287C" w:rsidR="3943BD3D" w:rsidRDefault="3943BD3D" w:rsidP="3943BD3D">
            <w:pPr>
              <w:jc w:val="center"/>
            </w:pPr>
            <w:r w:rsidRPr="3943BD3D">
              <w:rPr>
                <w:rFonts w:ascii="Calibri" w:eastAsia="Calibri" w:hAnsi="Calibri" w:cs="Calibri"/>
                <w:color w:val="FFFFFF" w:themeColor="background1"/>
                <w:sz w:val="20"/>
                <w:szCs w:val="20"/>
              </w:rPr>
              <w:t xml:space="preserve">Valor Estimado </w:t>
            </w:r>
            <w:proofErr w:type="gramStart"/>
            <w:r w:rsidRPr="3943BD3D">
              <w:rPr>
                <w:rFonts w:ascii="Calibri" w:eastAsia="Calibri" w:hAnsi="Calibri" w:cs="Calibri"/>
                <w:color w:val="FFFFFF" w:themeColor="background1"/>
                <w:sz w:val="20"/>
                <w:szCs w:val="20"/>
                <w:vertAlign w:val="superscript"/>
              </w:rPr>
              <w:t>2</w:t>
            </w:r>
            <w:proofErr w:type="gramEnd"/>
          </w:p>
        </w:tc>
        <w:tc>
          <w:tcPr>
            <w:tcW w:w="1140" w:type="dxa"/>
            <w:vMerge w:val="restart"/>
            <w:tcBorders>
              <w:top w:val="nil"/>
              <w:left w:val="nil"/>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0394293" w14:textId="35000D87" w:rsidR="3943BD3D" w:rsidRDefault="3943BD3D" w:rsidP="3943BD3D">
            <w:pPr>
              <w:jc w:val="center"/>
            </w:pPr>
            <w:r w:rsidRPr="3943BD3D">
              <w:rPr>
                <w:rFonts w:ascii="Calibri" w:eastAsia="Calibri" w:hAnsi="Calibri" w:cs="Calibri"/>
                <w:b/>
                <w:bCs/>
                <w:color w:val="FFFFFF" w:themeColor="background1"/>
                <w:sz w:val="20"/>
                <w:szCs w:val="20"/>
              </w:rPr>
              <w:t>Impacto</w:t>
            </w:r>
          </w:p>
          <w:p w14:paraId="3874210B" w14:textId="63190F24" w:rsidR="3943BD3D" w:rsidRDefault="3943BD3D" w:rsidP="3943BD3D">
            <w:pPr>
              <w:jc w:val="center"/>
            </w:pPr>
            <w:r w:rsidRPr="3943BD3D">
              <w:rPr>
                <w:rFonts w:ascii="Calibri" w:eastAsia="Calibri" w:hAnsi="Calibri" w:cs="Calibri"/>
                <w:color w:val="FFFFFF" w:themeColor="background1"/>
                <w:sz w:val="20"/>
                <w:szCs w:val="20"/>
              </w:rPr>
              <w:t>Financeiro (F)</w:t>
            </w:r>
          </w:p>
          <w:p w14:paraId="7835982F" w14:textId="1211CC82" w:rsidR="3943BD3D" w:rsidRDefault="3943BD3D" w:rsidP="3943BD3D">
            <w:pPr>
              <w:jc w:val="center"/>
            </w:pPr>
            <w:r w:rsidRPr="3943BD3D">
              <w:rPr>
                <w:rFonts w:ascii="Calibri" w:eastAsia="Calibri" w:hAnsi="Calibri" w:cs="Calibri"/>
                <w:color w:val="FFFFFF" w:themeColor="background1"/>
                <w:sz w:val="20"/>
                <w:szCs w:val="20"/>
              </w:rPr>
              <w:t>Primário (P)</w:t>
            </w:r>
          </w:p>
        </w:tc>
      </w:tr>
      <w:tr w:rsidR="3943BD3D" w14:paraId="1F3230F2" w14:textId="77777777" w:rsidTr="001D3A41">
        <w:trPr>
          <w:trHeight w:val="15"/>
          <w:jc w:val="center"/>
        </w:trPr>
        <w:tc>
          <w:tcPr>
            <w:tcW w:w="3904" w:type="dxa"/>
            <w:vMerge/>
            <w:vAlign w:val="center"/>
          </w:tcPr>
          <w:p w14:paraId="69B0244E" w14:textId="77777777" w:rsidR="00422732" w:rsidRDefault="00422732"/>
        </w:tc>
        <w:tc>
          <w:tcPr>
            <w:tcW w:w="1252"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170E2C0" w14:textId="514318BF" w:rsidR="3943BD3D" w:rsidRDefault="3943BD3D" w:rsidP="3943BD3D">
            <w:pPr>
              <w:jc w:val="center"/>
            </w:pPr>
            <w:r w:rsidRPr="3943BD3D">
              <w:rPr>
                <w:rFonts w:ascii="Calibri" w:eastAsia="Calibri" w:hAnsi="Calibri" w:cs="Calibri"/>
                <w:color w:val="FFFFFF" w:themeColor="background1"/>
                <w:sz w:val="20"/>
                <w:szCs w:val="20"/>
              </w:rPr>
              <w:t>2020</w:t>
            </w:r>
            <w:r w:rsidRPr="3943BD3D">
              <w:rPr>
                <w:rFonts w:ascii="Calibri" w:eastAsia="Calibri" w:hAnsi="Calibri" w:cs="Calibri"/>
                <w:color w:val="FFFFFF" w:themeColor="background1"/>
                <w:sz w:val="20"/>
                <w:szCs w:val="20"/>
                <w:vertAlign w:val="superscript"/>
              </w:rPr>
              <w:t xml:space="preserve"> 1</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B11D22C" w14:textId="050B400E" w:rsidR="3943BD3D" w:rsidRDefault="3943BD3D" w:rsidP="3943BD3D">
            <w:pPr>
              <w:jc w:val="center"/>
            </w:pPr>
            <w:r w:rsidRPr="3943BD3D">
              <w:rPr>
                <w:rFonts w:ascii="Calibri" w:eastAsia="Calibri" w:hAnsi="Calibri" w:cs="Calibri"/>
                <w:color w:val="FFFFFF" w:themeColor="background1"/>
                <w:sz w:val="20"/>
                <w:szCs w:val="20"/>
              </w:rPr>
              <w:t>2021</w:t>
            </w:r>
          </w:p>
        </w:tc>
        <w:tc>
          <w:tcPr>
            <w:tcW w:w="91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5CFE567" w14:textId="363EE699" w:rsidR="3943BD3D" w:rsidRDefault="3943BD3D" w:rsidP="3943BD3D">
            <w:pPr>
              <w:jc w:val="center"/>
            </w:pPr>
            <w:r w:rsidRPr="3943BD3D">
              <w:rPr>
                <w:rFonts w:ascii="Calibri" w:eastAsia="Calibri" w:hAnsi="Calibri" w:cs="Calibri"/>
                <w:color w:val="FFFFFF" w:themeColor="background1"/>
                <w:sz w:val="20"/>
                <w:szCs w:val="20"/>
              </w:rPr>
              <w:t>2022</w:t>
            </w:r>
          </w:p>
        </w:tc>
        <w:tc>
          <w:tcPr>
            <w:tcW w:w="94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A9CD91E" w14:textId="19DB6238" w:rsidR="3943BD3D" w:rsidRDefault="3943BD3D" w:rsidP="3943BD3D">
            <w:pPr>
              <w:jc w:val="center"/>
            </w:pPr>
            <w:r w:rsidRPr="3943BD3D">
              <w:rPr>
                <w:rFonts w:ascii="Calibri" w:eastAsia="Calibri" w:hAnsi="Calibri" w:cs="Calibri"/>
                <w:color w:val="FFFFFF" w:themeColor="background1"/>
                <w:sz w:val="20"/>
                <w:szCs w:val="20"/>
              </w:rPr>
              <w:t>2023</w:t>
            </w:r>
          </w:p>
        </w:tc>
        <w:tc>
          <w:tcPr>
            <w:tcW w:w="97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5706170" w14:textId="125901C5" w:rsidR="3943BD3D" w:rsidRDefault="3943BD3D" w:rsidP="3943BD3D">
            <w:pPr>
              <w:jc w:val="center"/>
            </w:pPr>
            <w:r w:rsidRPr="3943BD3D">
              <w:rPr>
                <w:rFonts w:ascii="Calibri" w:eastAsia="Calibri" w:hAnsi="Calibri" w:cs="Calibri"/>
                <w:color w:val="FFFFFF" w:themeColor="background1"/>
                <w:sz w:val="20"/>
                <w:szCs w:val="20"/>
              </w:rPr>
              <w:t>2024</w:t>
            </w:r>
          </w:p>
        </w:tc>
        <w:tc>
          <w:tcPr>
            <w:tcW w:w="1140" w:type="dxa"/>
            <w:vMerge/>
            <w:vAlign w:val="center"/>
          </w:tcPr>
          <w:p w14:paraId="33543B98" w14:textId="77777777" w:rsidR="00422732" w:rsidRDefault="00422732"/>
        </w:tc>
      </w:tr>
      <w:tr w:rsidR="3943BD3D" w14:paraId="1A567483" w14:textId="77777777" w:rsidTr="001D3A41">
        <w:trPr>
          <w:trHeight w:val="300"/>
          <w:jc w:val="center"/>
        </w:trPr>
        <w:tc>
          <w:tcPr>
            <w:tcW w:w="390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B3122AD" w14:textId="78C553E6" w:rsidR="3943BD3D" w:rsidRDefault="3943BD3D" w:rsidP="00440FE9">
            <w:pPr>
              <w:spacing w:after="0"/>
              <w:rPr>
                <w:rFonts w:ascii="Calibri" w:eastAsia="Calibri" w:hAnsi="Calibri" w:cs="Calibri"/>
                <w:sz w:val="18"/>
                <w:szCs w:val="18"/>
              </w:rPr>
            </w:pPr>
            <w:r w:rsidRPr="3943BD3D">
              <w:rPr>
                <w:rFonts w:ascii="Calibri" w:eastAsia="Calibri" w:hAnsi="Calibri" w:cs="Calibri"/>
                <w:sz w:val="18"/>
                <w:szCs w:val="18"/>
              </w:rPr>
              <w:t>Empréstimos às Instituições Financeiras</w:t>
            </w:r>
          </w:p>
        </w:tc>
        <w:tc>
          <w:tcPr>
            <w:tcW w:w="1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CF01C0E" w14:textId="19CF17BC" w:rsidR="3943BD3D" w:rsidRDefault="7A8B0A9E" w:rsidP="001D3A41">
            <w:pPr>
              <w:spacing w:after="0"/>
              <w:jc w:val="right"/>
              <w:rPr>
                <w:rFonts w:ascii="Calibri" w:eastAsia="Calibri" w:hAnsi="Calibri" w:cs="Calibri"/>
                <w:sz w:val="18"/>
                <w:szCs w:val="18"/>
              </w:rPr>
            </w:pPr>
            <w:r w:rsidRPr="3C556770">
              <w:rPr>
                <w:rFonts w:ascii="Calibri" w:eastAsia="Calibri" w:hAnsi="Calibri" w:cs="Calibri"/>
                <w:sz w:val="18"/>
                <w:szCs w:val="18"/>
              </w:rPr>
              <w:t>235.726,3</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1B3CEA" w14:textId="28E0022B" w:rsidR="3943BD3D" w:rsidRDefault="7A8B0A9E" w:rsidP="001D3A41">
            <w:pPr>
              <w:spacing w:after="0"/>
              <w:jc w:val="right"/>
              <w:rPr>
                <w:rFonts w:ascii="Calibri" w:eastAsia="Calibri" w:hAnsi="Calibri" w:cs="Calibri"/>
                <w:sz w:val="18"/>
                <w:szCs w:val="18"/>
              </w:rPr>
            </w:pPr>
            <w:r w:rsidRPr="3C556770">
              <w:rPr>
                <w:rFonts w:ascii="Calibri" w:eastAsia="Calibri" w:hAnsi="Calibri" w:cs="Calibri"/>
                <w:sz w:val="18"/>
                <w:szCs w:val="18"/>
              </w:rPr>
              <w:t>52.974,5</w:t>
            </w:r>
          </w:p>
        </w:tc>
        <w:tc>
          <w:tcPr>
            <w:tcW w:w="9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57A2791" w14:textId="282F4D73" w:rsidR="3943BD3D" w:rsidRDefault="3943BD3D" w:rsidP="001D3A41">
            <w:pPr>
              <w:spacing w:after="0"/>
              <w:jc w:val="right"/>
              <w:rPr>
                <w:rFonts w:ascii="Calibri" w:eastAsia="Calibri" w:hAnsi="Calibri" w:cs="Calibri"/>
                <w:sz w:val="18"/>
                <w:szCs w:val="18"/>
              </w:rPr>
            </w:pPr>
            <w:r w:rsidRPr="3943BD3D">
              <w:rPr>
                <w:rFonts w:ascii="Calibri" w:eastAsia="Calibri" w:hAnsi="Calibri" w:cs="Calibri"/>
                <w:sz w:val="18"/>
                <w:szCs w:val="18"/>
              </w:rPr>
              <w:t>14.236,1</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F76DB43" w14:textId="20EB1D44" w:rsidR="3943BD3D" w:rsidRDefault="3943BD3D" w:rsidP="001D3A41">
            <w:pPr>
              <w:spacing w:after="0"/>
              <w:jc w:val="right"/>
              <w:rPr>
                <w:rFonts w:ascii="Calibri" w:eastAsia="Calibri" w:hAnsi="Calibri" w:cs="Calibri"/>
                <w:sz w:val="18"/>
                <w:szCs w:val="18"/>
              </w:rPr>
            </w:pPr>
            <w:r w:rsidRPr="3943BD3D">
              <w:rPr>
                <w:rFonts w:ascii="Calibri" w:eastAsia="Calibri" w:hAnsi="Calibri" w:cs="Calibri"/>
                <w:sz w:val="18"/>
                <w:szCs w:val="18"/>
              </w:rPr>
              <w:t>14.111,1</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8D32A2B" w14:textId="089137EF" w:rsidR="3943BD3D" w:rsidRDefault="3943BD3D" w:rsidP="001D3A41">
            <w:pPr>
              <w:spacing w:after="0"/>
              <w:jc w:val="right"/>
              <w:rPr>
                <w:rFonts w:ascii="Calibri" w:eastAsia="Calibri" w:hAnsi="Calibri" w:cs="Calibri"/>
                <w:sz w:val="18"/>
                <w:szCs w:val="18"/>
              </w:rPr>
            </w:pPr>
            <w:r w:rsidRPr="3943BD3D">
              <w:rPr>
                <w:rFonts w:ascii="Calibri" w:eastAsia="Calibri" w:hAnsi="Calibri" w:cs="Calibri"/>
                <w:sz w:val="18"/>
                <w:szCs w:val="18"/>
              </w:rPr>
              <w:t>14.016,6</w:t>
            </w:r>
          </w:p>
        </w:tc>
        <w:tc>
          <w:tcPr>
            <w:tcW w:w="114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BD6031B" w14:textId="4DBEC976" w:rsidR="3943BD3D" w:rsidRDefault="67FECBEB" w:rsidP="00440FE9">
            <w:pPr>
              <w:spacing w:after="0"/>
              <w:jc w:val="center"/>
              <w:rPr>
                <w:rFonts w:ascii="Calibri" w:eastAsia="Calibri" w:hAnsi="Calibri" w:cs="Calibri"/>
                <w:sz w:val="18"/>
                <w:szCs w:val="18"/>
              </w:rPr>
            </w:pPr>
            <w:r w:rsidRPr="2CEEB9C7">
              <w:rPr>
                <w:rFonts w:ascii="Calibri" w:eastAsia="Calibri" w:hAnsi="Calibri" w:cs="Calibri"/>
                <w:sz w:val="18"/>
                <w:szCs w:val="18"/>
              </w:rPr>
              <w:t>F</w:t>
            </w:r>
          </w:p>
        </w:tc>
      </w:tr>
      <w:tr w:rsidR="3943BD3D" w14:paraId="05408801" w14:textId="77777777" w:rsidTr="001D3A41">
        <w:trPr>
          <w:trHeight w:val="15"/>
          <w:jc w:val="center"/>
        </w:trPr>
        <w:tc>
          <w:tcPr>
            <w:tcW w:w="3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1A60AC" w14:textId="2CFD1031" w:rsidR="3943BD3D" w:rsidRDefault="3943BD3D" w:rsidP="00440FE9">
            <w:pPr>
              <w:spacing w:after="0"/>
            </w:pPr>
            <w:r w:rsidRPr="3943BD3D">
              <w:rPr>
                <w:rFonts w:ascii="Calibri" w:eastAsia="Calibri" w:hAnsi="Calibri" w:cs="Calibri"/>
                <w:sz w:val="18"/>
                <w:szCs w:val="18"/>
              </w:rPr>
              <w:t>Operações de Crédito Rural</w:t>
            </w:r>
          </w:p>
        </w:tc>
        <w:tc>
          <w:tcPr>
            <w:tcW w:w="1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9E2386" w14:textId="6028CAD4" w:rsidR="3943BD3D" w:rsidRDefault="3943BD3D" w:rsidP="001D3A41">
            <w:pPr>
              <w:spacing w:after="0"/>
              <w:jc w:val="right"/>
            </w:pPr>
            <w:r w:rsidRPr="3943BD3D">
              <w:rPr>
                <w:rFonts w:ascii="Calibri" w:eastAsia="Calibri" w:hAnsi="Calibri" w:cs="Calibri"/>
                <w:sz w:val="18"/>
                <w:szCs w:val="18"/>
              </w:rPr>
              <w:t>6.632,3</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A45616" w14:textId="5EFC4C31" w:rsidR="3943BD3D" w:rsidRDefault="3943BD3D" w:rsidP="001D3A41">
            <w:pPr>
              <w:spacing w:after="0"/>
              <w:jc w:val="right"/>
            </w:pPr>
            <w:r w:rsidRPr="3943BD3D">
              <w:rPr>
                <w:rFonts w:ascii="Calibri" w:eastAsia="Calibri" w:hAnsi="Calibri" w:cs="Calibri"/>
                <w:sz w:val="18"/>
                <w:szCs w:val="18"/>
              </w:rPr>
              <w:t>2.354,0</w:t>
            </w:r>
          </w:p>
        </w:tc>
        <w:tc>
          <w:tcPr>
            <w:tcW w:w="9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57B56A" w14:textId="52151E0A" w:rsidR="3943BD3D" w:rsidRDefault="3943BD3D" w:rsidP="001D3A41">
            <w:pPr>
              <w:spacing w:after="0"/>
              <w:jc w:val="right"/>
            </w:pPr>
            <w:r w:rsidRPr="3943BD3D">
              <w:rPr>
                <w:rFonts w:ascii="Calibri" w:eastAsia="Calibri" w:hAnsi="Calibri" w:cs="Calibri"/>
                <w:sz w:val="18"/>
                <w:szCs w:val="18"/>
              </w:rPr>
              <w:t>659,0</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CCF251" w14:textId="590F9FA7" w:rsidR="3943BD3D" w:rsidRDefault="3943BD3D" w:rsidP="001D3A41">
            <w:pPr>
              <w:spacing w:after="0"/>
              <w:jc w:val="right"/>
            </w:pPr>
            <w:r w:rsidRPr="3943BD3D">
              <w:rPr>
                <w:rFonts w:ascii="Calibri" w:eastAsia="Calibri" w:hAnsi="Calibri" w:cs="Calibri"/>
                <w:sz w:val="18"/>
                <w:szCs w:val="18"/>
              </w:rPr>
              <w:t>590,1</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23E66F" w14:textId="6D0CF60C" w:rsidR="3943BD3D" w:rsidRDefault="3943BD3D" w:rsidP="001D3A41">
            <w:pPr>
              <w:spacing w:after="0"/>
              <w:jc w:val="right"/>
            </w:pPr>
            <w:r w:rsidRPr="3943BD3D">
              <w:rPr>
                <w:rFonts w:ascii="Calibri" w:eastAsia="Calibri" w:hAnsi="Calibri" w:cs="Calibri"/>
                <w:sz w:val="18"/>
                <w:szCs w:val="18"/>
              </w:rPr>
              <w:t>546,6</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3C6056" w14:textId="4626511B" w:rsidR="3943BD3D" w:rsidRDefault="3943BD3D" w:rsidP="00440FE9">
            <w:pPr>
              <w:spacing w:after="0"/>
              <w:jc w:val="center"/>
            </w:pPr>
            <w:r w:rsidRPr="3943BD3D">
              <w:rPr>
                <w:rFonts w:ascii="Calibri" w:eastAsia="Calibri" w:hAnsi="Calibri" w:cs="Calibri"/>
                <w:sz w:val="18"/>
                <w:szCs w:val="18"/>
              </w:rPr>
              <w:t>F</w:t>
            </w:r>
          </w:p>
        </w:tc>
      </w:tr>
      <w:tr w:rsidR="3943BD3D" w14:paraId="784A31CE" w14:textId="77777777" w:rsidTr="001D3A41">
        <w:trPr>
          <w:trHeight w:val="15"/>
          <w:jc w:val="center"/>
        </w:trPr>
        <w:tc>
          <w:tcPr>
            <w:tcW w:w="3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7B12D14" w14:textId="44B4257E" w:rsidR="3943BD3D" w:rsidRDefault="3943BD3D" w:rsidP="00440FE9">
            <w:pPr>
              <w:spacing w:after="0"/>
            </w:pPr>
            <w:r w:rsidRPr="3943BD3D">
              <w:rPr>
                <w:rFonts w:ascii="Calibri" w:eastAsia="Calibri" w:hAnsi="Calibri" w:cs="Calibri"/>
                <w:sz w:val="18"/>
                <w:szCs w:val="18"/>
              </w:rPr>
              <w:t>Operações de Cessões de Crédito (ou estruturadas)</w:t>
            </w:r>
          </w:p>
        </w:tc>
        <w:tc>
          <w:tcPr>
            <w:tcW w:w="1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13B0D56" w14:textId="313DC1CB" w:rsidR="3943BD3D" w:rsidRDefault="3943BD3D" w:rsidP="001D3A41">
            <w:pPr>
              <w:spacing w:after="0"/>
              <w:jc w:val="right"/>
            </w:pPr>
            <w:r w:rsidRPr="3943BD3D">
              <w:rPr>
                <w:rFonts w:ascii="Calibri" w:eastAsia="Calibri" w:hAnsi="Calibri" w:cs="Calibri"/>
                <w:sz w:val="18"/>
                <w:szCs w:val="18"/>
              </w:rPr>
              <w:t>10.799,1</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375ED06" w14:textId="4E628E3E" w:rsidR="3943BD3D" w:rsidRDefault="3943BD3D" w:rsidP="001D3A41">
            <w:pPr>
              <w:spacing w:after="0"/>
              <w:jc w:val="right"/>
            </w:pPr>
            <w:r w:rsidRPr="3943BD3D">
              <w:rPr>
                <w:rFonts w:ascii="Calibri" w:eastAsia="Calibri" w:hAnsi="Calibri" w:cs="Calibri"/>
                <w:sz w:val="18"/>
                <w:szCs w:val="18"/>
              </w:rPr>
              <w:t>1.972,2</w:t>
            </w:r>
          </w:p>
        </w:tc>
        <w:tc>
          <w:tcPr>
            <w:tcW w:w="9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162CD38" w14:textId="7D93FA02" w:rsidR="3943BD3D" w:rsidRDefault="3943BD3D" w:rsidP="001D3A41">
            <w:pPr>
              <w:spacing w:after="0"/>
              <w:jc w:val="right"/>
            </w:pPr>
            <w:r w:rsidRPr="3943BD3D">
              <w:rPr>
                <w:rFonts w:ascii="Calibri" w:eastAsia="Calibri" w:hAnsi="Calibri" w:cs="Calibri"/>
                <w:sz w:val="18"/>
                <w:szCs w:val="18"/>
              </w:rPr>
              <w:t>2.279,6</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8BAD2AB" w14:textId="1EBD6115" w:rsidR="3943BD3D" w:rsidRDefault="3943BD3D" w:rsidP="001D3A41">
            <w:pPr>
              <w:spacing w:after="0"/>
              <w:jc w:val="right"/>
            </w:pPr>
            <w:r w:rsidRPr="3943BD3D">
              <w:rPr>
                <w:rFonts w:ascii="Calibri" w:eastAsia="Calibri" w:hAnsi="Calibri" w:cs="Calibri"/>
                <w:sz w:val="18"/>
                <w:szCs w:val="18"/>
              </w:rPr>
              <w:t>887,8</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13AC730" w14:textId="260A849F" w:rsidR="3943BD3D" w:rsidRDefault="3943BD3D" w:rsidP="001D3A41">
            <w:pPr>
              <w:spacing w:after="0"/>
              <w:jc w:val="right"/>
            </w:pPr>
            <w:r w:rsidRPr="3943BD3D">
              <w:rPr>
                <w:rFonts w:ascii="Calibri" w:eastAsia="Calibri" w:hAnsi="Calibri" w:cs="Calibri"/>
                <w:sz w:val="18"/>
                <w:szCs w:val="18"/>
              </w:rPr>
              <w:t>609,5</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7A8D7D3" w14:textId="2DFDDE39" w:rsidR="3943BD3D" w:rsidRDefault="3943BD3D" w:rsidP="00440FE9">
            <w:pPr>
              <w:spacing w:after="0"/>
              <w:jc w:val="center"/>
            </w:pPr>
            <w:r w:rsidRPr="3943BD3D">
              <w:rPr>
                <w:rFonts w:ascii="Calibri" w:eastAsia="Calibri" w:hAnsi="Calibri" w:cs="Calibri"/>
                <w:sz w:val="18"/>
                <w:szCs w:val="18"/>
              </w:rPr>
              <w:t>F</w:t>
            </w:r>
          </w:p>
        </w:tc>
      </w:tr>
      <w:tr w:rsidR="3943BD3D" w14:paraId="7FF6B805" w14:textId="77777777" w:rsidTr="001D3A41">
        <w:trPr>
          <w:trHeight w:val="15"/>
          <w:jc w:val="center"/>
        </w:trPr>
        <w:tc>
          <w:tcPr>
            <w:tcW w:w="3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F1528D" w14:textId="00533795" w:rsidR="3943BD3D" w:rsidRDefault="3943BD3D" w:rsidP="00440FE9">
            <w:pPr>
              <w:spacing w:after="0"/>
            </w:pPr>
            <w:r w:rsidRPr="3943BD3D">
              <w:rPr>
                <w:rFonts w:ascii="Calibri" w:eastAsia="Calibri" w:hAnsi="Calibri" w:cs="Calibri"/>
                <w:sz w:val="18"/>
                <w:szCs w:val="18"/>
              </w:rPr>
              <w:t>Operações de Crédito à Exportação</w:t>
            </w:r>
          </w:p>
        </w:tc>
        <w:tc>
          <w:tcPr>
            <w:tcW w:w="1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C476CF" w14:textId="4A88206B" w:rsidR="3943BD3D" w:rsidRDefault="3943BD3D" w:rsidP="001D3A41">
            <w:pPr>
              <w:spacing w:after="0"/>
              <w:jc w:val="right"/>
            </w:pPr>
            <w:r w:rsidRPr="3943BD3D">
              <w:rPr>
                <w:rFonts w:ascii="Calibri" w:eastAsia="Calibri" w:hAnsi="Calibri" w:cs="Calibri"/>
                <w:sz w:val="18"/>
                <w:szCs w:val="18"/>
              </w:rPr>
              <w:t>5.236,3</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9193FE" w14:textId="771A6342" w:rsidR="3943BD3D" w:rsidRDefault="3943BD3D" w:rsidP="001D3A41">
            <w:pPr>
              <w:spacing w:after="0"/>
              <w:jc w:val="right"/>
            </w:pPr>
            <w:r w:rsidRPr="3943BD3D">
              <w:rPr>
                <w:rFonts w:ascii="Calibri" w:eastAsia="Calibri" w:hAnsi="Calibri" w:cs="Calibri"/>
                <w:sz w:val="18"/>
                <w:szCs w:val="18"/>
              </w:rPr>
              <w:t>793,2</w:t>
            </w:r>
          </w:p>
        </w:tc>
        <w:tc>
          <w:tcPr>
            <w:tcW w:w="9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8B3FBF" w14:textId="653346A9" w:rsidR="3943BD3D" w:rsidRDefault="3943BD3D" w:rsidP="001D3A41">
            <w:pPr>
              <w:spacing w:after="0"/>
              <w:jc w:val="right"/>
            </w:pPr>
            <w:r w:rsidRPr="3943BD3D">
              <w:rPr>
                <w:rFonts w:ascii="Calibri" w:eastAsia="Calibri" w:hAnsi="Calibri" w:cs="Calibri"/>
                <w:sz w:val="18"/>
                <w:szCs w:val="18"/>
              </w:rPr>
              <w:t>813,0</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DC21AA" w14:textId="3F4920EC" w:rsidR="3943BD3D" w:rsidRDefault="3943BD3D" w:rsidP="001D3A41">
            <w:pPr>
              <w:spacing w:after="0"/>
              <w:jc w:val="right"/>
            </w:pPr>
            <w:r w:rsidRPr="3943BD3D">
              <w:rPr>
                <w:rFonts w:ascii="Calibri" w:eastAsia="Calibri" w:hAnsi="Calibri" w:cs="Calibri"/>
                <w:sz w:val="18"/>
                <w:szCs w:val="18"/>
              </w:rPr>
              <w:t>833,3</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BFA3DC" w14:textId="7FB5D57B" w:rsidR="3943BD3D" w:rsidRDefault="3943BD3D" w:rsidP="001D3A41">
            <w:pPr>
              <w:spacing w:after="0"/>
              <w:jc w:val="right"/>
            </w:pPr>
            <w:r w:rsidRPr="3943BD3D">
              <w:rPr>
                <w:rFonts w:ascii="Calibri" w:eastAsia="Calibri" w:hAnsi="Calibri" w:cs="Calibri"/>
                <w:sz w:val="18"/>
                <w:szCs w:val="18"/>
              </w:rPr>
              <w:t>854,2</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AE7C6F" w14:textId="7F24A9DF" w:rsidR="3943BD3D" w:rsidRDefault="3943BD3D" w:rsidP="00440FE9">
            <w:pPr>
              <w:spacing w:after="0"/>
              <w:jc w:val="center"/>
            </w:pPr>
            <w:r w:rsidRPr="3943BD3D">
              <w:rPr>
                <w:rFonts w:ascii="Calibri" w:eastAsia="Calibri" w:hAnsi="Calibri" w:cs="Calibri"/>
                <w:sz w:val="18"/>
                <w:szCs w:val="18"/>
              </w:rPr>
              <w:t>F</w:t>
            </w:r>
          </w:p>
        </w:tc>
      </w:tr>
      <w:tr w:rsidR="3943BD3D" w14:paraId="16A6E223" w14:textId="77777777" w:rsidTr="001D3A41">
        <w:trPr>
          <w:trHeight w:val="15"/>
          <w:jc w:val="center"/>
        </w:trPr>
        <w:tc>
          <w:tcPr>
            <w:tcW w:w="3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8FEC8AA" w14:textId="0E85D5D1" w:rsidR="3943BD3D" w:rsidRDefault="3943BD3D" w:rsidP="00440FE9">
            <w:pPr>
              <w:spacing w:after="0"/>
            </w:pPr>
            <w:r w:rsidRPr="3943BD3D">
              <w:rPr>
                <w:rFonts w:ascii="Calibri" w:eastAsia="Calibri" w:hAnsi="Calibri" w:cs="Calibri"/>
                <w:sz w:val="18"/>
                <w:szCs w:val="18"/>
              </w:rPr>
              <w:t>Empréstimos a Entidades Não Financeiras</w:t>
            </w:r>
          </w:p>
        </w:tc>
        <w:tc>
          <w:tcPr>
            <w:tcW w:w="1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5F48664" w14:textId="50CCF334" w:rsidR="3943BD3D" w:rsidRDefault="3943BD3D" w:rsidP="001D3A41">
            <w:pPr>
              <w:spacing w:after="0"/>
              <w:jc w:val="right"/>
            </w:pPr>
            <w:r w:rsidRPr="3943BD3D">
              <w:rPr>
                <w:rFonts w:ascii="Calibri" w:eastAsia="Calibri" w:hAnsi="Calibri" w:cs="Calibri"/>
                <w:sz w:val="18"/>
                <w:szCs w:val="18"/>
              </w:rPr>
              <w:t>66,5</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96B7AA6" w14:textId="59AD4158" w:rsidR="3943BD3D" w:rsidRDefault="3943BD3D" w:rsidP="001D3A41">
            <w:pPr>
              <w:spacing w:after="0"/>
              <w:jc w:val="right"/>
            </w:pPr>
            <w:r w:rsidRPr="3943BD3D">
              <w:rPr>
                <w:rFonts w:ascii="Calibri" w:eastAsia="Calibri" w:hAnsi="Calibri" w:cs="Calibri"/>
                <w:sz w:val="18"/>
                <w:szCs w:val="18"/>
              </w:rPr>
              <w:t>30,6</w:t>
            </w:r>
          </w:p>
        </w:tc>
        <w:tc>
          <w:tcPr>
            <w:tcW w:w="9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FDCEE14" w14:textId="3F5FA34D" w:rsidR="3943BD3D" w:rsidRDefault="3943BD3D" w:rsidP="001D3A41">
            <w:pPr>
              <w:spacing w:after="0"/>
              <w:jc w:val="right"/>
            </w:pPr>
            <w:r w:rsidRPr="3943BD3D">
              <w:rPr>
                <w:rFonts w:ascii="Calibri" w:eastAsia="Calibri" w:hAnsi="Calibri" w:cs="Calibri"/>
                <w:sz w:val="18"/>
                <w:szCs w:val="18"/>
              </w:rPr>
              <w:t>30,0</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C28C2AA" w14:textId="452EEE27" w:rsidR="3943BD3D" w:rsidRDefault="3943BD3D" w:rsidP="001D3A41">
            <w:pPr>
              <w:spacing w:after="0"/>
              <w:jc w:val="right"/>
            </w:pPr>
            <w:r w:rsidRPr="3943BD3D">
              <w:rPr>
                <w:rFonts w:ascii="Calibri" w:eastAsia="Calibri" w:hAnsi="Calibri" w:cs="Calibri"/>
                <w:sz w:val="18"/>
                <w:szCs w:val="18"/>
              </w:rPr>
              <w:t>10,5</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73DA8F3" w14:textId="461B6F7D" w:rsidR="3943BD3D" w:rsidRDefault="3943BD3D" w:rsidP="001D3A41">
            <w:pPr>
              <w:spacing w:after="0"/>
              <w:jc w:val="right"/>
            </w:pP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FF8DF43" w14:textId="580F6105" w:rsidR="3943BD3D" w:rsidRDefault="3943BD3D" w:rsidP="00440FE9">
            <w:pPr>
              <w:spacing w:after="0"/>
              <w:jc w:val="center"/>
            </w:pPr>
            <w:r w:rsidRPr="3943BD3D">
              <w:rPr>
                <w:rFonts w:ascii="Calibri" w:eastAsia="Calibri" w:hAnsi="Calibri" w:cs="Calibri"/>
                <w:sz w:val="18"/>
                <w:szCs w:val="18"/>
              </w:rPr>
              <w:t>F</w:t>
            </w:r>
          </w:p>
        </w:tc>
      </w:tr>
      <w:tr w:rsidR="3943BD3D" w14:paraId="785A0722" w14:textId="77777777" w:rsidTr="001D3A41">
        <w:trPr>
          <w:trHeight w:val="15"/>
          <w:jc w:val="center"/>
        </w:trPr>
        <w:tc>
          <w:tcPr>
            <w:tcW w:w="3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21F258" w14:textId="6BF2B22F" w:rsidR="3943BD3D" w:rsidRDefault="3943BD3D" w:rsidP="00440FE9">
            <w:pPr>
              <w:spacing w:after="0"/>
            </w:pPr>
            <w:r w:rsidRPr="3943BD3D">
              <w:rPr>
                <w:rFonts w:ascii="Calibri" w:eastAsia="Calibri" w:hAnsi="Calibri" w:cs="Calibri"/>
                <w:sz w:val="18"/>
                <w:szCs w:val="18"/>
              </w:rPr>
              <w:t>Programa Emergencial de Suporte ao Emprego - PESE/FOPAG</w:t>
            </w:r>
          </w:p>
        </w:tc>
        <w:tc>
          <w:tcPr>
            <w:tcW w:w="1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B1C6C2" w14:textId="37D0F6F4" w:rsidR="3943BD3D" w:rsidRDefault="7A8B0A9E" w:rsidP="001D3A41">
            <w:pPr>
              <w:spacing w:after="0"/>
              <w:jc w:val="right"/>
              <w:rPr>
                <w:rFonts w:ascii="Calibri" w:eastAsia="Calibri" w:hAnsi="Calibri" w:cs="Calibri"/>
                <w:sz w:val="18"/>
                <w:szCs w:val="18"/>
              </w:rPr>
            </w:pPr>
            <w:r w:rsidRPr="3C556770">
              <w:rPr>
                <w:rFonts w:ascii="Calibri" w:eastAsia="Calibri" w:hAnsi="Calibri" w:cs="Calibri"/>
                <w:sz w:val="18"/>
                <w:szCs w:val="18"/>
              </w:rPr>
              <w:t>6.895,3</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879B82" w14:textId="59D1F7B2" w:rsidR="3943BD3D" w:rsidRDefault="7A8B0A9E" w:rsidP="001D3A41">
            <w:pPr>
              <w:spacing w:after="0"/>
              <w:jc w:val="right"/>
              <w:rPr>
                <w:rFonts w:ascii="Calibri" w:eastAsia="Calibri" w:hAnsi="Calibri" w:cs="Calibri"/>
                <w:sz w:val="18"/>
                <w:szCs w:val="18"/>
              </w:rPr>
            </w:pPr>
            <w:r w:rsidRPr="3C556770">
              <w:rPr>
                <w:rFonts w:ascii="Calibri" w:eastAsia="Calibri" w:hAnsi="Calibri" w:cs="Calibri"/>
                <w:sz w:val="18"/>
                <w:szCs w:val="18"/>
              </w:rPr>
              <w:t>2.394,5</w:t>
            </w:r>
          </w:p>
        </w:tc>
        <w:tc>
          <w:tcPr>
            <w:tcW w:w="9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9DBE3F" w14:textId="7C343E80" w:rsidR="3943BD3D" w:rsidRDefault="3943BD3D" w:rsidP="001D3A41">
            <w:pPr>
              <w:spacing w:after="0"/>
              <w:jc w:val="right"/>
            </w:pPr>
            <w:r w:rsidRPr="3943BD3D">
              <w:rPr>
                <w:rFonts w:ascii="Calibri" w:eastAsia="Calibri" w:hAnsi="Calibri" w:cs="Calibri"/>
                <w:sz w:val="18"/>
                <w:szCs w:val="18"/>
              </w:rPr>
              <w:t>2.890,0</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0F8DC1" w14:textId="48D9DECC" w:rsidR="3943BD3D" w:rsidRDefault="3943BD3D" w:rsidP="001D3A41">
            <w:pPr>
              <w:spacing w:after="0"/>
              <w:jc w:val="right"/>
            </w:pPr>
            <w:r w:rsidRPr="3943BD3D">
              <w:rPr>
                <w:rFonts w:ascii="Calibri" w:eastAsia="Calibri" w:hAnsi="Calibri" w:cs="Calibri"/>
                <w:sz w:val="18"/>
                <w:szCs w:val="18"/>
              </w:rPr>
              <w:t>1.537,3</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49279E" w14:textId="2590F9EF" w:rsidR="3943BD3D" w:rsidRPr="00031F32" w:rsidRDefault="3943BD3D" w:rsidP="001D3A41">
            <w:pPr>
              <w:spacing w:after="0"/>
              <w:jc w:val="right"/>
              <w:rPr>
                <w:sz w:val="18"/>
                <w:szCs w:val="18"/>
              </w:rPr>
            </w:pP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2F7661" w14:textId="75FCA588" w:rsidR="3943BD3D" w:rsidRPr="00031F32" w:rsidRDefault="3943BD3D" w:rsidP="00440FE9">
            <w:pPr>
              <w:spacing w:after="0"/>
              <w:jc w:val="center"/>
              <w:rPr>
                <w:sz w:val="18"/>
                <w:szCs w:val="18"/>
              </w:rPr>
            </w:pPr>
            <w:r w:rsidRPr="00031F32">
              <w:rPr>
                <w:sz w:val="18"/>
                <w:szCs w:val="18"/>
              </w:rPr>
              <w:t>F</w:t>
            </w:r>
          </w:p>
        </w:tc>
      </w:tr>
      <w:tr w:rsidR="3943BD3D" w14:paraId="67418B13" w14:textId="77777777" w:rsidTr="001D3A41">
        <w:trPr>
          <w:trHeight w:val="15"/>
          <w:jc w:val="center"/>
        </w:trPr>
        <w:tc>
          <w:tcPr>
            <w:tcW w:w="3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7BAF6120" w14:textId="1FB27973" w:rsidR="3943BD3D" w:rsidRDefault="3943BD3D" w:rsidP="00440FE9">
            <w:pPr>
              <w:spacing w:after="0"/>
            </w:pPr>
            <w:r w:rsidRPr="3943BD3D">
              <w:rPr>
                <w:rFonts w:ascii="Calibri" w:eastAsia="Calibri" w:hAnsi="Calibri" w:cs="Calibri"/>
                <w:color w:val="FFFFFF" w:themeColor="background1"/>
                <w:sz w:val="18"/>
                <w:szCs w:val="18"/>
              </w:rPr>
              <w:t>Total</w:t>
            </w:r>
          </w:p>
        </w:tc>
        <w:tc>
          <w:tcPr>
            <w:tcW w:w="12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20535841" w14:textId="22A7CB69" w:rsidR="3943BD3D" w:rsidRDefault="3943BD3D" w:rsidP="001D3A41">
            <w:pPr>
              <w:spacing w:after="0"/>
              <w:jc w:val="right"/>
            </w:pPr>
            <w:r w:rsidRPr="3943BD3D">
              <w:rPr>
                <w:rFonts w:ascii="Calibri" w:eastAsia="Calibri" w:hAnsi="Calibri" w:cs="Calibri"/>
                <w:color w:val="FFFFFF" w:themeColor="background1"/>
                <w:sz w:val="18"/>
                <w:szCs w:val="18"/>
              </w:rPr>
              <w:t>265.355,8</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36C94695" w14:textId="131E8AFD" w:rsidR="3943BD3D" w:rsidRDefault="7A8B0A9E" w:rsidP="001D3A41">
            <w:pPr>
              <w:spacing w:after="0"/>
              <w:jc w:val="right"/>
              <w:rPr>
                <w:rFonts w:ascii="Calibri" w:eastAsia="Calibri" w:hAnsi="Calibri" w:cs="Calibri"/>
                <w:color w:val="FFFFFF" w:themeColor="background1"/>
                <w:sz w:val="18"/>
                <w:szCs w:val="18"/>
              </w:rPr>
            </w:pPr>
            <w:r w:rsidRPr="3C556770">
              <w:rPr>
                <w:rFonts w:ascii="Calibri" w:eastAsia="Calibri" w:hAnsi="Calibri" w:cs="Calibri"/>
                <w:color w:val="FFFFFF" w:themeColor="background1"/>
                <w:sz w:val="18"/>
                <w:szCs w:val="18"/>
              </w:rPr>
              <w:t>60.519,0</w:t>
            </w:r>
          </w:p>
        </w:tc>
        <w:tc>
          <w:tcPr>
            <w:tcW w:w="9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3A4D9E3B" w14:textId="28C6A446" w:rsidR="3943BD3D" w:rsidRDefault="3943BD3D" w:rsidP="001D3A41">
            <w:pPr>
              <w:spacing w:after="0"/>
              <w:jc w:val="right"/>
            </w:pPr>
            <w:r w:rsidRPr="3943BD3D">
              <w:rPr>
                <w:rFonts w:ascii="Calibri" w:eastAsia="Calibri" w:hAnsi="Calibri" w:cs="Calibri"/>
                <w:color w:val="FFFFFF" w:themeColor="background1"/>
                <w:sz w:val="18"/>
                <w:szCs w:val="18"/>
              </w:rPr>
              <w:t>20.907,7</w:t>
            </w:r>
          </w:p>
        </w:tc>
        <w:tc>
          <w:tcPr>
            <w:tcW w:w="9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188A1BA3" w14:textId="2969DEF0" w:rsidR="3943BD3D" w:rsidRDefault="3943BD3D" w:rsidP="001D3A41">
            <w:pPr>
              <w:spacing w:after="0"/>
              <w:jc w:val="right"/>
            </w:pPr>
            <w:r w:rsidRPr="3943BD3D">
              <w:rPr>
                <w:rFonts w:ascii="Calibri" w:eastAsia="Calibri" w:hAnsi="Calibri" w:cs="Calibri"/>
                <w:color w:val="FFFFFF" w:themeColor="background1"/>
                <w:sz w:val="18"/>
                <w:szCs w:val="18"/>
              </w:rPr>
              <w:t>17.970,2</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62D5C091" w14:textId="3AD35083" w:rsidR="3943BD3D" w:rsidRDefault="3943BD3D" w:rsidP="001D3A41">
            <w:pPr>
              <w:spacing w:after="0"/>
              <w:jc w:val="right"/>
            </w:pPr>
            <w:r w:rsidRPr="3943BD3D">
              <w:rPr>
                <w:rFonts w:ascii="Calibri" w:eastAsia="Calibri" w:hAnsi="Calibri" w:cs="Calibri"/>
                <w:color w:val="FFFFFF" w:themeColor="background1"/>
                <w:sz w:val="18"/>
                <w:szCs w:val="18"/>
              </w:rPr>
              <w:t>16.026,9</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13D922D5" w14:textId="45D11267" w:rsidR="3943BD3D" w:rsidRDefault="3943BD3D" w:rsidP="00440FE9">
            <w:pPr>
              <w:spacing w:after="0"/>
              <w:jc w:val="center"/>
            </w:pPr>
          </w:p>
        </w:tc>
      </w:tr>
      <w:tr w:rsidR="3943BD3D" w14:paraId="3ED82B44" w14:textId="77777777" w:rsidTr="001D3A41">
        <w:trPr>
          <w:trHeight w:val="57"/>
          <w:jc w:val="center"/>
        </w:trPr>
        <w:tc>
          <w:tcPr>
            <w:tcW w:w="10074" w:type="dxa"/>
            <w:gridSpan w:val="7"/>
            <w:tcBorders>
              <w:top w:val="single" w:sz="8" w:space="0" w:color="BFBFBF" w:themeColor="background1" w:themeShade="BF"/>
              <w:left w:val="nil"/>
              <w:bottom w:val="nil"/>
              <w:right w:val="nil"/>
            </w:tcBorders>
            <w:vAlign w:val="center"/>
          </w:tcPr>
          <w:p w14:paraId="4A3FA960" w14:textId="724EE331" w:rsidR="3943BD3D" w:rsidRDefault="3943BD3D" w:rsidP="00440FE9">
            <w:pPr>
              <w:spacing w:after="0"/>
              <w:jc w:val="both"/>
            </w:pPr>
            <w:proofErr w:type="gramStart"/>
            <w:r w:rsidRPr="3943BD3D">
              <w:rPr>
                <w:rFonts w:ascii="Calibri" w:eastAsia="Calibri" w:hAnsi="Calibri" w:cs="Calibri"/>
                <w:i/>
                <w:iCs/>
                <w:sz w:val="16"/>
                <w:szCs w:val="16"/>
                <w:vertAlign w:val="superscript"/>
              </w:rPr>
              <w:lastRenderedPageBreak/>
              <w:t>1</w:t>
            </w:r>
            <w:proofErr w:type="gramEnd"/>
            <w:r w:rsidRPr="3943BD3D">
              <w:rPr>
                <w:rFonts w:ascii="Calibri" w:eastAsia="Calibri" w:hAnsi="Calibri" w:cs="Calibri"/>
                <w:i/>
                <w:iCs/>
                <w:sz w:val="16"/>
                <w:szCs w:val="16"/>
              </w:rPr>
              <w:t xml:space="preserve"> Posição em 31/12/2020.</w:t>
            </w:r>
          </w:p>
          <w:p w14:paraId="74BFA76E" w14:textId="40AC5C41" w:rsidR="3943BD3D" w:rsidRDefault="3943BD3D" w:rsidP="00440FE9">
            <w:pPr>
              <w:spacing w:after="0"/>
              <w:jc w:val="both"/>
            </w:pPr>
            <w:proofErr w:type="gramStart"/>
            <w:r w:rsidRPr="3943BD3D">
              <w:rPr>
                <w:rFonts w:ascii="Calibri" w:eastAsia="Calibri" w:hAnsi="Calibri" w:cs="Calibri"/>
                <w:i/>
                <w:iCs/>
                <w:sz w:val="16"/>
                <w:szCs w:val="16"/>
                <w:vertAlign w:val="superscript"/>
              </w:rPr>
              <w:t>2</w:t>
            </w:r>
            <w:proofErr w:type="gramEnd"/>
            <w:r w:rsidRPr="3943BD3D">
              <w:rPr>
                <w:rFonts w:ascii="Calibri" w:eastAsia="Calibri" w:hAnsi="Calibri" w:cs="Calibri"/>
                <w:i/>
                <w:iCs/>
                <w:sz w:val="16"/>
                <w:szCs w:val="16"/>
              </w:rPr>
              <w:t xml:space="preserve"> Os valores estimados consideram o pagamento antecipado do BNDES de R$ 38 bilhões previsto para março/2021 e já aprovado pelo ME.</w:t>
            </w:r>
          </w:p>
          <w:p w14:paraId="1172E96E" w14:textId="51694048" w:rsidR="3943BD3D" w:rsidRDefault="3943BD3D" w:rsidP="00440FE9">
            <w:pPr>
              <w:spacing w:after="0"/>
              <w:jc w:val="both"/>
            </w:pPr>
            <w:r w:rsidRPr="3943BD3D">
              <w:rPr>
                <w:rFonts w:ascii="Calibri" w:eastAsia="Calibri" w:hAnsi="Calibri" w:cs="Calibri"/>
                <w:b/>
                <w:bCs/>
                <w:i/>
                <w:iCs/>
                <w:sz w:val="16"/>
                <w:szCs w:val="16"/>
              </w:rPr>
              <w:t>Fonte e elaboração</w:t>
            </w:r>
            <w:r w:rsidRPr="3943BD3D">
              <w:rPr>
                <w:rFonts w:ascii="Calibri" w:eastAsia="Calibri" w:hAnsi="Calibri" w:cs="Calibri"/>
                <w:i/>
                <w:iCs/>
                <w:sz w:val="16"/>
                <w:szCs w:val="16"/>
              </w:rPr>
              <w:t>: STN/ME.</w:t>
            </w:r>
          </w:p>
          <w:p w14:paraId="4B66FD99" w14:textId="7B46169E" w:rsidR="3943BD3D" w:rsidRDefault="3943BD3D" w:rsidP="3943BD3D">
            <w:pPr>
              <w:jc w:val="both"/>
              <w:rPr>
                <w:rFonts w:ascii="Calibri" w:eastAsia="Calibri" w:hAnsi="Calibri" w:cs="Calibri"/>
                <w:i/>
                <w:iCs/>
                <w:sz w:val="16"/>
                <w:szCs w:val="16"/>
              </w:rPr>
            </w:pPr>
          </w:p>
        </w:tc>
      </w:tr>
    </w:tbl>
    <w:p w14:paraId="535625BA" w14:textId="447B6541" w:rsidR="2CEEB9C7" w:rsidRDefault="2CEEB9C7"/>
    <w:p w14:paraId="2E772934" w14:textId="0522E3A7" w:rsidR="00E26A9F" w:rsidRPr="009B04B3" w:rsidRDefault="00E26A9F" w:rsidP="00D260DD">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 xml:space="preserve">Riscos </w:t>
      </w:r>
      <w:r w:rsidR="00970DD9" w:rsidRPr="009B04B3">
        <w:rPr>
          <w:rFonts w:asciiTheme="minorHAnsi" w:hAnsiTheme="minorHAnsi"/>
        </w:rPr>
        <w:t>f</w:t>
      </w:r>
      <w:r w:rsidRPr="009B04B3">
        <w:rPr>
          <w:rFonts w:asciiTheme="minorHAnsi" w:hAnsiTheme="minorHAnsi"/>
        </w:rPr>
        <w:t>iscais mapeados e mensurados</w:t>
      </w:r>
    </w:p>
    <w:p w14:paraId="24BCA947" w14:textId="42CA0592" w:rsidR="001F07F8" w:rsidRPr="009B04B3" w:rsidRDefault="001F07F8" w:rsidP="001F07F8">
      <w:pPr>
        <w:spacing w:after="120" w:line="240" w:lineRule="auto"/>
        <w:ind w:firstLine="1418"/>
        <w:jc w:val="both"/>
        <w:rPr>
          <w:rFonts w:cs="Times New Roman"/>
          <w:sz w:val="24"/>
          <w:szCs w:val="24"/>
          <w:lang w:eastAsia="pt-BR"/>
        </w:rPr>
      </w:pPr>
      <w:r w:rsidRPr="3943BD3D">
        <w:rPr>
          <w:rFonts w:cs="Times New Roman"/>
          <w:sz w:val="24"/>
          <w:szCs w:val="24"/>
          <w:lang w:eastAsia="pt-BR"/>
        </w:rPr>
        <w:t>No que tange à gestão de riscos da carteira sob a gestão da STN, entende-se que os riscos fiscais decorrentes destes haveres são reflexos dos riscos de crédito e liquidez inerentes às operações supramencionadas.</w:t>
      </w:r>
      <w:r w:rsidR="00A64C23" w:rsidRPr="3943BD3D">
        <w:rPr>
          <w:rFonts w:cs="Times New Roman"/>
          <w:sz w:val="24"/>
          <w:szCs w:val="24"/>
          <w:lang w:eastAsia="pt-BR"/>
        </w:rPr>
        <w:t xml:space="preserve"> As estimativas</w:t>
      </w:r>
      <w:r w:rsidR="003D6077" w:rsidRPr="3943BD3D">
        <w:rPr>
          <w:rFonts w:cs="Times New Roman"/>
          <w:sz w:val="24"/>
          <w:szCs w:val="24"/>
          <w:lang w:eastAsia="pt-BR"/>
        </w:rPr>
        <w:t xml:space="preserve"> de impacto </w:t>
      </w:r>
      <w:r w:rsidR="00A64C23" w:rsidRPr="3943BD3D">
        <w:rPr>
          <w:rFonts w:cs="Times New Roman"/>
          <w:sz w:val="24"/>
          <w:szCs w:val="24"/>
          <w:lang w:eastAsia="pt-BR"/>
        </w:rPr>
        <w:t xml:space="preserve">estão disponíveis </w:t>
      </w:r>
      <w:r w:rsidR="002E10F7" w:rsidRPr="3943BD3D">
        <w:rPr>
          <w:rFonts w:cs="Times New Roman"/>
          <w:sz w:val="24"/>
          <w:szCs w:val="24"/>
          <w:lang w:eastAsia="pt-BR"/>
        </w:rPr>
        <w:t xml:space="preserve">na </w:t>
      </w:r>
      <w:r w:rsidR="004B1824" w:rsidRPr="004B1824">
        <w:rPr>
          <w:rFonts w:cs="Times New Roman"/>
          <w:sz w:val="24"/>
          <w:szCs w:val="24"/>
          <w:lang w:eastAsia="pt-BR"/>
        </w:rPr>
        <w:fldChar w:fldCharType="begin"/>
      </w:r>
      <w:r w:rsidR="004B1824" w:rsidRPr="004B1824">
        <w:rPr>
          <w:rFonts w:cs="Times New Roman"/>
          <w:sz w:val="24"/>
          <w:szCs w:val="24"/>
          <w:lang w:eastAsia="pt-BR"/>
        </w:rPr>
        <w:instrText xml:space="preserve"> REF _Ref67910168 \h  \* MERGEFORMAT </w:instrText>
      </w:r>
      <w:r w:rsidR="004B1824" w:rsidRPr="004B1824">
        <w:rPr>
          <w:rFonts w:cs="Times New Roman"/>
          <w:sz w:val="24"/>
          <w:szCs w:val="24"/>
          <w:lang w:eastAsia="pt-BR"/>
        </w:rPr>
      </w:r>
      <w:r w:rsidR="004B1824" w:rsidRPr="004B1824">
        <w:rPr>
          <w:rFonts w:cs="Times New Roman"/>
          <w:sz w:val="24"/>
          <w:szCs w:val="24"/>
          <w:lang w:eastAsia="pt-BR"/>
        </w:rPr>
        <w:fldChar w:fldCharType="separate"/>
      </w:r>
      <w:r w:rsidR="00304F5F" w:rsidRPr="00304F5F">
        <w:rPr>
          <w:rFonts w:cstheme="minorHAnsi"/>
          <w:sz w:val="24"/>
          <w:szCs w:val="24"/>
        </w:rPr>
        <w:t xml:space="preserve">Tabela </w:t>
      </w:r>
      <w:r w:rsidR="00304F5F" w:rsidRPr="00304F5F">
        <w:rPr>
          <w:rFonts w:cstheme="minorHAnsi"/>
          <w:noProof/>
          <w:sz w:val="24"/>
          <w:szCs w:val="24"/>
        </w:rPr>
        <w:t>54</w:t>
      </w:r>
      <w:r w:rsidR="004B1824" w:rsidRPr="004B1824">
        <w:rPr>
          <w:rFonts w:cs="Times New Roman"/>
          <w:sz w:val="24"/>
          <w:szCs w:val="24"/>
          <w:lang w:eastAsia="pt-BR"/>
        </w:rPr>
        <w:fldChar w:fldCharType="end"/>
      </w:r>
      <w:r w:rsidR="009472D9" w:rsidRPr="3943BD3D">
        <w:rPr>
          <w:rFonts w:cs="Times New Roman"/>
          <w:sz w:val="24"/>
          <w:szCs w:val="24"/>
          <w:lang w:eastAsia="pt-BR"/>
        </w:rPr>
        <w:t>.</w:t>
      </w:r>
    </w:p>
    <w:p w14:paraId="045300E1" w14:textId="08190454" w:rsidR="009D53F7" w:rsidRPr="004B1824" w:rsidRDefault="335ACDD6" w:rsidP="004B1824">
      <w:pPr>
        <w:pStyle w:val="Legenda"/>
        <w:jc w:val="center"/>
        <w:rPr>
          <w:rFonts w:asciiTheme="minorHAnsi" w:hAnsiTheme="minorHAnsi" w:cstheme="minorHAnsi"/>
          <w:i w:val="0"/>
          <w:color w:val="auto"/>
          <w:sz w:val="22"/>
          <w:szCs w:val="22"/>
        </w:rPr>
      </w:pPr>
      <w:bookmarkStart w:id="376" w:name="_Ref67910168"/>
      <w:bookmarkStart w:id="377" w:name="_Toc69121400"/>
      <w:r w:rsidRPr="004B1824">
        <w:rPr>
          <w:rFonts w:asciiTheme="minorHAnsi" w:eastAsia="Calibri" w:hAnsiTheme="minorHAnsi" w:cstheme="minorHAnsi"/>
          <w:i w:val="0"/>
          <w:color w:val="auto"/>
          <w:sz w:val="22"/>
          <w:szCs w:val="22"/>
        </w:rPr>
        <w:t xml:space="preserve">Tabela </w:t>
      </w:r>
      <w:r w:rsidR="004B1824" w:rsidRPr="004B1824">
        <w:rPr>
          <w:rFonts w:asciiTheme="minorHAnsi" w:hAnsiTheme="minorHAnsi" w:cstheme="minorHAnsi"/>
          <w:i w:val="0"/>
          <w:color w:val="auto"/>
          <w:sz w:val="22"/>
          <w:szCs w:val="22"/>
        </w:rPr>
        <w:fldChar w:fldCharType="begin"/>
      </w:r>
      <w:r w:rsidR="004B1824" w:rsidRPr="004B1824">
        <w:rPr>
          <w:rFonts w:asciiTheme="minorHAnsi" w:hAnsiTheme="minorHAnsi" w:cstheme="minorHAnsi"/>
          <w:i w:val="0"/>
          <w:color w:val="auto"/>
          <w:sz w:val="22"/>
          <w:szCs w:val="22"/>
        </w:rPr>
        <w:instrText xml:space="preserve"> SEQ Tabela \* ARABIC </w:instrText>
      </w:r>
      <w:r w:rsidR="004B1824" w:rsidRPr="004B182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54</w:t>
      </w:r>
      <w:r w:rsidR="004B1824" w:rsidRPr="004B1824">
        <w:rPr>
          <w:rFonts w:asciiTheme="minorHAnsi" w:hAnsiTheme="minorHAnsi" w:cstheme="minorHAnsi"/>
          <w:i w:val="0"/>
          <w:color w:val="auto"/>
          <w:sz w:val="22"/>
          <w:szCs w:val="22"/>
        </w:rPr>
        <w:fldChar w:fldCharType="end"/>
      </w:r>
      <w:bookmarkEnd w:id="376"/>
      <w:r w:rsidRPr="004B1824">
        <w:rPr>
          <w:rFonts w:asciiTheme="minorHAnsi" w:eastAsia="Calibri" w:hAnsiTheme="minorHAnsi" w:cstheme="minorHAnsi"/>
          <w:i w:val="0"/>
          <w:color w:val="auto"/>
          <w:sz w:val="22"/>
          <w:szCs w:val="22"/>
        </w:rPr>
        <w:t xml:space="preserve"> - Estimativas dos riscos fiscais por haver financeiro</w:t>
      </w:r>
      <w:bookmarkEnd w:id="377"/>
    </w:p>
    <w:tbl>
      <w:tblPr>
        <w:tblW w:w="0" w:type="auto"/>
        <w:tblLayout w:type="fixed"/>
        <w:tblLook w:val="04A0" w:firstRow="1" w:lastRow="0" w:firstColumn="1" w:lastColumn="0" w:noHBand="0" w:noVBand="1"/>
      </w:tblPr>
      <w:tblGrid>
        <w:gridCol w:w="4958"/>
        <w:gridCol w:w="4958"/>
      </w:tblGrid>
      <w:tr w:rsidR="3943BD3D" w:rsidRPr="00837171" w14:paraId="7190CDDB" w14:textId="77777777" w:rsidTr="3943BD3D">
        <w:trPr>
          <w:trHeight w:val="15"/>
        </w:trPr>
        <w:tc>
          <w:tcPr>
            <w:tcW w:w="9916" w:type="dxa"/>
            <w:gridSpan w:val="2"/>
            <w:tcBorders>
              <w:top w:val="nil"/>
              <w:left w:val="nil"/>
              <w:bottom w:val="single" w:sz="8" w:space="0" w:color="BFBFBF" w:themeColor="background1" w:themeShade="BF"/>
              <w:right w:val="nil"/>
            </w:tcBorders>
            <w:vAlign w:val="center"/>
          </w:tcPr>
          <w:p w14:paraId="5DB96022" w14:textId="6635ED71" w:rsidR="3943BD3D" w:rsidRPr="00837171" w:rsidRDefault="3943BD3D" w:rsidP="00837171">
            <w:pPr>
              <w:spacing w:after="0" w:line="240" w:lineRule="auto"/>
              <w:jc w:val="right"/>
              <w:rPr>
                <w:rFonts w:ascii="Calibri" w:eastAsia="Calibri" w:hAnsi="Calibri" w:cs="Calibri"/>
                <w:i/>
                <w:iCs/>
                <w:sz w:val="16"/>
                <w:szCs w:val="16"/>
              </w:rPr>
            </w:pPr>
            <w:r w:rsidRPr="3943BD3D">
              <w:rPr>
                <w:rFonts w:ascii="Calibri" w:eastAsia="Calibri" w:hAnsi="Calibri" w:cs="Calibri"/>
                <w:i/>
                <w:iCs/>
                <w:sz w:val="16"/>
                <w:szCs w:val="16"/>
              </w:rPr>
              <w:t>Em R$ milhões</w:t>
            </w:r>
          </w:p>
        </w:tc>
      </w:tr>
      <w:tr w:rsidR="3943BD3D" w14:paraId="08E84B66" w14:textId="77777777" w:rsidTr="3943BD3D">
        <w:trPr>
          <w:trHeight w:val="15"/>
        </w:trPr>
        <w:tc>
          <w:tcPr>
            <w:tcW w:w="4958"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3D8027C" w14:textId="743B4E70" w:rsidR="3943BD3D" w:rsidRDefault="3943BD3D" w:rsidP="3943BD3D">
            <w:pPr>
              <w:jc w:val="center"/>
            </w:pPr>
            <w:r w:rsidRPr="3943BD3D">
              <w:rPr>
                <w:rFonts w:ascii="Calibri" w:eastAsia="Calibri" w:hAnsi="Calibri" w:cs="Calibri"/>
                <w:color w:val="FFFFFF" w:themeColor="background1"/>
                <w:sz w:val="20"/>
                <w:szCs w:val="20"/>
              </w:rPr>
              <w:t>Haver Financeiro</w:t>
            </w:r>
          </w:p>
        </w:tc>
        <w:tc>
          <w:tcPr>
            <w:tcW w:w="495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BE0427D" w14:textId="45F82A5A" w:rsidR="3943BD3D" w:rsidRDefault="3943BD3D" w:rsidP="3943BD3D">
            <w:pPr>
              <w:jc w:val="center"/>
            </w:pPr>
            <w:r w:rsidRPr="3943BD3D">
              <w:rPr>
                <w:rFonts w:ascii="Calibri" w:eastAsia="Calibri" w:hAnsi="Calibri" w:cs="Calibri"/>
                <w:color w:val="FFFFFF" w:themeColor="background1"/>
                <w:sz w:val="20"/>
                <w:szCs w:val="20"/>
              </w:rPr>
              <w:t>Riscos fiscais</w:t>
            </w:r>
          </w:p>
          <w:p w14:paraId="05C99935" w14:textId="38F86E9C" w:rsidR="3943BD3D" w:rsidRDefault="3943BD3D" w:rsidP="3943BD3D">
            <w:pPr>
              <w:jc w:val="center"/>
            </w:pPr>
            <w:r w:rsidRPr="3943BD3D">
              <w:rPr>
                <w:rFonts w:ascii="Calibri" w:eastAsia="Calibri" w:hAnsi="Calibri" w:cs="Calibri"/>
                <w:color w:val="FFFFFF" w:themeColor="background1"/>
                <w:sz w:val="20"/>
                <w:szCs w:val="20"/>
              </w:rPr>
              <w:t>Valor Estimado ($)</w:t>
            </w:r>
          </w:p>
        </w:tc>
      </w:tr>
      <w:tr w:rsidR="3943BD3D" w14:paraId="3023DF93" w14:textId="77777777" w:rsidTr="3943BD3D">
        <w:trPr>
          <w:trHeight w:val="15"/>
        </w:trPr>
        <w:tc>
          <w:tcPr>
            <w:tcW w:w="4958" w:type="dxa"/>
            <w:vMerge/>
            <w:tcBorders>
              <w:left w:val="single" w:sz="0" w:space="0" w:color="BFBFBF" w:themeColor="background1" w:themeShade="BF"/>
              <w:bottom w:val="single" w:sz="0" w:space="0" w:color="BFBFBF" w:themeColor="background1" w:themeShade="BF"/>
              <w:right w:val="single" w:sz="0" w:space="0" w:color="BFBFBF" w:themeColor="background1" w:themeShade="BF"/>
            </w:tcBorders>
            <w:vAlign w:val="center"/>
          </w:tcPr>
          <w:p w14:paraId="16B3E1AB" w14:textId="77777777" w:rsidR="00422732" w:rsidRDefault="00422732"/>
        </w:tc>
        <w:tc>
          <w:tcPr>
            <w:tcW w:w="4958"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1D5D17D0" w14:textId="44569281" w:rsidR="3943BD3D" w:rsidRDefault="3943BD3D" w:rsidP="3943BD3D">
            <w:pPr>
              <w:jc w:val="center"/>
            </w:pPr>
            <w:r w:rsidRPr="3943BD3D">
              <w:rPr>
                <w:rFonts w:ascii="Calibri" w:eastAsia="Calibri" w:hAnsi="Calibri" w:cs="Calibri"/>
                <w:color w:val="FFFFFF" w:themeColor="background1"/>
                <w:sz w:val="20"/>
                <w:szCs w:val="20"/>
              </w:rPr>
              <w:t>2021</w:t>
            </w:r>
          </w:p>
        </w:tc>
      </w:tr>
      <w:tr w:rsidR="3943BD3D" w14:paraId="2627933E" w14:textId="77777777" w:rsidTr="004B1824">
        <w:trPr>
          <w:trHeight w:val="15"/>
        </w:trPr>
        <w:tc>
          <w:tcPr>
            <w:tcW w:w="495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41595F0" w14:textId="3B79A743" w:rsidR="3943BD3D" w:rsidRDefault="3943BD3D">
            <w:r w:rsidRPr="3943BD3D">
              <w:rPr>
                <w:rFonts w:ascii="Calibri" w:eastAsia="Calibri" w:hAnsi="Calibri" w:cs="Calibri"/>
                <w:sz w:val="18"/>
                <w:szCs w:val="18"/>
              </w:rPr>
              <w:t>Empréstimos às Instituições Financeiras</w:t>
            </w:r>
          </w:p>
        </w:tc>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594BF7DA" w14:textId="137002EF" w:rsidR="3943BD3D" w:rsidRDefault="3943BD3D" w:rsidP="00CF50C0">
            <w:pPr>
              <w:jc w:val="right"/>
            </w:pPr>
            <w:r w:rsidRPr="3943BD3D">
              <w:rPr>
                <w:rFonts w:ascii="Calibri" w:eastAsia="Calibri" w:hAnsi="Calibri" w:cs="Calibri"/>
                <w:sz w:val="18"/>
                <w:szCs w:val="18"/>
              </w:rPr>
              <w:t>-</w:t>
            </w:r>
          </w:p>
        </w:tc>
      </w:tr>
      <w:tr w:rsidR="3943BD3D" w14:paraId="77B842C3" w14:textId="77777777" w:rsidTr="004B1824">
        <w:trPr>
          <w:trHeight w:val="15"/>
        </w:trPr>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D32BBE4" w14:textId="2066C858" w:rsidR="3943BD3D" w:rsidRDefault="3943BD3D">
            <w:r w:rsidRPr="3943BD3D">
              <w:rPr>
                <w:rFonts w:ascii="Calibri" w:eastAsia="Calibri" w:hAnsi="Calibri" w:cs="Calibri"/>
                <w:sz w:val="18"/>
                <w:szCs w:val="18"/>
              </w:rPr>
              <w:t>Operações de Crédito Rural</w:t>
            </w:r>
          </w:p>
        </w:tc>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E7A788D" w14:textId="18754013" w:rsidR="3943BD3D" w:rsidRDefault="3943BD3D" w:rsidP="00CF50C0">
            <w:pPr>
              <w:jc w:val="right"/>
            </w:pPr>
            <w:r w:rsidRPr="3943BD3D">
              <w:rPr>
                <w:rFonts w:ascii="Calibri" w:eastAsia="Calibri" w:hAnsi="Calibri" w:cs="Calibri"/>
                <w:sz w:val="18"/>
                <w:szCs w:val="18"/>
              </w:rPr>
              <w:t>372,2</w:t>
            </w:r>
          </w:p>
        </w:tc>
      </w:tr>
      <w:tr w:rsidR="3943BD3D" w14:paraId="1FF7E49D" w14:textId="77777777" w:rsidTr="004B1824">
        <w:trPr>
          <w:trHeight w:val="15"/>
        </w:trPr>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CBF8D29" w14:textId="26B1F2BD" w:rsidR="3943BD3D" w:rsidRDefault="3943BD3D">
            <w:r w:rsidRPr="3943BD3D">
              <w:rPr>
                <w:rFonts w:ascii="Calibri" w:eastAsia="Calibri" w:hAnsi="Calibri" w:cs="Calibri"/>
                <w:sz w:val="18"/>
                <w:szCs w:val="18"/>
              </w:rPr>
              <w:t>Operações de Cessões de Crédito (ou estruturadas)</w:t>
            </w:r>
          </w:p>
        </w:tc>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204423AC" w14:textId="665EADB3" w:rsidR="3943BD3D" w:rsidRDefault="3943BD3D" w:rsidP="00CF50C0">
            <w:pPr>
              <w:jc w:val="right"/>
            </w:pPr>
            <w:r w:rsidRPr="3943BD3D">
              <w:rPr>
                <w:rFonts w:ascii="Calibri" w:eastAsia="Calibri" w:hAnsi="Calibri" w:cs="Calibri"/>
                <w:sz w:val="18"/>
                <w:szCs w:val="18"/>
              </w:rPr>
              <w:t>41,2</w:t>
            </w:r>
          </w:p>
        </w:tc>
      </w:tr>
      <w:tr w:rsidR="3943BD3D" w14:paraId="063D29DD" w14:textId="77777777" w:rsidTr="004B1824">
        <w:trPr>
          <w:trHeight w:val="15"/>
        </w:trPr>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DBC4659" w14:textId="09694E9A" w:rsidR="3943BD3D" w:rsidRDefault="3943BD3D">
            <w:r w:rsidRPr="3943BD3D">
              <w:rPr>
                <w:rFonts w:ascii="Calibri" w:eastAsia="Calibri" w:hAnsi="Calibri" w:cs="Calibri"/>
                <w:sz w:val="18"/>
                <w:szCs w:val="18"/>
              </w:rPr>
              <w:t>Operações de Crédito à Exportação</w:t>
            </w:r>
          </w:p>
        </w:tc>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BC4C2B1" w14:textId="1EFCCDCE" w:rsidR="3943BD3D" w:rsidRDefault="3943BD3D" w:rsidP="00CF50C0">
            <w:pPr>
              <w:jc w:val="right"/>
            </w:pPr>
            <w:r w:rsidRPr="3943BD3D">
              <w:rPr>
                <w:rFonts w:ascii="Calibri" w:eastAsia="Calibri" w:hAnsi="Calibri" w:cs="Calibri"/>
                <w:sz w:val="18"/>
                <w:szCs w:val="18"/>
              </w:rPr>
              <w:t>535,2</w:t>
            </w:r>
          </w:p>
        </w:tc>
      </w:tr>
      <w:tr w:rsidR="3943BD3D" w14:paraId="44BEEBBB" w14:textId="77777777" w:rsidTr="004B1824">
        <w:trPr>
          <w:trHeight w:val="15"/>
        </w:trPr>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0EBD933" w14:textId="19EE1956" w:rsidR="3943BD3D" w:rsidRDefault="3943BD3D">
            <w:r w:rsidRPr="3943BD3D">
              <w:rPr>
                <w:rFonts w:ascii="Calibri" w:eastAsia="Calibri" w:hAnsi="Calibri" w:cs="Calibri"/>
                <w:sz w:val="18"/>
                <w:szCs w:val="18"/>
              </w:rPr>
              <w:t>Empréstimos a Entidades Não Financeiras</w:t>
            </w:r>
          </w:p>
        </w:tc>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F5790F0" w14:textId="2F26E483" w:rsidR="3943BD3D" w:rsidRDefault="3943BD3D" w:rsidP="00CF50C0">
            <w:pPr>
              <w:jc w:val="right"/>
            </w:pPr>
            <w:r w:rsidRPr="3943BD3D">
              <w:rPr>
                <w:rFonts w:ascii="Calibri" w:eastAsia="Calibri" w:hAnsi="Calibri" w:cs="Calibri"/>
                <w:sz w:val="18"/>
                <w:szCs w:val="18"/>
              </w:rPr>
              <w:t>-</w:t>
            </w:r>
          </w:p>
        </w:tc>
      </w:tr>
      <w:tr w:rsidR="3943BD3D" w14:paraId="66812248" w14:textId="77777777" w:rsidTr="004B1824">
        <w:trPr>
          <w:trHeight w:val="15"/>
        </w:trPr>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0EFB342" w14:textId="4838C97B" w:rsidR="3943BD3D" w:rsidRDefault="3943BD3D">
            <w:r w:rsidRPr="3943BD3D">
              <w:rPr>
                <w:rFonts w:ascii="Calibri" w:eastAsia="Calibri" w:hAnsi="Calibri" w:cs="Calibri"/>
                <w:sz w:val="18"/>
                <w:szCs w:val="18"/>
              </w:rPr>
              <w:t>Programa Emergencial de Suporte ao Emprego - PESE/FOPAG</w:t>
            </w:r>
          </w:p>
        </w:tc>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33CB74C" w14:textId="6631F712" w:rsidR="3943BD3D" w:rsidRDefault="3943BD3D" w:rsidP="00CF50C0">
            <w:pPr>
              <w:jc w:val="right"/>
            </w:pPr>
            <w:r w:rsidRPr="3943BD3D">
              <w:rPr>
                <w:rFonts w:ascii="Calibri" w:eastAsia="Calibri" w:hAnsi="Calibri" w:cs="Calibri"/>
                <w:sz w:val="18"/>
                <w:szCs w:val="18"/>
              </w:rPr>
              <w:t>6,9</w:t>
            </w:r>
          </w:p>
        </w:tc>
      </w:tr>
      <w:tr w:rsidR="3943BD3D" w14:paraId="58A1EAF5" w14:textId="77777777" w:rsidTr="004B1824">
        <w:trPr>
          <w:trHeight w:val="15"/>
        </w:trPr>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2E064273" w14:textId="3279661C" w:rsidR="3943BD3D" w:rsidRDefault="3943BD3D">
            <w:r w:rsidRPr="3943BD3D">
              <w:rPr>
                <w:rFonts w:ascii="Calibri" w:eastAsia="Calibri" w:hAnsi="Calibri" w:cs="Calibri"/>
                <w:color w:val="FFFFFF" w:themeColor="background1"/>
                <w:sz w:val="18"/>
                <w:szCs w:val="18"/>
              </w:rPr>
              <w:t>Total</w:t>
            </w:r>
          </w:p>
        </w:tc>
        <w:tc>
          <w:tcPr>
            <w:tcW w:w="4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bottom"/>
          </w:tcPr>
          <w:p w14:paraId="50277501" w14:textId="312A5A66" w:rsidR="3943BD3D" w:rsidRDefault="3943BD3D" w:rsidP="00CF50C0">
            <w:pPr>
              <w:jc w:val="right"/>
            </w:pPr>
            <w:r w:rsidRPr="3943BD3D">
              <w:rPr>
                <w:rFonts w:ascii="Calibri" w:eastAsia="Calibri" w:hAnsi="Calibri" w:cs="Calibri"/>
                <w:color w:val="FFFFFF" w:themeColor="background1"/>
                <w:sz w:val="18"/>
                <w:szCs w:val="18"/>
              </w:rPr>
              <w:t>955,6</w:t>
            </w:r>
          </w:p>
        </w:tc>
      </w:tr>
      <w:tr w:rsidR="3943BD3D" w14:paraId="1C239744" w14:textId="77777777" w:rsidTr="3943BD3D">
        <w:trPr>
          <w:trHeight w:val="15"/>
        </w:trPr>
        <w:tc>
          <w:tcPr>
            <w:tcW w:w="9916" w:type="dxa"/>
            <w:gridSpan w:val="2"/>
            <w:tcBorders>
              <w:top w:val="single" w:sz="8" w:space="0" w:color="BFBFBF" w:themeColor="background1" w:themeShade="BF"/>
              <w:left w:val="nil"/>
              <w:bottom w:val="nil"/>
              <w:right w:val="nil"/>
            </w:tcBorders>
          </w:tcPr>
          <w:p w14:paraId="68E83926" w14:textId="2D294AC4" w:rsidR="3943BD3D" w:rsidRDefault="3943BD3D">
            <w:r w:rsidRPr="3943BD3D">
              <w:rPr>
                <w:rFonts w:ascii="Calibri" w:eastAsia="Calibri" w:hAnsi="Calibri" w:cs="Calibri"/>
                <w:b/>
                <w:bCs/>
                <w:i/>
                <w:iCs/>
                <w:sz w:val="16"/>
                <w:szCs w:val="16"/>
              </w:rPr>
              <w:t>Fonte e elaboração</w:t>
            </w:r>
            <w:r w:rsidRPr="3943BD3D">
              <w:rPr>
                <w:rFonts w:ascii="Calibri" w:eastAsia="Calibri" w:hAnsi="Calibri" w:cs="Calibri"/>
                <w:i/>
                <w:iCs/>
                <w:sz w:val="16"/>
                <w:szCs w:val="16"/>
              </w:rPr>
              <w:t>: STN/ME.</w:t>
            </w:r>
          </w:p>
        </w:tc>
      </w:tr>
    </w:tbl>
    <w:p w14:paraId="6F074BC9" w14:textId="52CE823C" w:rsidR="009D53F7" w:rsidRDefault="009D53F7" w:rsidP="3943BD3D">
      <w:pPr>
        <w:spacing w:after="120" w:line="240" w:lineRule="auto"/>
        <w:ind w:firstLine="1418"/>
        <w:jc w:val="both"/>
        <w:rPr>
          <w:rFonts w:cs="Times New Roman"/>
          <w:sz w:val="24"/>
          <w:szCs w:val="24"/>
          <w:lang w:eastAsia="pt-BR"/>
        </w:rPr>
      </w:pPr>
    </w:p>
    <w:p w14:paraId="288503A5" w14:textId="446BB9CB" w:rsidR="00385ACC" w:rsidRPr="009B04B3" w:rsidRDefault="3F068E0A" w:rsidP="00466BFC">
      <w:pPr>
        <w:spacing w:after="120" w:line="240" w:lineRule="auto"/>
        <w:ind w:firstLine="1418"/>
        <w:jc w:val="both"/>
      </w:pPr>
      <w:r w:rsidRPr="3943BD3D">
        <w:rPr>
          <w:rFonts w:ascii="Calibri" w:eastAsia="Calibri" w:hAnsi="Calibri" w:cs="Calibri"/>
          <w:sz w:val="24"/>
          <w:szCs w:val="24"/>
        </w:rPr>
        <w:t>Quanto à prevenção de ocorrência do risco, permanece sendo observado o aperfeiçoamento dos processos de acompanhamento dos haveres de que se trata. Já no tocante à materialização dos riscos, atualmente já são adotadas as medidas de inscrição em Dívida Ativa da União dos valores inadimplidos para que a PGFN possa realizar a cobrança e execução com objetivo de minimizar o impacto gerado.</w:t>
      </w:r>
    </w:p>
    <w:p w14:paraId="36E640FD" w14:textId="47E82898" w:rsidR="00385ACC" w:rsidRPr="009B04B3" w:rsidRDefault="000628CC" w:rsidP="00466BFC">
      <w:pPr>
        <w:spacing w:after="120" w:line="240" w:lineRule="auto"/>
        <w:ind w:firstLine="1418"/>
        <w:jc w:val="both"/>
      </w:pPr>
      <w:r>
        <w:rPr>
          <w:rFonts w:ascii="Calibri" w:eastAsia="Calibri" w:hAnsi="Calibri" w:cs="Calibri"/>
          <w:sz w:val="24"/>
          <w:szCs w:val="24"/>
        </w:rPr>
        <w:t>Cumpre destacar o r</w:t>
      </w:r>
      <w:r w:rsidR="3F068E0A" w:rsidRPr="3943BD3D">
        <w:rPr>
          <w:rFonts w:ascii="Calibri" w:eastAsia="Calibri" w:hAnsi="Calibri" w:cs="Calibri"/>
          <w:sz w:val="24"/>
          <w:szCs w:val="24"/>
        </w:rPr>
        <w:t xml:space="preserve">egistro no SIAFI </w:t>
      </w:r>
      <w:r>
        <w:rPr>
          <w:rFonts w:ascii="Calibri" w:eastAsia="Calibri" w:hAnsi="Calibri" w:cs="Calibri"/>
          <w:sz w:val="24"/>
          <w:szCs w:val="24"/>
        </w:rPr>
        <w:t>d</w:t>
      </w:r>
      <w:r w:rsidR="3F068E0A" w:rsidRPr="3943BD3D">
        <w:rPr>
          <w:rFonts w:ascii="Calibri" w:eastAsia="Calibri" w:hAnsi="Calibri" w:cs="Calibri"/>
          <w:sz w:val="24"/>
          <w:szCs w:val="24"/>
        </w:rPr>
        <w:t xml:space="preserve">o valor de R$ 4,92 bilhões, posição </w:t>
      </w:r>
      <w:r w:rsidR="00D066BD">
        <w:rPr>
          <w:rFonts w:ascii="Calibri" w:eastAsia="Calibri" w:hAnsi="Calibri" w:cs="Calibri"/>
          <w:sz w:val="24"/>
          <w:szCs w:val="24"/>
        </w:rPr>
        <w:t xml:space="preserve">de </w:t>
      </w:r>
      <w:r w:rsidR="3F068E0A" w:rsidRPr="3943BD3D">
        <w:rPr>
          <w:rFonts w:ascii="Calibri" w:eastAsia="Calibri" w:hAnsi="Calibri" w:cs="Calibri"/>
          <w:sz w:val="24"/>
          <w:szCs w:val="24"/>
        </w:rPr>
        <w:t>31.12.2020, referente a ajustes para perdas em créditos de longo prazo com base nas informações enviadas pelas Instituições Financeiras contratadas pela União para administração dos créditos, como prestadores de serviços no processo de circularização de saldos.</w:t>
      </w:r>
    </w:p>
    <w:p w14:paraId="484565E5" w14:textId="6C5667FB" w:rsidR="00385ACC" w:rsidRPr="009B04B3" w:rsidRDefault="00385ACC" w:rsidP="3943BD3D">
      <w:pPr>
        <w:spacing w:after="120" w:line="240" w:lineRule="auto"/>
        <w:ind w:firstLine="1418"/>
        <w:jc w:val="both"/>
        <w:rPr>
          <w:rFonts w:cs="Times New Roman"/>
          <w:sz w:val="24"/>
          <w:szCs w:val="24"/>
          <w:lang w:eastAsia="pt-BR"/>
        </w:rPr>
      </w:pPr>
    </w:p>
    <w:p w14:paraId="2FDDD9C3" w14:textId="77777777" w:rsidR="000D17A6" w:rsidRPr="0022645B" w:rsidRDefault="000D17A6" w:rsidP="00D260DD">
      <w:pPr>
        <w:pStyle w:val="Ttulo2"/>
        <w:keepLines/>
        <w:numPr>
          <w:ilvl w:val="1"/>
          <w:numId w:val="36"/>
        </w:numPr>
        <w:spacing w:after="120"/>
        <w:ind w:left="578" w:hanging="578"/>
        <w:jc w:val="left"/>
        <w:rPr>
          <w:rFonts w:asciiTheme="minorHAnsi" w:hAnsiTheme="minorHAnsi" w:cs="Times New Roman"/>
          <w:color w:val="auto"/>
          <w:sz w:val="24"/>
          <w:szCs w:val="24"/>
        </w:rPr>
      </w:pPr>
      <w:bookmarkStart w:id="378" w:name="_Toc5012248"/>
      <w:bookmarkStart w:id="379" w:name="_Toc5030494"/>
      <w:bookmarkStart w:id="380" w:name="_Toc5180293"/>
      <w:bookmarkStart w:id="381" w:name="_Toc67318007"/>
      <w:bookmarkStart w:id="382" w:name="_Toc67929661"/>
      <w:bookmarkStart w:id="383" w:name="_Toc69121240"/>
      <w:r w:rsidRPr="0022645B">
        <w:rPr>
          <w:rFonts w:asciiTheme="minorHAnsi" w:hAnsiTheme="minorHAnsi" w:cs="Times New Roman"/>
          <w:color w:val="auto"/>
          <w:sz w:val="24"/>
          <w:szCs w:val="24"/>
        </w:rPr>
        <w:t>OUTROS RISCOS ESPECÍFICOS</w:t>
      </w:r>
      <w:bookmarkEnd w:id="378"/>
      <w:bookmarkEnd w:id="379"/>
      <w:bookmarkEnd w:id="380"/>
      <w:bookmarkEnd w:id="381"/>
      <w:bookmarkEnd w:id="382"/>
      <w:bookmarkEnd w:id="383"/>
    </w:p>
    <w:p w14:paraId="6CF7E175" w14:textId="66A88DEE" w:rsidR="000D17A6" w:rsidRPr="00266FB8" w:rsidRDefault="000D17A6" w:rsidP="000D17A6">
      <w:pPr>
        <w:spacing w:after="120" w:line="240" w:lineRule="auto"/>
        <w:ind w:firstLine="1418"/>
        <w:jc w:val="both"/>
        <w:rPr>
          <w:rFonts w:cs="Calibri"/>
          <w:sz w:val="24"/>
          <w:szCs w:val="24"/>
        </w:rPr>
      </w:pPr>
      <w:r w:rsidRPr="00266FB8">
        <w:rPr>
          <w:rFonts w:cs="Calibri"/>
          <w:sz w:val="24"/>
          <w:szCs w:val="24"/>
        </w:rPr>
        <w:t xml:space="preserve">Nesta seção serão analisados os riscos fiscais que, por sua especificidade, não foram incorporados nas categorias avaliadas anteriormente, seja de Ativos ou Passivos Contingentes. Serão apresentados os riscos fiscais relacionados às </w:t>
      </w:r>
      <w:proofErr w:type="gramStart"/>
      <w:r w:rsidRPr="00266FB8">
        <w:rPr>
          <w:rFonts w:cs="Calibri"/>
          <w:sz w:val="24"/>
          <w:szCs w:val="24"/>
        </w:rPr>
        <w:t>Parcerias Público Privadas</w:t>
      </w:r>
      <w:proofErr w:type="gramEnd"/>
      <w:r w:rsidRPr="00266FB8">
        <w:rPr>
          <w:rFonts w:cs="Calibri"/>
          <w:sz w:val="24"/>
          <w:szCs w:val="24"/>
        </w:rPr>
        <w:t xml:space="preserve"> e Concessões, às Empresas Estatais, ao</w:t>
      </w:r>
      <w:r w:rsidRPr="00266FB8">
        <w:rPr>
          <w:sz w:val="24"/>
          <w:szCs w:val="24"/>
        </w:rPr>
        <w:t xml:space="preserve"> Fundo de Financiamento Estudantil – </w:t>
      </w:r>
      <w:r w:rsidR="0079454B" w:rsidRPr="00266FB8">
        <w:rPr>
          <w:sz w:val="24"/>
          <w:szCs w:val="24"/>
        </w:rPr>
        <w:t>Fies</w:t>
      </w:r>
      <w:r w:rsidRPr="00266FB8">
        <w:rPr>
          <w:sz w:val="24"/>
          <w:szCs w:val="24"/>
        </w:rPr>
        <w:t xml:space="preserve">, </w:t>
      </w:r>
      <w:r w:rsidR="000A2F97" w:rsidRPr="00266FB8">
        <w:rPr>
          <w:sz w:val="24"/>
          <w:szCs w:val="24"/>
        </w:rPr>
        <w:t>ao</w:t>
      </w:r>
      <w:r w:rsidRPr="00266FB8">
        <w:rPr>
          <w:sz w:val="24"/>
          <w:szCs w:val="24"/>
        </w:rPr>
        <w:t xml:space="preserve"> Sistema Financeiro Nacional</w:t>
      </w:r>
      <w:r w:rsidR="004C5861" w:rsidRPr="00266FB8">
        <w:rPr>
          <w:sz w:val="24"/>
          <w:szCs w:val="24"/>
        </w:rPr>
        <w:t>, aos De</w:t>
      </w:r>
      <w:r w:rsidR="00E55CD7" w:rsidRPr="00266FB8">
        <w:rPr>
          <w:sz w:val="24"/>
          <w:szCs w:val="24"/>
        </w:rPr>
        <w:t>sastres</w:t>
      </w:r>
      <w:r w:rsidRPr="00266FB8">
        <w:rPr>
          <w:rFonts w:cs="Calibri"/>
          <w:sz w:val="24"/>
          <w:szCs w:val="24"/>
        </w:rPr>
        <w:t xml:space="preserve"> </w:t>
      </w:r>
      <w:r w:rsidRPr="00266FB8">
        <w:rPr>
          <w:rFonts w:cs="Calibri"/>
          <w:sz w:val="24"/>
          <w:szCs w:val="24"/>
        </w:rPr>
        <w:lastRenderedPageBreak/>
        <w:t>e, por fim, as estimativas de impactos fiscais decorrentes da mudança demográfica prevista para o Brasil</w:t>
      </w:r>
      <w:r w:rsidR="00A626AD" w:rsidRPr="00266FB8">
        <w:rPr>
          <w:rFonts w:cs="Calibri"/>
          <w:sz w:val="24"/>
          <w:szCs w:val="24"/>
        </w:rPr>
        <w:t>,</w:t>
      </w:r>
      <w:r w:rsidRPr="00266FB8">
        <w:rPr>
          <w:rFonts w:cs="Calibri"/>
          <w:sz w:val="24"/>
          <w:szCs w:val="24"/>
        </w:rPr>
        <w:t xml:space="preserve"> na próxima década, sobre as despesas de saúde e educação.</w:t>
      </w:r>
    </w:p>
    <w:p w14:paraId="6A8295A3" w14:textId="6544074E" w:rsidR="000D17A6" w:rsidRPr="0022645B" w:rsidRDefault="00BE097C" w:rsidP="00D260DD">
      <w:pPr>
        <w:pStyle w:val="Ttulo3"/>
        <w:keepNext w:val="0"/>
        <w:numPr>
          <w:ilvl w:val="2"/>
          <w:numId w:val="36"/>
        </w:numPr>
        <w:spacing w:before="240" w:after="120"/>
        <w:ind w:left="720" w:hanging="720"/>
        <w:rPr>
          <w:rFonts w:asciiTheme="minorHAnsi" w:hAnsiTheme="minorHAnsi"/>
          <w:b/>
          <w:smallCaps w:val="0"/>
        </w:rPr>
      </w:pPr>
      <w:bookmarkStart w:id="384" w:name="_Toc5012249"/>
      <w:bookmarkStart w:id="385" w:name="_Toc5030495"/>
      <w:bookmarkStart w:id="386" w:name="_Toc5180294"/>
      <w:bookmarkStart w:id="387" w:name="_Toc67318008"/>
      <w:bookmarkStart w:id="388" w:name="_Toc67929662"/>
      <w:bookmarkStart w:id="389" w:name="_Toc69121241"/>
      <w:r w:rsidRPr="0022645B">
        <w:rPr>
          <w:rFonts w:asciiTheme="minorHAnsi" w:hAnsiTheme="minorHAnsi"/>
          <w:b/>
          <w:smallCaps w:val="0"/>
        </w:rPr>
        <w:t>Parcerias Público-Privadas e às</w:t>
      </w:r>
      <w:r w:rsidR="000D17A6" w:rsidRPr="0022645B">
        <w:rPr>
          <w:rFonts w:asciiTheme="minorHAnsi" w:hAnsiTheme="minorHAnsi"/>
          <w:b/>
          <w:smallCaps w:val="0"/>
        </w:rPr>
        <w:t xml:space="preserve"> Concessões Públicas</w:t>
      </w:r>
      <w:bookmarkEnd w:id="384"/>
      <w:bookmarkEnd w:id="385"/>
      <w:bookmarkEnd w:id="386"/>
      <w:bookmarkEnd w:id="387"/>
      <w:bookmarkEnd w:id="388"/>
      <w:bookmarkEnd w:id="389"/>
    </w:p>
    <w:p w14:paraId="2EB3911E" w14:textId="5E38A986" w:rsidR="000D17A6" w:rsidRPr="009B04B3" w:rsidRDefault="000D17A6" w:rsidP="00387122">
      <w:pPr>
        <w:pStyle w:val="Ttulo4"/>
        <w:keepLines/>
        <w:numPr>
          <w:ilvl w:val="3"/>
          <w:numId w:val="36"/>
        </w:numPr>
        <w:spacing w:before="240" w:after="120"/>
        <w:ind w:left="862" w:hanging="862"/>
        <w:jc w:val="left"/>
        <w:rPr>
          <w:rFonts w:asciiTheme="minorHAnsi" w:hAnsiTheme="minorHAnsi"/>
        </w:rPr>
      </w:pPr>
      <w:proofErr w:type="gramStart"/>
      <w:r w:rsidRPr="009B04B3">
        <w:rPr>
          <w:rFonts w:asciiTheme="minorHAnsi" w:hAnsiTheme="minorHAnsi"/>
        </w:rPr>
        <w:t>Parcerias Público Privadas</w:t>
      </w:r>
      <w:proofErr w:type="gramEnd"/>
    </w:p>
    <w:p w14:paraId="0FE72C51" w14:textId="205B36C7" w:rsidR="00D5452F" w:rsidRPr="009B04B3" w:rsidRDefault="00D5452F" w:rsidP="00D5452F">
      <w:pPr>
        <w:pStyle w:val="Default"/>
        <w:spacing w:after="120"/>
        <w:ind w:firstLine="1418"/>
        <w:jc w:val="both"/>
        <w:rPr>
          <w:rFonts w:asciiTheme="minorHAnsi" w:hAnsiTheme="minorHAnsi"/>
          <w:color w:val="auto"/>
        </w:rPr>
      </w:pPr>
      <w:r w:rsidRPr="009B04B3">
        <w:rPr>
          <w:rFonts w:asciiTheme="minorHAnsi" w:hAnsiTheme="minorHAnsi"/>
          <w:color w:val="auto"/>
        </w:rPr>
        <w:t>As Parcerias Público-Privadas (</w:t>
      </w:r>
      <w:proofErr w:type="spellStart"/>
      <w:proofErr w:type="gramStart"/>
      <w:r w:rsidRPr="4042B4CD">
        <w:rPr>
          <w:rFonts w:asciiTheme="minorHAnsi" w:hAnsiTheme="minorHAnsi"/>
          <w:color w:val="auto"/>
        </w:rPr>
        <w:t>PPP</w:t>
      </w:r>
      <w:r w:rsidR="00804F20" w:rsidRPr="4042B4CD">
        <w:rPr>
          <w:rFonts w:asciiTheme="minorHAnsi" w:hAnsiTheme="minorHAnsi"/>
          <w:color w:val="auto"/>
        </w:rPr>
        <w:t>`</w:t>
      </w:r>
      <w:proofErr w:type="gramEnd"/>
      <w:r w:rsidRPr="4042B4CD">
        <w:rPr>
          <w:rFonts w:asciiTheme="minorHAnsi" w:hAnsiTheme="minorHAnsi"/>
          <w:color w:val="auto"/>
        </w:rPr>
        <w:t>s</w:t>
      </w:r>
      <w:proofErr w:type="spellEnd"/>
      <w:r w:rsidRPr="009B04B3">
        <w:rPr>
          <w:rFonts w:asciiTheme="minorHAnsi" w:hAnsiTheme="minorHAnsi"/>
          <w:color w:val="auto"/>
        </w:rPr>
        <w:t xml:space="preserve">) no âmbito dos Poderes da União, dos Estados, do Distrito Federal e dos Municípios são regidas pela Lei nº 11.079, de 30 de dezembro de 2004. A referida Lei define, em seu art. 4º, que </w:t>
      </w:r>
      <w:r w:rsidR="00CC2866" w:rsidRPr="009B04B3">
        <w:rPr>
          <w:rFonts w:asciiTheme="minorHAnsi" w:hAnsiTheme="minorHAnsi"/>
          <w:color w:val="auto"/>
        </w:rPr>
        <w:t>“</w:t>
      </w:r>
      <w:r w:rsidRPr="009B04B3">
        <w:rPr>
          <w:rFonts w:asciiTheme="minorHAnsi" w:hAnsiTheme="minorHAnsi"/>
          <w:color w:val="auto"/>
        </w:rPr>
        <w:t>dentre as diretrizes a serem observadas na contratação de parceria público-privada, deve constar a repartição objetiva de riscos entre as partes</w:t>
      </w:r>
      <w:r w:rsidR="00360EB2" w:rsidRPr="009B04B3">
        <w:rPr>
          <w:rFonts w:asciiTheme="minorHAnsi" w:hAnsiTheme="minorHAnsi"/>
          <w:color w:val="auto"/>
        </w:rPr>
        <w:t>”</w:t>
      </w:r>
      <w:r w:rsidRPr="009B04B3">
        <w:rPr>
          <w:rFonts w:asciiTheme="minorHAnsi" w:hAnsiTheme="minorHAnsi"/>
          <w:color w:val="auto"/>
        </w:rPr>
        <w:t>.</w:t>
      </w:r>
    </w:p>
    <w:p w14:paraId="5AD90EA7" w14:textId="662E426E" w:rsidR="00D5452F" w:rsidRPr="009B04B3" w:rsidRDefault="00D5452F" w:rsidP="00D5452F">
      <w:pPr>
        <w:pStyle w:val="Default"/>
        <w:spacing w:after="120"/>
        <w:ind w:firstLine="1418"/>
        <w:jc w:val="both"/>
        <w:rPr>
          <w:rFonts w:asciiTheme="minorHAnsi" w:hAnsiTheme="minorHAnsi"/>
          <w:color w:val="auto"/>
        </w:rPr>
      </w:pPr>
      <w:r w:rsidRPr="009B04B3">
        <w:rPr>
          <w:rFonts w:asciiTheme="minorHAnsi" w:hAnsiTheme="minorHAnsi"/>
          <w:color w:val="auto"/>
        </w:rPr>
        <w:t xml:space="preserve">Nesse sentido, no que se refere às </w:t>
      </w:r>
      <w:proofErr w:type="spellStart"/>
      <w:proofErr w:type="gramStart"/>
      <w:r w:rsidRPr="12B9B729">
        <w:rPr>
          <w:rFonts w:asciiTheme="minorHAnsi" w:hAnsiTheme="minorHAnsi"/>
          <w:color w:val="auto"/>
        </w:rPr>
        <w:t>PPP</w:t>
      </w:r>
      <w:r w:rsidR="25BD6E11" w:rsidRPr="12B9B729">
        <w:rPr>
          <w:rFonts w:asciiTheme="minorHAnsi" w:hAnsiTheme="minorHAnsi"/>
          <w:color w:val="auto"/>
        </w:rPr>
        <w:t>`</w:t>
      </w:r>
      <w:proofErr w:type="gramEnd"/>
      <w:r w:rsidRPr="12B9B729">
        <w:rPr>
          <w:rFonts w:asciiTheme="minorHAnsi" w:hAnsiTheme="minorHAnsi"/>
          <w:color w:val="auto"/>
        </w:rPr>
        <w:t>s</w:t>
      </w:r>
      <w:proofErr w:type="spellEnd"/>
      <w:r w:rsidRPr="009B04B3">
        <w:rPr>
          <w:rFonts w:asciiTheme="minorHAnsi" w:hAnsiTheme="minorHAnsi"/>
          <w:color w:val="auto"/>
        </w:rPr>
        <w:t xml:space="preserve"> Federais, cabe mencionar que a União, considerando sua administração direta e indireta, possui atualmente um único contrato de PPP, que é o Complexo Data Center contratado por um consórcio formado por Banco do Brasil e Caixa Econômica Federal junto à GBT S/A. Entretanto, como as empresas estatais envolvidas não são dependentes e os contratos não preveem qualquer tipo de garantia do poder concedente ao concessionário, não existem riscos alocados à União.</w:t>
      </w:r>
    </w:p>
    <w:p w14:paraId="78B6EA56" w14:textId="77777777" w:rsidR="000D17A6" w:rsidRPr="009B04B3" w:rsidRDefault="000D17A6" w:rsidP="00387122">
      <w:pPr>
        <w:pStyle w:val="Ttulo4"/>
        <w:keepLines/>
        <w:numPr>
          <w:ilvl w:val="3"/>
          <w:numId w:val="36"/>
        </w:numPr>
        <w:spacing w:before="240" w:after="120"/>
        <w:ind w:left="862" w:hanging="862"/>
        <w:jc w:val="left"/>
        <w:rPr>
          <w:rFonts w:asciiTheme="minorHAnsi" w:hAnsiTheme="minorHAnsi"/>
        </w:rPr>
      </w:pPr>
      <w:r w:rsidRPr="009B04B3">
        <w:rPr>
          <w:rFonts w:asciiTheme="minorHAnsi" w:hAnsiTheme="minorHAnsi"/>
        </w:rPr>
        <w:t>Riscos Fiscais em Concessões</w:t>
      </w:r>
    </w:p>
    <w:p w14:paraId="73ABB6CA" w14:textId="78358378" w:rsidR="00B13C76" w:rsidRPr="009B04B3" w:rsidRDefault="00475889" w:rsidP="000D17A6">
      <w:pPr>
        <w:pStyle w:val="Default"/>
        <w:spacing w:after="120"/>
        <w:ind w:firstLine="1418"/>
        <w:jc w:val="both"/>
        <w:rPr>
          <w:rFonts w:asciiTheme="minorHAnsi" w:hAnsiTheme="minorHAnsi"/>
          <w:color w:val="auto"/>
        </w:rPr>
      </w:pPr>
      <w:r w:rsidRPr="009B04B3">
        <w:rPr>
          <w:rFonts w:asciiTheme="minorHAnsi" w:hAnsiTheme="minorHAnsi"/>
          <w:color w:val="auto"/>
        </w:rPr>
        <w:t xml:space="preserve">As Concessões são regidas pela Lei nº 8.987, de 13 de fevereiro de 1995. Essa Lei define, no inciso II do seu art. 2º, concessão de serviço público como sendo “a delegação de sua prestação, feita pelo poder concedente, mediante licitação, na modalidade de concorrência, à pessoa jurídica ou consórcio de empresas que demonstre capacidade para seu desempenho, </w:t>
      </w:r>
      <w:r w:rsidRPr="00E77F4A">
        <w:rPr>
          <w:rFonts w:asciiTheme="minorHAnsi" w:hAnsiTheme="minorHAnsi"/>
          <w:bCs/>
          <w:color w:val="auto"/>
        </w:rPr>
        <w:t>por sua conta e risco</w:t>
      </w:r>
      <w:r w:rsidRPr="009B04B3">
        <w:rPr>
          <w:rFonts w:asciiTheme="minorHAnsi" w:hAnsiTheme="minorHAnsi"/>
          <w:color w:val="auto"/>
        </w:rPr>
        <w:t xml:space="preserve"> e por prazo determinado</w:t>
      </w:r>
      <w:r w:rsidR="00A452A2" w:rsidRPr="009B04B3">
        <w:rPr>
          <w:rFonts w:asciiTheme="minorHAnsi" w:hAnsiTheme="minorHAnsi"/>
          <w:color w:val="auto"/>
        </w:rPr>
        <w:t>”</w:t>
      </w:r>
      <w:r w:rsidRPr="009B04B3">
        <w:rPr>
          <w:rFonts w:asciiTheme="minorHAnsi" w:hAnsiTheme="minorHAnsi"/>
          <w:color w:val="auto"/>
        </w:rPr>
        <w:t>.</w:t>
      </w:r>
    </w:p>
    <w:p w14:paraId="2F94E668" w14:textId="77777777" w:rsidR="000D17A6" w:rsidRPr="009B04B3" w:rsidRDefault="000D17A6" w:rsidP="00507970">
      <w:pPr>
        <w:pStyle w:val="PargrafodaLista"/>
        <w:numPr>
          <w:ilvl w:val="0"/>
          <w:numId w:val="20"/>
        </w:numPr>
        <w:spacing w:before="240" w:after="120" w:line="240" w:lineRule="auto"/>
        <w:ind w:left="714" w:hanging="357"/>
        <w:contextualSpacing w:val="0"/>
        <w:jc w:val="both"/>
        <w:rPr>
          <w:rFonts w:cs="Times New Roman"/>
          <w:i/>
          <w:sz w:val="24"/>
          <w:szCs w:val="24"/>
          <w:lang w:eastAsia="pt-BR"/>
        </w:rPr>
      </w:pPr>
      <w:bookmarkStart w:id="390" w:name="_Toc5012250"/>
      <w:bookmarkStart w:id="391" w:name="_Toc5030496"/>
      <w:bookmarkStart w:id="392" w:name="_Hlk4682368"/>
      <w:r w:rsidRPr="009B04B3">
        <w:rPr>
          <w:rFonts w:cs="Times New Roman"/>
          <w:i/>
          <w:sz w:val="24"/>
          <w:szCs w:val="24"/>
          <w:lang w:eastAsia="pt-BR"/>
        </w:rPr>
        <w:t>Ótica das Despesas</w:t>
      </w:r>
      <w:bookmarkEnd w:id="390"/>
      <w:bookmarkEnd w:id="391"/>
    </w:p>
    <w:bookmarkEnd w:id="392"/>
    <w:p w14:paraId="54C3C594" w14:textId="6EE150FC" w:rsidR="005B01CC" w:rsidRPr="009B04B3" w:rsidRDefault="005B01CC" w:rsidP="005B01CC">
      <w:pPr>
        <w:pStyle w:val="Default"/>
        <w:spacing w:after="120"/>
        <w:ind w:firstLine="1418"/>
        <w:jc w:val="both"/>
        <w:rPr>
          <w:rFonts w:asciiTheme="minorHAnsi" w:hAnsiTheme="minorHAnsi"/>
          <w:color w:val="auto"/>
        </w:rPr>
      </w:pPr>
      <w:r w:rsidRPr="009B04B3">
        <w:rPr>
          <w:rFonts w:asciiTheme="minorHAnsi" w:hAnsiTheme="minorHAnsi"/>
          <w:color w:val="auto"/>
        </w:rPr>
        <w:t>A prática da União nos contratos de concessão atualmente em vigor tem sido a de transferência dos riscos mais relevantes para o concessionário, como é o caso dos riscos de construção e de demanda. Sobre a União recai a responsabilidade sobre eventos extraordinários, que venham a ser reconhecidos como caso fortuito, força maior ou fato do príncipe.</w:t>
      </w:r>
    </w:p>
    <w:p w14:paraId="3C5E94DA" w14:textId="77777777" w:rsidR="005B01CC" w:rsidRPr="009B04B3" w:rsidRDefault="005B01CC" w:rsidP="005B01CC">
      <w:pPr>
        <w:pStyle w:val="Default"/>
        <w:spacing w:after="120"/>
        <w:ind w:firstLine="1418"/>
        <w:jc w:val="both"/>
        <w:rPr>
          <w:rFonts w:asciiTheme="minorHAnsi" w:hAnsiTheme="minorHAnsi"/>
          <w:color w:val="auto"/>
        </w:rPr>
      </w:pPr>
      <w:r w:rsidRPr="009B04B3">
        <w:rPr>
          <w:rFonts w:asciiTheme="minorHAnsi" w:hAnsiTheme="minorHAnsi"/>
          <w:color w:val="auto"/>
        </w:rPr>
        <w:t xml:space="preserve">Há contratos que </w:t>
      </w:r>
      <w:proofErr w:type="gramStart"/>
      <w:r w:rsidRPr="009B04B3">
        <w:rPr>
          <w:rFonts w:asciiTheme="minorHAnsi" w:hAnsiTheme="minorHAnsi"/>
          <w:color w:val="auto"/>
        </w:rPr>
        <w:t>preveem</w:t>
      </w:r>
      <w:proofErr w:type="gramEnd"/>
      <w:r w:rsidRPr="009B04B3">
        <w:rPr>
          <w:rFonts w:asciiTheme="minorHAnsi" w:hAnsiTheme="minorHAnsi"/>
          <w:color w:val="auto"/>
        </w:rPr>
        <w:t xml:space="preserve"> a possibilidade de reequilíbrio econômico-financeiro, o que poderia eventualmente acarretar ônus à União. Ocorre que mesmo nos casos em que se enseja o reequilíbrio econômico-financeiro do contrato, </w:t>
      </w:r>
      <w:proofErr w:type="gramStart"/>
      <w:r w:rsidRPr="009B04B3">
        <w:rPr>
          <w:rFonts w:asciiTheme="minorHAnsi" w:hAnsiTheme="minorHAnsi"/>
          <w:color w:val="auto"/>
        </w:rPr>
        <w:t>o Poder Concedente</w:t>
      </w:r>
      <w:proofErr w:type="gramEnd"/>
      <w:r w:rsidRPr="009B04B3">
        <w:rPr>
          <w:rFonts w:asciiTheme="minorHAnsi" w:hAnsiTheme="minorHAnsi"/>
          <w:color w:val="auto"/>
        </w:rPr>
        <w:t xml:space="preserve"> dispõe de alguns mecanismos de compensação que não causam impacto fiscal, como por exemplo, revisão tarifária ou dilatação do prazo contratual.</w:t>
      </w:r>
    </w:p>
    <w:p w14:paraId="5E88D638" w14:textId="77777777" w:rsidR="005B01CC" w:rsidRPr="009B04B3" w:rsidRDefault="005B01CC" w:rsidP="005B01CC">
      <w:pPr>
        <w:pStyle w:val="Default"/>
        <w:spacing w:after="120"/>
        <w:ind w:firstLine="1418"/>
        <w:jc w:val="both"/>
        <w:rPr>
          <w:rFonts w:asciiTheme="minorHAnsi" w:hAnsiTheme="minorHAnsi"/>
          <w:color w:val="auto"/>
        </w:rPr>
      </w:pPr>
      <w:r w:rsidRPr="009B04B3">
        <w:rPr>
          <w:rFonts w:asciiTheme="minorHAnsi" w:hAnsiTheme="minorHAnsi"/>
          <w:color w:val="auto"/>
        </w:rPr>
        <w:t>Há ainda a possibilidade de extinção, antecipada ou não, dos contratos. Nesses casos, é possível que tenham sido efetuados investimentos em bens reversíveis que ainda não tenham sido completamente amortizados ou depreciados, sendo que a União poderá ter que fazer frente a eventual pagamento ao concessionário, a depender de como será definida a forma de indenização.</w:t>
      </w:r>
    </w:p>
    <w:p w14:paraId="06F0F4C3" w14:textId="0CB5EBC7" w:rsidR="005B01CC" w:rsidRDefault="005B01CC" w:rsidP="005B01CC">
      <w:pPr>
        <w:pStyle w:val="Default"/>
        <w:spacing w:after="120"/>
        <w:ind w:firstLine="1418"/>
        <w:jc w:val="both"/>
        <w:rPr>
          <w:rFonts w:asciiTheme="minorHAnsi" w:hAnsiTheme="minorHAnsi"/>
          <w:color w:val="auto"/>
        </w:rPr>
      </w:pPr>
      <w:r w:rsidRPr="009B04B3">
        <w:rPr>
          <w:rFonts w:asciiTheme="minorHAnsi" w:hAnsiTheme="minorHAnsi"/>
          <w:color w:val="auto"/>
        </w:rPr>
        <w:t xml:space="preserve">Ocorre que, inclusive nesses casos, o risco de a União ter que fazer frente a eventual pagamento ao concessionário pode ser mitigado, pois existe a possibilidade de que o bem seja relicitado e as indenizações sejam arcadas pelos futuros contratados, conforme previsto no art. 15, § 1º da Lei nº 13.448, de </w:t>
      </w:r>
      <w:proofErr w:type="gramStart"/>
      <w:r w:rsidRPr="009B04B3">
        <w:rPr>
          <w:rFonts w:asciiTheme="minorHAnsi" w:hAnsiTheme="minorHAnsi"/>
          <w:color w:val="auto"/>
        </w:rPr>
        <w:t>5</w:t>
      </w:r>
      <w:proofErr w:type="gramEnd"/>
      <w:r w:rsidRPr="009B04B3">
        <w:rPr>
          <w:rFonts w:asciiTheme="minorHAnsi" w:hAnsiTheme="minorHAnsi"/>
          <w:color w:val="auto"/>
        </w:rPr>
        <w:t xml:space="preserve"> de junho de 2017, que trata da </w:t>
      </w:r>
      <w:proofErr w:type="spellStart"/>
      <w:r w:rsidRPr="009B04B3">
        <w:rPr>
          <w:rFonts w:asciiTheme="minorHAnsi" w:hAnsiTheme="minorHAnsi"/>
          <w:color w:val="auto"/>
        </w:rPr>
        <w:t>relicitação</w:t>
      </w:r>
      <w:proofErr w:type="spellEnd"/>
      <w:r w:rsidRPr="009B04B3">
        <w:rPr>
          <w:rFonts w:asciiTheme="minorHAnsi" w:hAnsiTheme="minorHAnsi"/>
          <w:color w:val="auto"/>
        </w:rPr>
        <w:t xml:space="preserve"> dos contratos de parceria nos setores rodoviário, ferroviário e aeroportuário.</w:t>
      </w:r>
    </w:p>
    <w:p w14:paraId="0FFB0DBC" w14:textId="77777777" w:rsidR="00032EC9" w:rsidRPr="009B04B3" w:rsidRDefault="00032EC9" w:rsidP="005B01CC">
      <w:pPr>
        <w:pStyle w:val="Default"/>
        <w:spacing w:after="120"/>
        <w:ind w:firstLine="1418"/>
        <w:jc w:val="both"/>
        <w:rPr>
          <w:rFonts w:asciiTheme="minorHAnsi" w:hAnsiTheme="minorHAnsi"/>
          <w:color w:val="auto"/>
        </w:rPr>
      </w:pPr>
    </w:p>
    <w:p w14:paraId="10BB08F2" w14:textId="77777777" w:rsidR="000D17A6" w:rsidRPr="009B04B3" w:rsidRDefault="000D17A6" w:rsidP="00507970">
      <w:pPr>
        <w:pStyle w:val="PargrafodaLista"/>
        <w:numPr>
          <w:ilvl w:val="0"/>
          <w:numId w:val="20"/>
        </w:numPr>
        <w:spacing w:before="240" w:after="120" w:line="240" w:lineRule="auto"/>
        <w:ind w:left="714" w:hanging="357"/>
        <w:contextualSpacing w:val="0"/>
        <w:jc w:val="both"/>
        <w:rPr>
          <w:rFonts w:cs="Times New Roman"/>
          <w:i/>
          <w:sz w:val="24"/>
          <w:szCs w:val="24"/>
          <w:lang w:eastAsia="pt-BR"/>
        </w:rPr>
      </w:pPr>
      <w:bookmarkStart w:id="393" w:name="_Toc5012251"/>
      <w:bookmarkStart w:id="394" w:name="_Toc5030497"/>
      <w:r w:rsidRPr="009B04B3">
        <w:rPr>
          <w:rFonts w:cs="Times New Roman"/>
          <w:i/>
          <w:sz w:val="24"/>
          <w:szCs w:val="24"/>
          <w:lang w:eastAsia="pt-BR"/>
        </w:rPr>
        <w:lastRenderedPageBreak/>
        <w:t>Ótica das Receitas</w:t>
      </w:r>
      <w:bookmarkEnd w:id="393"/>
      <w:bookmarkEnd w:id="394"/>
    </w:p>
    <w:p w14:paraId="11A6143E" w14:textId="3A22EF1C" w:rsidR="00910C8E" w:rsidRPr="009B04B3" w:rsidRDefault="00910C8E" w:rsidP="00910C8E">
      <w:pPr>
        <w:pStyle w:val="Default"/>
        <w:spacing w:after="120"/>
        <w:ind w:firstLine="1418"/>
        <w:jc w:val="both"/>
        <w:rPr>
          <w:rFonts w:asciiTheme="minorHAnsi" w:hAnsiTheme="minorHAnsi"/>
          <w:color w:val="auto"/>
        </w:rPr>
      </w:pPr>
      <w:bookmarkStart w:id="395" w:name="_Hlk3903648"/>
      <w:r w:rsidRPr="009B04B3">
        <w:rPr>
          <w:rFonts w:asciiTheme="minorHAnsi" w:hAnsiTheme="minorHAnsi"/>
          <w:color w:val="auto"/>
        </w:rPr>
        <w:t>No que tange às projeções de receitas de concessões, os valores arrecadados provêm da obrigação de pagamento de outorga por parte do concessionário, definida em contrato. Parte das receitas advém de contratos vigentes e parte da celebração de novos contratos. Nesse contexto, os principais riscos fiscais decorrem, por um lado, da possibilidade de inadimplência de concessionários com contratos vigentes, e, por outro lado, da não celebração dos novos contratos previstos para aquele período. Além disso, há o risco de demanda que pode impactar o recebimento de outorga variável, ou seja, outorga proporcional à receita da concess</w:t>
      </w:r>
      <w:r w:rsidR="00F826F1">
        <w:rPr>
          <w:rFonts w:asciiTheme="minorHAnsi" w:hAnsiTheme="minorHAnsi"/>
          <w:color w:val="auto"/>
        </w:rPr>
        <w:t>ionária</w:t>
      </w:r>
      <w:r w:rsidRPr="009B04B3">
        <w:rPr>
          <w:rFonts w:asciiTheme="minorHAnsi" w:hAnsiTheme="minorHAnsi"/>
          <w:color w:val="auto"/>
        </w:rPr>
        <w:t>.</w:t>
      </w:r>
    </w:p>
    <w:p w14:paraId="2B633843" w14:textId="559C9DD9" w:rsidR="00910C8E" w:rsidRPr="009B04B3" w:rsidRDefault="00910C8E" w:rsidP="00910C8E">
      <w:pPr>
        <w:pStyle w:val="Default"/>
        <w:spacing w:after="120"/>
        <w:ind w:firstLine="1418"/>
        <w:jc w:val="both"/>
        <w:rPr>
          <w:rFonts w:asciiTheme="minorHAnsi" w:hAnsiTheme="minorHAnsi"/>
          <w:color w:val="auto"/>
        </w:rPr>
      </w:pPr>
      <w:r w:rsidRPr="009B04B3">
        <w:rPr>
          <w:rFonts w:asciiTheme="minorHAnsi" w:hAnsiTheme="minorHAnsi"/>
          <w:color w:val="auto"/>
        </w:rPr>
        <w:t xml:space="preserve">Em termos de possibilidade de não pagamento de outorgas de concessões vigentes, os fatores de riscos estão relacionados a questionamentos judiciais, pedidos de reequilíbrio </w:t>
      </w:r>
      <w:proofErr w:type="gramStart"/>
      <w:r w:rsidRPr="009B04B3">
        <w:rPr>
          <w:rFonts w:asciiTheme="minorHAnsi" w:hAnsiTheme="minorHAnsi"/>
          <w:color w:val="auto"/>
        </w:rPr>
        <w:t>econômico–financeiros</w:t>
      </w:r>
      <w:proofErr w:type="gramEnd"/>
      <w:r w:rsidRPr="009B04B3">
        <w:rPr>
          <w:rFonts w:asciiTheme="minorHAnsi" w:hAnsiTheme="minorHAnsi"/>
          <w:color w:val="auto"/>
        </w:rPr>
        <w:t xml:space="preserve"> ou mesmo insolvência do concessionário.</w:t>
      </w:r>
    </w:p>
    <w:p w14:paraId="488198C1" w14:textId="693BD964" w:rsidR="00983316" w:rsidRPr="009B04B3" w:rsidRDefault="00910C8E" w:rsidP="1A09D3B9">
      <w:pPr>
        <w:pStyle w:val="Default"/>
        <w:spacing w:after="120"/>
        <w:ind w:firstLine="1418"/>
        <w:jc w:val="both"/>
        <w:rPr>
          <w:rFonts w:asciiTheme="minorHAnsi" w:hAnsiTheme="minorHAnsi"/>
          <w:color w:val="auto"/>
        </w:rPr>
      </w:pPr>
      <w:r w:rsidRPr="1A09D3B9">
        <w:rPr>
          <w:rFonts w:asciiTheme="minorHAnsi" w:hAnsiTheme="minorHAnsi"/>
          <w:color w:val="auto"/>
        </w:rPr>
        <w:t xml:space="preserve">Já em termos da possibilidade de não celebração de novos contratos, os principais fatores de risco a serem considerados para a elaboração da Lei Orçamentária Anual são a exequibilidade do cronograma dos leilões que precedem esses contratos e a ausência de propostas de interessados (“leilão deserto”). </w:t>
      </w:r>
    </w:p>
    <w:p w14:paraId="0A8EE22E" w14:textId="0637F982" w:rsidR="00983316" w:rsidRPr="009B04B3" w:rsidRDefault="0A1E3015" w:rsidP="1A09D3B9">
      <w:pPr>
        <w:pStyle w:val="Default"/>
        <w:spacing w:after="120"/>
        <w:ind w:firstLine="1418"/>
        <w:jc w:val="both"/>
        <w:rPr>
          <w:rFonts w:eastAsia="Calibri"/>
          <w:color w:val="000000" w:themeColor="text1"/>
        </w:rPr>
      </w:pPr>
      <w:r w:rsidRPr="1A09D3B9">
        <w:rPr>
          <w:rFonts w:eastAsia="Calibri"/>
        </w:rPr>
        <w:t>Adicionalmente, há o risco de conversão de receitas de outorga em investimentos cruzados da concessionária, em decorrência de novos processos licitatórios ou de prorrogação de contratos de concessão de ferrovias e rodovias no âmbito da Lei n</w:t>
      </w:r>
      <w:r w:rsidR="00AD74E0">
        <w:rPr>
          <w:rFonts w:eastAsia="Calibri"/>
        </w:rPr>
        <w:t>º</w:t>
      </w:r>
      <w:r w:rsidRPr="1A09D3B9">
        <w:rPr>
          <w:rFonts w:eastAsia="Calibri"/>
        </w:rPr>
        <w:t xml:space="preserve"> 13.448, de 2017, o que reduz o potencial de novas receitas da União, bem como a sua previsibilidade. As projeções de receitas de novos contratos também podem ser afetadas por práticas recentemente observadas de direcionamento de recursos da concessionária diretamente para empresas estatais, obras diversas e contas vinculadas conforme previsão em editais de licitação. Eventuais alterações legislativas que vinculem o benefício econômico da outorga para investimentos ou setores específicos também teriam impacto negativo sobre as receitas potenciais da União.</w:t>
      </w:r>
    </w:p>
    <w:p w14:paraId="40F88D9C" w14:textId="5AD807F3" w:rsidR="00983316" w:rsidRPr="009B04B3" w:rsidRDefault="00910C8E" w:rsidP="1A09D3B9">
      <w:pPr>
        <w:pStyle w:val="Default"/>
        <w:spacing w:after="120"/>
        <w:ind w:firstLine="1418"/>
        <w:jc w:val="both"/>
        <w:rPr>
          <w:rFonts w:asciiTheme="minorHAnsi" w:hAnsiTheme="minorHAnsi"/>
          <w:color w:val="auto"/>
        </w:rPr>
      </w:pPr>
      <w:r w:rsidRPr="1A09D3B9">
        <w:rPr>
          <w:rFonts w:asciiTheme="minorHAnsi" w:hAnsiTheme="minorHAnsi"/>
          <w:color w:val="auto"/>
        </w:rPr>
        <w:t>Para mitigar o risco de cronograma</w:t>
      </w:r>
      <w:r w:rsidR="532D4AB2" w:rsidRPr="1A09D3B9">
        <w:rPr>
          <w:rFonts w:asciiTheme="minorHAnsi" w:hAnsiTheme="minorHAnsi"/>
          <w:color w:val="auto"/>
        </w:rPr>
        <w:t xml:space="preserve"> e </w:t>
      </w:r>
      <w:r w:rsidR="532D4AB2" w:rsidRPr="1A09D3B9">
        <w:rPr>
          <w:rFonts w:eastAsia="Calibri"/>
        </w:rPr>
        <w:t xml:space="preserve">outros riscos que afetem as receitas previstas </w:t>
      </w:r>
      <w:r w:rsidRPr="1A09D3B9">
        <w:rPr>
          <w:rFonts w:asciiTheme="minorHAnsi" w:hAnsiTheme="minorHAnsi"/>
          <w:color w:val="auto"/>
        </w:rPr>
        <w:t>é feito monitoramento dos processos</w:t>
      </w:r>
      <w:r w:rsidR="02E138BB" w:rsidRPr="1A09D3B9">
        <w:rPr>
          <w:rFonts w:asciiTheme="minorHAnsi" w:hAnsiTheme="minorHAnsi"/>
          <w:color w:val="auto"/>
        </w:rPr>
        <w:t xml:space="preserve">, </w:t>
      </w:r>
      <w:r w:rsidRPr="1A09D3B9">
        <w:rPr>
          <w:rFonts w:asciiTheme="minorHAnsi" w:hAnsiTheme="minorHAnsi"/>
          <w:color w:val="auto"/>
        </w:rPr>
        <w:t>e qualquer alteração de estimativa é refletida nos relatórios de avaliações bimestrais de receitas e despesas primárias. Com relação ao risco de leilão deserto, sua mitigação por parte do poder concedente passa por garantir que haja aderência entre o modelo econômico desenhado e a expectativa do mercado, assim como garantir que a condução do processo licitatório seja feita de maneira a minimizar as incertezas, favorecendo a previsibilidade e transparência.</w:t>
      </w:r>
    </w:p>
    <w:p w14:paraId="548132BA" w14:textId="45A03373" w:rsidR="00D573E4" w:rsidRPr="009B04B3" w:rsidRDefault="00EF717A" w:rsidP="000D17A6">
      <w:pPr>
        <w:pStyle w:val="Default"/>
        <w:spacing w:after="120"/>
        <w:ind w:firstLine="1418"/>
        <w:jc w:val="both"/>
        <w:rPr>
          <w:rFonts w:asciiTheme="minorHAnsi" w:hAnsiTheme="minorHAnsi"/>
          <w:color w:val="auto"/>
        </w:rPr>
      </w:pPr>
      <w:r w:rsidRPr="009B04B3">
        <w:rPr>
          <w:rFonts w:asciiTheme="minorHAnsi" w:hAnsiTheme="minorHAnsi"/>
          <w:color w:val="auto"/>
        </w:rPr>
        <w:t>A</w:t>
      </w:r>
      <w:r w:rsidR="0016766E" w:rsidRPr="009B04B3">
        <w:rPr>
          <w:rFonts w:asciiTheme="minorHAnsi" w:hAnsiTheme="minorHAnsi"/>
          <w:color w:val="auto"/>
        </w:rPr>
        <w:t xml:space="preserve"> </w:t>
      </w:r>
      <w:r w:rsidR="00ED47E6" w:rsidRPr="009B04B3">
        <w:rPr>
          <w:rFonts w:asciiTheme="minorHAnsi" w:hAnsiTheme="minorHAnsi"/>
          <w:color w:val="auto"/>
        </w:rPr>
        <w:fldChar w:fldCharType="begin"/>
      </w:r>
      <w:r w:rsidR="00ED47E6" w:rsidRPr="009B04B3">
        <w:rPr>
          <w:rFonts w:asciiTheme="minorHAnsi" w:hAnsiTheme="minorHAnsi"/>
          <w:color w:val="auto"/>
        </w:rPr>
        <w:instrText xml:space="preserve"> REF _Ref35265518  \* MERGEFORMAT </w:instrText>
      </w:r>
      <w:r w:rsidR="00ED47E6" w:rsidRPr="009B04B3">
        <w:rPr>
          <w:rFonts w:asciiTheme="minorHAnsi" w:hAnsiTheme="minorHAnsi"/>
          <w:color w:val="auto"/>
        </w:rPr>
        <w:fldChar w:fldCharType="separate"/>
      </w:r>
      <w:r w:rsidR="00304F5F" w:rsidRPr="00304F5F">
        <w:rPr>
          <w:rFonts w:asciiTheme="minorHAnsi" w:hAnsiTheme="minorHAnsi"/>
          <w:color w:val="auto"/>
        </w:rPr>
        <w:t>Tabela 55</w:t>
      </w:r>
      <w:r w:rsidR="00ED47E6" w:rsidRPr="009B04B3">
        <w:rPr>
          <w:rFonts w:asciiTheme="minorHAnsi" w:hAnsiTheme="minorHAnsi"/>
          <w:color w:val="auto"/>
        </w:rPr>
        <w:fldChar w:fldCharType="end"/>
      </w:r>
      <w:r w:rsidR="0016766E" w:rsidRPr="009B04B3">
        <w:rPr>
          <w:rFonts w:asciiTheme="minorHAnsi" w:hAnsiTheme="minorHAnsi"/>
          <w:color w:val="auto"/>
        </w:rPr>
        <w:t xml:space="preserve"> apresenta o histórico</w:t>
      </w:r>
      <w:r w:rsidRPr="009B04B3">
        <w:rPr>
          <w:rFonts w:asciiTheme="minorHAnsi" w:hAnsiTheme="minorHAnsi"/>
          <w:color w:val="auto"/>
        </w:rPr>
        <w:t xml:space="preserve"> recente de receitas de concessões e permissões. O comparativo entre a projeção constante da Lei Orçamentária e o valor efetivamente arrecadado a cada ano mostra a importância de uma adequada avaliação de riscos de realização dessas receitas.</w:t>
      </w:r>
    </w:p>
    <w:p w14:paraId="2DC55B85" w14:textId="4961FB0D" w:rsidR="000D17A6" w:rsidRPr="009B04B3" w:rsidRDefault="000D17A6" w:rsidP="00807829">
      <w:pPr>
        <w:pStyle w:val="Legenda"/>
        <w:spacing w:before="240" w:after="120"/>
        <w:jc w:val="center"/>
        <w:rPr>
          <w:rFonts w:asciiTheme="minorHAnsi" w:hAnsiTheme="minorHAnsi"/>
          <w:i w:val="0"/>
          <w:color w:val="auto"/>
          <w:sz w:val="22"/>
          <w:szCs w:val="22"/>
        </w:rPr>
      </w:pPr>
      <w:bookmarkStart w:id="396" w:name="_Ref4158906"/>
      <w:bookmarkStart w:id="397" w:name="_Ref35265518"/>
      <w:bookmarkStart w:id="398" w:name="_Toc5027617"/>
      <w:bookmarkStart w:id="399" w:name="_Toc69121401"/>
      <w:r w:rsidRPr="009B04B3">
        <w:rPr>
          <w:rFonts w:asciiTheme="minorHAnsi" w:hAnsiTheme="minorHAnsi"/>
          <w:i w:val="0"/>
          <w:color w:val="auto"/>
          <w:sz w:val="22"/>
          <w:szCs w:val="22"/>
        </w:rPr>
        <w:t xml:space="preserve">Tabela </w:t>
      </w:r>
      <w:r w:rsidRPr="009B04B3">
        <w:rPr>
          <w:rFonts w:asciiTheme="minorHAnsi" w:hAnsiTheme="minorHAnsi"/>
          <w:i w:val="0"/>
          <w:color w:val="auto"/>
          <w:sz w:val="22"/>
          <w:szCs w:val="22"/>
        </w:rPr>
        <w:fldChar w:fldCharType="begin"/>
      </w:r>
      <w:r w:rsidRPr="009B04B3">
        <w:rPr>
          <w:rFonts w:asciiTheme="minorHAnsi" w:hAnsiTheme="minorHAnsi"/>
          <w:i w:val="0"/>
          <w:color w:val="auto"/>
          <w:sz w:val="22"/>
          <w:szCs w:val="22"/>
        </w:rPr>
        <w:instrText xml:space="preserve"> SEQ Tabela \* ARABIC </w:instrText>
      </w:r>
      <w:r w:rsidRPr="009B04B3">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55</w:t>
      </w:r>
      <w:r w:rsidRPr="009B04B3">
        <w:rPr>
          <w:rFonts w:asciiTheme="minorHAnsi" w:hAnsiTheme="minorHAnsi"/>
          <w:i w:val="0"/>
          <w:color w:val="auto"/>
          <w:sz w:val="22"/>
          <w:szCs w:val="22"/>
        </w:rPr>
        <w:fldChar w:fldCharType="end"/>
      </w:r>
      <w:bookmarkEnd w:id="396"/>
      <w:bookmarkEnd w:id="397"/>
      <w:r w:rsidR="00FE555F" w:rsidRPr="009B04B3">
        <w:rPr>
          <w:rFonts w:asciiTheme="minorHAnsi" w:hAnsiTheme="minorHAnsi"/>
          <w:i w:val="0"/>
          <w:color w:val="auto"/>
          <w:sz w:val="22"/>
          <w:szCs w:val="22"/>
        </w:rPr>
        <w:t xml:space="preserve"> -</w:t>
      </w:r>
      <w:r w:rsidRPr="009B04B3">
        <w:rPr>
          <w:rFonts w:asciiTheme="minorHAnsi" w:hAnsiTheme="minorHAnsi"/>
          <w:i w:val="0"/>
          <w:color w:val="auto"/>
          <w:sz w:val="22"/>
          <w:szCs w:val="22"/>
        </w:rPr>
        <w:t xml:space="preserve"> Receita</w:t>
      </w:r>
      <w:r w:rsidR="0016766E" w:rsidRPr="009B04B3">
        <w:rPr>
          <w:rFonts w:asciiTheme="minorHAnsi" w:hAnsiTheme="minorHAnsi"/>
          <w:i w:val="0"/>
          <w:color w:val="auto"/>
          <w:sz w:val="22"/>
          <w:szCs w:val="22"/>
        </w:rPr>
        <w:t>s</w:t>
      </w:r>
      <w:r w:rsidRPr="009B04B3">
        <w:rPr>
          <w:rFonts w:asciiTheme="minorHAnsi" w:hAnsiTheme="minorHAnsi"/>
          <w:i w:val="0"/>
          <w:color w:val="auto"/>
          <w:sz w:val="22"/>
          <w:szCs w:val="22"/>
        </w:rPr>
        <w:t xml:space="preserve"> de Concessões</w:t>
      </w:r>
      <w:bookmarkEnd w:id="398"/>
      <w:r w:rsidR="0016766E" w:rsidRPr="009B04B3">
        <w:rPr>
          <w:rFonts w:asciiTheme="minorHAnsi" w:hAnsiTheme="minorHAnsi"/>
          <w:i w:val="0"/>
          <w:color w:val="auto"/>
          <w:sz w:val="22"/>
          <w:szCs w:val="22"/>
        </w:rPr>
        <w:t xml:space="preserve">, segundo </w:t>
      </w:r>
      <w:proofErr w:type="gramStart"/>
      <w:r w:rsidR="00807829" w:rsidRPr="009B04B3">
        <w:rPr>
          <w:rFonts w:asciiTheme="minorHAnsi" w:hAnsiTheme="minorHAnsi"/>
          <w:i w:val="0"/>
          <w:color w:val="auto"/>
          <w:sz w:val="22"/>
          <w:szCs w:val="22"/>
        </w:rPr>
        <w:t>exercício</w:t>
      </w:r>
      <w:bookmarkEnd w:id="399"/>
      <w:proofErr w:type="gramEnd"/>
    </w:p>
    <w:tbl>
      <w:tblPr>
        <w:tblW w:w="0" w:type="auto"/>
        <w:jc w:val="center"/>
        <w:tblLayout w:type="fixed"/>
        <w:tblCellMar>
          <w:left w:w="70" w:type="dxa"/>
          <w:right w:w="70" w:type="dxa"/>
        </w:tblCellMar>
        <w:tblLook w:val="04A0" w:firstRow="1" w:lastRow="0" w:firstColumn="1" w:lastColumn="0" w:noHBand="0" w:noVBand="1"/>
      </w:tblPr>
      <w:tblGrid>
        <w:gridCol w:w="723"/>
        <w:gridCol w:w="1404"/>
        <w:gridCol w:w="1275"/>
        <w:gridCol w:w="1276"/>
        <w:gridCol w:w="1418"/>
      </w:tblGrid>
      <w:tr w:rsidR="008B2DD0" w:rsidRPr="00D577CB" w14:paraId="3A433899" w14:textId="77777777" w:rsidTr="77BAF1D3">
        <w:trPr>
          <w:trHeight w:val="20"/>
          <w:tblHeader/>
          <w:jc w:val="center"/>
        </w:trPr>
        <w:tc>
          <w:tcPr>
            <w:tcW w:w="6096" w:type="dxa"/>
            <w:gridSpan w:val="5"/>
            <w:tcBorders>
              <w:top w:val="nil"/>
              <w:left w:val="nil"/>
              <w:bottom w:val="single" w:sz="4" w:space="0" w:color="BFBFBF" w:themeColor="background1" w:themeShade="BF"/>
              <w:right w:val="nil"/>
            </w:tcBorders>
            <w:shd w:val="clear" w:color="auto" w:fill="auto"/>
            <w:noWrap/>
            <w:vAlign w:val="bottom"/>
            <w:hideMark/>
          </w:tcPr>
          <w:p w14:paraId="2A1672EA" w14:textId="77777777" w:rsidR="008B2DD0" w:rsidRPr="00E77F4A" w:rsidRDefault="00985DF3" w:rsidP="008B2DD0">
            <w:pPr>
              <w:spacing w:after="0" w:line="240" w:lineRule="auto"/>
              <w:jc w:val="right"/>
              <w:rPr>
                <w:rFonts w:eastAsia="Times New Roman" w:cs="Arial"/>
                <w:i/>
                <w:sz w:val="16"/>
                <w:szCs w:val="16"/>
                <w:lang w:eastAsia="pt-BR"/>
              </w:rPr>
            </w:pPr>
            <w:r w:rsidRPr="00E77F4A">
              <w:rPr>
                <w:rFonts w:eastAsia="Times New Roman" w:cs="Arial"/>
                <w:i/>
                <w:sz w:val="16"/>
                <w:szCs w:val="16"/>
                <w:lang w:eastAsia="pt-BR"/>
              </w:rPr>
              <w:t xml:space="preserve">Em </w:t>
            </w:r>
            <w:r w:rsidR="008B2DD0" w:rsidRPr="00E77F4A">
              <w:rPr>
                <w:rFonts w:eastAsia="Times New Roman" w:cs="Arial"/>
                <w:i/>
                <w:sz w:val="16"/>
                <w:szCs w:val="16"/>
                <w:lang w:eastAsia="pt-BR"/>
              </w:rPr>
              <w:t>R$ milhões</w:t>
            </w:r>
          </w:p>
        </w:tc>
      </w:tr>
      <w:tr w:rsidR="00C80249" w:rsidRPr="00C80249" w14:paraId="3ECB1119" w14:textId="77777777" w:rsidTr="77BAF1D3">
        <w:trPr>
          <w:trHeight w:val="20"/>
          <w:tblHeader/>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3FDF2B43" w14:textId="77777777" w:rsidR="008B2DD0" w:rsidRPr="006E0F51" w:rsidRDefault="008B2DD0" w:rsidP="00BE267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Ano</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6F8B6F78" w14:textId="77777777" w:rsidR="008B2DD0" w:rsidRPr="006E0F51" w:rsidRDefault="008B2DD0" w:rsidP="00BE267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PLOA</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53404F65" w14:textId="77777777" w:rsidR="008B2DD0" w:rsidRPr="006E0F51" w:rsidRDefault="008B2DD0" w:rsidP="00BE267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LOA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6532B8D2" w14:textId="77777777" w:rsidR="008B2DD0" w:rsidRPr="006E0F51" w:rsidRDefault="008B2DD0" w:rsidP="00BE267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Realizado</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bottom"/>
            <w:hideMark/>
          </w:tcPr>
          <w:p w14:paraId="65E9360A" w14:textId="00E02A5D" w:rsidR="008B2DD0" w:rsidRPr="006E0F51" w:rsidRDefault="00D577CB" w:rsidP="00BE267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Variação</w:t>
            </w:r>
            <w:r w:rsidR="00045164" w:rsidRPr="006E0F51">
              <w:rPr>
                <w:rFonts w:eastAsia="Times New Roman" w:cs="Arial"/>
                <w:color w:val="FFFFFF" w:themeColor="background1"/>
                <w:sz w:val="20"/>
                <w:szCs w:val="20"/>
                <w:vertAlign w:val="superscript"/>
                <w:lang w:eastAsia="pt-BR"/>
              </w:rPr>
              <w:t xml:space="preserve"> </w:t>
            </w:r>
            <w:proofErr w:type="gramStart"/>
            <w:r w:rsidR="00045164" w:rsidRPr="006E0F51">
              <w:rPr>
                <w:rFonts w:eastAsia="Times New Roman" w:cs="Arial"/>
                <w:color w:val="FFFFFF" w:themeColor="background1"/>
                <w:sz w:val="20"/>
                <w:szCs w:val="20"/>
                <w:vertAlign w:val="superscript"/>
                <w:lang w:eastAsia="pt-BR"/>
              </w:rPr>
              <w:t>1</w:t>
            </w:r>
            <w:proofErr w:type="gramEnd"/>
            <w:r w:rsidR="00045164" w:rsidRPr="006E0F51">
              <w:rPr>
                <w:rFonts w:eastAsia="Times New Roman" w:cs="Arial"/>
                <w:color w:val="FFFFFF" w:themeColor="background1"/>
                <w:sz w:val="20"/>
                <w:szCs w:val="20"/>
                <w:lang w:eastAsia="pt-BR"/>
              </w:rPr>
              <w:t xml:space="preserve"> (%)</w:t>
            </w:r>
          </w:p>
        </w:tc>
      </w:tr>
      <w:tr w:rsidR="00045164" w:rsidRPr="00807829" w14:paraId="224D37E3"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0F5BC267" w14:textId="77777777" w:rsidR="00FE555F" w:rsidRPr="006E0F51" w:rsidRDefault="00FE555F" w:rsidP="001B5088">
            <w:pPr>
              <w:spacing w:after="0" w:line="240" w:lineRule="auto"/>
              <w:jc w:val="center"/>
              <w:rPr>
                <w:rFonts w:eastAsia="Times New Roman" w:cs="Arial"/>
                <w:sz w:val="18"/>
                <w:szCs w:val="18"/>
                <w:lang w:eastAsia="pt-BR"/>
              </w:rPr>
            </w:pPr>
            <w:r w:rsidRPr="006E0F51">
              <w:rPr>
                <w:rFonts w:eastAsia="Times New Roman" w:cs="Arial"/>
                <w:sz w:val="18"/>
                <w:szCs w:val="18"/>
                <w:lang w:eastAsia="pt-BR"/>
              </w:rPr>
              <w:t>2013</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4E3DA67C" w14:textId="4D3F55C6"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3.321</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E28BE50" w14:textId="11CA754F"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15.679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C19BFAD" w14:textId="1F030C27"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21.111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32DB4E07" w14:textId="52F5ED56" w:rsidR="00FE555F" w:rsidRPr="00807829" w:rsidRDefault="00FE555F" w:rsidP="00D577CB">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135%</w:t>
            </w:r>
          </w:p>
        </w:tc>
      </w:tr>
      <w:tr w:rsidR="00177808" w:rsidRPr="00807829" w14:paraId="647D646B"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0765D509" w14:textId="77777777" w:rsidR="00FE555F" w:rsidRPr="006E0F51" w:rsidRDefault="00FE555F" w:rsidP="001B5088">
            <w:pPr>
              <w:spacing w:after="0" w:line="240" w:lineRule="auto"/>
              <w:jc w:val="center"/>
              <w:rPr>
                <w:rFonts w:eastAsia="Times New Roman" w:cs="Arial"/>
                <w:sz w:val="18"/>
                <w:szCs w:val="18"/>
                <w:lang w:eastAsia="pt-BR"/>
              </w:rPr>
            </w:pPr>
            <w:r w:rsidRPr="006E0F51">
              <w:rPr>
                <w:rFonts w:eastAsia="Times New Roman" w:cs="Arial"/>
                <w:sz w:val="18"/>
                <w:szCs w:val="18"/>
                <w:lang w:eastAsia="pt-BR"/>
              </w:rPr>
              <w:t>2014</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8AA7E61" w14:textId="3F9EECC9"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9.751</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FBF2D58" w14:textId="4EEEAE1D"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13.451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43B8E92" w14:textId="359A793C"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8.053</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BD9256B" w14:textId="0229BF74" w:rsidR="00FE555F" w:rsidRPr="00807829" w:rsidRDefault="00FE555F" w:rsidP="00D577CB">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60%</w:t>
            </w:r>
          </w:p>
        </w:tc>
      </w:tr>
      <w:tr w:rsidR="00045164" w:rsidRPr="00807829" w14:paraId="0CB57777"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98241F3" w14:textId="77777777" w:rsidR="00FE555F" w:rsidRPr="006E0F51" w:rsidRDefault="00FE555F" w:rsidP="001B5088">
            <w:pPr>
              <w:spacing w:after="0" w:line="240" w:lineRule="auto"/>
              <w:jc w:val="center"/>
              <w:rPr>
                <w:rFonts w:eastAsia="Times New Roman" w:cs="Arial"/>
                <w:sz w:val="18"/>
                <w:szCs w:val="18"/>
                <w:lang w:eastAsia="pt-BR"/>
              </w:rPr>
            </w:pPr>
            <w:r w:rsidRPr="006E0F51">
              <w:rPr>
                <w:rFonts w:eastAsia="Times New Roman" w:cs="Arial"/>
                <w:sz w:val="18"/>
                <w:szCs w:val="18"/>
                <w:lang w:eastAsia="pt-BR"/>
              </w:rPr>
              <w:t>2015</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528E264" w14:textId="16A271A7"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13.304</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C81EB60" w14:textId="70EEC319"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15.461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F2F7B92" w14:textId="12BF861A"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5.885</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1BA464A3" w14:textId="58885C33" w:rsidR="00FE555F" w:rsidRPr="00807829" w:rsidRDefault="00FE555F" w:rsidP="00D577CB">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38%</w:t>
            </w:r>
          </w:p>
        </w:tc>
      </w:tr>
      <w:tr w:rsidR="00177808" w:rsidRPr="00807829" w14:paraId="4E500352"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8B4D730" w14:textId="77777777" w:rsidR="00FE555F" w:rsidRPr="006E0F51" w:rsidRDefault="00FE555F" w:rsidP="001B5088">
            <w:pPr>
              <w:spacing w:after="0" w:line="240" w:lineRule="auto"/>
              <w:jc w:val="center"/>
              <w:rPr>
                <w:rFonts w:eastAsia="Times New Roman" w:cs="Arial"/>
                <w:sz w:val="18"/>
                <w:szCs w:val="18"/>
                <w:lang w:eastAsia="pt-BR"/>
              </w:rPr>
            </w:pPr>
            <w:r w:rsidRPr="006E0F51">
              <w:rPr>
                <w:rFonts w:eastAsia="Times New Roman" w:cs="Arial"/>
                <w:sz w:val="18"/>
                <w:szCs w:val="18"/>
                <w:lang w:eastAsia="pt-BR"/>
              </w:rPr>
              <w:t>2016</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CB026CD" w14:textId="0245F8AF"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10.007</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CCD628F" w14:textId="5161F11E"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28.507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E4AEADA" w14:textId="356BF7CC"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21.931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B20A469" w14:textId="0A0E2D2C" w:rsidR="00FE555F" w:rsidRPr="00807829" w:rsidRDefault="00FE555F" w:rsidP="00D577CB">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77%</w:t>
            </w:r>
          </w:p>
        </w:tc>
      </w:tr>
      <w:tr w:rsidR="00783C91" w:rsidRPr="0022645B" w14:paraId="2E864A04"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22AC6270" w14:textId="7149DEFA" w:rsidR="00783C91" w:rsidRPr="006E0F51" w:rsidRDefault="00783C91" w:rsidP="00783C91">
            <w:pPr>
              <w:spacing w:after="0" w:line="240" w:lineRule="auto"/>
              <w:jc w:val="center"/>
              <w:rPr>
                <w:rFonts w:eastAsia="Times New Roman" w:cs="Arial"/>
                <w:sz w:val="18"/>
                <w:szCs w:val="18"/>
                <w:lang w:eastAsia="pt-BR"/>
              </w:rPr>
            </w:pPr>
            <w:r w:rsidRPr="006E0F51">
              <w:rPr>
                <w:rFonts w:eastAsia="Times New Roman" w:cs="Arial"/>
                <w:sz w:val="18"/>
                <w:szCs w:val="18"/>
                <w:lang w:eastAsia="pt-BR"/>
              </w:rPr>
              <w:t>2017</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4A4923CD" w14:textId="180C1FB1" w:rsidR="00783C91" w:rsidRPr="00807829" w:rsidRDefault="00783C91" w:rsidP="00783C91">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23.963</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2EF4364" w14:textId="40674E8B" w:rsidR="00783C91" w:rsidRPr="00807829" w:rsidRDefault="00783C91" w:rsidP="00783C91">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23.963</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FF93DF3" w14:textId="354DEE06" w:rsidR="00783C91" w:rsidRPr="00807829" w:rsidRDefault="00783C91" w:rsidP="0BF889A0">
            <w:pPr>
              <w:spacing w:after="0" w:line="240" w:lineRule="auto"/>
              <w:jc w:val="right"/>
              <w:rPr>
                <w:rFonts w:ascii="Calibri" w:eastAsia="Times New Roman" w:hAnsi="Calibri" w:cs="Arial"/>
                <w:color w:val="000000" w:themeColor="text1"/>
                <w:sz w:val="18"/>
                <w:szCs w:val="18"/>
                <w:lang w:eastAsia="pt-BR"/>
              </w:rPr>
            </w:pPr>
            <w:r w:rsidRPr="0BF889A0">
              <w:rPr>
                <w:rFonts w:ascii="Calibri" w:eastAsia="Times New Roman" w:hAnsi="Calibri" w:cs="Arial"/>
                <w:color w:val="000000" w:themeColor="text1"/>
                <w:sz w:val="18"/>
                <w:szCs w:val="18"/>
                <w:lang w:eastAsia="pt-BR"/>
              </w:rPr>
              <w:t>32.1</w:t>
            </w:r>
            <w:r w:rsidR="19F03614" w:rsidRPr="0BF889A0">
              <w:rPr>
                <w:rFonts w:ascii="Calibri" w:eastAsia="Times New Roman" w:hAnsi="Calibri" w:cs="Arial"/>
                <w:color w:val="000000" w:themeColor="text1"/>
                <w:sz w:val="18"/>
                <w:szCs w:val="18"/>
                <w:lang w:eastAsia="pt-BR"/>
              </w:rPr>
              <w:t>06</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77CA7F65" w14:textId="05207D5C" w:rsidR="00783C91" w:rsidRPr="00807829" w:rsidRDefault="00783C91" w:rsidP="00783C91">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134%</w:t>
            </w:r>
          </w:p>
        </w:tc>
      </w:tr>
      <w:tr w:rsidR="00177808" w:rsidRPr="00807829" w14:paraId="6F6F4C3F"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6E9C3CF3" w14:textId="0588B944" w:rsidR="00FE555F" w:rsidRPr="006E0F51" w:rsidRDefault="00FE555F" w:rsidP="001B5088">
            <w:pPr>
              <w:spacing w:after="0" w:line="240" w:lineRule="auto"/>
              <w:jc w:val="center"/>
              <w:rPr>
                <w:rFonts w:eastAsia="Times New Roman" w:cs="Arial"/>
                <w:sz w:val="18"/>
                <w:szCs w:val="18"/>
                <w:lang w:eastAsia="pt-BR"/>
              </w:rPr>
            </w:pPr>
            <w:r w:rsidRPr="006E0F51">
              <w:rPr>
                <w:rFonts w:eastAsia="Times New Roman" w:cs="Arial"/>
                <w:sz w:val="18"/>
                <w:szCs w:val="18"/>
                <w:lang w:eastAsia="pt-BR"/>
              </w:rPr>
              <w:t>2018</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ADB2026" w14:textId="36622934"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18.894</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36D44F8" w14:textId="6ED392CB"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18.894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1FBBEFA" w14:textId="45B36CF5"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21.930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1DA5157" w14:textId="0F67CC8C" w:rsidR="00FE555F" w:rsidRPr="00807829" w:rsidRDefault="00FE555F" w:rsidP="00D577CB">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116%</w:t>
            </w:r>
          </w:p>
        </w:tc>
      </w:tr>
      <w:tr w:rsidR="00045164" w:rsidRPr="00807829" w14:paraId="43002978"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BCCFE55" w14:textId="2A2D543C" w:rsidR="00FE555F" w:rsidRPr="006E0F51" w:rsidRDefault="00FE555F" w:rsidP="001B5088">
            <w:pPr>
              <w:spacing w:after="0" w:line="240" w:lineRule="auto"/>
              <w:jc w:val="center"/>
              <w:rPr>
                <w:rFonts w:eastAsia="Times New Roman" w:cs="Arial"/>
                <w:sz w:val="18"/>
                <w:szCs w:val="18"/>
                <w:lang w:eastAsia="pt-BR"/>
              </w:rPr>
            </w:pPr>
            <w:r w:rsidRPr="006E0F51">
              <w:rPr>
                <w:rFonts w:eastAsia="Times New Roman" w:cs="Arial"/>
                <w:sz w:val="18"/>
                <w:szCs w:val="18"/>
                <w:lang w:eastAsia="pt-BR"/>
              </w:rPr>
              <w:t>2019</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245B6A8" w14:textId="1C1ECCA9"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15.631</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77D1236" w14:textId="649E32E7" w:rsidR="00FE555F" w:rsidRPr="00807829" w:rsidRDefault="00FE555F" w:rsidP="00FE555F">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15.631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443090E3" w14:textId="45F30B01" w:rsidR="00FE555F" w:rsidRPr="00807829" w:rsidRDefault="00FE555F" w:rsidP="0BF889A0">
            <w:pPr>
              <w:spacing w:after="0" w:line="240" w:lineRule="auto"/>
              <w:jc w:val="right"/>
              <w:rPr>
                <w:rFonts w:ascii="Calibri" w:eastAsia="Times New Roman" w:hAnsi="Calibri" w:cs="Arial"/>
                <w:color w:val="000000" w:themeColor="text1"/>
                <w:sz w:val="18"/>
                <w:szCs w:val="18"/>
                <w:lang w:eastAsia="pt-BR"/>
              </w:rPr>
            </w:pPr>
            <w:r w:rsidRPr="0BF889A0">
              <w:rPr>
                <w:rFonts w:ascii="Calibri" w:eastAsia="Times New Roman" w:hAnsi="Calibri" w:cs="Arial"/>
                <w:color w:val="000000" w:themeColor="text1"/>
                <w:sz w:val="18"/>
                <w:szCs w:val="18"/>
                <w:lang w:eastAsia="pt-BR"/>
              </w:rPr>
              <w:t>93.2</w:t>
            </w:r>
            <w:r w:rsidR="0B519E6A" w:rsidRPr="0BF889A0">
              <w:rPr>
                <w:rFonts w:ascii="Calibri" w:eastAsia="Times New Roman" w:hAnsi="Calibri" w:cs="Arial"/>
                <w:color w:val="000000" w:themeColor="text1"/>
                <w:sz w:val="18"/>
                <w:szCs w:val="18"/>
                <w:lang w:eastAsia="pt-BR"/>
              </w:rPr>
              <w:t>75</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16332431" w14:textId="23FA1591" w:rsidR="00FE555F" w:rsidRPr="00807829" w:rsidRDefault="00FE555F" w:rsidP="00D577CB">
            <w:pPr>
              <w:spacing w:after="0" w:line="240" w:lineRule="auto"/>
              <w:jc w:val="right"/>
              <w:rPr>
                <w:rFonts w:eastAsia="Times New Roman" w:cs="Arial"/>
                <w:sz w:val="18"/>
                <w:szCs w:val="18"/>
                <w:lang w:eastAsia="pt-BR"/>
              </w:rPr>
            </w:pPr>
            <w:r w:rsidRPr="00807829">
              <w:rPr>
                <w:rFonts w:ascii="Calibri" w:eastAsia="Times New Roman" w:hAnsi="Calibri" w:cs="Arial"/>
                <w:color w:val="000000"/>
                <w:sz w:val="18"/>
                <w:szCs w:val="18"/>
                <w:lang w:eastAsia="pt-BR"/>
              </w:rPr>
              <w:t>597%</w:t>
            </w:r>
          </w:p>
        </w:tc>
      </w:tr>
      <w:tr w:rsidR="1A09D3B9" w14:paraId="32603BB2" w14:textId="77777777" w:rsidTr="77BAF1D3">
        <w:trPr>
          <w:trHeight w:val="20"/>
          <w:jc w:val="center"/>
        </w:trPr>
        <w:tc>
          <w:tcPr>
            <w:tcW w:w="7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1AD95C" w14:textId="42ACE4BB" w:rsidR="3A0DE134" w:rsidRDefault="3A0DE134" w:rsidP="00B059AF">
            <w:pPr>
              <w:spacing w:after="0" w:line="240" w:lineRule="auto"/>
              <w:jc w:val="center"/>
              <w:rPr>
                <w:rFonts w:eastAsia="Times New Roman" w:cs="Arial"/>
                <w:sz w:val="18"/>
                <w:szCs w:val="18"/>
                <w:lang w:eastAsia="pt-BR"/>
              </w:rPr>
            </w:pPr>
            <w:r w:rsidRPr="1A09D3B9">
              <w:rPr>
                <w:rFonts w:eastAsia="Times New Roman" w:cs="Arial"/>
                <w:sz w:val="18"/>
                <w:szCs w:val="18"/>
                <w:lang w:eastAsia="pt-BR"/>
              </w:rPr>
              <w:t>2020</w:t>
            </w:r>
          </w:p>
        </w:tc>
        <w:tc>
          <w:tcPr>
            <w:tcW w:w="1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14:paraId="43BDDB31" w14:textId="69AC23BF" w:rsidR="3A0DE134" w:rsidRDefault="3A0DE134" w:rsidP="00B059AF">
            <w:pPr>
              <w:spacing w:after="0" w:line="240" w:lineRule="auto"/>
              <w:jc w:val="right"/>
              <w:rPr>
                <w:rFonts w:ascii="Calibri" w:eastAsia="Times New Roman" w:hAnsi="Calibri" w:cs="Arial"/>
                <w:color w:val="000000" w:themeColor="text1"/>
                <w:sz w:val="18"/>
                <w:szCs w:val="18"/>
                <w:lang w:eastAsia="pt-BR"/>
              </w:rPr>
            </w:pPr>
            <w:r w:rsidRPr="1A09D3B9">
              <w:rPr>
                <w:rFonts w:ascii="Calibri" w:eastAsia="Times New Roman" w:hAnsi="Calibri" w:cs="Arial"/>
                <w:color w:val="000000" w:themeColor="text1"/>
                <w:sz w:val="18"/>
                <w:szCs w:val="18"/>
                <w:lang w:eastAsia="pt-BR"/>
              </w:rPr>
              <w:t>21.063</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14:paraId="2CA1EE2A" w14:textId="07650E93" w:rsidR="3A0DE134" w:rsidRDefault="3A0DE134" w:rsidP="00B059AF">
            <w:pPr>
              <w:spacing w:after="0" w:line="240" w:lineRule="auto"/>
              <w:jc w:val="right"/>
              <w:rPr>
                <w:rFonts w:ascii="Calibri" w:eastAsia="Times New Roman" w:hAnsi="Calibri" w:cs="Arial"/>
                <w:color w:val="000000" w:themeColor="text1"/>
                <w:sz w:val="18"/>
                <w:szCs w:val="18"/>
                <w:lang w:eastAsia="pt-BR"/>
              </w:rPr>
            </w:pPr>
            <w:r w:rsidRPr="1A09D3B9">
              <w:rPr>
                <w:rFonts w:ascii="Calibri" w:eastAsia="Times New Roman" w:hAnsi="Calibri" w:cs="Arial"/>
                <w:color w:val="000000" w:themeColor="text1"/>
                <w:sz w:val="18"/>
                <w:szCs w:val="18"/>
                <w:lang w:eastAsia="pt-BR"/>
              </w:rPr>
              <w:t>21.063</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14:paraId="1466FF1C" w14:textId="1E509913" w:rsidR="3A0DE134" w:rsidRDefault="3A0DE134" w:rsidP="00B059AF">
            <w:pPr>
              <w:spacing w:after="0" w:line="240" w:lineRule="auto"/>
              <w:jc w:val="right"/>
              <w:rPr>
                <w:rFonts w:ascii="Calibri" w:eastAsia="Times New Roman" w:hAnsi="Calibri" w:cs="Arial"/>
                <w:color w:val="000000" w:themeColor="text1"/>
                <w:sz w:val="18"/>
                <w:szCs w:val="18"/>
                <w:lang w:eastAsia="pt-BR"/>
              </w:rPr>
            </w:pPr>
            <w:r w:rsidRPr="0BF889A0">
              <w:rPr>
                <w:rFonts w:ascii="Calibri" w:eastAsia="Times New Roman" w:hAnsi="Calibri" w:cs="Arial"/>
                <w:color w:val="000000" w:themeColor="text1"/>
                <w:sz w:val="18"/>
                <w:szCs w:val="18"/>
                <w:lang w:eastAsia="pt-BR"/>
              </w:rPr>
              <w:t>8.1</w:t>
            </w:r>
            <w:r w:rsidR="6B59DA2A" w:rsidRPr="0BF889A0">
              <w:rPr>
                <w:rFonts w:ascii="Calibri" w:eastAsia="Times New Roman" w:hAnsi="Calibri" w:cs="Arial"/>
                <w:color w:val="000000" w:themeColor="text1"/>
                <w:sz w:val="18"/>
                <w:szCs w:val="18"/>
                <w:lang w:eastAsia="pt-BR"/>
              </w:rPr>
              <w:t>50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FC0B69F" w14:textId="7DFA95B9" w:rsidR="3A0DE134" w:rsidRDefault="3A0DE134" w:rsidP="00B059AF">
            <w:pPr>
              <w:spacing w:after="0" w:line="240" w:lineRule="auto"/>
              <w:jc w:val="right"/>
              <w:rPr>
                <w:rFonts w:ascii="Calibri" w:eastAsia="Times New Roman" w:hAnsi="Calibri" w:cs="Arial"/>
                <w:color w:val="000000" w:themeColor="text1"/>
                <w:sz w:val="18"/>
                <w:szCs w:val="18"/>
                <w:lang w:eastAsia="pt-BR"/>
              </w:rPr>
            </w:pPr>
            <w:r w:rsidRPr="1A09D3B9">
              <w:rPr>
                <w:rFonts w:ascii="Calibri" w:eastAsia="Times New Roman" w:hAnsi="Calibri" w:cs="Arial"/>
                <w:color w:val="000000" w:themeColor="text1"/>
                <w:sz w:val="18"/>
                <w:szCs w:val="18"/>
                <w:lang w:eastAsia="pt-BR"/>
              </w:rPr>
              <w:t>39%</w:t>
            </w:r>
          </w:p>
        </w:tc>
      </w:tr>
      <w:tr w:rsidR="00985DF3" w:rsidRPr="00AC4DF8" w14:paraId="5665C7C0" w14:textId="77777777" w:rsidTr="77BAF1D3">
        <w:trPr>
          <w:trHeight w:val="20"/>
          <w:jc w:val="center"/>
        </w:trPr>
        <w:tc>
          <w:tcPr>
            <w:tcW w:w="6096" w:type="dxa"/>
            <w:gridSpan w:val="5"/>
            <w:tcBorders>
              <w:top w:val="single" w:sz="4" w:space="0" w:color="BFBFBF" w:themeColor="background1" w:themeShade="BF"/>
              <w:left w:val="nil"/>
              <w:bottom w:val="nil"/>
              <w:right w:val="nil"/>
            </w:tcBorders>
            <w:shd w:val="clear" w:color="auto" w:fill="auto"/>
            <w:noWrap/>
            <w:vAlign w:val="bottom"/>
            <w:hideMark/>
          </w:tcPr>
          <w:p w14:paraId="646235B2" w14:textId="4A164AB2" w:rsidR="00D577CB" w:rsidRPr="00E77F4A" w:rsidRDefault="009B1AD8" w:rsidP="008B2DD0">
            <w:pPr>
              <w:spacing w:after="0" w:line="240" w:lineRule="auto"/>
              <w:rPr>
                <w:rFonts w:eastAsia="Times New Roman" w:cs="Arial"/>
                <w:i/>
                <w:sz w:val="16"/>
                <w:szCs w:val="16"/>
                <w:lang w:eastAsia="pt-BR"/>
              </w:rPr>
            </w:pPr>
            <w:proofErr w:type="gramStart"/>
            <w:r w:rsidRPr="00E77F4A">
              <w:rPr>
                <w:rFonts w:eastAsia="Times New Roman" w:cs="Arial"/>
                <w:i/>
                <w:sz w:val="16"/>
                <w:szCs w:val="16"/>
                <w:vertAlign w:val="superscript"/>
                <w:lang w:eastAsia="pt-BR"/>
              </w:rPr>
              <w:t>1</w:t>
            </w:r>
            <w:proofErr w:type="gramEnd"/>
            <w:r w:rsidRPr="00E77F4A">
              <w:rPr>
                <w:rFonts w:eastAsia="Times New Roman" w:cs="Arial"/>
                <w:i/>
                <w:sz w:val="16"/>
                <w:szCs w:val="16"/>
                <w:lang w:eastAsia="pt-BR"/>
              </w:rPr>
              <w:t xml:space="preserve"> Variação entre a receita realizada</w:t>
            </w:r>
            <w:r w:rsidR="001B3254" w:rsidRPr="00E77F4A">
              <w:rPr>
                <w:rFonts w:eastAsia="Times New Roman" w:cs="Arial"/>
                <w:i/>
                <w:sz w:val="16"/>
                <w:szCs w:val="16"/>
                <w:lang w:eastAsia="pt-BR"/>
              </w:rPr>
              <w:t xml:space="preserve"> e a estimada na </w:t>
            </w:r>
            <w:r w:rsidR="001B5088" w:rsidRPr="00E77F4A">
              <w:rPr>
                <w:rFonts w:eastAsia="Times New Roman" w:cs="Arial"/>
                <w:i/>
                <w:sz w:val="16"/>
                <w:szCs w:val="16"/>
                <w:lang w:eastAsia="pt-BR"/>
              </w:rPr>
              <w:t>Lei Orçamentária Anual</w:t>
            </w:r>
          </w:p>
          <w:p w14:paraId="7843A6E0" w14:textId="2E1F8190" w:rsidR="00985DF3" w:rsidRPr="00AC4DF8" w:rsidRDefault="00985DF3" w:rsidP="008B2DD0">
            <w:pPr>
              <w:spacing w:after="0" w:line="240" w:lineRule="auto"/>
              <w:rPr>
                <w:rFonts w:eastAsia="Times New Roman" w:cs="Times New Roman"/>
                <w:i/>
                <w:iCs/>
                <w:sz w:val="16"/>
                <w:szCs w:val="16"/>
                <w:lang w:eastAsia="pt-BR"/>
              </w:rPr>
            </w:pPr>
            <w:r w:rsidRPr="00E77F4A">
              <w:rPr>
                <w:rFonts w:eastAsia="Times New Roman" w:cs="Arial"/>
                <w:b/>
                <w:i/>
                <w:sz w:val="16"/>
                <w:szCs w:val="16"/>
                <w:lang w:eastAsia="pt-BR"/>
              </w:rPr>
              <w:t>Fonte</w:t>
            </w:r>
            <w:r w:rsidRPr="00E77F4A">
              <w:rPr>
                <w:rFonts w:eastAsia="Times New Roman" w:cs="Arial"/>
                <w:i/>
                <w:sz w:val="16"/>
                <w:szCs w:val="16"/>
                <w:lang w:eastAsia="pt-BR"/>
              </w:rPr>
              <w:t>: PLOA; LOA; SIAF</w:t>
            </w:r>
            <w:r w:rsidR="00BE4214" w:rsidRPr="00E77F4A">
              <w:rPr>
                <w:rFonts w:eastAsia="Times New Roman" w:cs="Arial"/>
                <w:i/>
                <w:sz w:val="16"/>
                <w:szCs w:val="16"/>
                <w:lang w:eastAsia="pt-BR"/>
              </w:rPr>
              <w:t>I</w:t>
            </w:r>
            <w:r w:rsidRPr="00E77F4A">
              <w:rPr>
                <w:rFonts w:eastAsia="Times New Roman" w:cs="Arial"/>
                <w:i/>
                <w:sz w:val="16"/>
                <w:szCs w:val="16"/>
                <w:lang w:eastAsia="pt-BR"/>
              </w:rPr>
              <w:t xml:space="preserve">. </w:t>
            </w:r>
            <w:r w:rsidRPr="00E77F4A">
              <w:rPr>
                <w:rFonts w:eastAsia="Times New Roman" w:cs="Arial"/>
                <w:b/>
                <w:i/>
                <w:sz w:val="16"/>
                <w:szCs w:val="16"/>
                <w:lang w:eastAsia="pt-BR"/>
              </w:rPr>
              <w:t>Elaboração</w:t>
            </w:r>
            <w:r w:rsidRPr="00E77F4A">
              <w:rPr>
                <w:rFonts w:eastAsia="Times New Roman" w:cs="Arial"/>
                <w:i/>
                <w:sz w:val="16"/>
                <w:szCs w:val="16"/>
                <w:lang w:eastAsia="pt-BR"/>
              </w:rPr>
              <w:t>: STN/ME</w:t>
            </w:r>
          </w:p>
        </w:tc>
      </w:tr>
    </w:tbl>
    <w:p w14:paraId="19ACEBA4" w14:textId="6A63F8FC" w:rsidR="008B2DD0" w:rsidRDefault="008B2DD0" w:rsidP="008E2827">
      <w:pPr>
        <w:pStyle w:val="Default"/>
        <w:spacing w:after="120"/>
        <w:jc w:val="both"/>
        <w:rPr>
          <w:rFonts w:asciiTheme="minorHAnsi" w:hAnsiTheme="minorHAnsi"/>
        </w:rPr>
      </w:pPr>
    </w:p>
    <w:bookmarkEnd w:id="395"/>
    <w:p w14:paraId="452DD3AF" w14:textId="46874F5C" w:rsidR="003A17FC" w:rsidRPr="009B04B3" w:rsidRDefault="003A17FC" w:rsidP="32638608">
      <w:pPr>
        <w:pStyle w:val="Default"/>
        <w:spacing w:after="120"/>
        <w:ind w:firstLine="1418"/>
        <w:jc w:val="both"/>
        <w:rPr>
          <w:rFonts w:asciiTheme="minorHAnsi" w:hAnsiTheme="minorHAnsi"/>
          <w:color w:val="auto"/>
        </w:rPr>
      </w:pPr>
      <w:r w:rsidRPr="32638608">
        <w:rPr>
          <w:rFonts w:asciiTheme="minorHAnsi" w:hAnsiTheme="minorHAnsi"/>
          <w:color w:val="auto"/>
        </w:rPr>
        <w:t>Cabe mencionar que o encaminhamento das projeções para fins de elaboração do Projeto de Lei Orçamentária</w:t>
      </w:r>
      <w:r w:rsidR="00443F7B" w:rsidRPr="32638608">
        <w:rPr>
          <w:rFonts w:asciiTheme="minorHAnsi" w:hAnsiTheme="minorHAnsi"/>
          <w:color w:val="auto"/>
        </w:rPr>
        <w:t xml:space="preserve"> (</w:t>
      </w:r>
      <w:r w:rsidRPr="32638608">
        <w:rPr>
          <w:rFonts w:asciiTheme="minorHAnsi" w:hAnsiTheme="minorHAnsi"/>
          <w:color w:val="auto"/>
        </w:rPr>
        <w:t>PLOA</w:t>
      </w:r>
      <w:r w:rsidR="00443F7B" w:rsidRPr="32638608">
        <w:rPr>
          <w:rFonts w:asciiTheme="minorHAnsi" w:hAnsiTheme="minorHAnsi"/>
          <w:color w:val="auto"/>
        </w:rPr>
        <w:t>)</w:t>
      </w:r>
      <w:r w:rsidRPr="32638608">
        <w:rPr>
          <w:rFonts w:asciiTheme="minorHAnsi" w:hAnsiTheme="minorHAnsi"/>
          <w:color w:val="auto"/>
        </w:rPr>
        <w:t xml:space="preserve"> ocorre entre os meses de junho e julho do ano anterior ao exercício a que se refere, sendo que é comum a divulgação de novos processos licitatórios após esse prazo, o que contribui para verificação de diferenças entre os valores previstos nas peças orçamentárias e os valores efetivamente realizados.</w:t>
      </w:r>
      <w:r w:rsidR="00CA3CB1" w:rsidRPr="32638608">
        <w:rPr>
          <w:rFonts w:asciiTheme="minorHAnsi" w:hAnsiTheme="minorHAnsi"/>
          <w:color w:val="auto"/>
        </w:rPr>
        <w:t xml:space="preserve"> </w:t>
      </w:r>
      <w:r w:rsidRPr="32638608">
        <w:rPr>
          <w:rFonts w:asciiTheme="minorHAnsi" w:hAnsiTheme="minorHAnsi"/>
          <w:color w:val="auto"/>
        </w:rPr>
        <w:t>Além disso, as projeções mencionadas não consideram eventuais ágios que possam ocorrer nos processos licitatórios, o que também contribui para eventuais diferenças entre os valores previstos nas peças orçamentárias e os valores efetivamente realizados.</w:t>
      </w:r>
      <w:r w:rsidR="00A95746" w:rsidRPr="32638608">
        <w:rPr>
          <w:rFonts w:asciiTheme="minorHAnsi" w:hAnsiTheme="minorHAnsi"/>
          <w:color w:val="auto"/>
        </w:rPr>
        <w:t xml:space="preserve"> </w:t>
      </w:r>
    </w:p>
    <w:p w14:paraId="0A1EAF41" w14:textId="1DDE8132" w:rsidR="003A17FC" w:rsidRPr="009B04B3" w:rsidRDefault="003A17FC" w:rsidP="003A17FC">
      <w:pPr>
        <w:pStyle w:val="Default"/>
        <w:spacing w:after="120"/>
        <w:ind w:firstLine="1418"/>
        <w:jc w:val="both"/>
        <w:rPr>
          <w:rFonts w:asciiTheme="minorHAnsi" w:hAnsiTheme="minorHAnsi"/>
          <w:color w:val="auto"/>
        </w:rPr>
      </w:pPr>
      <w:r w:rsidRPr="009B04B3">
        <w:rPr>
          <w:rFonts w:asciiTheme="minorHAnsi" w:hAnsiTheme="minorHAnsi"/>
          <w:color w:val="auto"/>
        </w:rPr>
        <w:t xml:space="preserve">A </w:t>
      </w:r>
      <w:r w:rsidR="00630432" w:rsidRPr="009B04B3">
        <w:rPr>
          <w:rFonts w:asciiTheme="minorHAnsi" w:hAnsiTheme="minorHAnsi"/>
          <w:color w:val="auto"/>
        </w:rPr>
        <w:fldChar w:fldCharType="begin"/>
      </w:r>
      <w:r w:rsidR="00630432" w:rsidRPr="009B04B3">
        <w:rPr>
          <w:rFonts w:asciiTheme="minorHAnsi" w:hAnsiTheme="minorHAnsi"/>
          <w:color w:val="auto"/>
        </w:rPr>
        <w:instrText xml:space="preserve"> REF _Ref35265677  \* MERGEFORMAT </w:instrText>
      </w:r>
      <w:r w:rsidR="00630432" w:rsidRPr="009B04B3">
        <w:rPr>
          <w:rFonts w:asciiTheme="minorHAnsi" w:hAnsiTheme="minorHAnsi"/>
          <w:color w:val="auto"/>
        </w:rPr>
        <w:fldChar w:fldCharType="separate"/>
      </w:r>
      <w:r w:rsidR="00304F5F" w:rsidRPr="00304F5F">
        <w:rPr>
          <w:rFonts w:asciiTheme="minorHAnsi" w:hAnsiTheme="minorHAnsi"/>
          <w:color w:val="auto"/>
        </w:rPr>
        <w:t>Tabela 56</w:t>
      </w:r>
      <w:r w:rsidR="00630432" w:rsidRPr="009B04B3">
        <w:rPr>
          <w:rFonts w:asciiTheme="minorHAnsi" w:hAnsiTheme="minorHAnsi"/>
          <w:color w:val="auto"/>
        </w:rPr>
        <w:fldChar w:fldCharType="end"/>
      </w:r>
      <w:r w:rsidR="00A608B2" w:rsidRPr="009B04B3">
        <w:rPr>
          <w:rFonts w:asciiTheme="minorHAnsi" w:hAnsiTheme="minorHAnsi"/>
          <w:color w:val="auto"/>
        </w:rPr>
        <w:t xml:space="preserve"> </w:t>
      </w:r>
      <w:r w:rsidRPr="009B04B3">
        <w:rPr>
          <w:rFonts w:asciiTheme="minorHAnsi" w:hAnsiTheme="minorHAnsi"/>
          <w:color w:val="auto"/>
        </w:rPr>
        <w:t>decompõe as receitas entre contratos vigentes e novos leilões realizados no período. Como pode ser constatado, as variações entre previsto e realizado estão presentes inclusive nos contratos de concessões vigentes.</w:t>
      </w:r>
    </w:p>
    <w:p w14:paraId="5635F973" w14:textId="77777777" w:rsidR="003A17FC" w:rsidRPr="009B04B3" w:rsidRDefault="003A17FC" w:rsidP="003A17FC">
      <w:pPr>
        <w:pStyle w:val="Default"/>
        <w:spacing w:after="120"/>
        <w:ind w:firstLine="1418"/>
        <w:jc w:val="both"/>
        <w:rPr>
          <w:rFonts w:asciiTheme="minorHAnsi" w:hAnsiTheme="minorHAnsi"/>
          <w:color w:val="auto"/>
        </w:rPr>
      </w:pPr>
      <w:r w:rsidRPr="009B04B3">
        <w:rPr>
          <w:rFonts w:asciiTheme="minorHAnsi" w:hAnsiTheme="minorHAnsi"/>
          <w:color w:val="auto"/>
        </w:rPr>
        <w:t>Dessa forma, tais fatores de risco devem ser observados de forma abrangente pelas agências reguladoras e órgãos setoriais no processo de projeções de receitas de concessões e permissões para fins da elaboração do PLOA.</w:t>
      </w:r>
    </w:p>
    <w:p w14:paraId="08F4FF59" w14:textId="286190A9" w:rsidR="005255EC" w:rsidRPr="009B04B3" w:rsidRDefault="005255EC" w:rsidP="00901ECD">
      <w:pPr>
        <w:pStyle w:val="Legenda"/>
        <w:spacing w:before="240" w:after="120"/>
        <w:jc w:val="center"/>
        <w:rPr>
          <w:rFonts w:asciiTheme="minorHAnsi" w:hAnsiTheme="minorHAnsi"/>
          <w:i w:val="0"/>
          <w:color w:val="auto"/>
          <w:sz w:val="22"/>
          <w:szCs w:val="22"/>
        </w:rPr>
      </w:pPr>
      <w:bookmarkStart w:id="400" w:name="_Ref35265677"/>
      <w:bookmarkStart w:id="401" w:name="_Toc69121402"/>
      <w:r w:rsidRPr="009B04B3">
        <w:rPr>
          <w:rFonts w:asciiTheme="minorHAnsi" w:hAnsiTheme="minorHAnsi"/>
          <w:i w:val="0"/>
          <w:color w:val="auto"/>
          <w:sz w:val="22"/>
          <w:szCs w:val="22"/>
        </w:rPr>
        <w:t xml:space="preserve">Tabela </w:t>
      </w:r>
      <w:r w:rsidRPr="009B04B3">
        <w:rPr>
          <w:rFonts w:asciiTheme="minorHAnsi" w:hAnsiTheme="minorHAnsi"/>
          <w:i w:val="0"/>
          <w:color w:val="auto"/>
          <w:sz w:val="22"/>
          <w:szCs w:val="22"/>
        </w:rPr>
        <w:fldChar w:fldCharType="begin"/>
      </w:r>
      <w:r w:rsidRPr="009B04B3">
        <w:rPr>
          <w:rFonts w:asciiTheme="minorHAnsi" w:hAnsiTheme="minorHAnsi"/>
          <w:i w:val="0"/>
          <w:color w:val="auto"/>
          <w:sz w:val="22"/>
          <w:szCs w:val="22"/>
        </w:rPr>
        <w:instrText xml:space="preserve"> SEQ Tabela \* ARABIC </w:instrText>
      </w:r>
      <w:r w:rsidRPr="009B04B3">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56</w:t>
      </w:r>
      <w:r w:rsidRPr="009B04B3">
        <w:rPr>
          <w:rFonts w:asciiTheme="minorHAnsi" w:hAnsiTheme="minorHAnsi"/>
          <w:i w:val="0"/>
          <w:color w:val="auto"/>
          <w:sz w:val="22"/>
          <w:szCs w:val="22"/>
        </w:rPr>
        <w:fldChar w:fldCharType="end"/>
      </w:r>
      <w:bookmarkEnd w:id="400"/>
      <w:r w:rsidR="001D362D" w:rsidRPr="009B04B3">
        <w:rPr>
          <w:rFonts w:asciiTheme="minorHAnsi" w:hAnsiTheme="minorHAnsi"/>
          <w:i w:val="0"/>
          <w:color w:val="auto"/>
          <w:sz w:val="22"/>
          <w:szCs w:val="22"/>
        </w:rPr>
        <w:t xml:space="preserve"> - </w:t>
      </w:r>
      <w:r w:rsidRPr="009B04B3">
        <w:rPr>
          <w:rFonts w:asciiTheme="minorHAnsi" w:hAnsiTheme="minorHAnsi"/>
          <w:i w:val="0"/>
          <w:color w:val="auto"/>
          <w:sz w:val="22"/>
          <w:szCs w:val="22"/>
        </w:rPr>
        <w:t>Receita de Concessões (novas concessões x contratos vigentes)</w:t>
      </w:r>
      <w:bookmarkEnd w:id="401"/>
    </w:p>
    <w:tbl>
      <w:tblPr>
        <w:tblW w:w="5776" w:type="dxa"/>
        <w:jc w:val="center"/>
        <w:tblCellMar>
          <w:left w:w="70" w:type="dxa"/>
          <w:right w:w="70" w:type="dxa"/>
        </w:tblCellMar>
        <w:tblLook w:val="04A0" w:firstRow="1" w:lastRow="0" w:firstColumn="1" w:lastColumn="0" w:noHBand="0" w:noVBand="1"/>
      </w:tblPr>
      <w:tblGrid>
        <w:gridCol w:w="860"/>
        <w:gridCol w:w="1331"/>
        <w:gridCol w:w="780"/>
        <w:gridCol w:w="750"/>
        <w:gridCol w:w="1005"/>
        <w:gridCol w:w="1050"/>
      </w:tblGrid>
      <w:tr w:rsidR="00076F89" w:rsidRPr="004928E6" w14:paraId="66DF79B7" w14:textId="77777777" w:rsidTr="77BAF1D3">
        <w:trPr>
          <w:trHeight w:val="20"/>
          <w:tblHeader/>
          <w:jc w:val="center"/>
        </w:trPr>
        <w:tc>
          <w:tcPr>
            <w:tcW w:w="5776" w:type="dxa"/>
            <w:gridSpan w:val="6"/>
            <w:tcBorders>
              <w:top w:val="nil"/>
              <w:left w:val="nil"/>
              <w:bottom w:val="single" w:sz="4" w:space="0" w:color="BFBFBF" w:themeColor="background1" w:themeShade="BF"/>
              <w:right w:val="nil"/>
            </w:tcBorders>
            <w:shd w:val="clear" w:color="auto" w:fill="auto"/>
            <w:noWrap/>
            <w:vAlign w:val="bottom"/>
            <w:hideMark/>
          </w:tcPr>
          <w:p w14:paraId="1BE62328" w14:textId="77777777" w:rsidR="00076F89" w:rsidRPr="00E77F4A" w:rsidRDefault="00076F89" w:rsidP="00076F89">
            <w:pPr>
              <w:spacing w:after="0" w:line="240" w:lineRule="auto"/>
              <w:jc w:val="right"/>
              <w:rPr>
                <w:rFonts w:eastAsia="Times New Roman" w:cs="Arial"/>
                <w:i/>
                <w:color w:val="000000"/>
                <w:sz w:val="16"/>
                <w:szCs w:val="16"/>
                <w:lang w:eastAsia="pt-BR"/>
              </w:rPr>
            </w:pPr>
            <w:r w:rsidRPr="00E77F4A">
              <w:rPr>
                <w:rFonts w:eastAsia="Times New Roman" w:cs="Arial"/>
                <w:i/>
                <w:color w:val="000000"/>
                <w:sz w:val="16"/>
                <w:szCs w:val="16"/>
                <w:lang w:eastAsia="pt-BR"/>
              </w:rPr>
              <w:t>Em R$ milhões</w:t>
            </w:r>
          </w:p>
        </w:tc>
      </w:tr>
      <w:tr w:rsidR="000C730E" w:rsidRPr="0060694D" w14:paraId="1DC0CBDE" w14:textId="77777777" w:rsidTr="003E0059">
        <w:trPr>
          <w:trHeight w:val="20"/>
          <w:tblHeader/>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264D4690" w14:textId="77777777" w:rsidR="00076F89" w:rsidRPr="006E0F51" w:rsidRDefault="00076F89" w:rsidP="00076F8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Exercício</w:t>
            </w:r>
          </w:p>
        </w:tc>
        <w:tc>
          <w:tcPr>
            <w:tcW w:w="133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7D98B70F" w14:textId="77777777" w:rsidR="00076F89" w:rsidRPr="006E0F51" w:rsidRDefault="00076F89" w:rsidP="00076F8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Categorias</w:t>
            </w:r>
          </w:p>
          <w:p w14:paraId="66B3B5DB" w14:textId="77777777" w:rsidR="00076F89" w:rsidRPr="006E0F51" w:rsidRDefault="00076F89" w:rsidP="00076F89">
            <w:pPr>
              <w:spacing w:after="0" w:line="240" w:lineRule="auto"/>
              <w:jc w:val="center"/>
              <w:rPr>
                <w:rFonts w:eastAsia="Times New Roman" w:cs="Arial"/>
                <w:color w:val="FFFFFF" w:themeColor="background1"/>
                <w:sz w:val="20"/>
                <w:szCs w:val="20"/>
                <w:lang w:eastAsia="pt-BR"/>
              </w:rPr>
            </w:pPr>
            <w:proofErr w:type="gramStart"/>
            <w:r w:rsidRPr="006E0F51">
              <w:rPr>
                <w:rFonts w:eastAsia="Times New Roman" w:cs="Arial"/>
                <w:color w:val="FFFFFF" w:themeColor="background1"/>
                <w:sz w:val="20"/>
                <w:szCs w:val="20"/>
                <w:lang w:eastAsia="pt-BR"/>
              </w:rPr>
              <w:t>de</w:t>
            </w:r>
            <w:proofErr w:type="gramEnd"/>
            <w:r w:rsidRPr="006E0F51">
              <w:rPr>
                <w:rFonts w:eastAsia="Times New Roman" w:cs="Arial"/>
                <w:color w:val="FFFFFF" w:themeColor="background1"/>
                <w:sz w:val="20"/>
                <w:szCs w:val="20"/>
                <w:lang w:eastAsia="pt-BR"/>
              </w:rPr>
              <w:t xml:space="preserve"> Concessões</w:t>
            </w:r>
          </w:p>
        </w:tc>
        <w:tc>
          <w:tcPr>
            <w:tcW w:w="358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175472B2" w14:textId="77777777" w:rsidR="00076F89" w:rsidRPr="006E0F51" w:rsidRDefault="00076F89" w:rsidP="00076F8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Receita de Concessões</w:t>
            </w:r>
          </w:p>
        </w:tc>
      </w:tr>
      <w:tr w:rsidR="00076F89" w:rsidRPr="0060694D" w14:paraId="60D6B7CB" w14:textId="77777777" w:rsidTr="003E0059">
        <w:trPr>
          <w:trHeight w:val="20"/>
          <w:tblHeader/>
          <w:jc w:val="center"/>
        </w:trPr>
        <w:tc>
          <w:tcPr>
            <w:tcW w:w="8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59B5C7" w14:textId="77777777" w:rsidR="00076F89" w:rsidRPr="006E0F51" w:rsidRDefault="00076F89" w:rsidP="00076F89">
            <w:pPr>
              <w:spacing w:after="0" w:line="240" w:lineRule="auto"/>
              <w:rPr>
                <w:rFonts w:eastAsia="Times New Roman" w:cs="Arial"/>
                <w:color w:val="FFFFFF" w:themeColor="background1"/>
                <w:sz w:val="20"/>
                <w:szCs w:val="20"/>
                <w:lang w:eastAsia="pt-BR"/>
              </w:rPr>
            </w:pPr>
          </w:p>
        </w:tc>
        <w:tc>
          <w:tcPr>
            <w:tcW w:w="1331"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749F5A9F" w14:textId="77777777" w:rsidR="00076F89" w:rsidRPr="006E0F51" w:rsidRDefault="00076F89" w:rsidP="00076F89">
            <w:pPr>
              <w:spacing w:after="0" w:line="240" w:lineRule="auto"/>
              <w:rPr>
                <w:rFonts w:eastAsia="Times New Roman" w:cs="Arial"/>
                <w:color w:val="FFFFFF" w:themeColor="background1"/>
                <w:sz w:val="20"/>
                <w:szCs w:val="20"/>
                <w:lang w:eastAsia="pt-BR"/>
              </w:rPr>
            </w:pP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206482F8" w14:textId="77777777" w:rsidR="00076F89" w:rsidRPr="006E0F51" w:rsidRDefault="00076F89" w:rsidP="00076F8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PLOA</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4B012BA6" w14:textId="77777777" w:rsidR="00076F89" w:rsidRPr="006E0F51" w:rsidRDefault="00076F89" w:rsidP="00076F8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LOA</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hideMark/>
          </w:tcPr>
          <w:p w14:paraId="06F46B0E" w14:textId="77777777" w:rsidR="00076F89" w:rsidRPr="006E0F51" w:rsidRDefault="00076F89" w:rsidP="00076F8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Realizado</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noWrap/>
            <w:vAlign w:val="center"/>
          </w:tcPr>
          <w:p w14:paraId="69BBB334" w14:textId="4BB888C8" w:rsidR="00076F89" w:rsidRPr="006E0F51" w:rsidRDefault="001534AC" w:rsidP="00076F89">
            <w:pPr>
              <w:spacing w:after="0" w:line="240" w:lineRule="auto"/>
              <w:jc w:val="center"/>
              <w:rPr>
                <w:rFonts w:eastAsia="Times New Roman" w:cs="Arial"/>
                <w:color w:val="FFFFFF" w:themeColor="background1"/>
                <w:sz w:val="20"/>
                <w:szCs w:val="20"/>
                <w:lang w:eastAsia="pt-BR"/>
              </w:rPr>
            </w:pPr>
            <w:r w:rsidRPr="006E0F51">
              <w:rPr>
                <w:rFonts w:eastAsia="Times New Roman" w:cs="Arial"/>
                <w:color w:val="FFFFFF" w:themeColor="background1"/>
                <w:sz w:val="20"/>
                <w:szCs w:val="20"/>
                <w:lang w:eastAsia="pt-BR"/>
              </w:rPr>
              <w:t>Variação</w:t>
            </w:r>
            <w:r w:rsidRPr="006E0F51">
              <w:rPr>
                <w:rFonts w:eastAsia="Times New Roman" w:cs="Arial"/>
                <w:color w:val="FFFFFF" w:themeColor="background1"/>
                <w:sz w:val="20"/>
                <w:szCs w:val="20"/>
                <w:vertAlign w:val="superscript"/>
                <w:lang w:eastAsia="pt-BR"/>
              </w:rPr>
              <w:t xml:space="preserve"> </w:t>
            </w:r>
            <w:proofErr w:type="gramStart"/>
            <w:r w:rsidRPr="006E0F51">
              <w:rPr>
                <w:rFonts w:eastAsia="Times New Roman" w:cs="Arial"/>
                <w:color w:val="FFFFFF" w:themeColor="background1"/>
                <w:sz w:val="20"/>
                <w:szCs w:val="20"/>
                <w:vertAlign w:val="superscript"/>
                <w:lang w:eastAsia="pt-BR"/>
              </w:rPr>
              <w:t>1</w:t>
            </w:r>
            <w:proofErr w:type="gramEnd"/>
            <w:r w:rsidRPr="006E0F51">
              <w:rPr>
                <w:rFonts w:eastAsia="Times New Roman" w:cs="Arial"/>
                <w:color w:val="FFFFFF" w:themeColor="background1"/>
                <w:sz w:val="20"/>
                <w:szCs w:val="20"/>
                <w:lang w:eastAsia="pt-BR"/>
              </w:rPr>
              <w:t xml:space="preserve"> (%)</w:t>
            </w:r>
          </w:p>
        </w:tc>
      </w:tr>
      <w:tr w:rsidR="004928E6" w:rsidRPr="0060694D" w14:paraId="13330992" w14:textId="77777777" w:rsidTr="77BAF1D3">
        <w:trPr>
          <w:trHeight w:val="20"/>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855C1C9" w14:textId="77777777" w:rsidR="004928E6" w:rsidRPr="0060694D" w:rsidRDefault="004928E6" w:rsidP="004928E6">
            <w:pPr>
              <w:spacing w:after="0" w:line="240" w:lineRule="auto"/>
              <w:jc w:val="center"/>
              <w:rPr>
                <w:rFonts w:eastAsia="Times New Roman" w:cs="Arial"/>
                <w:sz w:val="18"/>
                <w:szCs w:val="18"/>
                <w:lang w:eastAsia="pt-BR"/>
              </w:rPr>
            </w:pPr>
            <w:r w:rsidRPr="0060694D">
              <w:rPr>
                <w:rFonts w:eastAsia="Times New Roman" w:cs="Arial"/>
                <w:sz w:val="18"/>
                <w:szCs w:val="18"/>
                <w:lang w:eastAsia="pt-BR"/>
              </w:rPr>
              <w:t>2014</w:t>
            </w: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CF80A17"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Vigentes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2A81EE6" w14:textId="405BE74F"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3.841</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6B631DA" w14:textId="20C58A9B"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3.841</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6A338EE" w14:textId="55632C08"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2.976</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ECC0045" w14:textId="589D12EF"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77%</w:t>
            </w:r>
          </w:p>
        </w:tc>
      </w:tr>
      <w:tr w:rsidR="004928E6" w:rsidRPr="0060694D" w14:paraId="661527CE"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2802E9DA"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2D2126F"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Novas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019F5AE" w14:textId="1CEC4779"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5.910</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EF2E762" w14:textId="2F7EAEF8"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9.610</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7A365E7" w14:textId="2A0B3AE9"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5.077</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2893DD1" w14:textId="0BDFB5D1"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53%</w:t>
            </w:r>
          </w:p>
        </w:tc>
      </w:tr>
      <w:tr w:rsidR="004928E6" w:rsidRPr="0060694D" w14:paraId="7ABD8FE5"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54A50279"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95CB75E"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Total</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4F38210" w14:textId="204EDD1B"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9.751</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CD195C1" w14:textId="0C8527E8"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13.451</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F6ABCD8" w14:textId="6B58B39D"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8.053</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CDB78FF" w14:textId="44EF810D"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60%</w:t>
            </w:r>
          </w:p>
        </w:tc>
      </w:tr>
      <w:tr w:rsidR="004928E6" w:rsidRPr="0060694D" w14:paraId="1E339C73" w14:textId="77777777" w:rsidTr="77BAF1D3">
        <w:trPr>
          <w:trHeight w:val="20"/>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5464C69" w14:textId="77777777" w:rsidR="004928E6" w:rsidRPr="0060694D" w:rsidRDefault="004928E6" w:rsidP="004928E6">
            <w:pPr>
              <w:spacing w:after="0" w:line="240" w:lineRule="auto"/>
              <w:jc w:val="center"/>
              <w:rPr>
                <w:rFonts w:eastAsia="Times New Roman" w:cs="Arial"/>
                <w:sz w:val="18"/>
                <w:szCs w:val="18"/>
                <w:lang w:eastAsia="pt-BR"/>
              </w:rPr>
            </w:pPr>
            <w:r w:rsidRPr="0060694D">
              <w:rPr>
                <w:rFonts w:eastAsia="Times New Roman" w:cs="Arial"/>
                <w:sz w:val="18"/>
                <w:szCs w:val="18"/>
                <w:lang w:eastAsia="pt-BR"/>
              </w:rPr>
              <w:t>2015</w:t>
            </w: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4EE3AAE"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Vigentes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24DD338" w14:textId="3336A2AB"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6.223</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EACD30D" w14:textId="520B56E2"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6.223</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7296D0C" w14:textId="1810F100"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5.885</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B49183C" w14:textId="5CFA38C2"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95%</w:t>
            </w:r>
          </w:p>
        </w:tc>
      </w:tr>
      <w:tr w:rsidR="004928E6" w:rsidRPr="0060694D" w14:paraId="2A03AF6A"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3D05BBC6"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0016629"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Novas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0B8F474" w14:textId="06604751"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7.081</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28703E0" w14:textId="369CA3ED"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9.238</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0AC5410" w14:textId="05EDCEB4" w:rsidR="004928E6" w:rsidRPr="004928E6" w:rsidRDefault="00FD55EF" w:rsidP="00FD55EF">
            <w:pPr>
              <w:spacing w:after="0" w:line="240" w:lineRule="auto"/>
              <w:jc w:val="center"/>
              <w:rPr>
                <w:rFonts w:eastAsia="Times New Roman" w:cs="Arial"/>
                <w:sz w:val="18"/>
                <w:szCs w:val="18"/>
                <w:lang w:eastAsia="pt-BR"/>
              </w:rPr>
            </w:pPr>
            <w:r>
              <w:rPr>
                <w:rFonts w:eastAsia="Times New Roman" w:cs="Arial"/>
                <w:sz w:val="18"/>
                <w:szCs w:val="18"/>
                <w:lang w:eastAsia="pt-BR"/>
              </w:rPr>
              <w:t>-</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E219952" w14:textId="73518313" w:rsidR="004928E6" w:rsidRPr="004928E6" w:rsidRDefault="004928E6" w:rsidP="004928E6">
            <w:pPr>
              <w:spacing w:after="0" w:line="240" w:lineRule="auto"/>
              <w:jc w:val="right"/>
              <w:rPr>
                <w:rFonts w:eastAsia="Times New Roman" w:cs="Arial"/>
                <w:sz w:val="18"/>
                <w:szCs w:val="18"/>
                <w:lang w:eastAsia="pt-BR"/>
              </w:rPr>
            </w:pPr>
          </w:p>
        </w:tc>
      </w:tr>
      <w:tr w:rsidR="004928E6" w:rsidRPr="0060694D" w14:paraId="7E7C3C45"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6A6D3A11"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B597FBB"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Total</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38615CE" w14:textId="642A5296"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13.304</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9FF56D4" w14:textId="46AF2440"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15.461</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3B2D870" w14:textId="480E8A55"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5.885</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F25F6DC" w14:textId="70DDCBF9"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38%</w:t>
            </w:r>
          </w:p>
        </w:tc>
      </w:tr>
      <w:tr w:rsidR="004928E6" w:rsidRPr="0060694D" w14:paraId="6F9E2DD5" w14:textId="77777777" w:rsidTr="77BAF1D3">
        <w:trPr>
          <w:trHeight w:val="20"/>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F2127E9" w14:textId="77777777" w:rsidR="004928E6" w:rsidRPr="0060694D" w:rsidRDefault="004928E6" w:rsidP="004928E6">
            <w:pPr>
              <w:spacing w:after="0" w:line="240" w:lineRule="auto"/>
              <w:jc w:val="center"/>
              <w:rPr>
                <w:rFonts w:eastAsia="Times New Roman" w:cs="Arial"/>
                <w:sz w:val="18"/>
                <w:szCs w:val="18"/>
                <w:lang w:eastAsia="pt-BR"/>
              </w:rPr>
            </w:pPr>
            <w:r w:rsidRPr="0060694D">
              <w:rPr>
                <w:rFonts w:eastAsia="Times New Roman" w:cs="Arial"/>
                <w:sz w:val="18"/>
                <w:szCs w:val="18"/>
                <w:lang w:eastAsia="pt-BR"/>
              </w:rPr>
              <w:t>2016</w:t>
            </w: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60517CC"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Vigentes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C6EB437" w14:textId="07E6FB48"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5.007</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E048A48" w14:textId="4342BB51"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22.007</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4F39C000" w14:textId="7218FB2C"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21.931</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587A3A7" w14:textId="4368C4A4"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100%</w:t>
            </w:r>
          </w:p>
        </w:tc>
      </w:tr>
      <w:tr w:rsidR="004928E6" w:rsidRPr="0060694D" w14:paraId="01E38738"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22514170"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2481F4F"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Novas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43E5E753" w14:textId="254C9295"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5.000</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5E83BE2" w14:textId="05A03127"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6.500</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194E3A0D" w14:textId="0F1F8EC9" w:rsidR="004928E6" w:rsidRPr="004928E6" w:rsidRDefault="00FD55EF" w:rsidP="00FD55EF">
            <w:pPr>
              <w:spacing w:after="0" w:line="240" w:lineRule="auto"/>
              <w:jc w:val="center"/>
              <w:rPr>
                <w:rFonts w:eastAsia="Times New Roman" w:cs="Arial"/>
                <w:sz w:val="18"/>
                <w:szCs w:val="18"/>
                <w:lang w:eastAsia="pt-BR"/>
              </w:rPr>
            </w:pPr>
            <w:r>
              <w:rPr>
                <w:rFonts w:eastAsia="Times New Roman" w:cs="Arial"/>
                <w:sz w:val="18"/>
                <w:szCs w:val="18"/>
                <w:lang w:eastAsia="pt-BR"/>
              </w:rPr>
              <w:t>-</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915BC3E" w14:textId="3ECB38A0" w:rsidR="004928E6" w:rsidRPr="004928E6" w:rsidRDefault="004928E6" w:rsidP="004928E6">
            <w:pPr>
              <w:spacing w:after="0" w:line="240" w:lineRule="auto"/>
              <w:jc w:val="right"/>
              <w:rPr>
                <w:rFonts w:eastAsia="Times New Roman" w:cs="Arial"/>
                <w:sz w:val="18"/>
                <w:szCs w:val="18"/>
                <w:lang w:eastAsia="pt-BR"/>
              </w:rPr>
            </w:pPr>
          </w:p>
        </w:tc>
      </w:tr>
      <w:tr w:rsidR="004928E6" w:rsidRPr="0060694D" w14:paraId="139ACDC2"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10C72A04"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3A3978C"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Total</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5F9BA43" w14:textId="334F9125"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10.007</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86B8578" w14:textId="0E7FF968"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28.507</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FEBFA14" w14:textId="5E8FD0C3"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21.931</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AE58E8F" w14:textId="4E48BBB4"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77%</w:t>
            </w:r>
          </w:p>
        </w:tc>
      </w:tr>
      <w:tr w:rsidR="004928E6" w:rsidRPr="0060694D" w14:paraId="3FFB276F" w14:textId="77777777" w:rsidTr="77BAF1D3">
        <w:trPr>
          <w:trHeight w:val="20"/>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D43BBB" w14:textId="77777777" w:rsidR="004928E6" w:rsidRPr="0060694D" w:rsidRDefault="004928E6" w:rsidP="004928E6">
            <w:pPr>
              <w:spacing w:after="0" w:line="240" w:lineRule="auto"/>
              <w:jc w:val="center"/>
              <w:rPr>
                <w:rFonts w:eastAsia="Times New Roman" w:cs="Arial"/>
                <w:sz w:val="18"/>
                <w:szCs w:val="18"/>
                <w:lang w:eastAsia="pt-BR"/>
              </w:rPr>
            </w:pPr>
            <w:r w:rsidRPr="0060694D">
              <w:rPr>
                <w:rFonts w:eastAsia="Times New Roman" w:cs="Arial"/>
                <w:sz w:val="18"/>
                <w:szCs w:val="18"/>
                <w:lang w:eastAsia="pt-BR"/>
              </w:rPr>
              <w:t>2017</w:t>
            </w: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D044DDF"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Vigentes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92C5527" w14:textId="5755D3B0"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4.735</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4CB9DA5" w14:textId="12A6E4FA"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4.735</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26BB309" w14:textId="4BD253D0" w:rsidR="004928E6" w:rsidRPr="004928E6" w:rsidRDefault="775042BD" w:rsidP="004928E6">
            <w:pPr>
              <w:spacing w:after="0" w:line="240" w:lineRule="auto"/>
              <w:jc w:val="right"/>
              <w:rPr>
                <w:rFonts w:eastAsia="Times New Roman" w:cs="Arial"/>
                <w:sz w:val="18"/>
                <w:szCs w:val="18"/>
                <w:lang w:eastAsia="pt-BR"/>
              </w:rPr>
            </w:pPr>
            <w:r w:rsidRPr="0BF889A0">
              <w:rPr>
                <w:rFonts w:eastAsia="Times New Roman" w:cs="Arial"/>
                <w:sz w:val="18"/>
                <w:szCs w:val="18"/>
                <w:lang w:eastAsia="pt-BR"/>
              </w:rPr>
              <w:t>8.5</w:t>
            </w:r>
            <w:r w:rsidR="0F14D8B0" w:rsidRPr="0BF889A0">
              <w:rPr>
                <w:rFonts w:eastAsia="Times New Roman" w:cs="Arial"/>
                <w:sz w:val="18"/>
                <w:szCs w:val="18"/>
                <w:lang w:eastAsia="pt-BR"/>
              </w:rPr>
              <w:t>08</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8C02FEB" w14:textId="65AE1DFF"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180%</w:t>
            </w:r>
          </w:p>
        </w:tc>
      </w:tr>
      <w:tr w:rsidR="004928E6" w:rsidRPr="0060694D" w14:paraId="7658DB87"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212497BB"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3DDA293"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Novas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8B29960" w14:textId="63C1A2D7"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19.228</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6B2C5A7" w14:textId="1690FED4"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19.228</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3555FFA" w14:textId="538CD3FF"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23.598</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D4FB828" w14:textId="5CADB454"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123%</w:t>
            </w:r>
          </w:p>
        </w:tc>
      </w:tr>
      <w:tr w:rsidR="004928E6" w:rsidRPr="0060694D" w14:paraId="07F82646"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49EACAB2" w14:textId="77777777" w:rsidR="004928E6" w:rsidRPr="0060694D" w:rsidRDefault="004928E6" w:rsidP="004928E6">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6EE3DB"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Total</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C28368D" w14:textId="0EEBDA6D"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23.963</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DC1B1F0" w14:textId="09274E42"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23.963</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AD4219F" w14:textId="0B612DF6" w:rsidR="004928E6" w:rsidRPr="004928E6" w:rsidRDefault="775042BD" w:rsidP="004928E6">
            <w:pPr>
              <w:spacing w:after="0" w:line="240" w:lineRule="auto"/>
              <w:jc w:val="right"/>
              <w:rPr>
                <w:rFonts w:eastAsia="Times New Roman" w:cs="Arial"/>
                <w:sz w:val="18"/>
                <w:szCs w:val="18"/>
                <w:lang w:eastAsia="pt-BR"/>
              </w:rPr>
            </w:pPr>
            <w:r w:rsidRPr="0BF889A0">
              <w:rPr>
                <w:rFonts w:eastAsia="Times New Roman" w:cs="Arial"/>
                <w:sz w:val="18"/>
                <w:szCs w:val="18"/>
                <w:lang w:eastAsia="pt-BR"/>
              </w:rPr>
              <w:t>32.1</w:t>
            </w:r>
            <w:r w:rsidR="00764EB0" w:rsidRPr="0BF889A0">
              <w:rPr>
                <w:rFonts w:eastAsia="Times New Roman" w:cs="Arial"/>
                <w:sz w:val="18"/>
                <w:szCs w:val="18"/>
                <w:lang w:eastAsia="pt-BR"/>
              </w:rPr>
              <w:t>06</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71ABE01" w14:textId="34D5D9CD"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134%</w:t>
            </w:r>
          </w:p>
        </w:tc>
      </w:tr>
      <w:tr w:rsidR="00630432" w:rsidRPr="0022645B" w14:paraId="0463ABA4" w14:textId="77777777" w:rsidTr="00B059AF">
        <w:trPr>
          <w:trHeight w:val="20"/>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B4A53E" w14:textId="1E0D1D0E" w:rsidR="00630432" w:rsidRPr="0060694D" w:rsidRDefault="00630432" w:rsidP="00630432">
            <w:pPr>
              <w:spacing w:after="0" w:line="240" w:lineRule="auto"/>
              <w:jc w:val="center"/>
              <w:rPr>
                <w:rFonts w:eastAsia="Times New Roman" w:cs="Arial"/>
                <w:sz w:val="18"/>
                <w:szCs w:val="18"/>
                <w:lang w:eastAsia="pt-BR"/>
              </w:rPr>
            </w:pPr>
            <w:r w:rsidRPr="0060694D">
              <w:rPr>
                <w:rFonts w:eastAsia="Times New Roman" w:cs="Arial"/>
                <w:sz w:val="18"/>
                <w:szCs w:val="18"/>
                <w:lang w:eastAsia="pt-BR"/>
              </w:rPr>
              <w:t>2018</w:t>
            </w: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083405C8" w14:textId="070FAF32" w:rsidR="00630432" w:rsidRPr="0060694D" w:rsidRDefault="00630432" w:rsidP="00630432">
            <w:pPr>
              <w:spacing w:after="0" w:line="240" w:lineRule="auto"/>
              <w:rPr>
                <w:rFonts w:eastAsia="Times New Roman" w:cs="Arial"/>
                <w:sz w:val="18"/>
                <w:szCs w:val="18"/>
                <w:lang w:eastAsia="pt-BR"/>
              </w:rPr>
            </w:pPr>
            <w:r w:rsidRPr="0060694D">
              <w:rPr>
                <w:rFonts w:eastAsia="Times New Roman" w:cs="Arial"/>
                <w:sz w:val="18"/>
                <w:szCs w:val="18"/>
                <w:lang w:eastAsia="pt-BR"/>
              </w:rPr>
              <w:t>Vigentes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4ECE7D5B" w14:textId="0E896EFD"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5.097</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2ABF2A2" w14:textId="4973AB36"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5.097</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988243D" w14:textId="757C2582"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3.850</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6E32DDF" w14:textId="36B7E5D6"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76%</w:t>
            </w:r>
          </w:p>
        </w:tc>
      </w:tr>
      <w:tr w:rsidR="00630432" w:rsidRPr="0022645B" w14:paraId="466D1F08"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tcPr>
          <w:p w14:paraId="7EBC6E25" w14:textId="77777777" w:rsidR="00630432" w:rsidRPr="0060694D" w:rsidRDefault="00630432" w:rsidP="00630432">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1DDA6ACB" w14:textId="7FC0D725" w:rsidR="00630432" w:rsidRPr="0060694D" w:rsidRDefault="00630432" w:rsidP="00630432">
            <w:pPr>
              <w:spacing w:after="0" w:line="240" w:lineRule="auto"/>
              <w:rPr>
                <w:rFonts w:eastAsia="Times New Roman" w:cs="Arial"/>
                <w:sz w:val="18"/>
                <w:szCs w:val="18"/>
                <w:lang w:eastAsia="pt-BR"/>
              </w:rPr>
            </w:pPr>
            <w:r w:rsidRPr="0060694D">
              <w:rPr>
                <w:rFonts w:eastAsia="Times New Roman" w:cs="Arial"/>
                <w:sz w:val="18"/>
                <w:szCs w:val="18"/>
                <w:lang w:eastAsia="pt-BR"/>
              </w:rPr>
              <w:t>Novas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F3FB035" w14:textId="47F91517"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13.797</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957BF84" w14:textId="39AADEBC"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13.797</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65AF1C3" w14:textId="6B2FA1CB"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18.080</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9F99245" w14:textId="1D5EDE3C"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131%</w:t>
            </w:r>
          </w:p>
        </w:tc>
      </w:tr>
      <w:tr w:rsidR="00630432" w:rsidRPr="0022645B" w14:paraId="1DBD5AFA"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tcPr>
          <w:p w14:paraId="634C580F" w14:textId="77777777" w:rsidR="00630432" w:rsidRPr="0060694D" w:rsidRDefault="00630432" w:rsidP="00630432">
            <w:pPr>
              <w:spacing w:after="0" w:line="240" w:lineRule="auto"/>
              <w:jc w:val="center"/>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02DB35B5" w14:textId="240A994F" w:rsidR="00630432" w:rsidRPr="0060694D" w:rsidRDefault="00630432" w:rsidP="00630432">
            <w:pPr>
              <w:spacing w:after="0" w:line="240" w:lineRule="auto"/>
              <w:rPr>
                <w:rFonts w:eastAsia="Times New Roman" w:cs="Arial"/>
                <w:sz w:val="18"/>
                <w:szCs w:val="18"/>
                <w:lang w:eastAsia="pt-BR"/>
              </w:rPr>
            </w:pPr>
            <w:r w:rsidRPr="0060694D">
              <w:rPr>
                <w:rFonts w:eastAsia="Times New Roman" w:cs="Arial"/>
                <w:sz w:val="18"/>
                <w:szCs w:val="18"/>
                <w:lang w:eastAsia="pt-BR"/>
              </w:rPr>
              <w:t>Total</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EA816B4" w14:textId="5B807671"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18.894</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17BC8D8" w14:textId="6A4CB44D"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18.894</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4D4BB99" w14:textId="1BADD35A"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21.930</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02D87BD" w14:textId="7691F451" w:rsidR="00630432" w:rsidRPr="004928E6" w:rsidRDefault="00630432" w:rsidP="00630432">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116%</w:t>
            </w:r>
          </w:p>
        </w:tc>
      </w:tr>
      <w:tr w:rsidR="004928E6" w:rsidRPr="0060694D" w14:paraId="7767D6C2" w14:textId="77777777" w:rsidTr="77BAF1D3">
        <w:trPr>
          <w:trHeight w:val="20"/>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5E11336" w14:textId="45F7AF01" w:rsidR="004928E6" w:rsidRPr="0060694D" w:rsidRDefault="004928E6" w:rsidP="004928E6">
            <w:pPr>
              <w:spacing w:after="0" w:line="240" w:lineRule="auto"/>
              <w:jc w:val="center"/>
              <w:rPr>
                <w:rFonts w:eastAsia="Times New Roman" w:cs="Arial"/>
                <w:sz w:val="18"/>
                <w:szCs w:val="18"/>
                <w:lang w:eastAsia="pt-BR"/>
              </w:rPr>
            </w:pPr>
            <w:r w:rsidRPr="0060694D">
              <w:rPr>
                <w:rFonts w:eastAsia="Times New Roman" w:cs="Arial"/>
                <w:sz w:val="18"/>
                <w:szCs w:val="18"/>
                <w:lang w:eastAsia="pt-BR"/>
              </w:rPr>
              <w:t>2019</w:t>
            </w: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6AAD8E8"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Vigentes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3501166" w14:textId="6BC74733"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3.067</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1B85D15" w14:textId="5703720D"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3.067</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8D7BF1A" w14:textId="2892D5D7" w:rsidR="004928E6" w:rsidRPr="004928E6" w:rsidRDefault="16A22DA0" w:rsidP="004928E6">
            <w:pPr>
              <w:spacing w:after="0" w:line="240" w:lineRule="auto"/>
              <w:jc w:val="right"/>
              <w:rPr>
                <w:rFonts w:eastAsia="Times New Roman" w:cs="Arial"/>
                <w:sz w:val="18"/>
                <w:szCs w:val="18"/>
                <w:lang w:eastAsia="pt-BR"/>
              </w:rPr>
            </w:pPr>
            <w:r w:rsidRPr="0BF889A0">
              <w:rPr>
                <w:rFonts w:eastAsia="Times New Roman" w:cs="Arial"/>
                <w:sz w:val="18"/>
                <w:szCs w:val="18"/>
                <w:lang w:eastAsia="pt-BR"/>
              </w:rPr>
              <w:t>4</w:t>
            </w:r>
            <w:r w:rsidR="775042BD" w:rsidRPr="0BF889A0">
              <w:rPr>
                <w:rFonts w:eastAsia="Times New Roman" w:cs="Arial"/>
                <w:sz w:val="18"/>
                <w:szCs w:val="18"/>
                <w:lang w:eastAsia="pt-BR"/>
              </w:rPr>
              <w:t>.</w:t>
            </w:r>
            <w:r w:rsidR="7DEF91C2" w:rsidRPr="0BF889A0">
              <w:rPr>
                <w:rFonts w:eastAsia="Times New Roman" w:cs="Arial"/>
                <w:sz w:val="18"/>
                <w:szCs w:val="18"/>
                <w:lang w:eastAsia="pt-BR"/>
              </w:rPr>
              <w:t>998</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7CB256E" w14:textId="0F15E80E"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163%</w:t>
            </w:r>
          </w:p>
        </w:tc>
      </w:tr>
      <w:tr w:rsidR="004928E6" w:rsidRPr="0060694D" w14:paraId="12044CA5"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65A6BC99" w14:textId="77777777" w:rsidR="004928E6" w:rsidRPr="0060694D" w:rsidRDefault="004928E6" w:rsidP="004928E6">
            <w:pPr>
              <w:spacing w:after="0" w:line="240" w:lineRule="auto"/>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9E179E"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Novas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3FCE0A9" w14:textId="56740C52"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12.563</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743B28C" w14:textId="3D097836"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12.563</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B258825" w14:textId="22F30E73" w:rsidR="004928E6" w:rsidRPr="004928E6" w:rsidRDefault="775042BD" w:rsidP="004928E6">
            <w:pPr>
              <w:spacing w:after="0" w:line="240" w:lineRule="auto"/>
              <w:jc w:val="right"/>
              <w:rPr>
                <w:rFonts w:eastAsia="Times New Roman" w:cs="Arial"/>
                <w:sz w:val="18"/>
                <w:szCs w:val="18"/>
                <w:lang w:eastAsia="pt-BR"/>
              </w:rPr>
            </w:pPr>
            <w:r w:rsidRPr="0BF889A0">
              <w:rPr>
                <w:rFonts w:eastAsia="Times New Roman" w:cs="Arial"/>
                <w:sz w:val="18"/>
                <w:szCs w:val="18"/>
                <w:lang w:eastAsia="pt-BR"/>
              </w:rPr>
              <w:t>88.2</w:t>
            </w:r>
            <w:r w:rsidR="3CAFDCD7" w:rsidRPr="0BF889A0">
              <w:rPr>
                <w:rFonts w:eastAsia="Times New Roman" w:cs="Arial"/>
                <w:sz w:val="18"/>
                <w:szCs w:val="18"/>
                <w:lang w:eastAsia="pt-BR"/>
              </w:rPr>
              <w:t>77</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9E49A68" w14:textId="7E67AC1B"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703%</w:t>
            </w:r>
          </w:p>
        </w:tc>
      </w:tr>
      <w:tr w:rsidR="004928E6" w:rsidRPr="0060694D" w14:paraId="4A0D87DF"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vAlign w:val="center"/>
            <w:hideMark/>
          </w:tcPr>
          <w:p w14:paraId="49FD06A5" w14:textId="77777777" w:rsidR="004928E6" w:rsidRPr="0060694D" w:rsidRDefault="004928E6" w:rsidP="004928E6">
            <w:pPr>
              <w:spacing w:after="0" w:line="240" w:lineRule="auto"/>
              <w:rPr>
                <w:rFonts w:eastAsia="Times New Roman" w:cs="Arial"/>
                <w:sz w:val="18"/>
                <w:szCs w:val="18"/>
                <w:lang w:eastAsia="pt-BR"/>
              </w:rPr>
            </w:pP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AF4C455" w14:textId="77777777" w:rsidR="004928E6" w:rsidRPr="0060694D" w:rsidRDefault="004928E6" w:rsidP="004928E6">
            <w:pPr>
              <w:spacing w:after="0" w:line="240" w:lineRule="auto"/>
              <w:rPr>
                <w:rFonts w:eastAsia="Times New Roman" w:cs="Arial"/>
                <w:sz w:val="18"/>
                <w:szCs w:val="18"/>
                <w:lang w:eastAsia="pt-BR"/>
              </w:rPr>
            </w:pPr>
            <w:r w:rsidRPr="0060694D">
              <w:rPr>
                <w:rFonts w:eastAsia="Times New Roman" w:cs="Arial"/>
                <w:sz w:val="18"/>
                <w:szCs w:val="18"/>
                <w:lang w:eastAsia="pt-BR"/>
              </w:rPr>
              <w:t>Total</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B1CA2EE" w14:textId="6A427DAB"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15.631</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4A36B30" w14:textId="13DBFEB0"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15.631</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C53EB7A" w14:textId="0A93E24D" w:rsidR="004928E6" w:rsidRPr="004928E6" w:rsidRDefault="775042BD" w:rsidP="004928E6">
            <w:pPr>
              <w:spacing w:after="0" w:line="240" w:lineRule="auto"/>
              <w:jc w:val="right"/>
              <w:rPr>
                <w:rFonts w:eastAsia="Times New Roman" w:cs="Arial"/>
                <w:sz w:val="18"/>
                <w:szCs w:val="18"/>
                <w:lang w:eastAsia="pt-BR"/>
              </w:rPr>
            </w:pPr>
            <w:r w:rsidRPr="0BF889A0">
              <w:rPr>
                <w:rFonts w:eastAsia="Times New Roman" w:cs="Arial"/>
                <w:sz w:val="18"/>
                <w:szCs w:val="18"/>
                <w:lang w:eastAsia="pt-BR"/>
              </w:rPr>
              <w:t>93.2</w:t>
            </w:r>
            <w:r w:rsidR="2121CFA5" w:rsidRPr="0BF889A0">
              <w:rPr>
                <w:rFonts w:eastAsia="Times New Roman" w:cs="Arial"/>
                <w:sz w:val="18"/>
                <w:szCs w:val="18"/>
                <w:lang w:eastAsia="pt-BR"/>
              </w:rPr>
              <w:t>75</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A7D7565" w14:textId="49586991" w:rsidR="004928E6" w:rsidRPr="004928E6" w:rsidRDefault="004928E6" w:rsidP="004928E6">
            <w:pPr>
              <w:spacing w:after="0" w:line="240" w:lineRule="auto"/>
              <w:jc w:val="right"/>
              <w:rPr>
                <w:rFonts w:eastAsia="Times New Roman" w:cs="Arial"/>
                <w:sz w:val="18"/>
                <w:szCs w:val="18"/>
                <w:lang w:eastAsia="pt-BR"/>
              </w:rPr>
            </w:pPr>
            <w:r w:rsidRPr="004928E6">
              <w:rPr>
                <w:rFonts w:eastAsia="Times New Roman" w:cs="Arial"/>
                <w:sz w:val="18"/>
                <w:szCs w:val="18"/>
                <w:lang w:eastAsia="pt-BR"/>
              </w:rPr>
              <w:t>597%</w:t>
            </w:r>
          </w:p>
        </w:tc>
      </w:tr>
      <w:tr w:rsidR="32638608" w14:paraId="2A88722F" w14:textId="77777777" w:rsidTr="77BAF1D3">
        <w:trPr>
          <w:trHeight w:val="20"/>
          <w:jc w:val="center"/>
        </w:trPr>
        <w:tc>
          <w:tcPr>
            <w:tcW w:w="8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AAAC6B4" w14:textId="644403D4" w:rsidR="434ED041" w:rsidRDefault="434ED041" w:rsidP="32638608">
            <w:pPr>
              <w:spacing w:line="240" w:lineRule="auto"/>
              <w:jc w:val="center"/>
              <w:rPr>
                <w:rFonts w:eastAsia="Times New Roman" w:cs="Arial"/>
                <w:sz w:val="18"/>
                <w:szCs w:val="18"/>
                <w:lang w:eastAsia="pt-BR"/>
              </w:rPr>
            </w:pPr>
            <w:r w:rsidRPr="32638608">
              <w:rPr>
                <w:rFonts w:eastAsia="Times New Roman" w:cs="Arial"/>
                <w:sz w:val="18"/>
                <w:szCs w:val="18"/>
                <w:lang w:eastAsia="pt-BR"/>
              </w:rPr>
              <w:t>2020</w:t>
            </w:r>
          </w:p>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D75FE3C" w14:textId="7FF5F32F" w:rsidR="434ED041" w:rsidRDefault="434ED041" w:rsidP="003E0059">
            <w:pPr>
              <w:spacing w:after="0" w:line="240" w:lineRule="auto"/>
              <w:rPr>
                <w:rFonts w:eastAsia="Times New Roman" w:cs="Arial"/>
                <w:sz w:val="18"/>
                <w:szCs w:val="18"/>
                <w:lang w:eastAsia="pt-BR"/>
              </w:rPr>
            </w:pPr>
            <w:r w:rsidRPr="32638608">
              <w:rPr>
                <w:rFonts w:eastAsia="Times New Roman" w:cs="Arial"/>
                <w:sz w:val="18"/>
                <w:szCs w:val="18"/>
                <w:lang w:eastAsia="pt-BR"/>
              </w:rPr>
              <w:t>Vigentes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C7A9C32" w14:textId="57AE5F53"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4.622</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D91D25A" w14:textId="6BEAA770"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4.622</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84A074F" w14:textId="46E00680" w:rsidR="434ED041" w:rsidRDefault="7BEC6DF2" w:rsidP="003E0059">
            <w:pPr>
              <w:spacing w:after="0" w:line="240" w:lineRule="auto"/>
              <w:jc w:val="right"/>
              <w:rPr>
                <w:rFonts w:eastAsia="Times New Roman" w:cs="Arial"/>
                <w:sz w:val="18"/>
                <w:szCs w:val="18"/>
                <w:lang w:eastAsia="pt-BR"/>
              </w:rPr>
            </w:pPr>
            <w:r w:rsidRPr="0BF889A0">
              <w:rPr>
                <w:rFonts w:eastAsia="Times New Roman" w:cs="Arial"/>
                <w:sz w:val="18"/>
                <w:szCs w:val="18"/>
                <w:lang w:eastAsia="pt-BR"/>
              </w:rPr>
              <w:t>5.1</w:t>
            </w:r>
            <w:r w:rsidR="1EE36847" w:rsidRPr="0BF889A0">
              <w:rPr>
                <w:rFonts w:eastAsia="Times New Roman" w:cs="Arial"/>
                <w:sz w:val="18"/>
                <w:szCs w:val="18"/>
                <w:lang w:eastAsia="pt-BR"/>
              </w:rPr>
              <w:t>33</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8228D80" w14:textId="618C72A2"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111%</w:t>
            </w:r>
          </w:p>
        </w:tc>
      </w:tr>
      <w:tr w:rsidR="32638608" w14:paraId="5A0A1C9E"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noWrap/>
            <w:vAlign w:val="center"/>
            <w:hideMark/>
          </w:tcPr>
          <w:p w14:paraId="66857D2E" w14:textId="77777777" w:rsidR="00422732" w:rsidRDefault="00422732"/>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61346A" w14:textId="4E8DCFED" w:rsidR="434ED041" w:rsidRDefault="434ED041" w:rsidP="003E0059">
            <w:pPr>
              <w:spacing w:after="0" w:line="240" w:lineRule="auto"/>
              <w:rPr>
                <w:rFonts w:eastAsia="Times New Roman" w:cs="Arial"/>
                <w:sz w:val="18"/>
                <w:szCs w:val="18"/>
                <w:lang w:eastAsia="pt-BR"/>
              </w:rPr>
            </w:pPr>
            <w:r w:rsidRPr="32638608">
              <w:rPr>
                <w:rFonts w:eastAsia="Times New Roman" w:cs="Arial"/>
                <w:sz w:val="18"/>
                <w:szCs w:val="18"/>
                <w:lang w:eastAsia="pt-BR"/>
              </w:rPr>
              <w:t>Novas</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B15D44E" w14:textId="38C29A3E"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16.442</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C3999E6" w14:textId="508B828F"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16.442</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D51A16E" w14:textId="03AB86D6" w:rsidR="434ED041" w:rsidRDefault="434ED041" w:rsidP="003E0059">
            <w:pPr>
              <w:spacing w:after="0" w:line="240" w:lineRule="auto"/>
              <w:jc w:val="right"/>
              <w:rPr>
                <w:rFonts w:eastAsia="Times New Roman" w:cs="Arial"/>
                <w:sz w:val="18"/>
                <w:szCs w:val="18"/>
                <w:lang w:eastAsia="pt-BR"/>
              </w:rPr>
            </w:pPr>
            <w:r w:rsidRPr="36C35E10">
              <w:rPr>
                <w:rFonts w:eastAsia="Times New Roman" w:cs="Arial"/>
                <w:sz w:val="18"/>
                <w:szCs w:val="18"/>
                <w:lang w:eastAsia="pt-BR"/>
              </w:rPr>
              <w:t>3.0</w:t>
            </w:r>
            <w:r w:rsidR="1744E0EF" w:rsidRPr="36C35E10">
              <w:rPr>
                <w:rFonts w:eastAsia="Times New Roman" w:cs="Arial"/>
                <w:sz w:val="18"/>
                <w:szCs w:val="18"/>
                <w:lang w:eastAsia="pt-BR"/>
              </w:rPr>
              <w:t>16</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901635B" w14:textId="10E9ACE2"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18%</w:t>
            </w:r>
          </w:p>
        </w:tc>
      </w:tr>
      <w:tr w:rsidR="32638608" w14:paraId="670FC47D" w14:textId="77777777" w:rsidTr="00B059AF">
        <w:trPr>
          <w:trHeight w:val="20"/>
          <w:jc w:val="center"/>
        </w:trPr>
        <w:tc>
          <w:tcPr>
            <w:tcW w:w="860" w:type="dxa"/>
            <w:vMerge/>
            <w:tcBorders>
              <w:left w:val="single" w:sz="4" w:space="0" w:color="BFBFBF" w:themeColor="background1" w:themeShade="BF"/>
              <w:bottom w:val="single" w:sz="4" w:space="0" w:color="BFBFBF" w:themeColor="background1" w:themeShade="BF"/>
            </w:tcBorders>
            <w:noWrap/>
            <w:vAlign w:val="center"/>
            <w:hideMark/>
          </w:tcPr>
          <w:p w14:paraId="32872FE3" w14:textId="77777777" w:rsidR="00422732" w:rsidRDefault="00422732"/>
        </w:tc>
        <w:tc>
          <w:tcPr>
            <w:tcW w:w="1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3C11DD" w14:textId="404EF43B" w:rsidR="434ED041" w:rsidRDefault="434ED041" w:rsidP="003E0059">
            <w:pPr>
              <w:spacing w:after="0" w:line="240" w:lineRule="auto"/>
              <w:rPr>
                <w:rFonts w:eastAsia="Times New Roman" w:cs="Arial"/>
                <w:sz w:val="18"/>
                <w:szCs w:val="18"/>
                <w:lang w:eastAsia="pt-BR"/>
              </w:rPr>
            </w:pPr>
            <w:r w:rsidRPr="32638608">
              <w:rPr>
                <w:rFonts w:eastAsia="Times New Roman" w:cs="Arial"/>
                <w:sz w:val="18"/>
                <w:szCs w:val="18"/>
                <w:lang w:eastAsia="pt-BR"/>
              </w:rPr>
              <w:t>Total</w:t>
            </w:r>
          </w:p>
        </w:tc>
        <w:tc>
          <w:tcPr>
            <w:tcW w:w="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861190E" w14:textId="2601EE46"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21.063</w:t>
            </w:r>
          </w:p>
        </w:tc>
        <w:tc>
          <w:tcPr>
            <w:tcW w:w="7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7BB8C2A" w14:textId="73BFE429"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21.063</w:t>
            </w:r>
          </w:p>
        </w:tc>
        <w:tc>
          <w:tcPr>
            <w:tcW w:w="10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E85FD01" w14:textId="0A782A15" w:rsidR="434ED041" w:rsidRDefault="7BEC6DF2" w:rsidP="003E0059">
            <w:pPr>
              <w:spacing w:after="0" w:line="240" w:lineRule="auto"/>
              <w:jc w:val="right"/>
              <w:rPr>
                <w:rFonts w:eastAsia="Times New Roman" w:cs="Arial"/>
                <w:sz w:val="18"/>
                <w:szCs w:val="18"/>
                <w:lang w:eastAsia="pt-BR"/>
              </w:rPr>
            </w:pPr>
            <w:r w:rsidRPr="0BF889A0">
              <w:rPr>
                <w:rFonts w:eastAsia="Times New Roman" w:cs="Arial"/>
                <w:sz w:val="18"/>
                <w:szCs w:val="18"/>
                <w:lang w:eastAsia="pt-BR"/>
              </w:rPr>
              <w:t>8.1</w:t>
            </w:r>
            <w:r w:rsidR="0420D24E" w:rsidRPr="0BF889A0">
              <w:rPr>
                <w:rFonts w:eastAsia="Times New Roman" w:cs="Arial"/>
                <w:sz w:val="18"/>
                <w:szCs w:val="18"/>
                <w:lang w:eastAsia="pt-BR"/>
              </w:rPr>
              <w:t>50</w:t>
            </w:r>
          </w:p>
        </w:tc>
        <w:tc>
          <w:tcPr>
            <w:tcW w:w="1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79F4B0A" w14:textId="2D7B2514" w:rsidR="434ED041" w:rsidRDefault="434ED041" w:rsidP="003E0059">
            <w:pPr>
              <w:spacing w:after="0" w:line="240" w:lineRule="auto"/>
              <w:jc w:val="right"/>
              <w:rPr>
                <w:rFonts w:eastAsia="Times New Roman" w:cs="Arial"/>
                <w:sz w:val="18"/>
                <w:szCs w:val="18"/>
                <w:lang w:eastAsia="pt-BR"/>
              </w:rPr>
            </w:pPr>
            <w:r w:rsidRPr="32638608">
              <w:rPr>
                <w:rFonts w:eastAsia="Times New Roman" w:cs="Arial"/>
                <w:sz w:val="18"/>
                <w:szCs w:val="18"/>
                <w:lang w:eastAsia="pt-BR"/>
              </w:rPr>
              <w:t>39%</w:t>
            </w:r>
          </w:p>
        </w:tc>
      </w:tr>
      <w:tr w:rsidR="00185455" w:rsidRPr="0060694D" w14:paraId="32869991" w14:textId="77777777" w:rsidTr="77BAF1D3">
        <w:trPr>
          <w:trHeight w:val="20"/>
          <w:jc w:val="center"/>
        </w:trPr>
        <w:tc>
          <w:tcPr>
            <w:tcW w:w="5776" w:type="dxa"/>
            <w:gridSpan w:val="6"/>
            <w:tcBorders>
              <w:top w:val="single" w:sz="4" w:space="0" w:color="BFBFBF" w:themeColor="background1" w:themeShade="BF"/>
              <w:left w:val="nil"/>
              <w:bottom w:val="nil"/>
              <w:right w:val="nil"/>
            </w:tcBorders>
            <w:shd w:val="clear" w:color="auto" w:fill="auto"/>
            <w:noWrap/>
            <w:vAlign w:val="bottom"/>
            <w:hideMark/>
          </w:tcPr>
          <w:p w14:paraId="77CEA5AD" w14:textId="515E65A5" w:rsidR="32638608" w:rsidRDefault="32638608" w:rsidP="32638608">
            <w:pPr>
              <w:spacing w:after="0" w:line="240" w:lineRule="auto"/>
              <w:rPr>
                <w:rFonts w:eastAsia="Times New Roman" w:cs="Arial"/>
                <w:i/>
                <w:iCs/>
                <w:sz w:val="16"/>
                <w:szCs w:val="16"/>
                <w:vertAlign w:val="superscript"/>
                <w:lang w:eastAsia="pt-BR"/>
              </w:rPr>
            </w:pPr>
          </w:p>
          <w:p w14:paraId="3CC04338" w14:textId="77777777" w:rsidR="00185455" w:rsidRPr="00E77F4A" w:rsidRDefault="00185455" w:rsidP="00185455">
            <w:pPr>
              <w:spacing w:after="0" w:line="240" w:lineRule="auto"/>
              <w:rPr>
                <w:rFonts w:eastAsia="Times New Roman" w:cs="Arial"/>
                <w:i/>
                <w:sz w:val="16"/>
                <w:szCs w:val="16"/>
                <w:lang w:eastAsia="pt-BR"/>
              </w:rPr>
            </w:pPr>
            <w:proofErr w:type="gramStart"/>
            <w:r w:rsidRPr="00E77F4A">
              <w:rPr>
                <w:rFonts w:eastAsia="Times New Roman" w:cs="Arial"/>
                <w:i/>
                <w:sz w:val="16"/>
                <w:szCs w:val="16"/>
                <w:vertAlign w:val="superscript"/>
                <w:lang w:eastAsia="pt-BR"/>
              </w:rPr>
              <w:t>1</w:t>
            </w:r>
            <w:proofErr w:type="gramEnd"/>
            <w:r w:rsidRPr="00E77F4A">
              <w:rPr>
                <w:rFonts w:eastAsia="Times New Roman" w:cs="Arial"/>
                <w:i/>
                <w:sz w:val="16"/>
                <w:szCs w:val="16"/>
                <w:lang w:eastAsia="pt-BR"/>
              </w:rPr>
              <w:t xml:space="preserve"> Variação entre a receita realizada e a estimada na Lei Orçamentária Anual</w:t>
            </w:r>
          </w:p>
          <w:p w14:paraId="04224A3C" w14:textId="49ED0C4D" w:rsidR="00185455" w:rsidRPr="0060694D" w:rsidRDefault="00185455" w:rsidP="00185455">
            <w:pPr>
              <w:spacing w:after="0" w:line="240" w:lineRule="auto"/>
              <w:rPr>
                <w:rFonts w:eastAsia="Times New Roman" w:cs="Times New Roman"/>
                <w:sz w:val="18"/>
                <w:szCs w:val="18"/>
                <w:lang w:eastAsia="pt-BR"/>
              </w:rPr>
            </w:pPr>
            <w:r w:rsidRPr="00E77F4A">
              <w:rPr>
                <w:rFonts w:eastAsia="Times New Roman" w:cs="Arial"/>
                <w:b/>
                <w:i/>
                <w:sz w:val="16"/>
                <w:szCs w:val="16"/>
                <w:lang w:eastAsia="pt-BR"/>
              </w:rPr>
              <w:t>Fonte</w:t>
            </w:r>
            <w:r w:rsidRPr="00E77F4A">
              <w:rPr>
                <w:rFonts w:eastAsia="Times New Roman" w:cs="Arial"/>
                <w:i/>
                <w:sz w:val="16"/>
                <w:szCs w:val="16"/>
                <w:lang w:eastAsia="pt-BR"/>
              </w:rPr>
              <w:t>: PLOA; LOA; SIAF</w:t>
            </w:r>
            <w:r w:rsidR="00B35D64" w:rsidRPr="00E77F4A">
              <w:rPr>
                <w:rFonts w:eastAsia="Times New Roman" w:cs="Arial"/>
                <w:i/>
                <w:sz w:val="16"/>
                <w:szCs w:val="16"/>
                <w:lang w:eastAsia="pt-BR"/>
              </w:rPr>
              <w:t>I</w:t>
            </w:r>
            <w:r w:rsidRPr="00E77F4A">
              <w:rPr>
                <w:rFonts w:eastAsia="Times New Roman" w:cs="Arial"/>
                <w:i/>
                <w:sz w:val="16"/>
                <w:szCs w:val="16"/>
                <w:lang w:eastAsia="pt-BR"/>
              </w:rPr>
              <w:t xml:space="preserve">. </w:t>
            </w:r>
            <w:r w:rsidRPr="00E77F4A">
              <w:rPr>
                <w:rFonts w:eastAsia="Times New Roman" w:cs="Arial"/>
                <w:b/>
                <w:i/>
                <w:sz w:val="16"/>
                <w:szCs w:val="16"/>
                <w:lang w:eastAsia="pt-BR"/>
              </w:rPr>
              <w:t>Elaboração</w:t>
            </w:r>
            <w:r w:rsidRPr="00E77F4A">
              <w:rPr>
                <w:rFonts w:eastAsia="Times New Roman" w:cs="Arial"/>
                <w:i/>
                <w:sz w:val="16"/>
                <w:szCs w:val="16"/>
                <w:lang w:eastAsia="pt-BR"/>
              </w:rPr>
              <w:t>: STN/ME</w:t>
            </w:r>
          </w:p>
        </w:tc>
      </w:tr>
    </w:tbl>
    <w:p w14:paraId="3A80FA9E" w14:textId="7AF69C2B" w:rsidR="77BAF1D3" w:rsidRDefault="77BAF1D3"/>
    <w:p w14:paraId="5105C70E" w14:textId="2A3A6510" w:rsidR="006C2E69" w:rsidRPr="009B04B3" w:rsidRDefault="001964B0" w:rsidP="793DC210">
      <w:pPr>
        <w:pStyle w:val="Default"/>
        <w:spacing w:after="120"/>
        <w:ind w:firstLine="1418"/>
        <w:jc w:val="both"/>
        <w:rPr>
          <w:rFonts w:eastAsia="Calibri"/>
          <w:color w:val="000000" w:themeColor="text1"/>
        </w:rPr>
      </w:pPr>
      <w:bookmarkStart w:id="402" w:name="_Ref4056008"/>
      <w:r w:rsidRPr="793DC210">
        <w:rPr>
          <w:rFonts w:asciiTheme="minorHAnsi" w:hAnsiTheme="minorHAnsi"/>
          <w:color w:val="auto"/>
        </w:rPr>
        <w:t xml:space="preserve">Em relação à </w:t>
      </w:r>
      <w:r w:rsidRPr="793DC210">
        <w:rPr>
          <w:rFonts w:asciiTheme="minorHAnsi" w:hAnsiTheme="minorHAnsi"/>
          <w:color w:val="auto"/>
        </w:rPr>
        <w:fldChar w:fldCharType="begin"/>
      </w:r>
      <w:r w:rsidRPr="793DC210">
        <w:rPr>
          <w:rFonts w:asciiTheme="minorHAnsi" w:hAnsiTheme="minorHAnsi"/>
          <w:color w:val="auto"/>
        </w:rPr>
        <w:instrText xml:space="preserve"> REF _Ref35265677  \* MERGEFORMAT </w:instrText>
      </w:r>
      <w:r w:rsidRPr="793DC210">
        <w:rPr>
          <w:rFonts w:asciiTheme="minorHAnsi" w:hAnsiTheme="minorHAnsi"/>
          <w:color w:val="auto"/>
        </w:rPr>
        <w:fldChar w:fldCharType="separate"/>
      </w:r>
      <w:r w:rsidR="00304F5F" w:rsidRPr="00304F5F">
        <w:rPr>
          <w:rFonts w:asciiTheme="minorHAnsi" w:hAnsiTheme="minorHAnsi"/>
          <w:color w:val="auto"/>
        </w:rPr>
        <w:t>Tabela 56</w:t>
      </w:r>
      <w:r w:rsidRPr="793DC210">
        <w:rPr>
          <w:rFonts w:asciiTheme="minorHAnsi" w:hAnsiTheme="minorHAnsi"/>
          <w:color w:val="auto"/>
        </w:rPr>
        <w:fldChar w:fldCharType="end"/>
      </w:r>
      <w:r w:rsidR="006C2E69" w:rsidRPr="793DC210">
        <w:rPr>
          <w:rFonts w:asciiTheme="minorHAnsi" w:hAnsiTheme="minorHAnsi"/>
          <w:color w:val="auto"/>
        </w:rPr>
        <w:t>, cabe mencionar que, em 201</w:t>
      </w:r>
      <w:r w:rsidR="624B2C6E" w:rsidRPr="793DC210">
        <w:rPr>
          <w:rFonts w:asciiTheme="minorHAnsi" w:hAnsiTheme="minorHAnsi"/>
          <w:color w:val="auto"/>
        </w:rPr>
        <w:t>9</w:t>
      </w:r>
      <w:r w:rsidR="006C2E69" w:rsidRPr="793DC210">
        <w:rPr>
          <w:rFonts w:asciiTheme="minorHAnsi" w:hAnsiTheme="minorHAnsi"/>
          <w:color w:val="auto"/>
        </w:rPr>
        <w:t xml:space="preserve">, </w:t>
      </w:r>
      <w:r w:rsidR="4DF9E44B" w:rsidRPr="793DC210">
        <w:rPr>
          <w:rFonts w:eastAsia="Calibri"/>
        </w:rPr>
        <w:t xml:space="preserve">a diferença entre valor previsto e realizado foi devida, principalmente, à realização do leilão dos volumes excedentes ao contrato de cessão onerosa, no setor de petróleo e gás, não previsto na LOA daquele ano. Em 2020, a diferença ocorreu principalmente em função da não realização de receitas da </w:t>
      </w:r>
      <w:proofErr w:type="spellStart"/>
      <w:r w:rsidR="4DF9E44B" w:rsidRPr="793DC210">
        <w:rPr>
          <w:rFonts w:eastAsia="Calibri"/>
        </w:rPr>
        <w:t>descotização</w:t>
      </w:r>
      <w:proofErr w:type="spellEnd"/>
      <w:r w:rsidR="4DF9E44B" w:rsidRPr="793DC210">
        <w:rPr>
          <w:rFonts w:eastAsia="Calibri"/>
        </w:rPr>
        <w:t xml:space="preserve"> de usinas hidrelétricas da </w:t>
      </w:r>
      <w:proofErr w:type="spellStart"/>
      <w:r w:rsidR="4DF9E44B" w:rsidRPr="793DC210">
        <w:rPr>
          <w:rFonts w:eastAsia="Calibri"/>
        </w:rPr>
        <w:t>Eletrobras</w:t>
      </w:r>
      <w:proofErr w:type="spellEnd"/>
      <w:r w:rsidR="4DF9E44B" w:rsidRPr="793DC210">
        <w:rPr>
          <w:rFonts w:eastAsia="Calibri"/>
        </w:rPr>
        <w:t>, previstas inicialmente na LOA.</w:t>
      </w:r>
    </w:p>
    <w:p w14:paraId="2A3B2AD2" w14:textId="4F5A3705" w:rsidR="00936C1D" w:rsidRPr="009B04B3" w:rsidRDefault="008F1184" w:rsidP="006C2E69">
      <w:pPr>
        <w:pStyle w:val="Default"/>
        <w:spacing w:after="120"/>
        <w:ind w:firstLine="1418"/>
        <w:jc w:val="both"/>
        <w:rPr>
          <w:rFonts w:asciiTheme="minorHAnsi" w:hAnsiTheme="minorHAnsi"/>
          <w:color w:val="auto"/>
        </w:rPr>
      </w:pPr>
      <w:r w:rsidRPr="009B04B3">
        <w:rPr>
          <w:rFonts w:asciiTheme="minorHAnsi" w:hAnsiTheme="minorHAnsi"/>
          <w:color w:val="auto"/>
        </w:rPr>
        <w:lastRenderedPageBreak/>
        <w:t xml:space="preserve">A </w:t>
      </w:r>
      <w:r w:rsidR="00BB2335" w:rsidRPr="009B04B3">
        <w:rPr>
          <w:rFonts w:asciiTheme="minorHAnsi" w:hAnsiTheme="minorHAnsi"/>
          <w:color w:val="auto"/>
        </w:rPr>
        <w:fldChar w:fldCharType="begin"/>
      </w:r>
      <w:r w:rsidR="00BB2335" w:rsidRPr="009B04B3">
        <w:rPr>
          <w:rFonts w:asciiTheme="minorHAnsi" w:hAnsiTheme="minorHAnsi"/>
          <w:color w:val="auto"/>
        </w:rPr>
        <w:instrText xml:space="preserve"> REF _Ref36448289 \h  \* MERGEFORMAT </w:instrText>
      </w:r>
      <w:r w:rsidR="00BB2335" w:rsidRPr="009B04B3">
        <w:rPr>
          <w:rFonts w:asciiTheme="minorHAnsi" w:hAnsiTheme="minorHAnsi"/>
          <w:color w:val="auto"/>
        </w:rPr>
      </w:r>
      <w:r w:rsidR="00BB2335" w:rsidRPr="009B04B3">
        <w:rPr>
          <w:rFonts w:asciiTheme="minorHAnsi" w:hAnsiTheme="minorHAnsi"/>
          <w:color w:val="auto"/>
        </w:rPr>
        <w:fldChar w:fldCharType="separate"/>
      </w:r>
      <w:r w:rsidR="00304F5F" w:rsidRPr="00304F5F">
        <w:rPr>
          <w:rFonts w:asciiTheme="minorHAnsi" w:hAnsiTheme="minorHAnsi"/>
          <w:color w:val="auto"/>
        </w:rPr>
        <w:t>Tabela 57</w:t>
      </w:r>
      <w:r w:rsidR="00BB2335" w:rsidRPr="009B04B3">
        <w:rPr>
          <w:rFonts w:asciiTheme="minorHAnsi" w:hAnsiTheme="minorHAnsi"/>
          <w:color w:val="auto"/>
        </w:rPr>
        <w:fldChar w:fldCharType="end"/>
      </w:r>
      <w:r w:rsidR="000D2FBF" w:rsidRPr="009B04B3">
        <w:rPr>
          <w:rFonts w:asciiTheme="minorHAnsi" w:hAnsiTheme="minorHAnsi"/>
          <w:color w:val="auto"/>
        </w:rPr>
        <w:t xml:space="preserve"> </w:t>
      </w:r>
      <w:r w:rsidR="00B86CD7" w:rsidRPr="009B04B3">
        <w:rPr>
          <w:rFonts w:asciiTheme="minorHAnsi" w:hAnsiTheme="minorHAnsi"/>
          <w:color w:val="auto"/>
        </w:rPr>
        <w:t xml:space="preserve">apresenta a </w:t>
      </w:r>
      <w:r w:rsidRPr="009B04B3">
        <w:rPr>
          <w:rFonts w:asciiTheme="minorHAnsi" w:hAnsiTheme="minorHAnsi"/>
          <w:color w:val="auto"/>
        </w:rPr>
        <w:t>lista atualizada contendo informações relativas às concessões e permissões fornecidas pelas respectivas agências reguladoras.</w:t>
      </w:r>
    </w:p>
    <w:p w14:paraId="33FB79C9" w14:textId="68FD9360" w:rsidR="00175F21" w:rsidRPr="009B04B3" w:rsidRDefault="00175F21" w:rsidP="77BAF1D3">
      <w:pPr>
        <w:pStyle w:val="Legenda"/>
        <w:spacing w:before="240" w:after="120"/>
        <w:jc w:val="center"/>
        <w:rPr>
          <w:rFonts w:asciiTheme="minorHAnsi" w:hAnsiTheme="minorHAnsi"/>
          <w:i w:val="0"/>
          <w:iCs w:val="0"/>
          <w:color w:val="auto"/>
          <w:sz w:val="22"/>
          <w:szCs w:val="22"/>
        </w:rPr>
      </w:pPr>
      <w:bookmarkStart w:id="403" w:name="_Ref36448289"/>
      <w:bookmarkStart w:id="404" w:name="_Toc69121403"/>
      <w:r w:rsidRPr="77BAF1D3">
        <w:rPr>
          <w:rFonts w:asciiTheme="minorHAnsi" w:hAnsiTheme="minorHAnsi"/>
          <w:i w:val="0"/>
          <w:iCs w:val="0"/>
          <w:color w:val="auto"/>
          <w:sz w:val="22"/>
          <w:szCs w:val="22"/>
        </w:rPr>
        <w:t xml:space="preserve">Tabela </w:t>
      </w:r>
      <w:r w:rsidRPr="77BAF1D3">
        <w:rPr>
          <w:rFonts w:asciiTheme="minorHAnsi" w:hAnsiTheme="minorHAnsi"/>
          <w:i w:val="0"/>
          <w:iCs w:val="0"/>
          <w:color w:val="auto"/>
          <w:sz w:val="22"/>
          <w:szCs w:val="22"/>
        </w:rPr>
        <w:fldChar w:fldCharType="begin"/>
      </w:r>
      <w:r w:rsidRPr="77BAF1D3">
        <w:rPr>
          <w:rFonts w:asciiTheme="minorHAnsi" w:hAnsiTheme="minorHAnsi"/>
          <w:i w:val="0"/>
          <w:iCs w:val="0"/>
          <w:color w:val="auto"/>
          <w:sz w:val="22"/>
          <w:szCs w:val="22"/>
        </w:rPr>
        <w:instrText xml:space="preserve"> SEQ Tabela \* ARABIC </w:instrText>
      </w:r>
      <w:r w:rsidRPr="77BAF1D3">
        <w:rPr>
          <w:rFonts w:asciiTheme="minorHAnsi" w:hAnsiTheme="minorHAnsi"/>
          <w:i w:val="0"/>
          <w:iCs w:val="0"/>
          <w:color w:val="auto"/>
          <w:sz w:val="22"/>
          <w:szCs w:val="22"/>
        </w:rPr>
        <w:fldChar w:fldCharType="separate"/>
      </w:r>
      <w:r w:rsidR="00304F5F">
        <w:rPr>
          <w:rFonts w:asciiTheme="minorHAnsi" w:hAnsiTheme="minorHAnsi"/>
          <w:i w:val="0"/>
          <w:iCs w:val="0"/>
          <w:noProof/>
          <w:color w:val="auto"/>
          <w:sz w:val="22"/>
          <w:szCs w:val="22"/>
        </w:rPr>
        <w:t>57</w:t>
      </w:r>
      <w:r w:rsidRPr="77BAF1D3">
        <w:rPr>
          <w:rFonts w:asciiTheme="minorHAnsi" w:hAnsiTheme="minorHAnsi"/>
          <w:i w:val="0"/>
          <w:iCs w:val="0"/>
          <w:color w:val="auto"/>
          <w:sz w:val="22"/>
          <w:szCs w:val="22"/>
        </w:rPr>
        <w:fldChar w:fldCharType="end"/>
      </w:r>
      <w:bookmarkEnd w:id="403"/>
      <w:r w:rsidRPr="77BAF1D3">
        <w:rPr>
          <w:rFonts w:asciiTheme="minorHAnsi" w:hAnsiTheme="minorHAnsi"/>
          <w:i w:val="0"/>
          <w:iCs w:val="0"/>
          <w:color w:val="auto"/>
          <w:sz w:val="22"/>
          <w:szCs w:val="22"/>
        </w:rPr>
        <w:t xml:space="preserve"> - </w:t>
      </w:r>
      <w:r w:rsidR="000D2FBF" w:rsidRPr="77BAF1D3">
        <w:rPr>
          <w:rFonts w:asciiTheme="minorHAnsi" w:hAnsiTheme="minorHAnsi"/>
          <w:i w:val="0"/>
          <w:iCs w:val="0"/>
          <w:color w:val="auto"/>
          <w:sz w:val="22"/>
          <w:szCs w:val="22"/>
        </w:rPr>
        <w:t>Concessões e Permissões</w:t>
      </w:r>
      <w:bookmarkEnd w:id="404"/>
    </w:p>
    <w:tbl>
      <w:tblPr>
        <w:tblW w:w="0" w:type="auto"/>
        <w:tblLayout w:type="fixed"/>
        <w:tblLook w:val="04A0" w:firstRow="1" w:lastRow="0" w:firstColumn="1" w:lastColumn="0" w:noHBand="0" w:noVBand="1"/>
      </w:tblPr>
      <w:tblGrid>
        <w:gridCol w:w="1335"/>
        <w:gridCol w:w="1318"/>
        <w:gridCol w:w="2415"/>
        <w:gridCol w:w="1984"/>
        <w:gridCol w:w="1108"/>
        <w:gridCol w:w="1755"/>
      </w:tblGrid>
      <w:tr w:rsidR="77BAF1D3" w14:paraId="08D42D4C" w14:textId="77777777" w:rsidTr="003E0059">
        <w:trPr>
          <w:trHeight w:val="480"/>
        </w:trPr>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bookmarkEnd w:id="402"/>
          <w:p w14:paraId="3CDF27AE" w14:textId="2C5CF80D" w:rsidR="77BAF1D3" w:rsidRDefault="77BAF1D3" w:rsidP="003E0059">
            <w:pPr>
              <w:spacing w:after="0"/>
              <w:jc w:val="center"/>
            </w:pPr>
            <w:r w:rsidRPr="77BAF1D3">
              <w:rPr>
                <w:rFonts w:ascii="Calibri" w:eastAsia="Calibri" w:hAnsi="Calibri" w:cs="Calibri"/>
                <w:b/>
                <w:bCs/>
                <w:color w:val="FFFFFF" w:themeColor="background1"/>
                <w:sz w:val="18"/>
                <w:szCs w:val="18"/>
              </w:rPr>
              <w:t>Setor da Concessão</w:t>
            </w:r>
            <w:r w:rsidRPr="77BAF1D3">
              <w:rPr>
                <w:rFonts w:ascii="Calibri" w:eastAsia="Calibri" w:hAnsi="Calibri" w:cs="Calibri"/>
                <w:color w:val="FFFFFF" w:themeColor="background1"/>
                <w:sz w:val="18"/>
                <w:szCs w:val="18"/>
              </w:rPr>
              <w:t xml:space="preserve"> </w:t>
            </w:r>
          </w:p>
        </w:tc>
        <w:tc>
          <w:tcPr>
            <w:tcW w:w="13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08707845" w14:textId="393D213A" w:rsidR="77BAF1D3" w:rsidRDefault="77BAF1D3" w:rsidP="003E0059">
            <w:pPr>
              <w:spacing w:after="0"/>
              <w:jc w:val="center"/>
            </w:pPr>
            <w:r w:rsidRPr="77BAF1D3">
              <w:rPr>
                <w:rFonts w:ascii="Calibri" w:eastAsia="Calibri" w:hAnsi="Calibri" w:cs="Calibri"/>
                <w:b/>
                <w:bCs/>
                <w:color w:val="FFFFFF" w:themeColor="background1"/>
                <w:sz w:val="18"/>
                <w:szCs w:val="18"/>
              </w:rPr>
              <w:t>Agência Reguladora responsável</w:t>
            </w:r>
            <w:r w:rsidRPr="77BAF1D3">
              <w:rPr>
                <w:rFonts w:ascii="Calibri" w:eastAsia="Calibri" w:hAnsi="Calibri" w:cs="Calibri"/>
                <w:color w:val="FFFFFF" w:themeColor="background1"/>
                <w:sz w:val="18"/>
                <w:szCs w:val="18"/>
              </w:rPr>
              <w:t xml:space="preserve"> </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13E2C5C5" w14:textId="7FF51A1C" w:rsidR="77BAF1D3" w:rsidRDefault="77BAF1D3" w:rsidP="003E0059">
            <w:pPr>
              <w:spacing w:after="0"/>
              <w:jc w:val="center"/>
            </w:pPr>
            <w:r w:rsidRPr="77BAF1D3">
              <w:rPr>
                <w:rFonts w:ascii="Calibri" w:eastAsia="Calibri" w:hAnsi="Calibri" w:cs="Calibri"/>
                <w:b/>
                <w:bCs/>
                <w:color w:val="FFFFFF" w:themeColor="background1"/>
                <w:sz w:val="18"/>
                <w:szCs w:val="18"/>
              </w:rPr>
              <w:t>Objeto do contrato de concessão</w:t>
            </w:r>
            <w:r w:rsidRPr="77BAF1D3">
              <w:rPr>
                <w:rFonts w:ascii="Calibri" w:eastAsia="Calibri" w:hAnsi="Calibri" w:cs="Calibri"/>
                <w:color w:val="FFFFFF" w:themeColor="background1"/>
                <w:sz w:val="18"/>
                <w:szCs w:val="18"/>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7BE3D70F" w14:textId="1681B07D" w:rsidR="77BAF1D3" w:rsidRDefault="77BAF1D3" w:rsidP="003E0059">
            <w:pPr>
              <w:spacing w:after="0"/>
              <w:jc w:val="center"/>
            </w:pPr>
            <w:r w:rsidRPr="77BAF1D3">
              <w:rPr>
                <w:rFonts w:ascii="Calibri" w:eastAsia="Calibri" w:hAnsi="Calibri" w:cs="Calibri"/>
                <w:b/>
                <w:bCs/>
                <w:color w:val="FFFFFF" w:themeColor="background1"/>
                <w:sz w:val="18"/>
                <w:szCs w:val="18"/>
              </w:rPr>
              <w:t>Dimensão</w:t>
            </w:r>
            <w:r w:rsidRPr="77BAF1D3">
              <w:rPr>
                <w:rFonts w:ascii="Calibri" w:eastAsia="Calibri" w:hAnsi="Calibri" w:cs="Calibri"/>
                <w:color w:val="FFFFFF" w:themeColor="background1"/>
                <w:sz w:val="18"/>
                <w:szCs w:val="18"/>
              </w:rPr>
              <w:t xml:space="preserve">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1F7DFD6" w14:textId="44DE8B51" w:rsidR="77BAF1D3" w:rsidRDefault="77BAF1D3" w:rsidP="003E0059">
            <w:pPr>
              <w:spacing w:after="0"/>
              <w:jc w:val="center"/>
            </w:pPr>
            <w:r w:rsidRPr="77BAF1D3">
              <w:rPr>
                <w:rFonts w:ascii="Calibri" w:eastAsia="Calibri" w:hAnsi="Calibri" w:cs="Calibri"/>
                <w:b/>
                <w:bCs/>
                <w:color w:val="FFFFFF" w:themeColor="background1"/>
                <w:sz w:val="18"/>
                <w:szCs w:val="18"/>
              </w:rPr>
              <w:t>Início Concessão</w:t>
            </w:r>
            <w:r w:rsidRPr="77BAF1D3">
              <w:rPr>
                <w:rFonts w:ascii="Calibri" w:eastAsia="Calibri" w:hAnsi="Calibri" w:cs="Calibri"/>
                <w:color w:val="FFFFFF" w:themeColor="background1"/>
                <w:sz w:val="18"/>
                <w:szCs w:val="18"/>
              </w:rPr>
              <w:t xml:space="preserve"> </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0A61C01" w14:textId="56371006" w:rsidR="77BAF1D3" w:rsidRDefault="77BAF1D3" w:rsidP="003E0059">
            <w:pPr>
              <w:spacing w:after="0"/>
              <w:jc w:val="center"/>
            </w:pPr>
            <w:r w:rsidRPr="77BAF1D3">
              <w:rPr>
                <w:rFonts w:ascii="Calibri" w:eastAsia="Calibri" w:hAnsi="Calibri" w:cs="Calibri"/>
                <w:b/>
                <w:bCs/>
                <w:color w:val="FFFFFF" w:themeColor="background1"/>
                <w:sz w:val="18"/>
                <w:szCs w:val="18"/>
              </w:rPr>
              <w:t>Vencimento da Concessão</w:t>
            </w:r>
            <w:r w:rsidRPr="77BAF1D3">
              <w:rPr>
                <w:rFonts w:ascii="Calibri" w:eastAsia="Calibri" w:hAnsi="Calibri" w:cs="Calibri"/>
                <w:color w:val="FFFFFF" w:themeColor="background1"/>
                <w:sz w:val="18"/>
                <w:szCs w:val="18"/>
              </w:rPr>
              <w:t xml:space="preserve"> </w:t>
            </w:r>
          </w:p>
        </w:tc>
      </w:tr>
      <w:tr w:rsidR="77BAF1D3" w14:paraId="51CA95E1" w14:textId="77777777" w:rsidTr="003E0059">
        <w:tc>
          <w:tcPr>
            <w:tcW w:w="13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FE2224" w14:textId="7264E19A" w:rsidR="77BAF1D3" w:rsidRDefault="77BAF1D3" w:rsidP="003E0059">
            <w:pPr>
              <w:spacing w:after="0" w:line="240" w:lineRule="auto"/>
              <w:jc w:val="center"/>
            </w:pPr>
            <w:r w:rsidRPr="77BAF1D3">
              <w:rPr>
                <w:rFonts w:ascii="Calibri" w:eastAsia="Calibri" w:hAnsi="Calibri" w:cs="Calibri"/>
                <w:color w:val="000000" w:themeColor="text1"/>
                <w:sz w:val="18"/>
                <w:szCs w:val="18"/>
              </w:rPr>
              <w:t>Rodovia</w:t>
            </w:r>
          </w:p>
        </w:tc>
        <w:tc>
          <w:tcPr>
            <w:tcW w:w="131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88C8FD" w14:textId="66DFE6E3" w:rsidR="77BAF1D3" w:rsidRDefault="77BAF1D3" w:rsidP="003E0059">
            <w:pPr>
              <w:spacing w:after="0" w:line="240" w:lineRule="auto"/>
              <w:jc w:val="center"/>
            </w:pPr>
            <w:r w:rsidRPr="77BAF1D3">
              <w:rPr>
                <w:rFonts w:ascii="Calibri" w:eastAsia="Calibri" w:hAnsi="Calibri" w:cs="Calibri"/>
                <w:color w:val="000000" w:themeColor="text1"/>
                <w:sz w:val="18"/>
                <w:szCs w:val="18"/>
              </w:rPr>
              <w:t>ANTT</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87B122" w14:textId="6C4ED28B" w:rsidR="77BAF1D3" w:rsidRDefault="77BAF1D3" w:rsidP="003E0059">
            <w:pPr>
              <w:spacing w:after="0" w:line="240" w:lineRule="auto"/>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BR 381 (MG/SP)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60BFCA" w14:textId="428EA4A3" w:rsidR="77BAF1D3" w:rsidRDefault="77BAF1D3" w:rsidP="003E0059">
            <w:pPr>
              <w:spacing w:after="0" w:line="240" w:lineRule="auto"/>
              <w:jc w:val="right"/>
            </w:pPr>
            <w:r w:rsidRPr="77BAF1D3">
              <w:rPr>
                <w:rFonts w:ascii="Calibri" w:eastAsia="Calibri" w:hAnsi="Calibri" w:cs="Calibri"/>
                <w:color w:val="000000" w:themeColor="text1"/>
                <w:sz w:val="18"/>
                <w:szCs w:val="18"/>
              </w:rPr>
              <w:t>562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194FA8" w14:textId="2BE91B86" w:rsidR="77BAF1D3" w:rsidRDefault="77BAF1D3" w:rsidP="003E0059">
            <w:pPr>
              <w:spacing w:after="0" w:line="240" w:lineRule="auto"/>
              <w:jc w:val="right"/>
            </w:pPr>
            <w:r w:rsidRPr="77BAF1D3">
              <w:rPr>
                <w:rFonts w:ascii="Calibri" w:eastAsia="Calibri" w:hAnsi="Calibri" w:cs="Calibri"/>
                <w:color w:val="000000" w:themeColor="text1"/>
                <w:sz w:val="18"/>
                <w:szCs w:val="18"/>
              </w:rPr>
              <w:t>2008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A15C5D" w14:textId="1455453D" w:rsidR="77BAF1D3" w:rsidRDefault="77BAF1D3" w:rsidP="003E0059">
            <w:pPr>
              <w:spacing w:after="0" w:line="240" w:lineRule="auto"/>
              <w:jc w:val="right"/>
            </w:pPr>
            <w:r w:rsidRPr="77BAF1D3">
              <w:rPr>
                <w:rFonts w:ascii="Calibri" w:eastAsia="Calibri" w:hAnsi="Calibri" w:cs="Calibri"/>
                <w:color w:val="000000" w:themeColor="text1"/>
                <w:sz w:val="18"/>
                <w:szCs w:val="18"/>
              </w:rPr>
              <w:t>2033</w:t>
            </w:r>
          </w:p>
        </w:tc>
      </w:tr>
      <w:tr w:rsidR="77BAF1D3" w14:paraId="09BD13A2"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1FBE46"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01F3CB"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FFFB66" w14:textId="7FF370BB" w:rsidR="77BAF1D3" w:rsidRDefault="77BAF1D3" w:rsidP="003E0059">
            <w:pPr>
              <w:spacing w:after="0"/>
            </w:pPr>
            <w:r w:rsidRPr="77BAF1D3">
              <w:rPr>
                <w:rFonts w:ascii="Calibri" w:eastAsia="Calibri" w:hAnsi="Calibri" w:cs="Calibri"/>
                <w:color w:val="000000" w:themeColor="text1"/>
                <w:sz w:val="18"/>
                <w:szCs w:val="18"/>
              </w:rPr>
              <w:t>BR 101 (RJ)</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9339E9" w14:textId="6D524A46" w:rsidR="77BAF1D3" w:rsidRDefault="77BAF1D3" w:rsidP="003E0059">
            <w:pPr>
              <w:spacing w:after="0"/>
              <w:jc w:val="right"/>
            </w:pPr>
            <w:proofErr w:type="gramStart"/>
            <w:r w:rsidRPr="77BAF1D3">
              <w:rPr>
                <w:rFonts w:ascii="Calibri" w:eastAsia="Calibri" w:hAnsi="Calibri" w:cs="Calibri"/>
                <w:color w:val="000000" w:themeColor="text1"/>
                <w:sz w:val="18"/>
                <w:szCs w:val="18"/>
              </w:rPr>
              <w:t>320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56BDC3" w14:textId="6673A424" w:rsidR="77BAF1D3" w:rsidRDefault="77BAF1D3" w:rsidP="003E0059">
            <w:pPr>
              <w:spacing w:after="0"/>
              <w:jc w:val="right"/>
            </w:pPr>
            <w:r w:rsidRPr="77BAF1D3">
              <w:rPr>
                <w:rFonts w:ascii="Calibri" w:eastAsia="Calibri" w:hAnsi="Calibri" w:cs="Calibri"/>
                <w:color w:val="000000" w:themeColor="text1"/>
                <w:sz w:val="18"/>
                <w:szCs w:val="18"/>
              </w:rPr>
              <w:t>2008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E0D900" w14:textId="519F996A" w:rsidR="77BAF1D3" w:rsidRDefault="77BAF1D3" w:rsidP="003E0059">
            <w:pPr>
              <w:spacing w:after="0"/>
              <w:jc w:val="right"/>
            </w:pPr>
            <w:r w:rsidRPr="77BAF1D3">
              <w:rPr>
                <w:rFonts w:ascii="Calibri" w:eastAsia="Calibri" w:hAnsi="Calibri" w:cs="Calibri"/>
                <w:color w:val="000000" w:themeColor="text1"/>
                <w:sz w:val="18"/>
                <w:szCs w:val="18"/>
              </w:rPr>
              <w:t>2033</w:t>
            </w:r>
          </w:p>
        </w:tc>
      </w:tr>
      <w:tr w:rsidR="77BAF1D3" w14:paraId="2C0CD2E9"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2B8B87"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8B088B"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EAADAC" w14:textId="2D7EAA13" w:rsidR="77BAF1D3" w:rsidRDefault="77BAF1D3" w:rsidP="003E0059">
            <w:pPr>
              <w:spacing w:after="0"/>
            </w:pPr>
            <w:r w:rsidRPr="77BAF1D3">
              <w:rPr>
                <w:rFonts w:ascii="Calibri" w:eastAsia="Calibri" w:hAnsi="Calibri" w:cs="Calibri"/>
                <w:color w:val="000000" w:themeColor="text1"/>
                <w:sz w:val="18"/>
                <w:szCs w:val="18"/>
              </w:rPr>
              <w:t>BR 101/116/376 (SC/PR)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C9F65A" w14:textId="34857B31" w:rsidR="77BAF1D3" w:rsidRDefault="77BAF1D3" w:rsidP="003E0059">
            <w:pPr>
              <w:spacing w:after="0"/>
              <w:jc w:val="right"/>
            </w:pPr>
            <w:r w:rsidRPr="77BAF1D3">
              <w:rPr>
                <w:rFonts w:ascii="Calibri" w:eastAsia="Calibri" w:hAnsi="Calibri" w:cs="Calibri"/>
                <w:color w:val="000000" w:themeColor="text1"/>
                <w:sz w:val="18"/>
                <w:szCs w:val="18"/>
              </w:rPr>
              <w:t>405,94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5786EC" w14:textId="1D7BE285" w:rsidR="77BAF1D3" w:rsidRDefault="77BAF1D3" w:rsidP="003E0059">
            <w:pPr>
              <w:spacing w:after="0"/>
              <w:jc w:val="right"/>
            </w:pPr>
            <w:r w:rsidRPr="77BAF1D3">
              <w:rPr>
                <w:rFonts w:ascii="Calibri" w:eastAsia="Calibri" w:hAnsi="Calibri" w:cs="Calibri"/>
                <w:color w:val="000000" w:themeColor="text1"/>
                <w:sz w:val="18"/>
                <w:szCs w:val="18"/>
              </w:rPr>
              <w:t>2008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2A2B14" w14:textId="12BEE547" w:rsidR="77BAF1D3" w:rsidRDefault="77BAF1D3" w:rsidP="003E0059">
            <w:pPr>
              <w:spacing w:after="0"/>
              <w:jc w:val="right"/>
            </w:pPr>
            <w:r w:rsidRPr="77BAF1D3">
              <w:rPr>
                <w:rFonts w:ascii="Calibri" w:eastAsia="Calibri" w:hAnsi="Calibri" w:cs="Calibri"/>
                <w:color w:val="000000" w:themeColor="text1"/>
                <w:sz w:val="18"/>
                <w:szCs w:val="18"/>
              </w:rPr>
              <w:t>2033</w:t>
            </w:r>
          </w:p>
        </w:tc>
      </w:tr>
      <w:tr w:rsidR="77BAF1D3" w14:paraId="0D8A7051"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2D4CD6"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E89FDE"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719CDA" w14:textId="767FF068" w:rsidR="77BAF1D3" w:rsidRDefault="77BAF1D3" w:rsidP="003E0059">
            <w:pPr>
              <w:spacing w:after="0"/>
            </w:pPr>
            <w:r w:rsidRPr="77BAF1D3">
              <w:rPr>
                <w:rFonts w:ascii="Calibri" w:eastAsia="Calibri" w:hAnsi="Calibri" w:cs="Calibri"/>
                <w:color w:val="000000" w:themeColor="text1"/>
                <w:sz w:val="18"/>
                <w:szCs w:val="18"/>
              </w:rPr>
              <w:t>BR 116 (PR/SC)</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6F6725" w14:textId="77BE84D8" w:rsidR="77BAF1D3" w:rsidRDefault="77BAF1D3" w:rsidP="003E0059">
            <w:pPr>
              <w:spacing w:after="0"/>
              <w:jc w:val="right"/>
            </w:pPr>
            <w:proofErr w:type="gramStart"/>
            <w:r w:rsidRPr="77BAF1D3">
              <w:rPr>
                <w:rFonts w:ascii="Calibri" w:eastAsia="Calibri" w:hAnsi="Calibri" w:cs="Calibri"/>
                <w:color w:val="000000" w:themeColor="text1"/>
                <w:sz w:val="18"/>
                <w:szCs w:val="18"/>
              </w:rPr>
              <w:t>413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4C7F92" w14:textId="729772FF" w:rsidR="77BAF1D3" w:rsidRDefault="77BAF1D3" w:rsidP="003E0059">
            <w:pPr>
              <w:spacing w:after="0"/>
              <w:jc w:val="right"/>
            </w:pPr>
            <w:r w:rsidRPr="77BAF1D3">
              <w:rPr>
                <w:rFonts w:ascii="Calibri" w:eastAsia="Calibri" w:hAnsi="Calibri" w:cs="Calibri"/>
                <w:color w:val="000000" w:themeColor="text1"/>
                <w:sz w:val="18"/>
                <w:szCs w:val="18"/>
              </w:rPr>
              <w:t>2008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951AFFE" w14:textId="52E3BA0D" w:rsidR="77BAF1D3" w:rsidRDefault="77BAF1D3" w:rsidP="003E0059">
            <w:pPr>
              <w:spacing w:after="0"/>
              <w:jc w:val="right"/>
            </w:pPr>
            <w:r w:rsidRPr="77BAF1D3">
              <w:rPr>
                <w:rFonts w:ascii="Calibri" w:eastAsia="Calibri" w:hAnsi="Calibri" w:cs="Calibri"/>
                <w:color w:val="000000" w:themeColor="text1"/>
                <w:sz w:val="18"/>
                <w:szCs w:val="18"/>
              </w:rPr>
              <w:t>2033</w:t>
            </w:r>
          </w:p>
        </w:tc>
      </w:tr>
      <w:tr w:rsidR="77BAF1D3" w14:paraId="22DA5907"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7A6621"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3F18FF"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ADFD2B" w14:textId="6D16E083" w:rsidR="77BAF1D3" w:rsidRDefault="77BAF1D3" w:rsidP="003E0059">
            <w:pPr>
              <w:spacing w:after="0"/>
            </w:pPr>
            <w:r w:rsidRPr="77BAF1D3">
              <w:rPr>
                <w:rFonts w:ascii="Calibri" w:eastAsia="Calibri" w:hAnsi="Calibri" w:cs="Calibri"/>
                <w:color w:val="000000" w:themeColor="text1"/>
                <w:sz w:val="18"/>
                <w:szCs w:val="18"/>
              </w:rPr>
              <w:t>BR 116 (PR/SP)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7DDD04" w14:textId="0D6F4867" w:rsidR="77BAF1D3" w:rsidRDefault="77BAF1D3" w:rsidP="003E0059">
            <w:pPr>
              <w:spacing w:after="0"/>
              <w:jc w:val="right"/>
            </w:pPr>
            <w:proofErr w:type="gramStart"/>
            <w:r w:rsidRPr="77BAF1D3">
              <w:rPr>
                <w:rFonts w:ascii="Calibri" w:eastAsia="Calibri" w:hAnsi="Calibri" w:cs="Calibri"/>
                <w:color w:val="000000" w:themeColor="text1"/>
                <w:sz w:val="18"/>
                <w:szCs w:val="18"/>
              </w:rPr>
              <w:t>402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96F5DD" w14:textId="3CADD9B5" w:rsidR="77BAF1D3" w:rsidRDefault="77BAF1D3" w:rsidP="003E0059">
            <w:pPr>
              <w:spacing w:after="0"/>
              <w:jc w:val="right"/>
            </w:pPr>
            <w:r w:rsidRPr="77BAF1D3">
              <w:rPr>
                <w:rFonts w:ascii="Calibri" w:eastAsia="Calibri" w:hAnsi="Calibri" w:cs="Calibri"/>
                <w:color w:val="000000" w:themeColor="text1"/>
                <w:sz w:val="18"/>
                <w:szCs w:val="18"/>
              </w:rPr>
              <w:t>2008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88CA55" w14:textId="3997880F" w:rsidR="77BAF1D3" w:rsidRDefault="77BAF1D3" w:rsidP="003E0059">
            <w:pPr>
              <w:spacing w:after="0"/>
              <w:jc w:val="right"/>
            </w:pPr>
            <w:r w:rsidRPr="77BAF1D3">
              <w:rPr>
                <w:rFonts w:ascii="Calibri" w:eastAsia="Calibri" w:hAnsi="Calibri" w:cs="Calibri"/>
                <w:color w:val="000000" w:themeColor="text1"/>
                <w:sz w:val="18"/>
                <w:szCs w:val="18"/>
              </w:rPr>
              <w:t>2033</w:t>
            </w:r>
          </w:p>
        </w:tc>
      </w:tr>
      <w:tr w:rsidR="77BAF1D3" w14:paraId="52F040FB"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124501"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A980B6"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0511A2" w14:textId="3F1C5C57" w:rsidR="77BAF1D3" w:rsidRDefault="77BAF1D3" w:rsidP="003E0059">
            <w:pPr>
              <w:spacing w:after="0"/>
            </w:pPr>
            <w:r w:rsidRPr="77BAF1D3">
              <w:rPr>
                <w:rFonts w:ascii="Calibri" w:eastAsia="Calibri" w:hAnsi="Calibri" w:cs="Calibri"/>
                <w:color w:val="000000" w:themeColor="text1"/>
                <w:sz w:val="18"/>
                <w:szCs w:val="18"/>
              </w:rPr>
              <w:t>BR 393 (RJ)</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D3EBF3" w14:textId="41289F09" w:rsidR="77BAF1D3" w:rsidRDefault="77BAF1D3" w:rsidP="003E0059">
            <w:pPr>
              <w:spacing w:after="0"/>
              <w:jc w:val="right"/>
            </w:pPr>
            <w:proofErr w:type="gramStart"/>
            <w:r w:rsidRPr="77BAF1D3">
              <w:rPr>
                <w:rFonts w:ascii="Calibri" w:eastAsia="Calibri" w:hAnsi="Calibri" w:cs="Calibri"/>
                <w:color w:val="000000" w:themeColor="text1"/>
                <w:sz w:val="18"/>
                <w:szCs w:val="18"/>
              </w:rPr>
              <w:t>200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F3060B" w14:textId="25E42E7C" w:rsidR="77BAF1D3" w:rsidRDefault="77BAF1D3" w:rsidP="003E0059">
            <w:pPr>
              <w:spacing w:after="0"/>
              <w:jc w:val="right"/>
            </w:pPr>
            <w:r w:rsidRPr="77BAF1D3">
              <w:rPr>
                <w:rFonts w:ascii="Calibri" w:eastAsia="Calibri" w:hAnsi="Calibri" w:cs="Calibri"/>
                <w:color w:val="000000" w:themeColor="text1"/>
                <w:sz w:val="18"/>
                <w:szCs w:val="18"/>
              </w:rPr>
              <w:t>2008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690D2D" w14:textId="239D1186" w:rsidR="77BAF1D3" w:rsidRDefault="77BAF1D3" w:rsidP="003E0059">
            <w:pPr>
              <w:spacing w:after="0"/>
              <w:jc w:val="right"/>
            </w:pPr>
            <w:r w:rsidRPr="77BAF1D3">
              <w:rPr>
                <w:rFonts w:ascii="Calibri" w:eastAsia="Calibri" w:hAnsi="Calibri" w:cs="Calibri"/>
                <w:color w:val="000000" w:themeColor="text1"/>
                <w:sz w:val="18"/>
                <w:szCs w:val="18"/>
              </w:rPr>
              <w:t>2033</w:t>
            </w:r>
          </w:p>
        </w:tc>
      </w:tr>
      <w:tr w:rsidR="77BAF1D3" w14:paraId="329E6386"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F520E0"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01C815"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5B8062" w14:textId="7FF4ED24" w:rsidR="77BAF1D3" w:rsidRDefault="77BAF1D3" w:rsidP="003E0059">
            <w:pPr>
              <w:spacing w:after="0"/>
            </w:pPr>
            <w:r w:rsidRPr="77BAF1D3">
              <w:rPr>
                <w:rFonts w:ascii="Calibri" w:eastAsia="Calibri" w:hAnsi="Calibri" w:cs="Calibri"/>
                <w:color w:val="000000" w:themeColor="text1"/>
                <w:sz w:val="18"/>
                <w:szCs w:val="18"/>
              </w:rPr>
              <w:t>BR 153 (SP)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6DCA85" w14:textId="18461C93" w:rsidR="77BAF1D3" w:rsidRDefault="77BAF1D3" w:rsidP="003E0059">
            <w:pPr>
              <w:spacing w:after="0"/>
              <w:jc w:val="right"/>
            </w:pPr>
            <w:proofErr w:type="gramStart"/>
            <w:r w:rsidRPr="77BAF1D3">
              <w:rPr>
                <w:rFonts w:ascii="Calibri" w:eastAsia="Calibri" w:hAnsi="Calibri" w:cs="Calibri"/>
                <w:color w:val="000000" w:themeColor="text1"/>
                <w:sz w:val="18"/>
                <w:szCs w:val="18"/>
              </w:rPr>
              <w:t>321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084F83" w14:textId="405250A4" w:rsidR="77BAF1D3" w:rsidRDefault="77BAF1D3" w:rsidP="003E0059">
            <w:pPr>
              <w:spacing w:after="0"/>
              <w:jc w:val="right"/>
            </w:pPr>
            <w:r w:rsidRPr="77BAF1D3">
              <w:rPr>
                <w:rFonts w:ascii="Calibri" w:eastAsia="Calibri" w:hAnsi="Calibri" w:cs="Calibri"/>
                <w:color w:val="000000" w:themeColor="text1"/>
                <w:sz w:val="18"/>
                <w:szCs w:val="18"/>
              </w:rPr>
              <w:t>2008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5E15F2" w14:textId="288546DF" w:rsidR="77BAF1D3" w:rsidRDefault="77BAF1D3" w:rsidP="003E0059">
            <w:pPr>
              <w:spacing w:after="0"/>
              <w:jc w:val="right"/>
            </w:pPr>
            <w:r w:rsidRPr="77BAF1D3">
              <w:rPr>
                <w:rFonts w:ascii="Calibri" w:eastAsia="Calibri" w:hAnsi="Calibri" w:cs="Calibri"/>
                <w:color w:val="000000" w:themeColor="text1"/>
                <w:sz w:val="18"/>
                <w:szCs w:val="18"/>
              </w:rPr>
              <w:t>2033</w:t>
            </w:r>
          </w:p>
        </w:tc>
      </w:tr>
      <w:tr w:rsidR="77BAF1D3" w14:paraId="703E9220"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BE6D1A"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0102F5"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06D646" w14:textId="2C608E71" w:rsidR="77BAF1D3" w:rsidRDefault="77BAF1D3" w:rsidP="003E0059">
            <w:pPr>
              <w:spacing w:after="0"/>
            </w:pPr>
            <w:r w:rsidRPr="77BAF1D3">
              <w:rPr>
                <w:rFonts w:ascii="Calibri" w:eastAsia="Calibri" w:hAnsi="Calibri" w:cs="Calibri"/>
                <w:color w:val="000000" w:themeColor="text1"/>
                <w:sz w:val="18"/>
                <w:szCs w:val="18"/>
              </w:rPr>
              <w:t xml:space="preserve">BR 324/116 e BA 526/528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F98EC2" w14:textId="4968EBC4" w:rsidR="77BAF1D3" w:rsidRDefault="77BAF1D3" w:rsidP="003E0059">
            <w:pPr>
              <w:spacing w:after="0"/>
              <w:jc w:val="right"/>
            </w:pPr>
            <w:proofErr w:type="gramStart"/>
            <w:r w:rsidRPr="77BAF1D3">
              <w:rPr>
                <w:rFonts w:ascii="Calibri" w:eastAsia="Calibri" w:hAnsi="Calibri" w:cs="Calibri"/>
                <w:color w:val="000000" w:themeColor="text1"/>
                <w:sz w:val="18"/>
                <w:szCs w:val="18"/>
              </w:rPr>
              <w:t>680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3748B5" w14:textId="0BF68F14" w:rsidR="77BAF1D3" w:rsidRDefault="77BAF1D3" w:rsidP="003E0059">
            <w:pPr>
              <w:spacing w:after="0"/>
              <w:jc w:val="right"/>
            </w:pPr>
            <w:r w:rsidRPr="77BAF1D3">
              <w:rPr>
                <w:rFonts w:ascii="Calibri" w:eastAsia="Calibri" w:hAnsi="Calibri" w:cs="Calibri"/>
                <w:color w:val="000000" w:themeColor="text1"/>
                <w:sz w:val="18"/>
                <w:szCs w:val="18"/>
              </w:rPr>
              <w:t>2009</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98F9B2" w14:textId="0C8451BD" w:rsidR="77BAF1D3" w:rsidRDefault="77BAF1D3" w:rsidP="003E0059">
            <w:pPr>
              <w:spacing w:after="0"/>
              <w:jc w:val="right"/>
            </w:pPr>
            <w:r w:rsidRPr="77BAF1D3">
              <w:rPr>
                <w:rFonts w:ascii="Calibri" w:eastAsia="Calibri" w:hAnsi="Calibri" w:cs="Calibri"/>
                <w:color w:val="000000" w:themeColor="text1"/>
                <w:sz w:val="18"/>
                <w:szCs w:val="18"/>
              </w:rPr>
              <w:t>2033</w:t>
            </w:r>
          </w:p>
        </w:tc>
      </w:tr>
      <w:tr w:rsidR="77BAF1D3" w14:paraId="2FBA3BDA"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0FA459"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2C0BDC"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ECCF24D" w14:textId="416F2A81" w:rsidR="77BAF1D3" w:rsidRDefault="77BAF1D3" w:rsidP="003E0059">
            <w:pPr>
              <w:spacing w:after="0"/>
            </w:pPr>
            <w:r w:rsidRPr="77BAF1D3">
              <w:rPr>
                <w:rFonts w:ascii="Calibri" w:eastAsia="Calibri" w:hAnsi="Calibri" w:cs="Calibri"/>
                <w:color w:val="000000" w:themeColor="text1"/>
                <w:sz w:val="18"/>
                <w:szCs w:val="18"/>
              </w:rPr>
              <w:t>BR 050 (GO/MG)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39BCC3" w14:textId="64649E7D" w:rsidR="77BAF1D3" w:rsidRDefault="77BAF1D3" w:rsidP="003E0059">
            <w:pPr>
              <w:spacing w:after="0"/>
              <w:jc w:val="right"/>
            </w:pPr>
            <w:r w:rsidRPr="77BAF1D3">
              <w:rPr>
                <w:rFonts w:ascii="Calibri" w:eastAsia="Calibri" w:hAnsi="Calibri" w:cs="Calibri"/>
                <w:color w:val="000000" w:themeColor="text1"/>
                <w:sz w:val="18"/>
                <w:szCs w:val="18"/>
              </w:rPr>
              <w:t>436,6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3B246C" w14:textId="6C59917A"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8F8BA9" w14:textId="36D5FAB9" w:rsidR="77BAF1D3" w:rsidRDefault="77BAF1D3" w:rsidP="003E0059">
            <w:pPr>
              <w:spacing w:after="0"/>
              <w:jc w:val="right"/>
            </w:pPr>
            <w:r w:rsidRPr="77BAF1D3">
              <w:rPr>
                <w:rFonts w:ascii="Calibri" w:eastAsia="Calibri" w:hAnsi="Calibri" w:cs="Calibri"/>
                <w:color w:val="000000" w:themeColor="text1"/>
                <w:sz w:val="18"/>
                <w:szCs w:val="18"/>
              </w:rPr>
              <w:t>2044</w:t>
            </w:r>
          </w:p>
        </w:tc>
      </w:tr>
      <w:tr w:rsidR="77BAF1D3" w14:paraId="37CD67D1"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C13394"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20AC4A"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4BC1D9" w14:textId="2D4C5368" w:rsidR="77BAF1D3" w:rsidRDefault="77BAF1D3" w:rsidP="003E0059">
            <w:pPr>
              <w:spacing w:after="0"/>
            </w:pPr>
            <w:r w:rsidRPr="77BAF1D3">
              <w:rPr>
                <w:rFonts w:ascii="Calibri" w:eastAsia="Calibri" w:hAnsi="Calibri" w:cs="Calibri"/>
                <w:sz w:val="18"/>
                <w:szCs w:val="18"/>
              </w:rPr>
              <w:t>BR 163 (MS)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C26ECB" w14:textId="35EE63D0" w:rsidR="77BAF1D3" w:rsidRDefault="77BAF1D3" w:rsidP="003E0059">
            <w:pPr>
              <w:spacing w:after="0"/>
              <w:jc w:val="right"/>
            </w:pPr>
            <w:r w:rsidRPr="77BAF1D3">
              <w:rPr>
                <w:rFonts w:ascii="Calibri" w:eastAsia="Calibri" w:hAnsi="Calibri" w:cs="Calibri"/>
                <w:sz w:val="18"/>
                <w:szCs w:val="18"/>
              </w:rPr>
              <w:t>847,2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996A01" w14:textId="681D570F"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FA59ED" w14:textId="6E73E90D" w:rsidR="77BAF1D3" w:rsidRDefault="77BAF1D3" w:rsidP="003E0059">
            <w:pPr>
              <w:spacing w:after="0"/>
              <w:jc w:val="right"/>
            </w:pPr>
            <w:r w:rsidRPr="77BAF1D3">
              <w:rPr>
                <w:rFonts w:ascii="Calibri" w:eastAsia="Calibri" w:hAnsi="Calibri" w:cs="Calibri"/>
                <w:color w:val="000000" w:themeColor="text1"/>
                <w:sz w:val="18"/>
                <w:szCs w:val="18"/>
              </w:rPr>
              <w:t>2044</w:t>
            </w:r>
          </w:p>
        </w:tc>
      </w:tr>
      <w:tr w:rsidR="77BAF1D3" w14:paraId="0CB2192A"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7420E2"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3149"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0109F9" w14:textId="12FE6B36" w:rsidR="77BAF1D3" w:rsidRDefault="77BAF1D3" w:rsidP="003E0059">
            <w:pPr>
              <w:spacing w:after="0"/>
            </w:pPr>
            <w:r w:rsidRPr="77BAF1D3">
              <w:rPr>
                <w:rFonts w:ascii="Calibri" w:eastAsia="Calibri" w:hAnsi="Calibri" w:cs="Calibri"/>
                <w:color w:val="000000" w:themeColor="text1"/>
                <w:sz w:val="18"/>
                <w:szCs w:val="18"/>
              </w:rPr>
              <w:t>BR 163 (MT)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B4B4EA" w14:textId="007F9C67" w:rsidR="77BAF1D3" w:rsidRDefault="77BAF1D3" w:rsidP="003E0059">
            <w:pPr>
              <w:spacing w:after="0"/>
              <w:jc w:val="right"/>
            </w:pPr>
            <w:r w:rsidRPr="77BAF1D3">
              <w:rPr>
                <w:rFonts w:ascii="Calibri" w:eastAsia="Calibri" w:hAnsi="Calibri" w:cs="Calibri"/>
                <w:color w:val="000000" w:themeColor="text1"/>
                <w:sz w:val="18"/>
                <w:szCs w:val="18"/>
              </w:rPr>
              <w:t>850,9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E11E0E" w14:textId="5E1736BF"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1B6204" w14:textId="537D8A6A" w:rsidR="77BAF1D3" w:rsidRDefault="77BAF1D3" w:rsidP="003E0059">
            <w:pPr>
              <w:spacing w:after="0"/>
              <w:jc w:val="right"/>
            </w:pPr>
            <w:r w:rsidRPr="77BAF1D3">
              <w:rPr>
                <w:rFonts w:ascii="Calibri" w:eastAsia="Calibri" w:hAnsi="Calibri" w:cs="Calibri"/>
                <w:color w:val="000000" w:themeColor="text1"/>
                <w:sz w:val="18"/>
                <w:szCs w:val="18"/>
              </w:rPr>
              <w:t>2044</w:t>
            </w:r>
          </w:p>
        </w:tc>
      </w:tr>
      <w:tr w:rsidR="77BAF1D3" w14:paraId="40C5F9F7"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5F0C3F"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D51BC1"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2E19D3" w14:textId="37B5CE3F" w:rsidR="77BAF1D3" w:rsidRDefault="77BAF1D3" w:rsidP="003E0059">
            <w:pPr>
              <w:spacing w:after="0"/>
            </w:pPr>
            <w:r w:rsidRPr="77BAF1D3">
              <w:rPr>
                <w:rFonts w:ascii="Calibri" w:eastAsia="Calibri" w:hAnsi="Calibri" w:cs="Calibri"/>
                <w:color w:val="000000" w:themeColor="text1"/>
                <w:sz w:val="18"/>
                <w:szCs w:val="18"/>
              </w:rPr>
              <w:t>BR 040 (MG/GO/DF)</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4208BC" w14:textId="45BAF5C2" w:rsidR="77BAF1D3" w:rsidRDefault="77BAF1D3" w:rsidP="003E0059">
            <w:pPr>
              <w:spacing w:after="0"/>
              <w:jc w:val="right"/>
            </w:pPr>
            <w:r w:rsidRPr="77BAF1D3">
              <w:rPr>
                <w:rFonts w:ascii="Calibri" w:eastAsia="Calibri" w:hAnsi="Calibri" w:cs="Calibri"/>
                <w:color w:val="000000" w:themeColor="text1"/>
                <w:sz w:val="18"/>
                <w:szCs w:val="18"/>
              </w:rPr>
              <w:t>936,8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B7EA85" w14:textId="25B1609E"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0BD972" w14:textId="21D591BC" w:rsidR="77BAF1D3" w:rsidRDefault="77BAF1D3" w:rsidP="003E0059">
            <w:pPr>
              <w:spacing w:after="0"/>
              <w:jc w:val="right"/>
            </w:pPr>
            <w:r w:rsidRPr="77BAF1D3">
              <w:rPr>
                <w:rFonts w:ascii="Calibri" w:eastAsia="Calibri" w:hAnsi="Calibri" w:cs="Calibri"/>
                <w:color w:val="000000" w:themeColor="text1"/>
                <w:sz w:val="18"/>
                <w:szCs w:val="18"/>
              </w:rPr>
              <w:t>2044</w:t>
            </w:r>
          </w:p>
        </w:tc>
      </w:tr>
      <w:tr w:rsidR="77BAF1D3" w14:paraId="5FE17727"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05246A"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8CFEBC"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744BC4" w14:textId="23CC6B9E" w:rsidR="77BAF1D3" w:rsidRDefault="77BAF1D3" w:rsidP="003E0059">
            <w:pPr>
              <w:spacing w:after="0"/>
            </w:pPr>
            <w:r w:rsidRPr="77BAF1D3">
              <w:rPr>
                <w:rFonts w:ascii="Calibri" w:eastAsia="Calibri" w:hAnsi="Calibri" w:cs="Calibri"/>
                <w:color w:val="000000" w:themeColor="text1"/>
                <w:sz w:val="18"/>
                <w:szCs w:val="18"/>
              </w:rPr>
              <w:t>BR 101 - Ponte Rio-Niterói</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D1CDCC" w14:textId="55DC5241" w:rsidR="77BAF1D3" w:rsidRDefault="77BAF1D3" w:rsidP="003E0059">
            <w:pPr>
              <w:spacing w:after="0"/>
              <w:jc w:val="right"/>
            </w:pPr>
            <w:r w:rsidRPr="77BAF1D3">
              <w:rPr>
                <w:rFonts w:ascii="Calibri" w:eastAsia="Calibri" w:hAnsi="Calibri" w:cs="Calibri"/>
                <w:color w:val="000000" w:themeColor="text1"/>
                <w:sz w:val="18"/>
                <w:szCs w:val="18"/>
              </w:rPr>
              <w:t>13,2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C18820" w14:textId="44195E97" w:rsidR="77BAF1D3" w:rsidRDefault="77BAF1D3" w:rsidP="003E0059">
            <w:pPr>
              <w:spacing w:after="0"/>
              <w:jc w:val="right"/>
            </w:pPr>
            <w:r w:rsidRPr="77BAF1D3">
              <w:rPr>
                <w:rFonts w:ascii="Calibri" w:eastAsia="Calibri" w:hAnsi="Calibri" w:cs="Calibri"/>
                <w:color w:val="000000" w:themeColor="text1"/>
                <w:sz w:val="18"/>
                <w:szCs w:val="18"/>
              </w:rPr>
              <w:t>2015</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736D19" w14:textId="2FF392CA" w:rsidR="77BAF1D3" w:rsidRDefault="77BAF1D3" w:rsidP="003E0059">
            <w:pPr>
              <w:spacing w:after="0"/>
              <w:jc w:val="right"/>
            </w:pPr>
            <w:r w:rsidRPr="77BAF1D3">
              <w:rPr>
                <w:rFonts w:ascii="Calibri" w:eastAsia="Calibri" w:hAnsi="Calibri" w:cs="Calibri"/>
                <w:color w:val="000000" w:themeColor="text1"/>
                <w:sz w:val="18"/>
                <w:szCs w:val="18"/>
              </w:rPr>
              <w:t>2045</w:t>
            </w:r>
          </w:p>
        </w:tc>
      </w:tr>
      <w:tr w:rsidR="77BAF1D3" w14:paraId="4BCAF1AA"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E15A59"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BB3DA1"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5FD158" w14:textId="7C44C415" w:rsidR="77BAF1D3" w:rsidRDefault="77BAF1D3" w:rsidP="003E0059">
            <w:pPr>
              <w:spacing w:after="0"/>
            </w:pPr>
            <w:r w:rsidRPr="77BAF1D3">
              <w:rPr>
                <w:rFonts w:ascii="Calibri" w:eastAsia="Calibri" w:hAnsi="Calibri" w:cs="Calibri"/>
                <w:sz w:val="18"/>
                <w:szCs w:val="18"/>
              </w:rPr>
              <w:t>BR 116 (RJ/SP)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8FE799" w14:textId="7CE9A03E" w:rsidR="77BAF1D3" w:rsidRDefault="77BAF1D3" w:rsidP="003E0059">
            <w:pPr>
              <w:spacing w:after="0"/>
              <w:jc w:val="right"/>
            </w:pPr>
            <w:proofErr w:type="gramStart"/>
            <w:r w:rsidRPr="77BAF1D3">
              <w:rPr>
                <w:rFonts w:ascii="Calibri" w:eastAsia="Calibri" w:hAnsi="Calibri" w:cs="Calibri"/>
                <w:sz w:val="18"/>
                <w:szCs w:val="18"/>
              </w:rPr>
              <w:t>402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E581FE" w14:textId="63A2B300" w:rsidR="77BAF1D3" w:rsidRDefault="77BAF1D3" w:rsidP="003E0059">
            <w:pPr>
              <w:spacing w:after="0"/>
              <w:jc w:val="right"/>
            </w:pPr>
            <w:r w:rsidRPr="77BAF1D3">
              <w:rPr>
                <w:rFonts w:ascii="Calibri" w:eastAsia="Calibri" w:hAnsi="Calibri" w:cs="Calibri"/>
                <w:color w:val="000000" w:themeColor="text1"/>
                <w:sz w:val="18"/>
                <w:szCs w:val="18"/>
              </w:rPr>
              <w:t>1996</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A093C9" w14:textId="63458299" w:rsidR="77BAF1D3" w:rsidRDefault="77BAF1D3" w:rsidP="003E0059">
            <w:pPr>
              <w:spacing w:after="0"/>
              <w:jc w:val="right"/>
            </w:pPr>
            <w:r w:rsidRPr="77BAF1D3">
              <w:rPr>
                <w:rFonts w:ascii="Calibri" w:eastAsia="Calibri" w:hAnsi="Calibri" w:cs="Calibri"/>
                <w:color w:val="000000" w:themeColor="text1"/>
                <w:sz w:val="18"/>
                <w:szCs w:val="18"/>
              </w:rPr>
              <w:t>2021</w:t>
            </w:r>
          </w:p>
        </w:tc>
      </w:tr>
      <w:tr w:rsidR="77BAF1D3" w14:paraId="65E5F1E3"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C689D9"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DFFF9F"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21ADEC" w14:textId="303F7BF0" w:rsidR="77BAF1D3" w:rsidRDefault="77BAF1D3" w:rsidP="003E0059">
            <w:pPr>
              <w:spacing w:after="0"/>
            </w:pPr>
            <w:r w:rsidRPr="77BAF1D3">
              <w:rPr>
                <w:rFonts w:ascii="Calibri" w:eastAsia="Calibri" w:hAnsi="Calibri" w:cs="Calibri"/>
                <w:sz w:val="18"/>
                <w:szCs w:val="18"/>
              </w:rPr>
              <w:t>BR 040 (RJ/MG)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17F947" w14:textId="615F9FD2" w:rsidR="77BAF1D3" w:rsidRDefault="77BAF1D3" w:rsidP="003E0059">
            <w:pPr>
              <w:spacing w:after="0"/>
              <w:jc w:val="right"/>
            </w:pPr>
            <w:proofErr w:type="gramStart"/>
            <w:r w:rsidRPr="77BAF1D3">
              <w:rPr>
                <w:rFonts w:ascii="Calibri" w:eastAsia="Calibri" w:hAnsi="Calibri" w:cs="Calibri"/>
                <w:sz w:val="18"/>
                <w:szCs w:val="18"/>
              </w:rPr>
              <w:t>180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41F41B" w14:textId="1230C4FC" w:rsidR="77BAF1D3" w:rsidRDefault="77BAF1D3" w:rsidP="003E0059">
            <w:pPr>
              <w:spacing w:after="0"/>
              <w:jc w:val="right"/>
            </w:pPr>
            <w:r w:rsidRPr="77BAF1D3">
              <w:rPr>
                <w:rFonts w:ascii="Calibri" w:eastAsia="Calibri" w:hAnsi="Calibri" w:cs="Calibri"/>
                <w:color w:val="000000" w:themeColor="text1"/>
                <w:sz w:val="18"/>
                <w:szCs w:val="18"/>
              </w:rPr>
              <w:t>1996</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0CF7EAE" w14:textId="141603AC" w:rsidR="77BAF1D3" w:rsidRDefault="77BAF1D3" w:rsidP="003E0059">
            <w:pPr>
              <w:spacing w:after="0"/>
              <w:jc w:val="right"/>
            </w:pPr>
            <w:r w:rsidRPr="77BAF1D3">
              <w:rPr>
                <w:rFonts w:ascii="Calibri" w:eastAsia="Calibri" w:hAnsi="Calibri" w:cs="Calibri"/>
                <w:color w:val="000000" w:themeColor="text1"/>
                <w:sz w:val="18"/>
                <w:szCs w:val="18"/>
              </w:rPr>
              <w:t>2021</w:t>
            </w:r>
          </w:p>
        </w:tc>
      </w:tr>
      <w:tr w:rsidR="77BAF1D3" w14:paraId="4F25F5C2"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C12FA6"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B0C37D"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BE0713" w14:textId="44997221" w:rsidR="77BAF1D3" w:rsidRDefault="77BAF1D3" w:rsidP="003E0059">
            <w:pPr>
              <w:spacing w:after="0"/>
            </w:pPr>
            <w:r w:rsidRPr="77BAF1D3">
              <w:rPr>
                <w:rFonts w:ascii="Calibri" w:eastAsia="Calibri" w:hAnsi="Calibri" w:cs="Calibri"/>
                <w:sz w:val="18"/>
                <w:szCs w:val="18"/>
              </w:rPr>
              <w:t>BR 116 (RJ) Rio - Teresópolis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A67F3F3" w14:textId="25C8C36D" w:rsidR="77BAF1D3" w:rsidRDefault="77BAF1D3" w:rsidP="003E0059">
            <w:pPr>
              <w:spacing w:after="0"/>
              <w:jc w:val="right"/>
            </w:pPr>
            <w:r w:rsidRPr="77BAF1D3">
              <w:rPr>
                <w:rFonts w:ascii="Calibri" w:eastAsia="Calibri" w:hAnsi="Calibri" w:cs="Calibri"/>
                <w:sz w:val="18"/>
                <w:szCs w:val="18"/>
              </w:rPr>
              <w:t>142,5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2C3239" w14:textId="27B99EAE" w:rsidR="77BAF1D3" w:rsidRDefault="77BAF1D3" w:rsidP="003E0059">
            <w:pPr>
              <w:spacing w:after="0"/>
              <w:jc w:val="right"/>
            </w:pPr>
            <w:r w:rsidRPr="77BAF1D3">
              <w:rPr>
                <w:rFonts w:ascii="Calibri" w:eastAsia="Calibri" w:hAnsi="Calibri" w:cs="Calibri"/>
                <w:color w:val="000000" w:themeColor="text1"/>
                <w:sz w:val="18"/>
                <w:szCs w:val="18"/>
              </w:rPr>
              <w:t>1996</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80C6C6" w14:textId="5D231F36" w:rsidR="77BAF1D3" w:rsidRDefault="77BAF1D3" w:rsidP="003E0059">
            <w:pPr>
              <w:spacing w:after="0"/>
              <w:jc w:val="right"/>
            </w:pPr>
            <w:r w:rsidRPr="77BAF1D3">
              <w:rPr>
                <w:rFonts w:ascii="Calibri" w:eastAsia="Calibri" w:hAnsi="Calibri" w:cs="Calibri"/>
                <w:color w:val="000000" w:themeColor="text1"/>
                <w:sz w:val="18"/>
                <w:szCs w:val="18"/>
              </w:rPr>
              <w:t>2021</w:t>
            </w:r>
          </w:p>
        </w:tc>
      </w:tr>
      <w:tr w:rsidR="77BAF1D3" w14:paraId="60A70495"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5D4661"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5D53F2"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36140F3" w14:textId="65784A15" w:rsidR="77BAF1D3" w:rsidRDefault="77BAF1D3" w:rsidP="003E0059">
            <w:pPr>
              <w:spacing w:after="0"/>
            </w:pPr>
            <w:r w:rsidRPr="77BAF1D3">
              <w:rPr>
                <w:rFonts w:ascii="Calibri" w:eastAsia="Calibri" w:hAnsi="Calibri" w:cs="Calibri"/>
                <w:color w:val="000000" w:themeColor="text1"/>
                <w:sz w:val="18"/>
                <w:szCs w:val="18"/>
              </w:rPr>
              <w:t>BR 290/116/101/448</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80CEA3" w14:textId="1916772C" w:rsidR="77BAF1D3" w:rsidRDefault="77BAF1D3" w:rsidP="003E0059">
            <w:pPr>
              <w:spacing w:after="0"/>
              <w:jc w:val="right"/>
            </w:pPr>
            <w:proofErr w:type="gramStart"/>
            <w:r w:rsidRPr="77BAF1D3">
              <w:rPr>
                <w:rFonts w:ascii="Calibri" w:eastAsia="Calibri" w:hAnsi="Calibri" w:cs="Calibri"/>
                <w:sz w:val="18"/>
                <w:szCs w:val="18"/>
              </w:rPr>
              <w:t>473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FCDE69F" w14:textId="1137FF79" w:rsidR="77BAF1D3" w:rsidRDefault="77BAF1D3" w:rsidP="003E0059">
            <w:pPr>
              <w:spacing w:after="0"/>
              <w:jc w:val="right"/>
            </w:pPr>
            <w:r w:rsidRPr="77BAF1D3">
              <w:rPr>
                <w:rFonts w:ascii="Calibri" w:eastAsia="Calibri" w:hAnsi="Calibri" w:cs="Calibri"/>
                <w:color w:val="000000" w:themeColor="text1"/>
                <w:sz w:val="18"/>
                <w:szCs w:val="18"/>
              </w:rPr>
              <w:t>2019</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917401" w14:textId="0849CEC3" w:rsidR="77BAF1D3" w:rsidRDefault="77BAF1D3" w:rsidP="003E0059">
            <w:pPr>
              <w:spacing w:after="0"/>
              <w:jc w:val="right"/>
            </w:pPr>
            <w:r w:rsidRPr="77BAF1D3">
              <w:rPr>
                <w:rFonts w:ascii="Calibri" w:eastAsia="Calibri" w:hAnsi="Calibri" w:cs="Calibri"/>
                <w:color w:val="000000" w:themeColor="text1"/>
                <w:sz w:val="18"/>
                <w:szCs w:val="18"/>
              </w:rPr>
              <w:t>2049</w:t>
            </w:r>
          </w:p>
        </w:tc>
      </w:tr>
      <w:tr w:rsidR="77BAF1D3" w14:paraId="713352BD"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FA8D4A"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7BC266"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19A0185" w14:textId="06FC2F9A" w:rsidR="77BAF1D3" w:rsidRDefault="77BAF1D3" w:rsidP="003E0059">
            <w:pPr>
              <w:spacing w:after="0"/>
            </w:pPr>
            <w:r w:rsidRPr="77BAF1D3">
              <w:rPr>
                <w:rFonts w:ascii="Calibri" w:eastAsia="Calibri" w:hAnsi="Calibri" w:cs="Calibri"/>
                <w:color w:val="000000" w:themeColor="text1"/>
                <w:sz w:val="18"/>
                <w:szCs w:val="18"/>
              </w:rPr>
              <w:t>BR 116/392</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801288" w14:textId="72BF5BD2" w:rsidR="77BAF1D3" w:rsidRDefault="77BAF1D3" w:rsidP="003E0059">
            <w:pPr>
              <w:spacing w:after="0"/>
              <w:jc w:val="right"/>
            </w:pPr>
            <w:r w:rsidRPr="77BAF1D3">
              <w:rPr>
                <w:rFonts w:ascii="Calibri" w:eastAsia="Calibri" w:hAnsi="Calibri" w:cs="Calibri"/>
                <w:sz w:val="18"/>
                <w:szCs w:val="18"/>
              </w:rPr>
              <w:t>457,3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C5A07D" w14:textId="533EF42D"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2A7FC9" w14:textId="08059643" w:rsidR="77BAF1D3" w:rsidRDefault="77BAF1D3" w:rsidP="003E0059">
            <w:pPr>
              <w:spacing w:after="0"/>
              <w:jc w:val="right"/>
            </w:pPr>
            <w:r w:rsidRPr="77BAF1D3">
              <w:rPr>
                <w:rFonts w:ascii="Calibri" w:eastAsia="Calibri" w:hAnsi="Calibri" w:cs="Calibri"/>
                <w:color w:val="000000" w:themeColor="text1"/>
                <w:sz w:val="18"/>
                <w:szCs w:val="18"/>
              </w:rPr>
              <w:t>2018</w:t>
            </w:r>
          </w:p>
        </w:tc>
      </w:tr>
      <w:tr w:rsidR="77BAF1D3" w14:paraId="464A6AB0"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A21E5D"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81050C"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750CAE" w14:textId="50992248" w:rsidR="77BAF1D3" w:rsidRDefault="77BAF1D3" w:rsidP="003E0059">
            <w:pPr>
              <w:spacing w:after="0"/>
            </w:pPr>
            <w:r w:rsidRPr="77BAF1D3">
              <w:rPr>
                <w:rFonts w:ascii="Calibri" w:eastAsia="Calibri" w:hAnsi="Calibri" w:cs="Calibri"/>
                <w:color w:val="000000" w:themeColor="text1"/>
                <w:sz w:val="18"/>
                <w:szCs w:val="18"/>
              </w:rPr>
              <w:t>BR 060/153/262 (DF/GO/MG)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D9187C" w14:textId="707A21A8" w:rsidR="77BAF1D3" w:rsidRDefault="77BAF1D3" w:rsidP="003E0059">
            <w:pPr>
              <w:spacing w:after="0"/>
              <w:jc w:val="right"/>
            </w:pPr>
            <w:proofErr w:type="gramStart"/>
            <w:r w:rsidRPr="77BAF1D3">
              <w:rPr>
                <w:rFonts w:ascii="Calibri" w:eastAsia="Calibri" w:hAnsi="Calibri" w:cs="Calibri"/>
                <w:sz w:val="18"/>
                <w:szCs w:val="18"/>
              </w:rPr>
              <w:t>1.176,5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0BA65B" w14:textId="4ECCE941"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8992F8" w14:textId="54A9AD08" w:rsidR="77BAF1D3" w:rsidRDefault="77BAF1D3" w:rsidP="003E0059">
            <w:pPr>
              <w:spacing w:after="0"/>
              <w:jc w:val="right"/>
            </w:pPr>
            <w:r w:rsidRPr="77BAF1D3">
              <w:rPr>
                <w:rFonts w:ascii="Calibri" w:eastAsia="Calibri" w:hAnsi="Calibri" w:cs="Calibri"/>
                <w:color w:val="000000" w:themeColor="text1"/>
                <w:sz w:val="18"/>
                <w:szCs w:val="18"/>
              </w:rPr>
              <w:t>2044</w:t>
            </w:r>
          </w:p>
        </w:tc>
      </w:tr>
      <w:tr w:rsidR="77BAF1D3" w14:paraId="08AC2180"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41E21A"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7A4FC7"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D3540" w14:textId="21AAE53B" w:rsidR="77BAF1D3" w:rsidRDefault="77BAF1D3" w:rsidP="003E0059">
            <w:pPr>
              <w:spacing w:after="0"/>
            </w:pPr>
            <w:r w:rsidRPr="77BAF1D3">
              <w:rPr>
                <w:rFonts w:ascii="Calibri" w:eastAsia="Calibri" w:hAnsi="Calibri" w:cs="Calibri"/>
                <w:color w:val="000000" w:themeColor="text1"/>
                <w:sz w:val="18"/>
                <w:szCs w:val="18"/>
              </w:rPr>
              <w:t>BR 153 (GO/TO)</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944216" w14:textId="1E64BE0C" w:rsidR="77BAF1D3" w:rsidRDefault="77BAF1D3" w:rsidP="003E0059">
            <w:pPr>
              <w:spacing w:after="0"/>
              <w:jc w:val="right"/>
            </w:pPr>
            <w:r w:rsidRPr="77BAF1D3">
              <w:rPr>
                <w:rFonts w:ascii="Calibri" w:eastAsia="Calibri" w:hAnsi="Calibri" w:cs="Calibri"/>
                <w:sz w:val="18"/>
                <w:szCs w:val="18"/>
              </w:rPr>
              <w:t>624,8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50D7B2" w14:textId="59694836"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E8B176" w14:textId="37151B3D" w:rsidR="77BAF1D3" w:rsidRDefault="77BAF1D3" w:rsidP="003E0059">
            <w:pPr>
              <w:spacing w:after="0"/>
              <w:jc w:val="right"/>
            </w:pPr>
            <w:r w:rsidRPr="77BAF1D3">
              <w:rPr>
                <w:rFonts w:ascii="Calibri" w:eastAsia="Calibri" w:hAnsi="Calibri" w:cs="Calibri"/>
                <w:color w:val="000000" w:themeColor="text1"/>
                <w:sz w:val="18"/>
                <w:szCs w:val="18"/>
              </w:rPr>
              <w:t>2044</w:t>
            </w:r>
          </w:p>
        </w:tc>
      </w:tr>
      <w:tr w:rsidR="77BAF1D3" w14:paraId="60FD965C"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F362B9"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021BF9"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762CE8" w14:textId="60D88195" w:rsidR="77BAF1D3" w:rsidRDefault="77BAF1D3" w:rsidP="003E0059">
            <w:pPr>
              <w:spacing w:after="0"/>
            </w:pPr>
            <w:r w:rsidRPr="77BAF1D3">
              <w:rPr>
                <w:rFonts w:ascii="Calibri" w:eastAsia="Calibri" w:hAnsi="Calibri" w:cs="Calibri"/>
                <w:color w:val="000000" w:themeColor="text1"/>
                <w:sz w:val="18"/>
                <w:szCs w:val="18"/>
              </w:rPr>
              <w:t>BR 101 (ES/BA)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FAF8A54" w14:textId="79969241" w:rsidR="77BAF1D3" w:rsidRDefault="77BAF1D3" w:rsidP="003E0059">
            <w:pPr>
              <w:spacing w:after="0"/>
              <w:jc w:val="right"/>
            </w:pPr>
            <w:r w:rsidRPr="77BAF1D3">
              <w:rPr>
                <w:rFonts w:ascii="Calibri" w:eastAsia="Calibri" w:hAnsi="Calibri" w:cs="Calibri"/>
                <w:sz w:val="18"/>
                <w:szCs w:val="18"/>
              </w:rPr>
              <w:t>475,9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2BD84B" w14:textId="672A9A2E"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735E64C" w14:textId="1C7ECCA2" w:rsidR="77BAF1D3" w:rsidRDefault="77BAF1D3" w:rsidP="003E0059">
            <w:pPr>
              <w:spacing w:after="0"/>
              <w:jc w:val="right"/>
            </w:pPr>
            <w:r w:rsidRPr="77BAF1D3">
              <w:rPr>
                <w:rFonts w:ascii="Calibri" w:eastAsia="Calibri" w:hAnsi="Calibri" w:cs="Calibri"/>
                <w:color w:val="000000" w:themeColor="text1"/>
                <w:sz w:val="18"/>
                <w:szCs w:val="18"/>
              </w:rPr>
              <w:t>2039</w:t>
            </w:r>
          </w:p>
        </w:tc>
      </w:tr>
      <w:tr w:rsidR="77BAF1D3" w14:paraId="76E5AD3D"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F96DB4"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46FDF0"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7BDB82D" w14:textId="1CB85150" w:rsidR="77BAF1D3" w:rsidRDefault="77BAF1D3" w:rsidP="003E0059">
            <w:pPr>
              <w:spacing w:after="0"/>
            </w:pPr>
            <w:r w:rsidRPr="77BAF1D3">
              <w:rPr>
                <w:rFonts w:ascii="Calibri" w:eastAsia="Calibri" w:hAnsi="Calibri" w:cs="Calibri"/>
                <w:color w:val="000000" w:themeColor="text1"/>
                <w:sz w:val="18"/>
                <w:szCs w:val="18"/>
              </w:rPr>
              <w:t>BR-364/365/MG/GO</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BF91CD" w14:textId="5593F826" w:rsidR="77BAF1D3" w:rsidRDefault="77BAF1D3" w:rsidP="003E0059">
            <w:pPr>
              <w:spacing w:after="0"/>
              <w:jc w:val="right"/>
            </w:pPr>
            <w:r w:rsidRPr="77BAF1D3">
              <w:rPr>
                <w:rFonts w:ascii="Calibri" w:eastAsia="Calibri" w:hAnsi="Calibri" w:cs="Calibri"/>
                <w:color w:val="000000" w:themeColor="text1"/>
                <w:sz w:val="18"/>
                <w:szCs w:val="18"/>
              </w:rPr>
              <w:t>437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D16668" w14:textId="245B1356" w:rsidR="77BAF1D3" w:rsidRDefault="77BAF1D3" w:rsidP="003E0059">
            <w:pPr>
              <w:spacing w:after="0"/>
              <w:jc w:val="right"/>
            </w:pPr>
            <w:r w:rsidRPr="77BAF1D3">
              <w:rPr>
                <w:rFonts w:ascii="Calibri" w:eastAsia="Calibri" w:hAnsi="Calibri" w:cs="Calibri"/>
                <w:color w:val="000000" w:themeColor="text1"/>
                <w:sz w:val="18"/>
                <w:szCs w:val="18"/>
              </w:rPr>
              <w:t>2020</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CE63BE" w14:textId="7A7F30C1" w:rsidR="77BAF1D3" w:rsidRDefault="77BAF1D3" w:rsidP="003E0059">
            <w:pPr>
              <w:spacing w:after="0"/>
              <w:jc w:val="right"/>
            </w:pPr>
            <w:r w:rsidRPr="77BAF1D3">
              <w:rPr>
                <w:rFonts w:ascii="Calibri" w:eastAsia="Calibri" w:hAnsi="Calibri" w:cs="Calibri"/>
                <w:color w:val="000000" w:themeColor="text1"/>
                <w:sz w:val="18"/>
                <w:szCs w:val="18"/>
              </w:rPr>
              <w:t>2050</w:t>
            </w:r>
          </w:p>
        </w:tc>
      </w:tr>
      <w:tr w:rsidR="77BAF1D3" w14:paraId="0BF54D3C"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32813F"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348A32"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36CB2A0" w14:textId="098891F5" w:rsidR="77BAF1D3" w:rsidRDefault="77BAF1D3" w:rsidP="003E0059">
            <w:pPr>
              <w:spacing w:after="0"/>
            </w:pPr>
            <w:r w:rsidRPr="77BAF1D3">
              <w:rPr>
                <w:rFonts w:ascii="Calibri" w:eastAsia="Calibri" w:hAnsi="Calibri" w:cs="Calibri"/>
                <w:color w:val="000000" w:themeColor="text1"/>
                <w:sz w:val="18"/>
                <w:szCs w:val="18"/>
              </w:rPr>
              <w:t>BR-101/SC</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EBA8CD" w14:textId="6CD85BAF" w:rsidR="77BAF1D3" w:rsidRDefault="77BAF1D3" w:rsidP="003E0059">
            <w:pPr>
              <w:spacing w:after="0"/>
              <w:jc w:val="right"/>
            </w:pPr>
            <w:r w:rsidRPr="77BAF1D3">
              <w:rPr>
                <w:rFonts w:ascii="Calibri" w:eastAsia="Calibri" w:hAnsi="Calibri" w:cs="Calibri"/>
                <w:color w:val="000000" w:themeColor="text1"/>
                <w:sz w:val="18"/>
                <w:szCs w:val="18"/>
              </w:rPr>
              <w:t>220,42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9B6A40" w14:textId="1651A562" w:rsidR="77BAF1D3" w:rsidRDefault="77BAF1D3" w:rsidP="003E0059">
            <w:pPr>
              <w:spacing w:after="0"/>
              <w:jc w:val="right"/>
            </w:pPr>
            <w:r w:rsidRPr="77BAF1D3">
              <w:rPr>
                <w:rFonts w:ascii="Calibri" w:eastAsia="Calibri" w:hAnsi="Calibri" w:cs="Calibri"/>
                <w:color w:val="000000" w:themeColor="text1"/>
                <w:sz w:val="18"/>
                <w:szCs w:val="18"/>
              </w:rPr>
              <w:t>2020</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C9CADD" w14:textId="0DD0FD0F" w:rsidR="77BAF1D3" w:rsidRDefault="77BAF1D3" w:rsidP="003E0059">
            <w:pPr>
              <w:spacing w:after="0"/>
              <w:jc w:val="right"/>
            </w:pPr>
            <w:r w:rsidRPr="77BAF1D3">
              <w:rPr>
                <w:rFonts w:ascii="Calibri" w:eastAsia="Calibri" w:hAnsi="Calibri" w:cs="Calibri"/>
                <w:color w:val="000000" w:themeColor="text1"/>
                <w:sz w:val="18"/>
                <w:szCs w:val="18"/>
              </w:rPr>
              <w:t>2050</w:t>
            </w:r>
          </w:p>
        </w:tc>
      </w:tr>
      <w:tr w:rsidR="77BAF1D3" w14:paraId="5E3CE746" w14:textId="77777777" w:rsidTr="003E0059">
        <w:tc>
          <w:tcPr>
            <w:tcW w:w="13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785753" w14:textId="401EB590" w:rsidR="77BAF1D3" w:rsidRDefault="77BAF1D3" w:rsidP="003E0059">
            <w:pPr>
              <w:spacing w:after="0"/>
              <w:jc w:val="center"/>
            </w:pPr>
            <w:r w:rsidRPr="77BAF1D3">
              <w:rPr>
                <w:rFonts w:ascii="Calibri" w:eastAsia="Calibri" w:hAnsi="Calibri" w:cs="Calibri"/>
                <w:color w:val="000000" w:themeColor="text1"/>
                <w:sz w:val="18"/>
                <w:szCs w:val="18"/>
              </w:rPr>
              <w:t>Ferrovia</w:t>
            </w:r>
          </w:p>
        </w:tc>
        <w:tc>
          <w:tcPr>
            <w:tcW w:w="131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20D3B4" w14:textId="43C4F18A" w:rsidR="77BAF1D3" w:rsidRDefault="77BAF1D3" w:rsidP="003E0059">
            <w:pPr>
              <w:spacing w:after="0"/>
              <w:jc w:val="center"/>
            </w:pPr>
            <w:r w:rsidRPr="77BAF1D3">
              <w:rPr>
                <w:rFonts w:ascii="Calibri" w:eastAsia="Calibri" w:hAnsi="Calibri" w:cs="Calibri"/>
                <w:color w:val="000000" w:themeColor="text1"/>
                <w:sz w:val="18"/>
                <w:szCs w:val="18"/>
              </w:rPr>
              <w:t>ANTT</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EA5338" w14:textId="48D85F56" w:rsidR="77BAF1D3" w:rsidRDefault="77BAF1D3" w:rsidP="003E0059">
            <w:pPr>
              <w:spacing w:after="0"/>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Malha Sul RS/SC/PR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DA9971" w14:textId="2250C71E" w:rsidR="77BAF1D3" w:rsidRDefault="77BAF1D3" w:rsidP="003E0059">
            <w:pPr>
              <w:spacing w:after="0"/>
              <w:jc w:val="right"/>
            </w:pPr>
            <w:proofErr w:type="gramStart"/>
            <w:r w:rsidRPr="77BAF1D3">
              <w:rPr>
                <w:rFonts w:ascii="Calibri" w:eastAsia="Calibri" w:hAnsi="Calibri" w:cs="Calibri"/>
                <w:color w:val="000000" w:themeColor="text1"/>
                <w:sz w:val="18"/>
                <w:szCs w:val="18"/>
              </w:rPr>
              <w:t>7.223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1FC4C0" w14:textId="10FE1C28" w:rsidR="77BAF1D3" w:rsidRDefault="77BAF1D3" w:rsidP="003E0059">
            <w:pPr>
              <w:spacing w:after="0"/>
              <w:jc w:val="right"/>
            </w:pPr>
            <w:r w:rsidRPr="77BAF1D3">
              <w:rPr>
                <w:rFonts w:ascii="Calibri" w:eastAsia="Calibri" w:hAnsi="Calibri" w:cs="Calibri"/>
                <w:color w:val="000000" w:themeColor="text1"/>
                <w:sz w:val="18"/>
                <w:szCs w:val="18"/>
              </w:rPr>
              <w:t>1996</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72884D" w14:textId="193E1739" w:rsidR="77BAF1D3" w:rsidRDefault="77BAF1D3" w:rsidP="003E0059">
            <w:pPr>
              <w:spacing w:after="0"/>
              <w:jc w:val="right"/>
            </w:pPr>
            <w:r w:rsidRPr="77BAF1D3">
              <w:rPr>
                <w:rFonts w:ascii="Calibri" w:eastAsia="Calibri" w:hAnsi="Calibri" w:cs="Calibri"/>
                <w:color w:val="000000" w:themeColor="text1"/>
                <w:sz w:val="18"/>
                <w:szCs w:val="18"/>
              </w:rPr>
              <w:t>2026</w:t>
            </w:r>
          </w:p>
        </w:tc>
      </w:tr>
      <w:tr w:rsidR="77BAF1D3" w14:paraId="7FDA7B54"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1B6975"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164171"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CA2BF8" w14:textId="78CE9E3F" w:rsidR="77BAF1D3" w:rsidRDefault="77BAF1D3" w:rsidP="003E0059">
            <w:pPr>
              <w:spacing w:after="0"/>
            </w:pPr>
            <w:r w:rsidRPr="77BAF1D3">
              <w:rPr>
                <w:rFonts w:ascii="Calibri" w:eastAsia="Calibri" w:hAnsi="Calibri" w:cs="Calibri"/>
                <w:color w:val="000000" w:themeColor="text1"/>
                <w:sz w:val="18"/>
                <w:szCs w:val="18"/>
              </w:rPr>
              <w:t>Malha Nordeste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CD4402" w14:textId="4CA4A8A3" w:rsidR="77BAF1D3" w:rsidRDefault="77BAF1D3" w:rsidP="003E0059">
            <w:pPr>
              <w:spacing w:after="0"/>
              <w:jc w:val="right"/>
            </w:pPr>
            <w:proofErr w:type="gramStart"/>
            <w:r w:rsidRPr="77BAF1D3">
              <w:rPr>
                <w:rFonts w:ascii="Calibri" w:eastAsia="Calibri" w:hAnsi="Calibri" w:cs="Calibri"/>
                <w:color w:val="000000" w:themeColor="text1"/>
                <w:sz w:val="18"/>
                <w:szCs w:val="18"/>
              </w:rPr>
              <w:t>4.295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DE7634" w14:textId="099BFBA6" w:rsidR="77BAF1D3" w:rsidRDefault="77BAF1D3" w:rsidP="003E0059">
            <w:pPr>
              <w:spacing w:after="0"/>
              <w:jc w:val="right"/>
            </w:pPr>
            <w:r w:rsidRPr="77BAF1D3">
              <w:rPr>
                <w:rFonts w:ascii="Calibri" w:eastAsia="Calibri" w:hAnsi="Calibri" w:cs="Calibri"/>
                <w:color w:val="000000" w:themeColor="text1"/>
                <w:sz w:val="18"/>
                <w:szCs w:val="18"/>
              </w:rPr>
              <w:t>1997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FD204F" w14:textId="2F6AA357" w:rsidR="77BAF1D3" w:rsidRDefault="77BAF1D3" w:rsidP="003E0059">
            <w:pPr>
              <w:spacing w:after="0"/>
              <w:jc w:val="right"/>
            </w:pPr>
            <w:r w:rsidRPr="77BAF1D3">
              <w:rPr>
                <w:rFonts w:ascii="Calibri" w:eastAsia="Calibri" w:hAnsi="Calibri" w:cs="Calibri"/>
                <w:color w:val="000000" w:themeColor="text1"/>
                <w:sz w:val="18"/>
                <w:szCs w:val="18"/>
              </w:rPr>
              <w:t>2027</w:t>
            </w:r>
          </w:p>
        </w:tc>
      </w:tr>
      <w:tr w:rsidR="77BAF1D3" w14:paraId="3A669E37"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B35C11"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563329"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DBFF15" w14:textId="47A30A9D" w:rsidR="77BAF1D3" w:rsidRDefault="77BAF1D3" w:rsidP="003E0059">
            <w:pPr>
              <w:spacing w:after="0"/>
            </w:pPr>
            <w:r w:rsidRPr="77BAF1D3">
              <w:rPr>
                <w:rFonts w:ascii="Calibri" w:eastAsia="Calibri" w:hAnsi="Calibri" w:cs="Calibri"/>
                <w:color w:val="000000" w:themeColor="text1"/>
                <w:sz w:val="18"/>
                <w:szCs w:val="18"/>
              </w:rPr>
              <w:t xml:space="preserve">EFC - Estrada de Ferro Carajás - Vale - Sistema Norte (PA/TO/MA)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0783E7" w14:textId="6F2DD73D" w:rsidR="77BAF1D3" w:rsidRDefault="77BAF1D3" w:rsidP="003E0059">
            <w:pPr>
              <w:spacing w:after="0"/>
              <w:jc w:val="right"/>
            </w:pPr>
            <w:proofErr w:type="gramStart"/>
            <w:r w:rsidRPr="77BAF1D3">
              <w:rPr>
                <w:rFonts w:ascii="Calibri" w:eastAsia="Calibri" w:hAnsi="Calibri" w:cs="Calibri"/>
                <w:color w:val="000000" w:themeColor="text1"/>
                <w:sz w:val="18"/>
                <w:szCs w:val="18"/>
              </w:rPr>
              <w:t>978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4F2C75" w14:textId="043C84C4" w:rsidR="77BAF1D3" w:rsidRDefault="77BAF1D3" w:rsidP="003E0059">
            <w:pPr>
              <w:spacing w:after="0"/>
              <w:jc w:val="right"/>
            </w:pPr>
            <w:r w:rsidRPr="77BAF1D3">
              <w:rPr>
                <w:rFonts w:ascii="Calibri" w:eastAsia="Calibri" w:hAnsi="Calibri" w:cs="Calibri"/>
                <w:color w:val="000000" w:themeColor="text1"/>
                <w:sz w:val="18"/>
                <w:szCs w:val="18"/>
              </w:rPr>
              <w:t>1997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9984AD" w14:textId="692068C0" w:rsidR="77BAF1D3" w:rsidRDefault="77BAF1D3" w:rsidP="003E0059">
            <w:pPr>
              <w:spacing w:after="0"/>
              <w:jc w:val="right"/>
            </w:pPr>
            <w:r w:rsidRPr="77BAF1D3">
              <w:rPr>
                <w:rFonts w:ascii="Calibri" w:eastAsia="Calibri" w:hAnsi="Calibri" w:cs="Calibri"/>
                <w:color w:val="000000" w:themeColor="text1"/>
                <w:sz w:val="18"/>
                <w:szCs w:val="18"/>
              </w:rPr>
              <w:t>2027</w:t>
            </w:r>
          </w:p>
        </w:tc>
      </w:tr>
      <w:tr w:rsidR="77BAF1D3" w14:paraId="0D053192"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E09B8F"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458710"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54F834" w14:textId="253B32CA" w:rsidR="77BAF1D3" w:rsidRDefault="77BAF1D3" w:rsidP="003E0059">
            <w:pPr>
              <w:spacing w:after="0"/>
            </w:pPr>
            <w:r w:rsidRPr="77BAF1D3">
              <w:rPr>
                <w:rFonts w:ascii="Calibri" w:eastAsia="Calibri" w:hAnsi="Calibri" w:cs="Calibri"/>
                <w:color w:val="000000" w:themeColor="text1"/>
                <w:sz w:val="18"/>
                <w:szCs w:val="18"/>
              </w:rPr>
              <w:t>Malha Oeste PR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5BF3EA" w14:textId="76A28DA8" w:rsidR="77BAF1D3" w:rsidRDefault="77BAF1D3" w:rsidP="003E0059">
            <w:pPr>
              <w:spacing w:after="0"/>
              <w:jc w:val="right"/>
            </w:pPr>
            <w:proofErr w:type="gramStart"/>
            <w:r w:rsidRPr="77BAF1D3">
              <w:rPr>
                <w:rFonts w:ascii="Calibri" w:eastAsia="Calibri" w:hAnsi="Calibri" w:cs="Calibri"/>
                <w:color w:val="000000" w:themeColor="text1"/>
                <w:sz w:val="18"/>
                <w:szCs w:val="18"/>
              </w:rPr>
              <w:t>248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14482E" w14:textId="5B1A75CA" w:rsidR="77BAF1D3" w:rsidRDefault="77BAF1D3" w:rsidP="003E0059">
            <w:pPr>
              <w:spacing w:after="0"/>
              <w:jc w:val="right"/>
            </w:pPr>
            <w:r w:rsidRPr="77BAF1D3">
              <w:rPr>
                <w:rFonts w:ascii="Calibri" w:eastAsia="Calibri" w:hAnsi="Calibri" w:cs="Calibri"/>
                <w:color w:val="000000" w:themeColor="text1"/>
                <w:sz w:val="18"/>
                <w:szCs w:val="18"/>
              </w:rPr>
              <w:t>1997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145200" w14:textId="0CE7653D" w:rsidR="77BAF1D3" w:rsidRDefault="77BAF1D3" w:rsidP="003E0059">
            <w:pPr>
              <w:spacing w:after="0"/>
              <w:jc w:val="right"/>
            </w:pPr>
            <w:r w:rsidRPr="77BAF1D3">
              <w:rPr>
                <w:rFonts w:ascii="Calibri" w:eastAsia="Calibri" w:hAnsi="Calibri" w:cs="Calibri"/>
                <w:color w:val="000000" w:themeColor="text1"/>
                <w:sz w:val="18"/>
                <w:szCs w:val="18"/>
              </w:rPr>
              <w:t>2027</w:t>
            </w:r>
          </w:p>
        </w:tc>
      </w:tr>
      <w:tr w:rsidR="77BAF1D3" w14:paraId="4CA1B3F7"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39A105"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75310B"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83C14A" w14:textId="54B5BF19" w:rsidR="77BAF1D3" w:rsidRDefault="77BAF1D3" w:rsidP="003E0059">
            <w:pPr>
              <w:spacing w:after="0"/>
            </w:pPr>
            <w:r w:rsidRPr="77BAF1D3">
              <w:rPr>
                <w:rFonts w:ascii="Calibri" w:eastAsia="Calibri" w:hAnsi="Calibri" w:cs="Calibri"/>
                <w:color w:val="000000" w:themeColor="text1"/>
                <w:sz w:val="18"/>
                <w:szCs w:val="18"/>
              </w:rPr>
              <w:t>Estrada de Ferro Vitória a Minas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CD02A5" w14:textId="1D7020C1" w:rsidR="77BAF1D3" w:rsidRDefault="77BAF1D3" w:rsidP="003E0059">
            <w:pPr>
              <w:spacing w:after="0"/>
              <w:jc w:val="right"/>
            </w:pPr>
            <w:proofErr w:type="gramStart"/>
            <w:r w:rsidRPr="77BAF1D3">
              <w:rPr>
                <w:rFonts w:ascii="Calibri" w:eastAsia="Calibri" w:hAnsi="Calibri" w:cs="Calibri"/>
                <w:color w:val="000000" w:themeColor="text1"/>
                <w:sz w:val="18"/>
                <w:szCs w:val="18"/>
              </w:rPr>
              <w:t>895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39340C" w14:textId="1CD39154" w:rsidR="77BAF1D3" w:rsidRDefault="77BAF1D3" w:rsidP="003E0059">
            <w:pPr>
              <w:spacing w:after="0"/>
              <w:jc w:val="right"/>
            </w:pPr>
            <w:r w:rsidRPr="77BAF1D3">
              <w:rPr>
                <w:rFonts w:ascii="Calibri" w:eastAsia="Calibri" w:hAnsi="Calibri" w:cs="Calibri"/>
                <w:color w:val="000000" w:themeColor="text1"/>
                <w:sz w:val="18"/>
                <w:szCs w:val="18"/>
              </w:rPr>
              <w:t>1997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0506D" w14:textId="0D438374" w:rsidR="77BAF1D3" w:rsidRDefault="77BAF1D3" w:rsidP="003E0059">
            <w:pPr>
              <w:spacing w:after="0"/>
              <w:jc w:val="right"/>
            </w:pPr>
            <w:r w:rsidRPr="77BAF1D3">
              <w:rPr>
                <w:rFonts w:ascii="Calibri" w:eastAsia="Calibri" w:hAnsi="Calibri" w:cs="Calibri"/>
                <w:color w:val="000000" w:themeColor="text1"/>
                <w:sz w:val="18"/>
                <w:szCs w:val="18"/>
              </w:rPr>
              <w:t>2027</w:t>
            </w:r>
          </w:p>
        </w:tc>
      </w:tr>
      <w:tr w:rsidR="77BAF1D3" w14:paraId="3C216CFB"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E54043"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EAF364"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029AF0" w14:textId="4B71AF29" w:rsidR="77BAF1D3" w:rsidRDefault="77BAF1D3" w:rsidP="003E0059">
            <w:pPr>
              <w:spacing w:after="0"/>
            </w:pPr>
            <w:r w:rsidRPr="77BAF1D3">
              <w:rPr>
                <w:rFonts w:ascii="Calibri" w:eastAsia="Calibri" w:hAnsi="Calibri" w:cs="Calibri"/>
                <w:color w:val="000000" w:themeColor="text1"/>
                <w:sz w:val="18"/>
                <w:szCs w:val="18"/>
              </w:rPr>
              <w:t>Ferrovia Centro-Atlântica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B1C14F" w14:textId="4570618F" w:rsidR="77BAF1D3" w:rsidRDefault="77BAF1D3" w:rsidP="003E0059">
            <w:pPr>
              <w:spacing w:after="0"/>
              <w:jc w:val="right"/>
            </w:pPr>
            <w:proofErr w:type="gramStart"/>
            <w:r w:rsidRPr="77BAF1D3">
              <w:rPr>
                <w:rFonts w:ascii="Calibri" w:eastAsia="Calibri" w:hAnsi="Calibri" w:cs="Calibri"/>
                <w:color w:val="000000" w:themeColor="text1"/>
                <w:sz w:val="18"/>
                <w:szCs w:val="18"/>
              </w:rPr>
              <w:t>7.223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ACE8AF" w14:textId="566C452C" w:rsidR="77BAF1D3" w:rsidRDefault="77BAF1D3" w:rsidP="003E0059">
            <w:pPr>
              <w:spacing w:after="0"/>
              <w:jc w:val="right"/>
            </w:pPr>
            <w:r w:rsidRPr="77BAF1D3">
              <w:rPr>
                <w:rFonts w:ascii="Calibri" w:eastAsia="Calibri" w:hAnsi="Calibri" w:cs="Calibri"/>
                <w:color w:val="000000" w:themeColor="text1"/>
                <w:sz w:val="18"/>
                <w:szCs w:val="18"/>
              </w:rPr>
              <w:t>1996</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AD146A" w14:textId="763F7217" w:rsidR="77BAF1D3" w:rsidRDefault="77BAF1D3" w:rsidP="003E0059">
            <w:pPr>
              <w:spacing w:after="0"/>
              <w:jc w:val="right"/>
            </w:pPr>
            <w:r w:rsidRPr="77BAF1D3">
              <w:rPr>
                <w:rFonts w:ascii="Calibri" w:eastAsia="Calibri" w:hAnsi="Calibri" w:cs="Calibri"/>
                <w:color w:val="000000" w:themeColor="text1"/>
                <w:sz w:val="18"/>
                <w:szCs w:val="18"/>
              </w:rPr>
              <w:t>2026</w:t>
            </w:r>
          </w:p>
        </w:tc>
      </w:tr>
      <w:tr w:rsidR="77BAF1D3" w14:paraId="3FB3B39E"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E272C8"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9D7870"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6E5089" w14:textId="26A5665B" w:rsidR="77BAF1D3" w:rsidRDefault="77BAF1D3" w:rsidP="003E0059">
            <w:pPr>
              <w:spacing w:after="0"/>
            </w:pPr>
            <w:r w:rsidRPr="77BAF1D3">
              <w:rPr>
                <w:rFonts w:ascii="Calibri" w:eastAsia="Calibri" w:hAnsi="Calibri" w:cs="Calibri"/>
                <w:color w:val="000000" w:themeColor="text1"/>
                <w:sz w:val="18"/>
                <w:szCs w:val="18"/>
              </w:rPr>
              <w:t>Malha Norte MS/MG/GO/MT/RO/PA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9F94FD" w14:textId="740796BB" w:rsidR="77BAF1D3" w:rsidRDefault="77BAF1D3" w:rsidP="003E0059">
            <w:pPr>
              <w:spacing w:after="0"/>
              <w:jc w:val="right"/>
            </w:pPr>
            <w:r w:rsidRPr="77BAF1D3">
              <w:rPr>
                <w:rFonts w:ascii="Calibri" w:eastAsia="Calibri" w:hAnsi="Calibri" w:cs="Calibri"/>
                <w:color w:val="000000" w:themeColor="text1"/>
                <w:sz w:val="18"/>
                <w:szCs w:val="18"/>
              </w:rPr>
              <w:t>735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2849A5" w14:textId="2E191125" w:rsidR="77BAF1D3" w:rsidRDefault="77BAF1D3" w:rsidP="003E0059">
            <w:pPr>
              <w:spacing w:after="0"/>
              <w:jc w:val="right"/>
            </w:pPr>
            <w:r w:rsidRPr="77BAF1D3">
              <w:rPr>
                <w:rFonts w:ascii="Calibri" w:eastAsia="Calibri" w:hAnsi="Calibri" w:cs="Calibri"/>
                <w:color w:val="000000" w:themeColor="text1"/>
                <w:sz w:val="18"/>
                <w:szCs w:val="18"/>
              </w:rPr>
              <w:t>1989</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5697BF" w14:textId="1F47155F" w:rsidR="77BAF1D3" w:rsidRDefault="77BAF1D3" w:rsidP="003E0059">
            <w:pPr>
              <w:spacing w:after="0"/>
              <w:jc w:val="right"/>
            </w:pPr>
            <w:r w:rsidRPr="77BAF1D3">
              <w:rPr>
                <w:rFonts w:ascii="Calibri" w:eastAsia="Calibri" w:hAnsi="Calibri" w:cs="Calibri"/>
                <w:color w:val="000000" w:themeColor="text1"/>
                <w:sz w:val="18"/>
                <w:szCs w:val="18"/>
              </w:rPr>
              <w:t>2079</w:t>
            </w:r>
          </w:p>
        </w:tc>
      </w:tr>
      <w:tr w:rsidR="77BAF1D3" w14:paraId="7C9411DB"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D4796E"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AAFD4C"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B2A7DA" w14:textId="6E9A822B" w:rsidR="77BAF1D3" w:rsidRDefault="77BAF1D3" w:rsidP="003E0059">
            <w:pPr>
              <w:spacing w:after="0"/>
            </w:pPr>
            <w:r w:rsidRPr="77BAF1D3">
              <w:rPr>
                <w:rFonts w:ascii="Calibri" w:eastAsia="Calibri" w:hAnsi="Calibri" w:cs="Calibri"/>
                <w:color w:val="000000" w:themeColor="text1"/>
                <w:sz w:val="18"/>
                <w:szCs w:val="18"/>
              </w:rPr>
              <w:t>Ferrovia Norte Sul Tramo Norte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4234B4" w14:textId="0D60B611" w:rsidR="77BAF1D3" w:rsidRDefault="77BAF1D3" w:rsidP="003E0059">
            <w:pPr>
              <w:spacing w:after="0"/>
              <w:jc w:val="right"/>
            </w:pPr>
            <w:r w:rsidRPr="77BAF1D3">
              <w:rPr>
                <w:rFonts w:ascii="Calibri" w:eastAsia="Calibri" w:hAnsi="Calibri" w:cs="Calibri"/>
                <w:color w:val="000000" w:themeColor="text1"/>
                <w:sz w:val="18"/>
                <w:szCs w:val="18"/>
              </w:rPr>
              <w:t>744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932D4D" w14:textId="28AAB6B8" w:rsidR="77BAF1D3" w:rsidRDefault="77BAF1D3" w:rsidP="003E0059">
            <w:pPr>
              <w:spacing w:after="0"/>
              <w:jc w:val="right"/>
            </w:pPr>
            <w:r w:rsidRPr="77BAF1D3">
              <w:rPr>
                <w:rFonts w:ascii="Calibri" w:eastAsia="Calibri" w:hAnsi="Calibri" w:cs="Calibri"/>
                <w:color w:val="000000" w:themeColor="text1"/>
                <w:sz w:val="18"/>
                <w:szCs w:val="18"/>
              </w:rPr>
              <w:t>2007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FACBA5" w14:textId="29A213C1" w:rsidR="77BAF1D3" w:rsidRDefault="77BAF1D3" w:rsidP="003E0059">
            <w:pPr>
              <w:spacing w:after="0"/>
              <w:jc w:val="right"/>
            </w:pPr>
            <w:r w:rsidRPr="77BAF1D3">
              <w:rPr>
                <w:rFonts w:ascii="Calibri" w:eastAsia="Calibri" w:hAnsi="Calibri" w:cs="Calibri"/>
                <w:color w:val="000000" w:themeColor="text1"/>
                <w:sz w:val="18"/>
                <w:szCs w:val="18"/>
              </w:rPr>
              <w:t>2037</w:t>
            </w:r>
          </w:p>
        </w:tc>
      </w:tr>
      <w:tr w:rsidR="77BAF1D3" w14:paraId="3E4CBF7F"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A3CF3C"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FB1373"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2531D9" w14:textId="2B3EAB72" w:rsidR="77BAF1D3" w:rsidRDefault="77BAF1D3" w:rsidP="003E0059">
            <w:pPr>
              <w:spacing w:after="0"/>
            </w:pPr>
            <w:r w:rsidRPr="77BAF1D3">
              <w:rPr>
                <w:rFonts w:ascii="Calibri" w:eastAsia="Calibri" w:hAnsi="Calibri" w:cs="Calibri"/>
                <w:color w:val="000000" w:themeColor="text1"/>
                <w:sz w:val="18"/>
                <w:szCs w:val="18"/>
              </w:rPr>
              <w:t>Malha Oeste MS/SP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18C67F" w14:textId="7965B202" w:rsidR="77BAF1D3" w:rsidRDefault="77BAF1D3" w:rsidP="003E0059">
            <w:pPr>
              <w:spacing w:after="0"/>
              <w:jc w:val="right"/>
            </w:pPr>
            <w:proofErr w:type="gramStart"/>
            <w:r w:rsidRPr="77BAF1D3">
              <w:rPr>
                <w:rFonts w:ascii="Calibri" w:eastAsia="Calibri" w:hAnsi="Calibri" w:cs="Calibri"/>
                <w:color w:val="000000" w:themeColor="text1"/>
                <w:sz w:val="18"/>
                <w:szCs w:val="18"/>
              </w:rPr>
              <w:t>1.973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00F47C" w14:textId="377374D8" w:rsidR="77BAF1D3" w:rsidRDefault="77BAF1D3" w:rsidP="003E0059">
            <w:pPr>
              <w:spacing w:after="0"/>
              <w:jc w:val="right"/>
            </w:pPr>
            <w:r w:rsidRPr="77BAF1D3">
              <w:rPr>
                <w:rFonts w:ascii="Calibri" w:eastAsia="Calibri" w:hAnsi="Calibri" w:cs="Calibri"/>
                <w:color w:val="000000" w:themeColor="text1"/>
                <w:sz w:val="18"/>
                <w:szCs w:val="18"/>
              </w:rPr>
              <w:t>1996</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3F932B" w14:textId="5239C670" w:rsidR="77BAF1D3" w:rsidRDefault="77BAF1D3" w:rsidP="003E0059">
            <w:pPr>
              <w:spacing w:after="0"/>
              <w:jc w:val="right"/>
            </w:pPr>
            <w:r w:rsidRPr="77BAF1D3">
              <w:rPr>
                <w:rFonts w:ascii="Calibri" w:eastAsia="Calibri" w:hAnsi="Calibri" w:cs="Calibri"/>
                <w:color w:val="000000" w:themeColor="text1"/>
                <w:sz w:val="18"/>
                <w:szCs w:val="18"/>
              </w:rPr>
              <w:t>2026</w:t>
            </w:r>
          </w:p>
        </w:tc>
      </w:tr>
      <w:tr w:rsidR="77BAF1D3" w14:paraId="074A1B8C"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7ECE1E"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4AA514"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CC05D8" w14:textId="00CD0F73" w:rsidR="77BAF1D3" w:rsidRDefault="77BAF1D3" w:rsidP="003E0059">
            <w:pPr>
              <w:spacing w:after="0"/>
            </w:pPr>
            <w:r w:rsidRPr="77BAF1D3">
              <w:rPr>
                <w:rFonts w:ascii="Calibri" w:eastAsia="Calibri" w:hAnsi="Calibri" w:cs="Calibri"/>
                <w:color w:val="000000" w:themeColor="text1"/>
                <w:sz w:val="18"/>
                <w:szCs w:val="18"/>
              </w:rPr>
              <w:t>Trecho Minas SC - Porto Tubarão SC</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D14704" w14:textId="52C0B8AA" w:rsidR="77BAF1D3" w:rsidRDefault="77BAF1D3" w:rsidP="003E0059">
            <w:pPr>
              <w:spacing w:after="0"/>
              <w:jc w:val="right"/>
            </w:pPr>
            <w:r w:rsidRPr="77BAF1D3">
              <w:rPr>
                <w:rFonts w:ascii="Calibri" w:eastAsia="Calibri" w:hAnsi="Calibri" w:cs="Calibri"/>
                <w:color w:val="000000" w:themeColor="text1"/>
                <w:sz w:val="18"/>
                <w:szCs w:val="18"/>
              </w:rPr>
              <w:t>163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951378" w14:textId="60AEC32D" w:rsidR="77BAF1D3" w:rsidRDefault="77BAF1D3" w:rsidP="003E0059">
            <w:pPr>
              <w:spacing w:after="0"/>
              <w:jc w:val="right"/>
            </w:pPr>
            <w:r w:rsidRPr="77BAF1D3">
              <w:rPr>
                <w:rFonts w:ascii="Calibri" w:eastAsia="Calibri" w:hAnsi="Calibri" w:cs="Calibri"/>
                <w:color w:val="000000" w:themeColor="text1"/>
                <w:sz w:val="18"/>
                <w:szCs w:val="18"/>
              </w:rPr>
              <w:t>1997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4EEA7A" w14:textId="6B7664D8" w:rsidR="77BAF1D3" w:rsidRDefault="77BAF1D3" w:rsidP="003E0059">
            <w:pPr>
              <w:spacing w:after="0"/>
              <w:jc w:val="right"/>
            </w:pPr>
            <w:r w:rsidRPr="77BAF1D3">
              <w:rPr>
                <w:rFonts w:ascii="Calibri" w:eastAsia="Calibri" w:hAnsi="Calibri" w:cs="Calibri"/>
                <w:color w:val="000000" w:themeColor="text1"/>
                <w:sz w:val="18"/>
                <w:szCs w:val="18"/>
              </w:rPr>
              <w:t>2027</w:t>
            </w:r>
          </w:p>
        </w:tc>
      </w:tr>
      <w:tr w:rsidR="77BAF1D3" w14:paraId="76AFC39F"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16C49C"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DD7AC5"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188C64" w14:textId="72AE098C" w:rsidR="77BAF1D3" w:rsidRDefault="77BAF1D3" w:rsidP="003E0059">
            <w:pPr>
              <w:spacing w:after="0"/>
            </w:pPr>
            <w:r w:rsidRPr="77BAF1D3">
              <w:rPr>
                <w:rFonts w:ascii="Calibri" w:eastAsia="Calibri" w:hAnsi="Calibri" w:cs="Calibri"/>
                <w:color w:val="000000" w:themeColor="text1"/>
                <w:sz w:val="18"/>
                <w:szCs w:val="18"/>
              </w:rPr>
              <w:t>Malha Paulista SP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94E3AE" w14:textId="6142B588" w:rsidR="77BAF1D3" w:rsidRDefault="77BAF1D3" w:rsidP="003E0059">
            <w:pPr>
              <w:spacing w:after="0"/>
              <w:jc w:val="right"/>
            </w:pPr>
            <w:proofErr w:type="gramStart"/>
            <w:r w:rsidRPr="77BAF1D3">
              <w:rPr>
                <w:rFonts w:ascii="Calibri" w:eastAsia="Calibri" w:hAnsi="Calibri" w:cs="Calibri"/>
                <w:color w:val="000000" w:themeColor="text1"/>
                <w:sz w:val="18"/>
                <w:szCs w:val="18"/>
              </w:rPr>
              <w:t>2.055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8C3DF1" w14:textId="26FEDFEE"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1F6EF9" w14:textId="7E56946B" w:rsidR="77BAF1D3" w:rsidRDefault="77BAF1D3" w:rsidP="003E0059">
            <w:pPr>
              <w:spacing w:after="0"/>
              <w:jc w:val="right"/>
            </w:pPr>
            <w:r w:rsidRPr="77BAF1D3">
              <w:rPr>
                <w:rFonts w:ascii="Calibri" w:eastAsia="Calibri" w:hAnsi="Calibri" w:cs="Calibri"/>
                <w:color w:val="000000" w:themeColor="text1"/>
                <w:sz w:val="18"/>
                <w:szCs w:val="18"/>
              </w:rPr>
              <w:t>2028</w:t>
            </w:r>
          </w:p>
        </w:tc>
      </w:tr>
      <w:tr w:rsidR="77BAF1D3" w14:paraId="02EEA9E7"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CE6B2C"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CEBDE4"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D60B5B" w14:textId="751CCCB1" w:rsidR="77BAF1D3" w:rsidRDefault="77BAF1D3" w:rsidP="003E0059">
            <w:pPr>
              <w:spacing w:after="0"/>
            </w:pPr>
            <w:r w:rsidRPr="77BAF1D3">
              <w:rPr>
                <w:rFonts w:ascii="Calibri" w:eastAsia="Calibri" w:hAnsi="Calibri" w:cs="Calibri"/>
                <w:color w:val="000000" w:themeColor="text1"/>
                <w:sz w:val="18"/>
                <w:szCs w:val="18"/>
              </w:rPr>
              <w:t>MRS Logística - Malha Sudeste RJ/MG/SP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30FFDB" w14:textId="3D0C3579" w:rsidR="77BAF1D3" w:rsidRDefault="77BAF1D3" w:rsidP="003E0059">
            <w:pPr>
              <w:spacing w:after="0"/>
              <w:jc w:val="right"/>
            </w:pPr>
            <w:proofErr w:type="gramStart"/>
            <w:r w:rsidRPr="77BAF1D3">
              <w:rPr>
                <w:rFonts w:ascii="Calibri" w:eastAsia="Calibri" w:hAnsi="Calibri" w:cs="Calibri"/>
                <w:color w:val="000000" w:themeColor="text1"/>
                <w:sz w:val="18"/>
                <w:szCs w:val="18"/>
              </w:rPr>
              <w:t>1.686 Km</w:t>
            </w:r>
            <w:proofErr w:type="gramEnd"/>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3EC19B" w14:textId="7C243F3D" w:rsidR="77BAF1D3" w:rsidRDefault="77BAF1D3" w:rsidP="003E0059">
            <w:pPr>
              <w:spacing w:after="0"/>
              <w:jc w:val="right"/>
            </w:pPr>
            <w:r w:rsidRPr="77BAF1D3">
              <w:rPr>
                <w:rFonts w:ascii="Calibri" w:eastAsia="Calibri" w:hAnsi="Calibri" w:cs="Calibri"/>
                <w:color w:val="000000" w:themeColor="text1"/>
                <w:sz w:val="18"/>
                <w:szCs w:val="18"/>
              </w:rPr>
              <w:t>1996</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48AB6C" w14:textId="1BF45977" w:rsidR="77BAF1D3" w:rsidRDefault="77BAF1D3" w:rsidP="003E0059">
            <w:pPr>
              <w:spacing w:after="0"/>
              <w:jc w:val="right"/>
            </w:pPr>
            <w:r w:rsidRPr="77BAF1D3">
              <w:rPr>
                <w:rFonts w:ascii="Calibri" w:eastAsia="Calibri" w:hAnsi="Calibri" w:cs="Calibri"/>
                <w:color w:val="000000" w:themeColor="text1"/>
                <w:sz w:val="18"/>
                <w:szCs w:val="18"/>
              </w:rPr>
              <w:t>2026</w:t>
            </w:r>
          </w:p>
        </w:tc>
      </w:tr>
      <w:tr w:rsidR="77BAF1D3" w14:paraId="16C2C1C5"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5BC714"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E3F566"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1CF456" w14:textId="7F0AA29B" w:rsidR="77BAF1D3" w:rsidRDefault="77BAF1D3" w:rsidP="003E0059">
            <w:pPr>
              <w:spacing w:after="0"/>
            </w:pPr>
            <w:r w:rsidRPr="77BAF1D3">
              <w:rPr>
                <w:rFonts w:ascii="Calibri" w:eastAsia="Calibri" w:hAnsi="Calibri" w:cs="Calibri"/>
                <w:color w:val="000000" w:themeColor="text1"/>
                <w:sz w:val="18"/>
                <w:szCs w:val="18"/>
              </w:rPr>
              <w:t xml:space="preserve">Ferrovia Norte Sul Tramo </w:t>
            </w:r>
            <w:r w:rsidRPr="77BAF1D3">
              <w:rPr>
                <w:rFonts w:ascii="Calibri" w:eastAsia="Calibri" w:hAnsi="Calibri" w:cs="Calibri"/>
                <w:color w:val="000000" w:themeColor="text1"/>
                <w:sz w:val="18"/>
                <w:szCs w:val="18"/>
              </w:rPr>
              <w:lastRenderedPageBreak/>
              <w:t>Central</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E6C049" w14:textId="73F11C24" w:rsidR="77BAF1D3" w:rsidRDefault="77BAF1D3" w:rsidP="003E0059">
            <w:pPr>
              <w:spacing w:after="0"/>
              <w:jc w:val="right"/>
            </w:pPr>
            <w:r w:rsidRPr="77BAF1D3">
              <w:rPr>
                <w:rFonts w:ascii="Calibri" w:eastAsia="Calibri" w:hAnsi="Calibri" w:cs="Calibri"/>
                <w:color w:val="000000" w:themeColor="text1"/>
                <w:sz w:val="18"/>
                <w:szCs w:val="18"/>
              </w:rPr>
              <w:lastRenderedPageBreak/>
              <w:t>855 km</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94897E" w14:textId="6A62511C" w:rsidR="77BAF1D3" w:rsidRDefault="77BAF1D3" w:rsidP="003E0059">
            <w:pPr>
              <w:spacing w:after="0"/>
              <w:jc w:val="right"/>
            </w:pPr>
            <w:r w:rsidRPr="77BAF1D3">
              <w:rPr>
                <w:rFonts w:ascii="Calibri" w:eastAsia="Calibri" w:hAnsi="Calibri" w:cs="Calibri"/>
                <w:color w:val="000000" w:themeColor="text1"/>
                <w:sz w:val="18"/>
                <w:szCs w:val="18"/>
              </w:rPr>
              <w:t>2019</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0FDD76" w14:textId="7018CAD7" w:rsidR="77BAF1D3" w:rsidRDefault="77BAF1D3" w:rsidP="003E0059">
            <w:pPr>
              <w:spacing w:after="0"/>
              <w:jc w:val="right"/>
            </w:pPr>
            <w:r w:rsidRPr="77BAF1D3">
              <w:rPr>
                <w:rFonts w:ascii="Calibri" w:eastAsia="Calibri" w:hAnsi="Calibri" w:cs="Calibri"/>
                <w:color w:val="000000" w:themeColor="text1"/>
                <w:sz w:val="18"/>
                <w:szCs w:val="18"/>
              </w:rPr>
              <w:t>2049</w:t>
            </w:r>
          </w:p>
        </w:tc>
      </w:tr>
      <w:tr w:rsidR="77BAF1D3" w14:paraId="42822EAD"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AC4C3E"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937D85"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FE08D6" w14:textId="6E1656AA" w:rsidR="77BAF1D3" w:rsidRDefault="77BAF1D3" w:rsidP="003E0059">
            <w:pPr>
              <w:spacing w:after="0"/>
            </w:pPr>
            <w:r w:rsidRPr="77BAF1D3">
              <w:rPr>
                <w:rFonts w:ascii="Calibri" w:eastAsia="Calibri" w:hAnsi="Calibri" w:cs="Calibri"/>
                <w:color w:val="000000" w:themeColor="text1"/>
                <w:sz w:val="18"/>
                <w:szCs w:val="18"/>
              </w:rPr>
              <w:t>Malha Nordeste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B30317" w14:textId="09C8E08D" w:rsidR="418D8983" w:rsidRDefault="77BAF1D3" w:rsidP="003E0059">
            <w:pPr>
              <w:spacing w:after="0"/>
              <w:jc w:val="right"/>
            </w:pPr>
            <w:r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01413D" w14:textId="0BDC9E1A"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F8129C" w14:textId="0D59F48F" w:rsidR="77BAF1D3" w:rsidRDefault="77BAF1D3" w:rsidP="003E0059">
            <w:pPr>
              <w:spacing w:after="0"/>
              <w:jc w:val="right"/>
            </w:pPr>
            <w:r w:rsidRPr="77BAF1D3">
              <w:rPr>
                <w:rFonts w:ascii="Calibri" w:eastAsia="Calibri" w:hAnsi="Calibri" w:cs="Calibri"/>
                <w:color w:val="000000" w:themeColor="text1"/>
                <w:sz w:val="18"/>
                <w:szCs w:val="18"/>
              </w:rPr>
              <w:t>-</w:t>
            </w:r>
          </w:p>
        </w:tc>
      </w:tr>
      <w:tr w:rsidR="77BAF1D3" w14:paraId="01244BAB" w14:textId="77777777" w:rsidTr="003E0059">
        <w:trPr>
          <w:trHeight w:val="495"/>
        </w:trPr>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29E6F6" w14:textId="5FCA4449" w:rsidR="77BAF1D3" w:rsidRDefault="77BAF1D3" w:rsidP="003E0059">
            <w:pPr>
              <w:spacing w:after="0"/>
              <w:jc w:val="center"/>
            </w:pPr>
            <w:r w:rsidRPr="77BAF1D3">
              <w:rPr>
                <w:rFonts w:ascii="Calibri" w:eastAsia="Calibri" w:hAnsi="Calibri" w:cs="Calibri"/>
                <w:color w:val="000000" w:themeColor="text1"/>
                <w:sz w:val="18"/>
                <w:szCs w:val="18"/>
              </w:rPr>
              <w:t>Transporte Rodoviário Interestadual</w:t>
            </w:r>
          </w:p>
        </w:tc>
        <w:tc>
          <w:tcPr>
            <w:tcW w:w="13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08A9A88" w14:textId="65E3E2C0" w:rsidR="77BAF1D3" w:rsidRDefault="77BAF1D3" w:rsidP="003E0059">
            <w:pPr>
              <w:spacing w:after="0"/>
              <w:jc w:val="center"/>
            </w:pPr>
            <w:r w:rsidRPr="77BAF1D3">
              <w:rPr>
                <w:rFonts w:ascii="Calibri" w:eastAsia="Calibri" w:hAnsi="Calibri" w:cs="Calibri"/>
                <w:color w:val="000000" w:themeColor="text1"/>
                <w:sz w:val="18"/>
                <w:szCs w:val="18"/>
              </w:rPr>
              <w:t>ANTT</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CBC13E" w14:textId="0A60C2DB" w:rsidR="77BAF1D3" w:rsidRDefault="77BAF1D3" w:rsidP="003E0059">
            <w:pPr>
              <w:spacing w:after="0"/>
            </w:pPr>
            <w:r w:rsidRPr="77BAF1D3">
              <w:rPr>
                <w:rFonts w:ascii="Calibri" w:eastAsia="Calibri" w:hAnsi="Calibri" w:cs="Calibri"/>
                <w:color w:val="000000" w:themeColor="text1"/>
                <w:sz w:val="18"/>
                <w:szCs w:val="18"/>
              </w:rPr>
              <w:t>Quotas de Exploração do Lote 4 - região do Distrito Federal e entorno</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106550F" w14:textId="7A5B3BBD" w:rsidR="31B9D7CD" w:rsidRDefault="77BAF1D3" w:rsidP="003E0059">
            <w:pPr>
              <w:spacing w:after="0"/>
              <w:jc w:val="right"/>
            </w:pPr>
            <w:r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3D9076" w14:textId="3ABA189B" w:rsidR="77BAF1D3" w:rsidRDefault="77BAF1D3" w:rsidP="003E0059">
            <w:pPr>
              <w:spacing w:after="0"/>
              <w:jc w:val="right"/>
            </w:pPr>
            <w:r w:rsidRPr="77BAF1D3">
              <w:rPr>
                <w:rFonts w:ascii="Calibri" w:eastAsia="Calibri" w:hAnsi="Calibri" w:cs="Calibri"/>
                <w:color w:val="000000" w:themeColor="text1"/>
                <w:sz w:val="18"/>
                <w:szCs w:val="18"/>
              </w:rPr>
              <w:t>2015</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D405AB" w14:textId="47E5CFCB" w:rsidR="77BAF1D3" w:rsidRDefault="77BAF1D3" w:rsidP="003E0059">
            <w:pPr>
              <w:spacing w:after="0"/>
              <w:jc w:val="right"/>
            </w:pPr>
            <w:r w:rsidRPr="77BAF1D3">
              <w:rPr>
                <w:rFonts w:ascii="Calibri" w:eastAsia="Calibri" w:hAnsi="Calibri" w:cs="Calibri"/>
                <w:color w:val="000000" w:themeColor="text1"/>
                <w:sz w:val="18"/>
                <w:szCs w:val="18"/>
              </w:rPr>
              <w:t>2030</w:t>
            </w:r>
          </w:p>
        </w:tc>
      </w:tr>
      <w:tr w:rsidR="77BAF1D3" w14:paraId="3B643AF2" w14:textId="77777777" w:rsidTr="003E0059">
        <w:tc>
          <w:tcPr>
            <w:tcW w:w="13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ED320D" w14:textId="783DF6DD" w:rsidR="77BAF1D3" w:rsidRDefault="77BAF1D3" w:rsidP="003E0059">
            <w:pPr>
              <w:spacing w:after="0"/>
              <w:jc w:val="center"/>
            </w:pPr>
            <w:r w:rsidRPr="77BAF1D3">
              <w:rPr>
                <w:rFonts w:ascii="Calibri" w:eastAsia="Calibri" w:hAnsi="Calibri" w:cs="Calibri"/>
                <w:color w:val="000000" w:themeColor="text1"/>
                <w:sz w:val="18"/>
                <w:szCs w:val="18"/>
              </w:rPr>
              <w:t>Aeroportuário</w:t>
            </w:r>
          </w:p>
        </w:tc>
        <w:tc>
          <w:tcPr>
            <w:tcW w:w="131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3CFD5E" w14:textId="6F0ED669" w:rsidR="77BAF1D3" w:rsidRDefault="77BAF1D3" w:rsidP="003E0059">
            <w:pPr>
              <w:spacing w:after="0"/>
              <w:jc w:val="center"/>
            </w:pPr>
            <w:r w:rsidRPr="77BAF1D3">
              <w:rPr>
                <w:rFonts w:ascii="Calibri" w:eastAsia="Calibri" w:hAnsi="Calibri" w:cs="Calibri"/>
                <w:color w:val="000000" w:themeColor="text1"/>
                <w:sz w:val="18"/>
                <w:szCs w:val="18"/>
              </w:rPr>
              <w:t>ANAC</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63D4D3" w14:textId="2490D0CD" w:rsidR="77BAF1D3" w:rsidRDefault="77BAF1D3" w:rsidP="003E0059">
            <w:pPr>
              <w:spacing w:after="0"/>
            </w:pPr>
            <w:r w:rsidRPr="77BAF1D3">
              <w:rPr>
                <w:rFonts w:ascii="Calibri" w:eastAsia="Calibri" w:hAnsi="Calibri" w:cs="Calibri"/>
                <w:sz w:val="18"/>
                <w:szCs w:val="18"/>
              </w:rPr>
              <w:t>Aeroporto de São Gonçalo do Amarante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0E1925" w14:textId="4B0789D2" w:rsidR="77BAF1D3" w:rsidRDefault="77BAF1D3" w:rsidP="003E0059">
            <w:pPr>
              <w:spacing w:after="0"/>
              <w:jc w:val="right"/>
            </w:pPr>
            <w:r w:rsidRPr="77BAF1D3">
              <w:rPr>
                <w:rFonts w:ascii="Calibri" w:eastAsia="Calibri" w:hAnsi="Calibri" w:cs="Calibri"/>
                <w:color w:val="000000" w:themeColor="text1"/>
                <w:sz w:val="18"/>
                <w:szCs w:val="18"/>
              </w:rPr>
              <w:t xml:space="preserve">15.291.381,99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F4DB1C" w14:textId="492A45D0" w:rsidR="77BAF1D3" w:rsidRDefault="77BAF1D3" w:rsidP="003E0059">
            <w:pPr>
              <w:spacing w:after="0"/>
              <w:jc w:val="right"/>
            </w:pPr>
            <w:r w:rsidRPr="77BAF1D3">
              <w:rPr>
                <w:rFonts w:ascii="Calibri" w:eastAsia="Calibri" w:hAnsi="Calibri" w:cs="Calibri"/>
                <w:color w:val="000000" w:themeColor="text1"/>
                <w:sz w:val="18"/>
                <w:szCs w:val="18"/>
              </w:rPr>
              <w:t>2012</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A99D3B" w14:textId="7664BF29" w:rsidR="77BAF1D3" w:rsidRDefault="77BAF1D3" w:rsidP="003E0059">
            <w:pPr>
              <w:spacing w:after="0"/>
              <w:jc w:val="right"/>
            </w:pPr>
            <w:r w:rsidRPr="77BAF1D3">
              <w:rPr>
                <w:rFonts w:ascii="Calibri" w:eastAsia="Calibri" w:hAnsi="Calibri" w:cs="Calibri"/>
                <w:color w:val="000000" w:themeColor="text1"/>
                <w:sz w:val="18"/>
                <w:szCs w:val="18"/>
              </w:rPr>
              <w:t>2040</w:t>
            </w:r>
          </w:p>
        </w:tc>
      </w:tr>
      <w:tr w:rsidR="77BAF1D3" w14:paraId="7046A694"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B6F18A"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FE13DA"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C76C63" w14:textId="2E630CB1" w:rsidR="77BAF1D3" w:rsidRDefault="77BAF1D3" w:rsidP="003E0059">
            <w:pPr>
              <w:spacing w:after="0"/>
            </w:pPr>
            <w:r w:rsidRPr="77BAF1D3">
              <w:rPr>
                <w:rFonts w:ascii="Calibri" w:eastAsia="Calibri" w:hAnsi="Calibri" w:cs="Calibri"/>
                <w:sz w:val="18"/>
                <w:szCs w:val="18"/>
              </w:rPr>
              <w:t>Aeroporto de Brasília S. 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B8E2B8" w14:textId="58049D92" w:rsidR="77BAF1D3" w:rsidRDefault="77BAF1D3" w:rsidP="003E0059">
            <w:pPr>
              <w:spacing w:after="0"/>
              <w:jc w:val="right"/>
            </w:pPr>
            <w:r w:rsidRPr="77BAF1D3">
              <w:rPr>
                <w:rFonts w:ascii="Calibri" w:eastAsia="Calibri" w:hAnsi="Calibri" w:cs="Calibri"/>
                <w:color w:val="000000" w:themeColor="text1"/>
                <w:sz w:val="18"/>
                <w:szCs w:val="18"/>
              </w:rPr>
              <w:t xml:space="preserve"> 9.947.560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CAF5F1" w14:textId="4985963B" w:rsidR="77BAF1D3" w:rsidRDefault="77BAF1D3" w:rsidP="003E0059">
            <w:pPr>
              <w:spacing w:after="0"/>
              <w:jc w:val="right"/>
            </w:pPr>
            <w:r w:rsidRPr="77BAF1D3">
              <w:rPr>
                <w:rFonts w:ascii="Calibri" w:eastAsia="Calibri" w:hAnsi="Calibri" w:cs="Calibri"/>
                <w:color w:val="000000" w:themeColor="text1"/>
                <w:sz w:val="18"/>
                <w:szCs w:val="18"/>
              </w:rPr>
              <w:t>2012</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53DC8C" w14:textId="1A8CB4CF" w:rsidR="77BAF1D3" w:rsidRDefault="77BAF1D3" w:rsidP="003E0059">
            <w:pPr>
              <w:spacing w:after="0"/>
              <w:jc w:val="right"/>
            </w:pPr>
            <w:r w:rsidRPr="77BAF1D3">
              <w:rPr>
                <w:rFonts w:ascii="Calibri" w:eastAsia="Calibri" w:hAnsi="Calibri" w:cs="Calibri"/>
                <w:color w:val="000000" w:themeColor="text1"/>
                <w:sz w:val="18"/>
                <w:szCs w:val="18"/>
              </w:rPr>
              <w:t>2037</w:t>
            </w:r>
          </w:p>
        </w:tc>
      </w:tr>
      <w:tr w:rsidR="77BAF1D3" w14:paraId="2CEC43D0"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A1D91D"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BBC531"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601C11" w14:textId="7DA6DB4D" w:rsidR="77BAF1D3" w:rsidRDefault="77BAF1D3" w:rsidP="003E0059">
            <w:pPr>
              <w:spacing w:after="0"/>
            </w:pPr>
            <w:r w:rsidRPr="77BAF1D3">
              <w:rPr>
                <w:rFonts w:ascii="Calibri" w:eastAsia="Calibri" w:hAnsi="Calibri" w:cs="Calibri"/>
                <w:sz w:val="18"/>
                <w:szCs w:val="18"/>
              </w:rPr>
              <w:t>Aeroporto Viracopos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4A1C31" w14:textId="2876557C" w:rsidR="77BAF1D3" w:rsidRDefault="77BAF1D3" w:rsidP="003E0059">
            <w:pPr>
              <w:spacing w:after="0"/>
              <w:jc w:val="right"/>
            </w:pPr>
            <w:r w:rsidRPr="77BAF1D3">
              <w:rPr>
                <w:rFonts w:ascii="Calibri" w:eastAsia="Calibri" w:hAnsi="Calibri" w:cs="Calibri"/>
                <w:color w:val="000000" w:themeColor="text1"/>
                <w:sz w:val="18"/>
                <w:szCs w:val="18"/>
              </w:rPr>
              <w:t xml:space="preserve"> 8.579.300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FF5011" w14:textId="2115C5F8" w:rsidR="77BAF1D3" w:rsidRDefault="77BAF1D3" w:rsidP="003E0059">
            <w:pPr>
              <w:spacing w:after="0"/>
              <w:jc w:val="right"/>
            </w:pPr>
            <w:r w:rsidRPr="77BAF1D3">
              <w:rPr>
                <w:rFonts w:ascii="Calibri" w:eastAsia="Calibri" w:hAnsi="Calibri" w:cs="Calibri"/>
                <w:color w:val="000000" w:themeColor="text1"/>
                <w:sz w:val="18"/>
                <w:szCs w:val="18"/>
              </w:rPr>
              <w:t>2012</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B0D3FD" w14:textId="5A9BC8F4" w:rsidR="77BAF1D3" w:rsidRDefault="77BAF1D3" w:rsidP="003E0059">
            <w:pPr>
              <w:spacing w:after="0"/>
              <w:jc w:val="right"/>
            </w:pPr>
            <w:r w:rsidRPr="77BAF1D3">
              <w:rPr>
                <w:rFonts w:ascii="Calibri" w:eastAsia="Calibri" w:hAnsi="Calibri" w:cs="Calibri"/>
                <w:color w:val="000000" w:themeColor="text1"/>
                <w:sz w:val="18"/>
                <w:szCs w:val="18"/>
              </w:rPr>
              <w:t>2042</w:t>
            </w:r>
          </w:p>
        </w:tc>
      </w:tr>
      <w:tr w:rsidR="77BAF1D3" w14:paraId="381152CA"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B7E945"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C11A1D"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F8FDB5" w14:textId="65912DFB" w:rsidR="77BAF1D3" w:rsidRDefault="77BAF1D3" w:rsidP="003E0059">
            <w:pPr>
              <w:spacing w:after="0"/>
            </w:pPr>
            <w:r w:rsidRPr="77BAF1D3">
              <w:rPr>
                <w:rFonts w:ascii="Calibri" w:eastAsia="Calibri" w:hAnsi="Calibri" w:cs="Calibri"/>
                <w:sz w:val="18"/>
                <w:szCs w:val="18"/>
              </w:rPr>
              <w:t xml:space="preserve"> Aeroporto Internacional de Guarulhos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A31A2A" w14:textId="5D53C9C1" w:rsidR="77BAF1D3" w:rsidRDefault="77BAF1D3" w:rsidP="003E0059">
            <w:pPr>
              <w:spacing w:after="0"/>
              <w:jc w:val="right"/>
            </w:pPr>
            <w:r w:rsidRPr="77BAF1D3">
              <w:rPr>
                <w:rFonts w:ascii="Calibri" w:eastAsia="Calibri" w:hAnsi="Calibri" w:cs="Calibri"/>
                <w:color w:val="000000" w:themeColor="text1"/>
                <w:sz w:val="18"/>
                <w:szCs w:val="18"/>
              </w:rPr>
              <w:t xml:space="preserve"> 11.905.056,52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3FB7B6" w14:textId="49783EA0" w:rsidR="77BAF1D3" w:rsidRDefault="77BAF1D3" w:rsidP="003E0059">
            <w:pPr>
              <w:spacing w:after="0"/>
              <w:jc w:val="right"/>
            </w:pPr>
            <w:r w:rsidRPr="77BAF1D3">
              <w:rPr>
                <w:rFonts w:ascii="Calibri" w:eastAsia="Calibri" w:hAnsi="Calibri" w:cs="Calibri"/>
                <w:color w:val="000000" w:themeColor="text1"/>
                <w:sz w:val="18"/>
                <w:szCs w:val="18"/>
              </w:rPr>
              <w:t>2012</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A960AD" w14:textId="721D84FB" w:rsidR="77BAF1D3" w:rsidRDefault="77BAF1D3" w:rsidP="003E0059">
            <w:pPr>
              <w:spacing w:after="0"/>
              <w:jc w:val="right"/>
            </w:pPr>
            <w:r w:rsidRPr="77BAF1D3">
              <w:rPr>
                <w:rFonts w:ascii="Calibri" w:eastAsia="Calibri" w:hAnsi="Calibri" w:cs="Calibri"/>
                <w:color w:val="000000" w:themeColor="text1"/>
                <w:sz w:val="18"/>
                <w:szCs w:val="18"/>
              </w:rPr>
              <w:t>2032</w:t>
            </w:r>
          </w:p>
        </w:tc>
      </w:tr>
      <w:tr w:rsidR="77BAF1D3" w14:paraId="3ACEEF5C"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1B640E"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672AA4"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15AB48" w14:textId="44BA717B" w:rsidR="77BAF1D3" w:rsidRDefault="77BAF1D3" w:rsidP="003E0059">
            <w:pPr>
              <w:spacing w:after="0"/>
            </w:pPr>
            <w:r w:rsidRPr="77BAF1D3">
              <w:rPr>
                <w:rFonts w:ascii="Calibri" w:eastAsia="Calibri" w:hAnsi="Calibri" w:cs="Calibri"/>
                <w:sz w:val="18"/>
                <w:szCs w:val="18"/>
              </w:rPr>
              <w:t xml:space="preserve"> Aeroporto Internacional de Confins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D8248C" w14:textId="5DF3D09D" w:rsidR="77BAF1D3" w:rsidRDefault="77BAF1D3" w:rsidP="003E0059">
            <w:pPr>
              <w:spacing w:after="0"/>
              <w:jc w:val="right"/>
            </w:pPr>
            <w:r w:rsidRPr="77BAF1D3">
              <w:rPr>
                <w:rFonts w:ascii="Calibri" w:eastAsia="Calibri" w:hAnsi="Calibri" w:cs="Calibri"/>
                <w:color w:val="000000" w:themeColor="text1"/>
                <w:sz w:val="18"/>
                <w:szCs w:val="18"/>
              </w:rPr>
              <w:t xml:space="preserve"> 15.175.129,34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53A40F" w14:textId="7DD3A9E8"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F93D4B" w14:textId="58C9A50F" w:rsidR="77BAF1D3" w:rsidRDefault="77BAF1D3" w:rsidP="003E0059">
            <w:pPr>
              <w:spacing w:after="0"/>
              <w:jc w:val="right"/>
            </w:pPr>
            <w:r w:rsidRPr="77BAF1D3">
              <w:rPr>
                <w:rFonts w:ascii="Calibri" w:eastAsia="Calibri" w:hAnsi="Calibri" w:cs="Calibri"/>
                <w:color w:val="000000" w:themeColor="text1"/>
                <w:sz w:val="18"/>
                <w:szCs w:val="18"/>
              </w:rPr>
              <w:t>2044</w:t>
            </w:r>
          </w:p>
        </w:tc>
      </w:tr>
      <w:tr w:rsidR="77BAF1D3" w14:paraId="71DA91E6"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35CE6C"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AC6CF3"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C65FBD" w14:textId="4AB5F2F9" w:rsidR="77BAF1D3" w:rsidRDefault="77BAF1D3" w:rsidP="003E0059">
            <w:pPr>
              <w:spacing w:after="0"/>
            </w:pPr>
            <w:r w:rsidRPr="77BAF1D3">
              <w:rPr>
                <w:rFonts w:ascii="Calibri" w:eastAsia="Calibri" w:hAnsi="Calibri" w:cs="Calibri"/>
                <w:sz w:val="18"/>
                <w:szCs w:val="18"/>
              </w:rPr>
              <w:t>Aeroporto Rio de Janeiro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A45AEF" w14:textId="1F496918" w:rsidR="77BAF1D3" w:rsidRDefault="77BAF1D3" w:rsidP="003E0059">
            <w:pPr>
              <w:spacing w:after="0"/>
              <w:jc w:val="right"/>
            </w:pPr>
            <w:r w:rsidRPr="77BAF1D3">
              <w:rPr>
                <w:rFonts w:ascii="Calibri" w:eastAsia="Calibri" w:hAnsi="Calibri" w:cs="Calibri"/>
                <w:color w:val="000000" w:themeColor="text1"/>
                <w:sz w:val="18"/>
                <w:szCs w:val="18"/>
              </w:rPr>
              <w:t xml:space="preserve"> 14.462.076,82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1748F1" w14:textId="74C88B83" w:rsidR="77BAF1D3" w:rsidRDefault="77BAF1D3" w:rsidP="003E0059">
            <w:pPr>
              <w:spacing w:after="0"/>
              <w:jc w:val="right"/>
            </w:pPr>
            <w:r w:rsidRPr="77BAF1D3">
              <w:rPr>
                <w:rFonts w:ascii="Calibri" w:eastAsia="Calibri" w:hAnsi="Calibri" w:cs="Calibri"/>
                <w:color w:val="000000" w:themeColor="text1"/>
                <w:sz w:val="18"/>
                <w:szCs w:val="18"/>
              </w:rPr>
              <w:t>2014</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E5EB4C" w14:textId="2518A60A" w:rsidR="77BAF1D3" w:rsidRDefault="77BAF1D3" w:rsidP="003E0059">
            <w:pPr>
              <w:spacing w:after="0"/>
              <w:jc w:val="right"/>
            </w:pPr>
            <w:r w:rsidRPr="77BAF1D3">
              <w:rPr>
                <w:rFonts w:ascii="Calibri" w:eastAsia="Calibri" w:hAnsi="Calibri" w:cs="Calibri"/>
                <w:color w:val="000000" w:themeColor="text1"/>
                <w:sz w:val="18"/>
                <w:szCs w:val="18"/>
              </w:rPr>
              <w:t>2039</w:t>
            </w:r>
          </w:p>
        </w:tc>
      </w:tr>
      <w:tr w:rsidR="77BAF1D3" w14:paraId="59867B25"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FC4D00"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19D654"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489CAD" w14:textId="32B77A29" w:rsidR="77BAF1D3" w:rsidRDefault="77BAF1D3" w:rsidP="003E0059">
            <w:pPr>
              <w:spacing w:after="0"/>
            </w:pPr>
            <w:r w:rsidRPr="77BAF1D3">
              <w:rPr>
                <w:rFonts w:ascii="Calibri" w:eastAsia="Calibri" w:hAnsi="Calibri" w:cs="Calibri"/>
                <w:sz w:val="18"/>
                <w:szCs w:val="18"/>
              </w:rPr>
              <w:t xml:space="preserve"> Aeroporto Internacional de Florianópolis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9AD32F" w14:textId="2A7125E5" w:rsidR="77BAF1D3" w:rsidRDefault="77BAF1D3" w:rsidP="003E0059">
            <w:pPr>
              <w:spacing w:after="0"/>
              <w:jc w:val="right"/>
            </w:pPr>
            <w:r w:rsidRPr="77BAF1D3">
              <w:rPr>
                <w:rFonts w:ascii="Calibri" w:eastAsia="Calibri" w:hAnsi="Calibri" w:cs="Calibri"/>
                <w:color w:val="000000" w:themeColor="text1"/>
                <w:sz w:val="18"/>
                <w:szCs w:val="18"/>
              </w:rPr>
              <w:t xml:space="preserve"> 4.796.332,01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8A4067" w14:textId="315460A9" w:rsidR="77BAF1D3" w:rsidRDefault="77BAF1D3" w:rsidP="003E0059">
            <w:pPr>
              <w:spacing w:after="0"/>
              <w:jc w:val="right"/>
            </w:pPr>
            <w:r w:rsidRPr="77BAF1D3">
              <w:rPr>
                <w:rFonts w:ascii="Calibri" w:eastAsia="Calibri" w:hAnsi="Calibri" w:cs="Calibri"/>
                <w:color w:val="000000" w:themeColor="text1"/>
                <w:sz w:val="18"/>
                <w:szCs w:val="18"/>
              </w:rPr>
              <w:t>2017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4FFBC3" w14:textId="3C2535BB" w:rsidR="77BAF1D3" w:rsidRDefault="77BAF1D3" w:rsidP="003E0059">
            <w:pPr>
              <w:spacing w:after="0"/>
              <w:jc w:val="right"/>
            </w:pPr>
            <w:r w:rsidRPr="77BAF1D3">
              <w:rPr>
                <w:rFonts w:ascii="Calibri" w:eastAsia="Calibri" w:hAnsi="Calibri" w:cs="Calibri"/>
                <w:color w:val="000000" w:themeColor="text1"/>
                <w:sz w:val="18"/>
                <w:szCs w:val="18"/>
              </w:rPr>
              <w:t>2047</w:t>
            </w:r>
          </w:p>
        </w:tc>
      </w:tr>
      <w:tr w:rsidR="77BAF1D3" w14:paraId="0C3B2249"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EA647D"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904519"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FB4CEE" w14:textId="7DF892F0" w:rsidR="77BAF1D3" w:rsidRDefault="77BAF1D3" w:rsidP="003E0059">
            <w:pPr>
              <w:spacing w:after="0"/>
            </w:pPr>
            <w:r w:rsidRPr="77BAF1D3">
              <w:rPr>
                <w:rFonts w:ascii="Calibri" w:eastAsia="Calibri" w:hAnsi="Calibri" w:cs="Calibri"/>
                <w:sz w:val="18"/>
                <w:szCs w:val="18"/>
              </w:rPr>
              <w:t>Aeroporto de Fortaleza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B3DD4B" w14:textId="5661A5DC" w:rsidR="77BAF1D3" w:rsidRDefault="77BAF1D3" w:rsidP="003E0059">
            <w:pPr>
              <w:spacing w:after="0"/>
              <w:jc w:val="right"/>
            </w:pPr>
            <w:r w:rsidRPr="77BAF1D3">
              <w:rPr>
                <w:rFonts w:ascii="Calibri" w:eastAsia="Calibri" w:hAnsi="Calibri" w:cs="Calibri"/>
                <w:color w:val="000000" w:themeColor="text1"/>
                <w:sz w:val="18"/>
                <w:szCs w:val="18"/>
              </w:rPr>
              <w:t xml:space="preserve"> 4.550.951,27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8DDE2D" w14:textId="6D163B43" w:rsidR="77BAF1D3" w:rsidRDefault="77BAF1D3" w:rsidP="003E0059">
            <w:pPr>
              <w:spacing w:after="0"/>
              <w:jc w:val="right"/>
            </w:pPr>
            <w:r w:rsidRPr="77BAF1D3">
              <w:rPr>
                <w:rFonts w:ascii="Calibri" w:eastAsia="Calibri" w:hAnsi="Calibri" w:cs="Calibri"/>
                <w:color w:val="000000" w:themeColor="text1"/>
                <w:sz w:val="18"/>
                <w:szCs w:val="18"/>
              </w:rPr>
              <w:t>2017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5BA5F4" w14:textId="6CFC2A7D" w:rsidR="77BAF1D3" w:rsidRDefault="77BAF1D3" w:rsidP="003E0059">
            <w:pPr>
              <w:spacing w:after="0"/>
              <w:jc w:val="right"/>
            </w:pPr>
            <w:r w:rsidRPr="77BAF1D3">
              <w:rPr>
                <w:rFonts w:ascii="Calibri" w:eastAsia="Calibri" w:hAnsi="Calibri" w:cs="Calibri"/>
                <w:color w:val="000000" w:themeColor="text1"/>
                <w:sz w:val="18"/>
                <w:szCs w:val="18"/>
              </w:rPr>
              <w:t>2047</w:t>
            </w:r>
          </w:p>
        </w:tc>
      </w:tr>
      <w:tr w:rsidR="77BAF1D3" w14:paraId="7FF40754"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37CF1B"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743C24"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DCF5DB" w14:textId="1EF7C4F5" w:rsidR="77BAF1D3" w:rsidRDefault="77BAF1D3" w:rsidP="003E0059">
            <w:pPr>
              <w:spacing w:after="0"/>
            </w:pPr>
            <w:r w:rsidRPr="77BAF1D3">
              <w:rPr>
                <w:rFonts w:ascii="Calibri" w:eastAsia="Calibri" w:hAnsi="Calibri" w:cs="Calibri"/>
                <w:sz w:val="18"/>
                <w:szCs w:val="18"/>
              </w:rPr>
              <w:t>Aeroporto de Porto Alegre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5DB2FC" w14:textId="0650F875" w:rsidR="77BAF1D3" w:rsidRDefault="77BAF1D3" w:rsidP="003E0059">
            <w:pPr>
              <w:spacing w:after="0"/>
              <w:jc w:val="right"/>
            </w:pPr>
            <w:r w:rsidRPr="77BAF1D3">
              <w:rPr>
                <w:rFonts w:ascii="Calibri" w:eastAsia="Calibri" w:hAnsi="Calibri" w:cs="Calibri"/>
                <w:color w:val="000000" w:themeColor="text1"/>
                <w:sz w:val="18"/>
                <w:szCs w:val="18"/>
              </w:rPr>
              <w:t xml:space="preserve"> 4.820.662,91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7AF15B" w14:textId="035D6154" w:rsidR="77BAF1D3" w:rsidRDefault="77BAF1D3" w:rsidP="003E0059">
            <w:pPr>
              <w:spacing w:after="0"/>
              <w:jc w:val="right"/>
            </w:pPr>
            <w:r w:rsidRPr="77BAF1D3">
              <w:rPr>
                <w:rFonts w:ascii="Calibri" w:eastAsia="Calibri" w:hAnsi="Calibri" w:cs="Calibri"/>
                <w:color w:val="000000" w:themeColor="text1"/>
                <w:sz w:val="18"/>
                <w:szCs w:val="18"/>
              </w:rPr>
              <w:t>2017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FE43BE" w14:textId="27D50797" w:rsidR="77BAF1D3" w:rsidRDefault="77BAF1D3" w:rsidP="003E0059">
            <w:pPr>
              <w:spacing w:after="0"/>
              <w:jc w:val="right"/>
            </w:pPr>
            <w:r w:rsidRPr="77BAF1D3">
              <w:rPr>
                <w:rFonts w:ascii="Calibri" w:eastAsia="Calibri" w:hAnsi="Calibri" w:cs="Calibri"/>
                <w:color w:val="000000" w:themeColor="text1"/>
                <w:sz w:val="18"/>
                <w:szCs w:val="18"/>
              </w:rPr>
              <w:t>2042</w:t>
            </w:r>
          </w:p>
        </w:tc>
      </w:tr>
      <w:tr w:rsidR="77BAF1D3" w14:paraId="5ACDED52"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3652A1"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89571"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F59993" w14:textId="1697B4DF" w:rsidR="77BAF1D3" w:rsidRDefault="77BAF1D3" w:rsidP="003E0059">
            <w:pPr>
              <w:spacing w:after="0"/>
            </w:pPr>
            <w:r w:rsidRPr="77BAF1D3">
              <w:rPr>
                <w:rFonts w:ascii="Calibri" w:eastAsia="Calibri" w:hAnsi="Calibri" w:cs="Calibri"/>
                <w:sz w:val="18"/>
                <w:szCs w:val="18"/>
              </w:rPr>
              <w:t>Aeroporto de Salvador S.A.</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C4F442" w14:textId="5BB2CE6D" w:rsidR="77BAF1D3" w:rsidRDefault="77BAF1D3" w:rsidP="003E0059">
            <w:pPr>
              <w:spacing w:after="0"/>
              <w:jc w:val="right"/>
            </w:pPr>
            <w:r w:rsidRPr="77BAF1D3">
              <w:rPr>
                <w:rFonts w:ascii="Calibri" w:eastAsia="Calibri" w:hAnsi="Calibri" w:cs="Calibri"/>
                <w:color w:val="000000" w:themeColor="text1"/>
                <w:sz w:val="18"/>
                <w:szCs w:val="18"/>
              </w:rPr>
              <w:t xml:space="preserve"> 8.248.488,25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A4E4FD" w14:textId="016F39E8" w:rsidR="77BAF1D3" w:rsidRDefault="77BAF1D3" w:rsidP="003E0059">
            <w:pPr>
              <w:spacing w:after="0"/>
              <w:jc w:val="right"/>
            </w:pPr>
            <w:r w:rsidRPr="77BAF1D3">
              <w:rPr>
                <w:rFonts w:ascii="Calibri" w:eastAsia="Calibri" w:hAnsi="Calibri" w:cs="Calibri"/>
                <w:color w:val="000000" w:themeColor="text1"/>
                <w:sz w:val="18"/>
                <w:szCs w:val="18"/>
              </w:rPr>
              <w:t>2017</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F6FC1E" w14:textId="60B80CAC" w:rsidR="77BAF1D3" w:rsidRDefault="77BAF1D3" w:rsidP="003E0059">
            <w:pPr>
              <w:spacing w:after="0"/>
              <w:jc w:val="right"/>
            </w:pPr>
            <w:r w:rsidRPr="77BAF1D3">
              <w:rPr>
                <w:rFonts w:ascii="Calibri" w:eastAsia="Calibri" w:hAnsi="Calibri" w:cs="Calibri"/>
                <w:color w:val="000000" w:themeColor="text1"/>
                <w:sz w:val="18"/>
                <w:szCs w:val="18"/>
              </w:rPr>
              <w:t>2047</w:t>
            </w:r>
          </w:p>
        </w:tc>
      </w:tr>
      <w:tr w:rsidR="77BAF1D3" w14:paraId="0401A343"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B1B78"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B602F3"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CE0EF2" w14:textId="4E2DD3E5" w:rsidR="77BAF1D3" w:rsidRDefault="77BAF1D3" w:rsidP="003E0059">
            <w:pPr>
              <w:spacing w:after="0"/>
            </w:pPr>
            <w:r w:rsidRPr="77BAF1D3">
              <w:rPr>
                <w:rFonts w:ascii="Calibri" w:eastAsia="Calibri" w:hAnsi="Calibri" w:cs="Calibri"/>
                <w:sz w:val="18"/>
                <w:szCs w:val="18"/>
              </w:rPr>
              <w:t xml:space="preserve">Aeroportos do Bloco Nordeste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111EBA" w14:textId="3CA7E550" w:rsidR="77BAF1D3" w:rsidRDefault="77BAF1D3" w:rsidP="003E0059">
            <w:pPr>
              <w:spacing w:after="0"/>
              <w:jc w:val="right"/>
            </w:pPr>
            <w:r w:rsidRPr="77BAF1D3">
              <w:rPr>
                <w:rFonts w:ascii="Calibri" w:eastAsia="Calibri" w:hAnsi="Calibri" w:cs="Calibri"/>
                <w:color w:val="000000" w:themeColor="text1"/>
                <w:sz w:val="18"/>
                <w:szCs w:val="18"/>
              </w:rPr>
              <w:t xml:space="preserve"> 16.964.710,9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8883C9" w14:textId="4D6DC3B5" w:rsidR="77BAF1D3" w:rsidRDefault="77BAF1D3" w:rsidP="003E0059">
            <w:pPr>
              <w:spacing w:after="0"/>
              <w:jc w:val="right"/>
            </w:pPr>
            <w:r w:rsidRPr="77BAF1D3">
              <w:rPr>
                <w:rFonts w:ascii="Calibri" w:eastAsia="Calibri" w:hAnsi="Calibri" w:cs="Calibri"/>
                <w:color w:val="000000" w:themeColor="text1"/>
                <w:sz w:val="18"/>
                <w:szCs w:val="18"/>
              </w:rPr>
              <w:t>2019</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1C583B" w14:textId="7E431F36" w:rsidR="77BAF1D3" w:rsidRDefault="77BAF1D3" w:rsidP="003E0059">
            <w:pPr>
              <w:spacing w:after="0"/>
              <w:jc w:val="right"/>
            </w:pPr>
            <w:r w:rsidRPr="77BAF1D3">
              <w:rPr>
                <w:rFonts w:ascii="Calibri" w:eastAsia="Calibri" w:hAnsi="Calibri" w:cs="Calibri"/>
                <w:color w:val="000000" w:themeColor="text1"/>
                <w:sz w:val="18"/>
                <w:szCs w:val="18"/>
              </w:rPr>
              <w:t>2049</w:t>
            </w:r>
          </w:p>
        </w:tc>
      </w:tr>
      <w:tr w:rsidR="77BAF1D3" w14:paraId="05B8E2B7"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C0E2B3"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B36343"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0E053C" w14:textId="0E70B499" w:rsidR="77BAF1D3" w:rsidRDefault="77BAF1D3" w:rsidP="003E0059">
            <w:pPr>
              <w:spacing w:after="0"/>
            </w:pPr>
            <w:r w:rsidRPr="77BAF1D3">
              <w:rPr>
                <w:rFonts w:ascii="Calibri" w:eastAsia="Calibri" w:hAnsi="Calibri" w:cs="Calibri"/>
                <w:sz w:val="18"/>
                <w:szCs w:val="18"/>
              </w:rPr>
              <w:t xml:space="preserve"> Aeroportos do Bloco Centro-Oeste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13898C" w14:textId="5BBFF076" w:rsidR="77BAF1D3" w:rsidRDefault="77BAF1D3" w:rsidP="003E0059">
            <w:pPr>
              <w:spacing w:after="0"/>
              <w:jc w:val="right"/>
            </w:pPr>
            <w:r w:rsidRPr="77BAF1D3">
              <w:rPr>
                <w:rFonts w:ascii="Calibri" w:eastAsia="Calibri" w:hAnsi="Calibri" w:cs="Calibri"/>
                <w:color w:val="000000" w:themeColor="text1"/>
                <w:sz w:val="18"/>
                <w:szCs w:val="18"/>
              </w:rPr>
              <w:t xml:space="preserve"> 14.412.631,4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B1A2AD" w14:textId="066AC2A9" w:rsidR="77BAF1D3" w:rsidRDefault="77BAF1D3" w:rsidP="003E0059">
            <w:pPr>
              <w:spacing w:after="0"/>
              <w:jc w:val="right"/>
            </w:pPr>
            <w:r w:rsidRPr="77BAF1D3">
              <w:rPr>
                <w:rFonts w:ascii="Calibri" w:eastAsia="Calibri" w:hAnsi="Calibri" w:cs="Calibri"/>
                <w:color w:val="000000" w:themeColor="text1"/>
                <w:sz w:val="18"/>
                <w:szCs w:val="18"/>
              </w:rPr>
              <w:t>2019</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398A36" w14:textId="0658E8B5" w:rsidR="77BAF1D3" w:rsidRDefault="77BAF1D3" w:rsidP="003E0059">
            <w:pPr>
              <w:spacing w:after="0"/>
              <w:jc w:val="right"/>
            </w:pPr>
            <w:r w:rsidRPr="77BAF1D3">
              <w:rPr>
                <w:rFonts w:ascii="Calibri" w:eastAsia="Calibri" w:hAnsi="Calibri" w:cs="Calibri"/>
                <w:color w:val="000000" w:themeColor="text1"/>
                <w:sz w:val="18"/>
                <w:szCs w:val="18"/>
              </w:rPr>
              <w:t>2049</w:t>
            </w:r>
          </w:p>
        </w:tc>
      </w:tr>
      <w:tr w:rsidR="77BAF1D3" w14:paraId="131DCF26"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C4215F"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A517F0"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E04BE1" w14:textId="0CCB6431" w:rsidR="77BAF1D3" w:rsidRDefault="77BAF1D3" w:rsidP="003E0059">
            <w:pPr>
              <w:spacing w:after="0"/>
            </w:pPr>
            <w:r w:rsidRPr="77BAF1D3">
              <w:rPr>
                <w:rFonts w:ascii="Calibri" w:eastAsia="Calibri" w:hAnsi="Calibri" w:cs="Calibri"/>
                <w:sz w:val="18"/>
                <w:szCs w:val="18"/>
              </w:rPr>
              <w:t xml:space="preserve">Aeroportos do Bloco Sudeste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A5CC5C" w14:textId="1E4434BB" w:rsidR="77BAF1D3" w:rsidRDefault="77BAF1D3" w:rsidP="003E0059">
            <w:pPr>
              <w:spacing w:after="0"/>
              <w:jc w:val="right"/>
            </w:pPr>
            <w:r w:rsidRPr="77BAF1D3">
              <w:rPr>
                <w:rFonts w:ascii="Calibri" w:eastAsia="Calibri" w:hAnsi="Calibri" w:cs="Calibri"/>
                <w:color w:val="000000" w:themeColor="text1"/>
                <w:sz w:val="18"/>
                <w:szCs w:val="18"/>
              </w:rPr>
              <w:t xml:space="preserve"> 7.661.213,21 m² </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F578CD" w14:textId="396CD8C3" w:rsidR="77BAF1D3" w:rsidRDefault="77BAF1D3" w:rsidP="003E0059">
            <w:pPr>
              <w:spacing w:after="0"/>
              <w:jc w:val="right"/>
            </w:pPr>
            <w:r w:rsidRPr="77BAF1D3">
              <w:rPr>
                <w:rFonts w:ascii="Calibri" w:eastAsia="Calibri" w:hAnsi="Calibri" w:cs="Calibri"/>
                <w:color w:val="000000" w:themeColor="text1"/>
                <w:sz w:val="18"/>
                <w:szCs w:val="18"/>
              </w:rPr>
              <w:t>2019</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A3D73F" w14:textId="190F0500" w:rsidR="77BAF1D3" w:rsidRDefault="77BAF1D3" w:rsidP="003E0059">
            <w:pPr>
              <w:spacing w:after="0"/>
              <w:jc w:val="right"/>
            </w:pPr>
            <w:r w:rsidRPr="77BAF1D3">
              <w:rPr>
                <w:rFonts w:ascii="Calibri" w:eastAsia="Calibri" w:hAnsi="Calibri" w:cs="Calibri"/>
                <w:color w:val="000000" w:themeColor="text1"/>
                <w:sz w:val="18"/>
                <w:szCs w:val="18"/>
              </w:rPr>
              <w:t>2049</w:t>
            </w:r>
          </w:p>
        </w:tc>
      </w:tr>
      <w:tr w:rsidR="77BAF1D3" w14:paraId="5E53A392" w14:textId="77777777" w:rsidTr="003E0059">
        <w:tc>
          <w:tcPr>
            <w:tcW w:w="13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98CFB8" w14:textId="5E316F6E" w:rsidR="77BAF1D3" w:rsidRDefault="77BAF1D3" w:rsidP="003E0059">
            <w:pPr>
              <w:spacing w:after="0"/>
              <w:jc w:val="center"/>
            </w:pPr>
            <w:r w:rsidRPr="77BAF1D3">
              <w:rPr>
                <w:rFonts w:ascii="Calibri" w:eastAsia="Calibri" w:hAnsi="Calibri" w:cs="Calibri"/>
                <w:color w:val="000000" w:themeColor="text1"/>
                <w:sz w:val="18"/>
                <w:szCs w:val="18"/>
              </w:rPr>
              <w:t>Serviço Telefônico Fixo Comutado</w:t>
            </w:r>
          </w:p>
        </w:tc>
        <w:tc>
          <w:tcPr>
            <w:tcW w:w="131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F3A02A3" w14:textId="0196E337" w:rsidR="77BAF1D3" w:rsidRDefault="77BAF1D3" w:rsidP="003E0059">
            <w:pPr>
              <w:spacing w:after="0"/>
              <w:jc w:val="center"/>
            </w:pPr>
            <w:r w:rsidRPr="77BAF1D3">
              <w:rPr>
                <w:rFonts w:ascii="Calibri" w:eastAsia="Calibri" w:hAnsi="Calibri" w:cs="Calibri"/>
                <w:color w:val="000000" w:themeColor="text1"/>
                <w:sz w:val="18"/>
                <w:szCs w:val="18"/>
              </w:rPr>
              <w:t>ANATEL</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A56230" w14:textId="54BECDBD" w:rsidR="77BAF1D3" w:rsidRDefault="77BAF1D3" w:rsidP="77BAF1D3">
            <w:pPr>
              <w:spacing w:after="0"/>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Serviço Local e Longa Distância Nacional - Região I (Setores 1,2, 4 a 17</w:t>
            </w:r>
            <w:proofErr w:type="gramStart"/>
            <w:r w:rsidRPr="77BAF1D3">
              <w:rPr>
                <w:rFonts w:ascii="Calibri" w:eastAsia="Calibri" w:hAnsi="Calibri" w:cs="Calibri"/>
                <w:color w:val="000000" w:themeColor="text1"/>
                <w:sz w:val="18"/>
                <w:szCs w:val="18"/>
              </w:rPr>
              <w:t>)</w:t>
            </w:r>
            <w:proofErr w:type="gramEnd"/>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766478" w14:textId="188AD737" w:rsidR="1CE46815" w:rsidRDefault="1CE46815"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1902025" w14:textId="472E0CAC" w:rsidR="4DF3F8A2" w:rsidRDefault="77BAF1D3"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C4944F" w14:textId="7D9B3ADC" w:rsidR="4DF3F8A2" w:rsidRDefault="77BAF1D3"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2025</w:t>
            </w:r>
          </w:p>
        </w:tc>
      </w:tr>
      <w:tr w:rsidR="77BAF1D3" w14:paraId="58E6742B"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81A758"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8D9BB0"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F52B48" w14:textId="2B491CEB" w:rsidR="77BAF1D3" w:rsidRDefault="77BAF1D3" w:rsidP="003E0059">
            <w:pPr>
              <w:spacing w:after="0"/>
            </w:pPr>
            <w:r w:rsidRPr="77BAF1D3">
              <w:rPr>
                <w:rFonts w:ascii="Calibri" w:eastAsia="Calibri" w:hAnsi="Calibri" w:cs="Calibri"/>
                <w:color w:val="000000" w:themeColor="text1"/>
                <w:sz w:val="18"/>
                <w:szCs w:val="18"/>
              </w:rPr>
              <w:t xml:space="preserve">Serviço Local e Longa Distância Nacional - Região I (Setor </w:t>
            </w:r>
            <w:proofErr w:type="gramStart"/>
            <w:r w:rsidRPr="77BAF1D3">
              <w:rPr>
                <w:rFonts w:ascii="Calibri" w:eastAsia="Calibri" w:hAnsi="Calibri" w:cs="Calibri"/>
                <w:color w:val="000000" w:themeColor="text1"/>
                <w:sz w:val="18"/>
                <w:szCs w:val="18"/>
              </w:rPr>
              <w:t>3</w:t>
            </w:r>
            <w:proofErr w:type="gramEnd"/>
            <w:r w:rsidRPr="77BAF1D3">
              <w:rPr>
                <w:rFonts w:ascii="Calibri" w:eastAsia="Calibri" w:hAnsi="Calibri" w:cs="Calibri"/>
                <w:color w:val="000000" w:themeColor="text1"/>
                <w:sz w:val="18"/>
                <w:szCs w:val="18"/>
              </w:rPr>
              <w: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6824F5" w14:textId="62439B5A" w:rsidR="5661345F" w:rsidRDefault="5661345F"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6380253" w14:textId="76008456"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AFB5E4" w14:textId="3E8789E6" w:rsidR="77BAF1D3" w:rsidRDefault="77BAF1D3" w:rsidP="003E0059">
            <w:pPr>
              <w:spacing w:after="0"/>
              <w:jc w:val="right"/>
            </w:pPr>
            <w:r w:rsidRPr="77BAF1D3">
              <w:rPr>
                <w:rFonts w:ascii="Calibri" w:eastAsia="Calibri" w:hAnsi="Calibri" w:cs="Calibri"/>
                <w:color w:val="000000" w:themeColor="text1"/>
                <w:sz w:val="18"/>
                <w:szCs w:val="18"/>
              </w:rPr>
              <w:t>2025</w:t>
            </w:r>
          </w:p>
        </w:tc>
      </w:tr>
      <w:tr w:rsidR="77BAF1D3" w14:paraId="4F4BDC94" w14:textId="77777777" w:rsidTr="003E0059">
        <w:trPr>
          <w:trHeight w:val="49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351120"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6B23B2"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69B528" w14:textId="2AB3FD3C" w:rsidR="77BAF1D3" w:rsidRDefault="77BAF1D3" w:rsidP="003E0059">
            <w:pPr>
              <w:spacing w:after="0"/>
            </w:pPr>
            <w:r w:rsidRPr="77BAF1D3">
              <w:rPr>
                <w:rFonts w:ascii="Calibri" w:eastAsia="Calibri" w:hAnsi="Calibri" w:cs="Calibri"/>
                <w:color w:val="000000" w:themeColor="text1"/>
                <w:sz w:val="18"/>
                <w:szCs w:val="18"/>
              </w:rPr>
              <w:t>Serviço Local e Longa Distância Nacional - Região II (18, 19, 21, 23, 24, 26 a 29</w:t>
            </w:r>
            <w:proofErr w:type="gramStart"/>
            <w:r w:rsidRPr="77BAF1D3">
              <w:rPr>
                <w:rFonts w:ascii="Calibri" w:eastAsia="Calibri" w:hAnsi="Calibri" w:cs="Calibri"/>
                <w:color w:val="000000" w:themeColor="text1"/>
                <w:sz w:val="18"/>
                <w:szCs w:val="18"/>
              </w:rPr>
              <w:t>)</w:t>
            </w:r>
            <w:proofErr w:type="gramEnd"/>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B581E2" w14:textId="02EB4BCE" w:rsidR="6C80E3E0" w:rsidRDefault="6C80E3E0"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C22809" w14:textId="3A4243C4"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F5807C3" w14:textId="0FFEEBE1" w:rsidR="77BAF1D3" w:rsidRDefault="77BAF1D3" w:rsidP="003E0059">
            <w:pPr>
              <w:spacing w:after="0"/>
              <w:jc w:val="right"/>
            </w:pPr>
            <w:r w:rsidRPr="77BAF1D3">
              <w:rPr>
                <w:rFonts w:ascii="Calibri" w:eastAsia="Calibri" w:hAnsi="Calibri" w:cs="Calibri"/>
                <w:color w:val="000000" w:themeColor="text1"/>
                <w:sz w:val="18"/>
                <w:szCs w:val="18"/>
              </w:rPr>
              <w:t>2025</w:t>
            </w:r>
          </w:p>
        </w:tc>
      </w:tr>
      <w:tr w:rsidR="77BAF1D3" w14:paraId="70CAD1CE"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E9B04A"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A60156"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2B3B85" w14:textId="68F8E768" w:rsidR="77BAF1D3" w:rsidRDefault="77BAF1D3" w:rsidP="003E0059">
            <w:pPr>
              <w:spacing w:after="0"/>
            </w:pPr>
            <w:r w:rsidRPr="77BAF1D3">
              <w:rPr>
                <w:rFonts w:ascii="Calibri" w:eastAsia="Calibri" w:hAnsi="Calibri" w:cs="Calibri"/>
                <w:color w:val="000000" w:themeColor="text1"/>
                <w:sz w:val="18"/>
                <w:szCs w:val="18"/>
              </w:rPr>
              <w:t>Serviço Local e Longa Distância Nacional - Região II (Setor 20)</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772CED" w14:textId="0E226D9C" w:rsidR="32E0CC20" w:rsidRDefault="32E0CC20"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EEBA502" w14:textId="74733EA3"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C962BE" w14:textId="6075679D" w:rsidR="77BAF1D3" w:rsidRDefault="77BAF1D3" w:rsidP="003E0059">
            <w:pPr>
              <w:spacing w:after="0"/>
              <w:jc w:val="right"/>
            </w:pPr>
            <w:r w:rsidRPr="77BAF1D3">
              <w:rPr>
                <w:rFonts w:ascii="Calibri" w:eastAsia="Calibri" w:hAnsi="Calibri" w:cs="Calibri"/>
                <w:color w:val="000000" w:themeColor="text1"/>
                <w:sz w:val="18"/>
                <w:szCs w:val="18"/>
              </w:rPr>
              <w:t>2025</w:t>
            </w:r>
          </w:p>
        </w:tc>
      </w:tr>
      <w:tr w:rsidR="77BAF1D3" w14:paraId="39F0F20D"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62D089"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FBCC85"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8ADF02" w14:textId="3F2A3538" w:rsidR="77BAF1D3" w:rsidRDefault="77BAF1D3" w:rsidP="003E0059">
            <w:pPr>
              <w:spacing w:after="0"/>
            </w:pPr>
            <w:r w:rsidRPr="77BAF1D3">
              <w:rPr>
                <w:rFonts w:ascii="Calibri" w:eastAsia="Calibri" w:hAnsi="Calibri" w:cs="Calibri"/>
                <w:color w:val="000000" w:themeColor="text1"/>
                <w:sz w:val="18"/>
                <w:szCs w:val="18"/>
              </w:rPr>
              <w:t>Serviço Local e Longa Distância Nacional - Região II (Setores 22 e 25)</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27C8F0" w14:textId="16CD8E02" w:rsidR="7E700E86" w:rsidRDefault="7E700E86"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EEB207" w14:textId="7C5F3B11"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A361E3" w14:textId="47E7413C" w:rsidR="77BAF1D3" w:rsidRDefault="77BAF1D3" w:rsidP="003E0059">
            <w:pPr>
              <w:spacing w:after="0"/>
              <w:jc w:val="right"/>
            </w:pPr>
            <w:r w:rsidRPr="77BAF1D3">
              <w:rPr>
                <w:rFonts w:ascii="Calibri" w:eastAsia="Calibri" w:hAnsi="Calibri" w:cs="Calibri"/>
                <w:color w:val="000000" w:themeColor="text1"/>
                <w:sz w:val="18"/>
                <w:szCs w:val="18"/>
              </w:rPr>
              <w:t>2025</w:t>
            </w:r>
          </w:p>
        </w:tc>
      </w:tr>
      <w:tr w:rsidR="77BAF1D3" w14:paraId="740EFF7A"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B609F7"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88A24C"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90DC17" w14:textId="6EDFAA34" w:rsidR="77BAF1D3" w:rsidRDefault="77BAF1D3" w:rsidP="003E0059">
            <w:pPr>
              <w:spacing w:after="0"/>
            </w:pPr>
            <w:r w:rsidRPr="77BAF1D3">
              <w:rPr>
                <w:rFonts w:ascii="Calibri" w:eastAsia="Calibri" w:hAnsi="Calibri" w:cs="Calibri"/>
                <w:color w:val="000000" w:themeColor="text1"/>
                <w:sz w:val="18"/>
                <w:szCs w:val="18"/>
              </w:rPr>
              <w:t>Serviço Local e Longa Distância Nacional - Região III (Setor 31)</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F4BD60" w14:textId="4E4B7180" w:rsidR="009C4A38" w:rsidRDefault="009C4A38"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972E82D" w14:textId="3570A4DA"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EE0428" w14:textId="195F4ED2" w:rsidR="77BAF1D3" w:rsidRDefault="77BAF1D3" w:rsidP="003E0059">
            <w:pPr>
              <w:spacing w:after="0"/>
              <w:jc w:val="right"/>
            </w:pPr>
            <w:r w:rsidRPr="77BAF1D3">
              <w:rPr>
                <w:rFonts w:ascii="Calibri" w:eastAsia="Calibri" w:hAnsi="Calibri" w:cs="Calibri"/>
                <w:color w:val="000000" w:themeColor="text1"/>
                <w:sz w:val="18"/>
                <w:szCs w:val="18"/>
              </w:rPr>
              <w:t>2025</w:t>
            </w:r>
          </w:p>
        </w:tc>
      </w:tr>
      <w:tr w:rsidR="77BAF1D3" w14:paraId="30B6C9FB" w14:textId="77777777" w:rsidTr="003E0059">
        <w:trPr>
          <w:trHeight w:val="28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1B4DE"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C92865"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409ABB" w14:textId="0AA194E7" w:rsidR="77BAF1D3" w:rsidRDefault="77BAF1D3" w:rsidP="003E0059">
            <w:pPr>
              <w:spacing w:after="0"/>
            </w:pPr>
            <w:r w:rsidRPr="77BAF1D3">
              <w:rPr>
                <w:rFonts w:ascii="Calibri" w:eastAsia="Calibri" w:hAnsi="Calibri" w:cs="Calibri"/>
                <w:color w:val="000000" w:themeColor="text1"/>
                <w:sz w:val="18"/>
                <w:szCs w:val="18"/>
              </w:rPr>
              <w:t>Serviço Local e Longa Distância Nacional - Região III (Setor 33)</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B16AA8" w14:textId="7F6B7654" w:rsidR="265A30CC" w:rsidRDefault="265A30CC"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34A316" w14:textId="1F4D0F32"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99B7DD" w14:textId="250B4296" w:rsidR="77BAF1D3" w:rsidRDefault="77BAF1D3" w:rsidP="003E0059">
            <w:pPr>
              <w:spacing w:after="0"/>
              <w:jc w:val="right"/>
            </w:pPr>
            <w:r w:rsidRPr="77BAF1D3">
              <w:rPr>
                <w:rFonts w:ascii="Calibri" w:eastAsia="Calibri" w:hAnsi="Calibri" w:cs="Calibri"/>
                <w:color w:val="000000" w:themeColor="text1"/>
                <w:sz w:val="18"/>
                <w:szCs w:val="18"/>
              </w:rPr>
              <w:t>2025</w:t>
            </w:r>
          </w:p>
        </w:tc>
      </w:tr>
      <w:tr w:rsidR="77BAF1D3" w14:paraId="0A18439E" w14:textId="77777777" w:rsidTr="003E0059">
        <w:trPr>
          <w:trHeight w:val="495"/>
        </w:trPr>
        <w:tc>
          <w:tcPr>
            <w:tcW w:w="133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1977D3" w14:textId="77777777" w:rsidR="00422732" w:rsidRDefault="00422732" w:rsidP="003E0059">
            <w:pPr>
              <w:spacing w:after="0"/>
            </w:pPr>
          </w:p>
        </w:tc>
        <w:tc>
          <w:tcPr>
            <w:tcW w:w="131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D4E569" w14:textId="77777777" w:rsidR="00422732" w:rsidRDefault="00422732" w:rsidP="003E0059">
            <w:pPr>
              <w:spacing w:after="0"/>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BA9132" w14:textId="47881B29" w:rsidR="77BAF1D3" w:rsidRDefault="77BAF1D3" w:rsidP="003E0059">
            <w:pPr>
              <w:spacing w:after="0"/>
            </w:pPr>
            <w:r w:rsidRPr="77BAF1D3">
              <w:rPr>
                <w:rFonts w:ascii="Calibri" w:eastAsia="Calibri" w:hAnsi="Calibri" w:cs="Calibri"/>
                <w:color w:val="000000" w:themeColor="text1"/>
                <w:sz w:val="18"/>
                <w:szCs w:val="18"/>
              </w:rPr>
              <w:t>Serviço Longa Distância Nacional e Longa Distância Internacional - Região IV (Setores 1 a 33)</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4D3A66" w14:textId="0AA208E7" w:rsidR="4EBC9693" w:rsidRDefault="4EBC9693" w:rsidP="003E0059">
            <w:pPr>
              <w:spacing w:after="0"/>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357533" w14:textId="2AF5D90D" w:rsidR="77BAF1D3" w:rsidRDefault="77BAF1D3" w:rsidP="003E0059">
            <w:pPr>
              <w:spacing w:after="0"/>
              <w:jc w:val="right"/>
            </w:pPr>
            <w:r w:rsidRPr="77BAF1D3">
              <w:rPr>
                <w:rFonts w:ascii="Calibri" w:eastAsia="Calibri" w:hAnsi="Calibri" w:cs="Calibri"/>
                <w:color w:val="000000" w:themeColor="text1"/>
                <w:sz w:val="18"/>
                <w:szCs w:val="18"/>
              </w:rPr>
              <w:t>1998</w:t>
            </w:r>
          </w:p>
        </w:tc>
        <w:tc>
          <w:tcPr>
            <w:tcW w:w="1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A42CC1" w14:textId="15187A4C" w:rsidR="77BAF1D3" w:rsidRDefault="77BAF1D3" w:rsidP="003E0059">
            <w:pPr>
              <w:spacing w:after="0"/>
              <w:jc w:val="right"/>
            </w:pPr>
            <w:r w:rsidRPr="77BAF1D3">
              <w:rPr>
                <w:rFonts w:ascii="Calibri" w:eastAsia="Calibri" w:hAnsi="Calibri" w:cs="Calibri"/>
                <w:color w:val="000000" w:themeColor="text1"/>
                <w:sz w:val="18"/>
                <w:szCs w:val="18"/>
              </w:rPr>
              <w:t>2025</w:t>
            </w:r>
          </w:p>
        </w:tc>
      </w:tr>
    </w:tbl>
    <w:p w14:paraId="613A55DB" w14:textId="2E7F486E" w:rsidR="77BAF1D3" w:rsidRDefault="77BAF1D3" w:rsidP="77BAF1D3"/>
    <w:tbl>
      <w:tblPr>
        <w:tblStyle w:val="Tabelacomgrade"/>
        <w:tblW w:w="10275" w:type="dxa"/>
        <w:tblLayout w:type="fixed"/>
        <w:tblLook w:val="06A0" w:firstRow="1" w:lastRow="0" w:firstColumn="1" w:lastColumn="0" w:noHBand="1" w:noVBand="1"/>
      </w:tblPr>
      <w:tblGrid>
        <w:gridCol w:w="1268"/>
        <w:gridCol w:w="1385"/>
        <w:gridCol w:w="2445"/>
        <w:gridCol w:w="2012"/>
        <w:gridCol w:w="1185"/>
        <w:gridCol w:w="1620"/>
        <w:gridCol w:w="360"/>
      </w:tblGrid>
      <w:tr w:rsidR="77BAF1D3" w14:paraId="1C561773" w14:textId="77777777" w:rsidTr="00554BD6">
        <w:trPr>
          <w:gridAfter w:val="1"/>
          <w:wAfter w:w="360" w:type="dxa"/>
          <w:trHeight w:val="480"/>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92238FE" w14:textId="20A5F7EE" w:rsidR="77BAF1D3" w:rsidRDefault="77BAF1D3" w:rsidP="77BAF1D3">
            <w:pPr>
              <w:jc w:val="center"/>
            </w:pPr>
            <w:r w:rsidRPr="77BAF1D3">
              <w:rPr>
                <w:rFonts w:ascii="Calibri" w:eastAsia="Calibri" w:hAnsi="Calibri" w:cs="Calibri"/>
                <w:b/>
                <w:bCs/>
                <w:color w:val="FFFFFF" w:themeColor="background1"/>
                <w:sz w:val="18"/>
                <w:szCs w:val="18"/>
              </w:rPr>
              <w:t>Setor da Concessão</w:t>
            </w:r>
            <w:r w:rsidRPr="77BAF1D3">
              <w:rPr>
                <w:rFonts w:ascii="Calibri" w:eastAsia="Calibri" w:hAnsi="Calibri" w:cs="Calibri"/>
                <w:color w:val="FFFFFF" w:themeColor="background1"/>
                <w:sz w:val="18"/>
                <w:szCs w:val="18"/>
              </w:rPr>
              <w:t xml:space="preserve"> </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2EF77205" w14:textId="2391A85B" w:rsidR="77BAF1D3" w:rsidRDefault="77BAF1D3" w:rsidP="77BAF1D3">
            <w:pPr>
              <w:jc w:val="center"/>
            </w:pPr>
            <w:r w:rsidRPr="77BAF1D3">
              <w:rPr>
                <w:rFonts w:ascii="Calibri" w:eastAsia="Calibri" w:hAnsi="Calibri" w:cs="Calibri"/>
                <w:b/>
                <w:bCs/>
                <w:color w:val="FFFFFF" w:themeColor="background1"/>
                <w:sz w:val="18"/>
                <w:szCs w:val="18"/>
              </w:rPr>
              <w:t>Agência Reguladora responsável</w:t>
            </w:r>
            <w:r w:rsidRPr="77BAF1D3">
              <w:rPr>
                <w:rFonts w:ascii="Calibri" w:eastAsia="Calibri" w:hAnsi="Calibri" w:cs="Calibri"/>
                <w:color w:val="FFFFFF" w:themeColor="background1"/>
                <w:sz w:val="18"/>
                <w:szCs w:val="18"/>
              </w:rPr>
              <w:t xml:space="preserve"> </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0843AAD" w14:textId="77DFC3FB" w:rsidR="77BAF1D3" w:rsidRDefault="77BAF1D3" w:rsidP="77BAF1D3">
            <w:pPr>
              <w:jc w:val="center"/>
            </w:pPr>
            <w:r w:rsidRPr="77BAF1D3">
              <w:rPr>
                <w:rFonts w:ascii="Calibri" w:eastAsia="Calibri" w:hAnsi="Calibri" w:cs="Calibri"/>
                <w:b/>
                <w:bCs/>
                <w:color w:val="FFFFFF" w:themeColor="background1"/>
                <w:sz w:val="18"/>
                <w:szCs w:val="18"/>
              </w:rPr>
              <w:t>Objeto do contrato de concessão</w:t>
            </w:r>
            <w:r w:rsidRPr="77BAF1D3">
              <w:rPr>
                <w:rFonts w:ascii="Calibri" w:eastAsia="Calibri" w:hAnsi="Calibri" w:cs="Calibri"/>
                <w:color w:val="FFFFFF" w:themeColor="background1"/>
                <w:sz w:val="18"/>
                <w:szCs w:val="18"/>
              </w:rPr>
              <w:t xml:space="preserve"> </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67A7C37" w14:textId="6955B10C" w:rsidR="77BAF1D3" w:rsidRDefault="77BAF1D3" w:rsidP="77BAF1D3">
            <w:pPr>
              <w:jc w:val="center"/>
            </w:pPr>
            <w:r w:rsidRPr="77BAF1D3">
              <w:rPr>
                <w:rFonts w:ascii="Calibri" w:eastAsia="Calibri" w:hAnsi="Calibri" w:cs="Calibri"/>
                <w:b/>
                <w:bCs/>
                <w:color w:val="FFFFFF" w:themeColor="background1"/>
                <w:sz w:val="18"/>
                <w:szCs w:val="18"/>
              </w:rPr>
              <w:t>Dimensão</w:t>
            </w:r>
            <w:r w:rsidRPr="77BAF1D3">
              <w:rPr>
                <w:rFonts w:ascii="Calibri" w:eastAsia="Calibri" w:hAnsi="Calibri" w:cs="Calibri"/>
                <w:color w:val="FFFFFF" w:themeColor="background1"/>
                <w:sz w:val="18"/>
                <w:szCs w:val="18"/>
              </w:rPr>
              <w:t xml:space="preserve"> </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21926825" w14:textId="58388F76" w:rsidR="77BAF1D3" w:rsidRDefault="77BAF1D3" w:rsidP="77BAF1D3">
            <w:pPr>
              <w:jc w:val="center"/>
            </w:pPr>
            <w:r w:rsidRPr="77BAF1D3">
              <w:rPr>
                <w:rFonts w:ascii="Calibri" w:eastAsia="Calibri" w:hAnsi="Calibri" w:cs="Calibri"/>
                <w:b/>
                <w:bCs/>
                <w:color w:val="FFFFFF" w:themeColor="background1"/>
                <w:sz w:val="18"/>
                <w:szCs w:val="18"/>
              </w:rPr>
              <w:t>Início Concessão</w:t>
            </w:r>
            <w:r w:rsidRPr="77BAF1D3">
              <w:rPr>
                <w:rFonts w:ascii="Calibri" w:eastAsia="Calibri" w:hAnsi="Calibri" w:cs="Calibri"/>
                <w:color w:val="FFFFFF" w:themeColor="background1"/>
                <w:sz w:val="18"/>
                <w:szCs w:val="18"/>
              </w:rPr>
              <w:t xml:space="preserve"> </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20B862C" w14:textId="5FA8ECD3" w:rsidR="77BAF1D3" w:rsidRDefault="77BAF1D3" w:rsidP="77BAF1D3">
            <w:pPr>
              <w:jc w:val="center"/>
            </w:pPr>
            <w:r w:rsidRPr="77BAF1D3">
              <w:rPr>
                <w:rFonts w:ascii="Calibri" w:eastAsia="Calibri" w:hAnsi="Calibri" w:cs="Calibri"/>
                <w:b/>
                <w:bCs/>
                <w:color w:val="FFFFFF" w:themeColor="background1"/>
                <w:sz w:val="18"/>
                <w:szCs w:val="18"/>
              </w:rPr>
              <w:t>Vencimento da Concessão</w:t>
            </w:r>
            <w:proofErr w:type="gramStart"/>
            <w:r w:rsidRPr="77BAF1D3">
              <w:rPr>
                <w:rFonts w:ascii="Calibri" w:eastAsia="Calibri" w:hAnsi="Calibri" w:cs="Calibri"/>
                <w:color w:val="FFFFFF" w:themeColor="background1"/>
                <w:sz w:val="18"/>
                <w:szCs w:val="18"/>
              </w:rPr>
              <w:t xml:space="preserve"> </w:t>
            </w:r>
            <w:r w:rsidRPr="77BAF1D3">
              <w:rPr>
                <w:rFonts w:ascii="Calibri" w:eastAsia="Calibri" w:hAnsi="Calibri" w:cs="Calibri"/>
                <w:b/>
                <w:bCs/>
                <w:color w:val="FFFFFF" w:themeColor="background1"/>
                <w:sz w:val="18"/>
                <w:szCs w:val="18"/>
              </w:rPr>
              <w:t xml:space="preserve"> </w:t>
            </w:r>
          </w:p>
        </w:tc>
        <w:proofErr w:type="gramEnd"/>
      </w:tr>
      <w:tr w:rsidR="77BAF1D3" w14:paraId="1E17B7CC" w14:textId="77777777" w:rsidTr="00554BD6">
        <w:trPr>
          <w:gridAfter w:val="1"/>
          <w:wAfter w:w="360" w:type="dxa"/>
          <w:trHeight w:val="480"/>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6C4ED9" w14:textId="66ED4422" w:rsidR="77BAF1D3" w:rsidRDefault="77BAF1D3" w:rsidP="77BAF1D3">
            <w:pPr>
              <w:jc w:val="center"/>
            </w:pPr>
            <w:r w:rsidRPr="77BAF1D3">
              <w:rPr>
                <w:rFonts w:ascii="Calibri" w:eastAsia="Calibri" w:hAnsi="Calibri" w:cs="Calibri"/>
                <w:color w:val="000000" w:themeColor="text1"/>
                <w:sz w:val="18"/>
                <w:szCs w:val="18"/>
              </w:rPr>
              <w:t xml:space="preserve">Cessão onerosa de </w:t>
            </w:r>
            <w:r w:rsidRPr="77BAF1D3">
              <w:rPr>
                <w:rFonts w:ascii="Calibri" w:eastAsia="Calibri" w:hAnsi="Calibri" w:cs="Calibri"/>
                <w:color w:val="000000" w:themeColor="text1"/>
                <w:sz w:val="18"/>
                <w:szCs w:val="18"/>
              </w:rPr>
              <w:lastRenderedPageBreak/>
              <w:t>área dentro do porto organizado</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05E504" w14:textId="54876458" w:rsidR="77BAF1D3" w:rsidRDefault="77BAF1D3" w:rsidP="77BAF1D3">
            <w:pPr>
              <w:jc w:val="center"/>
            </w:pPr>
            <w:r w:rsidRPr="77BAF1D3">
              <w:rPr>
                <w:rFonts w:ascii="Calibri" w:eastAsia="Calibri" w:hAnsi="Calibri" w:cs="Calibri"/>
                <w:color w:val="000000" w:themeColor="text1"/>
                <w:sz w:val="18"/>
                <w:szCs w:val="18"/>
              </w:rPr>
              <w:lastRenderedPageBreak/>
              <w:t>ANTAQ</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8AE3D4" w14:textId="22AAF147" w:rsidR="77BAF1D3" w:rsidRDefault="77BAF1D3">
            <w:r w:rsidRPr="77BAF1D3">
              <w:rPr>
                <w:rFonts w:ascii="Calibri" w:eastAsia="Calibri" w:hAnsi="Calibri" w:cs="Calibri"/>
                <w:color w:val="000000" w:themeColor="text1"/>
                <w:sz w:val="18"/>
                <w:szCs w:val="18"/>
              </w:rPr>
              <w:t>134 Contratos</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67E79D9" w14:textId="7186EA00" w:rsidR="77BAF1D3" w:rsidRDefault="77BAF1D3" w:rsidP="00554BD6">
            <w:pPr>
              <w:jc w:val="right"/>
            </w:pPr>
            <w:r w:rsidRPr="77BAF1D3">
              <w:rPr>
                <w:rFonts w:ascii="Calibri" w:eastAsia="Calibri" w:hAnsi="Calibri" w:cs="Calibri"/>
                <w:color w:val="000000" w:themeColor="text1"/>
                <w:sz w:val="18"/>
                <w:szCs w:val="18"/>
              </w:rPr>
              <w:t>12.026.371,34 m2</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4882DE" w14:textId="3E25F310" w:rsidR="77BAF1D3" w:rsidRDefault="77BAF1D3" w:rsidP="00554BD6">
            <w:pPr>
              <w:jc w:val="right"/>
            </w:pPr>
            <w:r w:rsidRPr="77BAF1D3">
              <w:rPr>
                <w:rFonts w:ascii="Calibri" w:eastAsia="Calibri" w:hAnsi="Calibri" w:cs="Calibri"/>
                <w:color w:val="000000" w:themeColor="text1"/>
                <w:sz w:val="18"/>
                <w:szCs w:val="18"/>
              </w:rPr>
              <w:t>1986</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76F452" w14:textId="73DB3A54" w:rsidR="77BAF1D3" w:rsidRDefault="77BAF1D3" w:rsidP="00554BD6">
            <w:pPr>
              <w:jc w:val="right"/>
            </w:pPr>
            <w:r w:rsidRPr="77BAF1D3">
              <w:rPr>
                <w:rFonts w:ascii="Calibri" w:eastAsia="Calibri" w:hAnsi="Calibri" w:cs="Calibri"/>
                <w:color w:val="000000" w:themeColor="text1"/>
                <w:sz w:val="18"/>
                <w:szCs w:val="18"/>
              </w:rPr>
              <w:t>2050</w:t>
            </w:r>
          </w:p>
        </w:tc>
      </w:tr>
      <w:tr w:rsidR="77BAF1D3" w14:paraId="2A265F51" w14:textId="77777777" w:rsidTr="00554BD6">
        <w:trPr>
          <w:gridAfter w:val="1"/>
          <w:wAfter w:w="360" w:type="dxa"/>
          <w:trHeight w:val="855"/>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E09EE9" w14:textId="434AFF49" w:rsidR="77BAF1D3" w:rsidRDefault="77BAF1D3" w:rsidP="77BAF1D3">
            <w:pPr>
              <w:jc w:val="center"/>
            </w:pPr>
            <w:r w:rsidRPr="77BAF1D3">
              <w:rPr>
                <w:rFonts w:ascii="Calibri" w:eastAsia="Calibri" w:hAnsi="Calibri" w:cs="Calibri"/>
                <w:color w:val="000000" w:themeColor="text1"/>
                <w:sz w:val="18"/>
                <w:szCs w:val="18"/>
              </w:rPr>
              <w:lastRenderedPageBreak/>
              <w:t>Exploração e Produção de Petróleo e Gás Natural</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14A911" w14:textId="044EEAA6" w:rsidR="77BAF1D3" w:rsidRDefault="77BAF1D3" w:rsidP="77BAF1D3">
            <w:pPr>
              <w:jc w:val="center"/>
            </w:pPr>
            <w:r w:rsidRPr="77BAF1D3">
              <w:rPr>
                <w:rFonts w:ascii="Calibri" w:eastAsia="Calibri" w:hAnsi="Calibri" w:cs="Calibri"/>
                <w:color w:val="000000" w:themeColor="text1"/>
                <w:sz w:val="18"/>
                <w:szCs w:val="18"/>
              </w:rPr>
              <w:t>ANP</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7E5934" w14:textId="5358D2EA" w:rsidR="77BAF1D3" w:rsidRDefault="77BAF1D3">
            <w:r w:rsidRPr="77BAF1D3">
              <w:rPr>
                <w:rFonts w:ascii="Calibri" w:eastAsia="Calibri" w:hAnsi="Calibri" w:cs="Calibri"/>
                <w:color w:val="000000" w:themeColor="text1"/>
                <w:sz w:val="18"/>
                <w:szCs w:val="18"/>
              </w:rPr>
              <w:t>668 Contratos</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038545" w14:textId="22B09A0B" w:rsidR="77BAF1D3" w:rsidRDefault="77BAF1D3" w:rsidP="00554BD6">
            <w:pPr>
              <w:jc w:val="right"/>
            </w:pPr>
            <w:r w:rsidRPr="77BAF1D3">
              <w:rPr>
                <w:rFonts w:ascii="Calibri" w:eastAsia="Calibri" w:hAnsi="Calibri" w:cs="Calibri"/>
                <w:color w:val="000000" w:themeColor="text1"/>
                <w:sz w:val="18"/>
                <w:szCs w:val="18"/>
              </w:rPr>
              <w:t xml:space="preserve"> </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118CB1" w14:textId="13F2965D" w:rsidR="77BAF1D3" w:rsidRDefault="77BAF1D3" w:rsidP="00554BD6">
            <w:pPr>
              <w:jc w:val="right"/>
            </w:pPr>
            <w:r w:rsidRPr="77BAF1D3">
              <w:rPr>
                <w:rFonts w:ascii="Calibri" w:eastAsia="Calibri" w:hAnsi="Calibri" w:cs="Calibri"/>
                <w:color w:val="000000" w:themeColor="text1"/>
                <w:sz w:val="18"/>
                <w:szCs w:val="18"/>
              </w:rPr>
              <w:t>1941</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13C89B" w14:textId="18E84146" w:rsidR="77BAF1D3" w:rsidRDefault="77BAF1D3" w:rsidP="00554BD6">
            <w:pPr>
              <w:jc w:val="right"/>
            </w:pPr>
            <w:r w:rsidRPr="77BAF1D3">
              <w:rPr>
                <w:rFonts w:ascii="Calibri" w:eastAsia="Calibri" w:hAnsi="Calibri" w:cs="Calibri"/>
                <w:color w:val="000000" w:themeColor="text1"/>
                <w:sz w:val="18"/>
                <w:szCs w:val="18"/>
              </w:rPr>
              <w:t>2050</w:t>
            </w:r>
          </w:p>
        </w:tc>
      </w:tr>
      <w:tr w:rsidR="77BAF1D3" w14:paraId="76E34985" w14:textId="77777777" w:rsidTr="00BB1F30">
        <w:trPr>
          <w:gridAfter w:val="1"/>
          <w:wAfter w:w="360" w:type="dxa"/>
          <w:trHeight w:val="285"/>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14F39168" w14:textId="305F6399" w:rsidR="77BAF1D3" w:rsidRDefault="77BAF1D3" w:rsidP="77BAF1D3">
            <w:pPr>
              <w:jc w:val="center"/>
            </w:pPr>
            <w:r w:rsidRPr="77BAF1D3">
              <w:rPr>
                <w:rFonts w:ascii="Calibri" w:eastAsia="Calibri" w:hAnsi="Calibri" w:cs="Calibri"/>
                <w:color w:val="000000" w:themeColor="text1"/>
                <w:sz w:val="18"/>
                <w:szCs w:val="18"/>
              </w:rPr>
              <w:t>Concessão Florestal</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8ED030" w14:textId="6383F179" w:rsidR="77BAF1D3" w:rsidRDefault="77BAF1D3" w:rsidP="77BAF1D3">
            <w:pPr>
              <w:jc w:val="center"/>
            </w:pPr>
            <w:r w:rsidRPr="77BAF1D3">
              <w:rPr>
                <w:rFonts w:ascii="Calibri" w:eastAsia="Calibri" w:hAnsi="Calibri" w:cs="Calibri"/>
                <w:color w:val="000000" w:themeColor="text1"/>
                <w:sz w:val="18"/>
                <w:szCs w:val="18"/>
              </w:rPr>
              <w:t>SFB</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CA96FF" w14:textId="08A5215E" w:rsidR="77BAF1D3" w:rsidRDefault="77BAF1D3">
            <w:r w:rsidRPr="77BAF1D3">
              <w:rPr>
                <w:rFonts w:ascii="Calibri" w:eastAsia="Calibri" w:hAnsi="Calibri" w:cs="Calibri"/>
                <w:color w:val="000000" w:themeColor="text1"/>
                <w:sz w:val="18"/>
                <w:szCs w:val="18"/>
              </w:rPr>
              <w:t>18 Contratos</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CD9096" w14:textId="7981E0B2" w:rsidR="77BAF1D3" w:rsidRDefault="77BAF1D3" w:rsidP="00554BD6">
            <w:pPr>
              <w:jc w:val="right"/>
            </w:pPr>
            <w:r w:rsidRPr="77BAF1D3">
              <w:rPr>
                <w:rFonts w:ascii="Calibri" w:eastAsia="Calibri" w:hAnsi="Calibri" w:cs="Calibri"/>
                <w:color w:val="000000" w:themeColor="text1"/>
                <w:sz w:val="18"/>
                <w:szCs w:val="18"/>
              </w:rPr>
              <w:t xml:space="preserve">1.050.966,84 ha </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187B88" w14:textId="282FA8D8" w:rsidR="77BAF1D3" w:rsidRDefault="77BAF1D3" w:rsidP="00554BD6">
            <w:pPr>
              <w:jc w:val="right"/>
            </w:pPr>
            <w:r w:rsidRPr="77BAF1D3">
              <w:rPr>
                <w:rFonts w:ascii="Calibri" w:eastAsia="Calibri" w:hAnsi="Calibri" w:cs="Calibri"/>
                <w:color w:val="000000" w:themeColor="text1"/>
                <w:sz w:val="18"/>
                <w:szCs w:val="18"/>
              </w:rPr>
              <w:t>2008</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D694BCA" w14:textId="0BD807F0" w:rsidR="77BAF1D3" w:rsidRDefault="77BAF1D3" w:rsidP="00554BD6">
            <w:pPr>
              <w:jc w:val="right"/>
            </w:pPr>
            <w:r w:rsidRPr="77BAF1D3">
              <w:rPr>
                <w:rFonts w:ascii="Calibri" w:eastAsia="Calibri" w:hAnsi="Calibri" w:cs="Calibri"/>
                <w:color w:val="000000" w:themeColor="text1"/>
                <w:sz w:val="18"/>
                <w:szCs w:val="18"/>
              </w:rPr>
              <w:t>2059</w:t>
            </w:r>
          </w:p>
        </w:tc>
      </w:tr>
      <w:tr w:rsidR="77BAF1D3" w14:paraId="39BFFECB" w14:textId="77777777" w:rsidTr="00554BD6">
        <w:trPr>
          <w:gridAfter w:val="1"/>
          <w:wAfter w:w="360" w:type="dxa"/>
          <w:trHeight w:val="480"/>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EAEFCD" w14:textId="622C4656" w:rsidR="77BAF1D3" w:rsidRDefault="77BAF1D3" w:rsidP="77BAF1D3">
            <w:pPr>
              <w:jc w:val="center"/>
            </w:pPr>
            <w:r w:rsidRPr="77BAF1D3">
              <w:rPr>
                <w:rFonts w:ascii="Calibri" w:eastAsia="Calibri" w:hAnsi="Calibri" w:cs="Calibri"/>
                <w:color w:val="000000" w:themeColor="text1"/>
                <w:sz w:val="18"/>
                <w:szCs w:val="18"/>
              </w:rPr>
              <w:t>Transmissão de Energia Elétrica</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00838E" w14:textId="58DDE302" w:rsidR="77BAF1D3" w:rsidRDefault="77BAF1D3" w:rsidP="77BAF1D3">
            <w:pPr>
              <w:jc w:val="center"/>
            </w:pPr>
            <w:r w:rsidRPr="77BAF1D3">
              <w:rPr>
                <w:rFonts w:ascii="Calibri" w:eastAsia="Calibri" w:hAnsi="Calibri" w:cs="Calibri"/>
                <w:color w:val="000000" w:themeColor="text1"/>
                <w:sz w:val="18"/>
                <w:szCs w:val="18"/>
              </w:rPr>
              <w:t>ANEEL</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08FB67" w14:textId="3FFA4684" w:rsidR="77BAF1D3" w:rsidRDefault="77BAF1D3">
            <w:r w:rsidRPr="77BAF1D3">
              <w:rPr>
                <w:rFonts w:ascii="Calibri" w:eastAsia="Calibri" w:hAnsi="Calibri" w:cs="Calibri"/>
                <w:color w:val="000000" w:themeColor="text1"/>
                <w:sz w:val="18"/>
                <w:szCs w:val="18"/>
              </w:rPr>
              <w:t>340 Contratos Linhas de Transmissão</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22EDFC" w14:textId="4AF55DB7" w:rsidR="77BAF1D3" w:rsidRDefault="77BAF1D3" w:rsidP="00554BD6">
            <w:pPr>
              <w:jc w:val="right"/>
            </w:pPr>
            <w:r w:rsidRPr="77BAF1D3">
              <w:rPr>
                <w:rFonts w:ascii="Calibri" w:eastAsia="Calibri" w:hAnsi="Calibri" w:cs="Calibri"/>
                <w:color w:val="000000" w:themeColor="text1"/>
                <w:sz w:val="18"/>
                <w:szCs w:val="18"/>
              </w:rPr>
              <w:t>&gt; 85.390,45 km</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889221" w14:textId="4A8C3B34" w:rsidR="77BAF1D3" w:rsidRDefault="77BAF1D3" w:rsidP="00554BD6">
            <w:pPr>
              <w:jc w:val="right"/>
            </w:pPr>
            <w:r w:rsidRPr="77BAF1D3">
              <w:rPr>
                <w:rFonts w:ascii="Calibri" w:eastAsia="Calibri" w:hAnsi="Calibri" w:cs="Calibri"/>
                <w:color w:val="000000" w:themeColor="text1"/>
                <w:sz w:val="18"/>
                <w:szCs w:val="18"/>
              </w:rPr>
              <w:t>1995</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7E1508" w14:textId="0005BA73" w:rsidR="77BAF1D3" w:rsidRDefault="77BAF1D3" w:rsidP="00554BD6">
            <w:pPr>
              <w:jc w:val="right"/>
            </w:pPr>
            <w:r w:rsidRPr="77BAF1D3">
              <w:rPr>
                <w:rFonts w:ascii="Calibri" w:eastAsia="Calibri" w:hAnsi="Calibri" w:cs="Calibri"/>
                <w:color w:val="000000" w:themeColor="text1"/>
                <w:sz w:val="18"/>
                <w:szCs w:val="18"/>
              </w:rPr>
              <w:t>2050</w:t>
            </w:r>
          </w:p>
        </w:tc>
      </w:tr>
      <w:tr w:rsidR="77BAF1D3" w14:paraId="0C9F6988" w14:textId="77777777" w:rsidTr="00554BD6">
        <w:trPr>
          <w:gridAfter w:val="1"/>
          <w:wAfter w:w="360" w:type="dxa"/>
          <w:trHeight w:val="480"/>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2BBE0F" w14:textId="680D9138" w:rsidR="77BAF1D3" w:rsidRDefault="77BAF1D3" w:rsidP="77BAF1D3">
            <w:pPr>
              <w:jc w:val="center"/>
            </w:pPr>
            <w:r w:rsidRPr="77BAF1D3">
              <w:rPr>
                <w:rFonts w:ascii="Calibri" w:eastAsia="Calibri" w:hAnsi="Calibri" w:cs="Calibri"/>
                <w:color w:val="000000" w:themeColor="text1"/>
                <w:sz w:val="18"/>
                <w:szCs w:val="18"/>
              </w:rPr>
              <w:t>Distribuição de Energia Elétrica</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39C731" w14:textId="771B89AE" w:rsidR="77BAF1D3" w:rsidRDefault="77BAF1D3" w:rsidP="77BAF1D3">
            <w:pPr>
              <w:jc w:val="center"/>
            </w:pPr>
            <w:r w:rsidRPr="77BAF1D3">
              <w:rPr>
                <w:rFonts w:ascii="Calibri" w:eastAsia="Calibri" w:hAnsi="Calibri" w:cs="Calibri"/>
                <w:color w:val="000000" w:themeColor="text1"/>
                <w:sz w:val="18"/>
                <w:szCs w:val="18"/>
              </w:rPr>
              <w:t>ANEEL</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876CC63" w14:textId="7F5F5F39" w:rsidR="77BAF1D3" w:rsidRDefault="77BAF1D3">
            <w:r w:rsidRPr="77BAF1D3">
              <w:rPr>
                <w:rFonts w:ascii="Calibri" w:eastAsia="Calibri" w:hAnsi="Calibri" w:cs="Calibri"/>
                <w:color w:val="000000" w:themeColor="text1"/>
                <w:sz w:val="18"/>
                <w:szCs w:val="18"/>
              </w:rPr>
              <w:t>104 Contratos</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EC2686" w14:textId="1DFDCA29" w:rsidR="4F1CBD36" w:rsidRDefault="4F1CBD36" w:rsidP="00554BD6">
            <w:pPr>
              <w:jc w:val="right"/>
            </w:pPr>
            <w:r w:rsidRPr="77BAF1D3">
              <w:rPr>
                <w:rFonts w:ascii="Calibri" w:eastAsia="Calibri" w:hAnsi="Calibri" w:cs="Calibri"/>
                <w:color w:val="000000" w:themeColor="text1"/>
                <w:sz w:val="18"/>
                <w:szCs w:val="18"/>
              </w:rPr>
              <w:t xml:space="preserve">            -</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E33B0D" w14:textId="48837285" w:rsidR="77BAF1D3" w:rsidRDefault="77BAF1D3" w:rsidP="00554BD6">
            <w:pPr>
              <w:jc w:val="right"/>
            </w:pPr>
            <w:r w:rsidRPr="77BAF1D3">
              <w:rPr>
                <w:rFonts w:ascii="Calibri" w:eastAsia="Calibri" w:hAnsi="Calibri" w:cs="Calibri"/>
                <w:color w:val="000000" w:themeColor="text1"/>
                <w:sz w:val="18"/>
                <w:szCs w:val="18"/>
              </w:rPr>
              <w:t>1990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9EA598" w14:textId="34A19EEC" w:rsidR="77BAF1D3" w:rsidRDefault="77BAF1D3" w:rsidP="00554BD6">
            <w:pPr>
              <w:jc w:val="right"/>
            </w:pPr>
            <w:r w:rsidRPr="77BAF1D3">
              <w:rPr>
                <w:rFonts w:ascii="Calibri" w:eastAsia="Calibri" w:hAnsi="Calibri" w:cs="Calibri"/>
                <w:color w:val="000000" w:themeColor="text1"/>
                <w:sz w:val="18"/>
                <w:szCs w:val="18"/>
              </w:rPr>
              <w:t>2050</w:t>
            </w:r>
          </w:p>
        </w:tc>
      </w:tr>
      <w:tr w:rsidR="77BAF1D3" w14:paraId="041DA863" w14:textId="77777777" w:rsidTr="00554BD6">
        <w:trPr>
          <w:gridAfter w:val="1"/>
          <w:wAfter w:w="360" w:type="dxa"/>
          <w:trHeight w:val="510"/>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416568" w14:textId="676028E9" w:rsidR="77BAF1D3" w:rsidRDefault="77BAF1D3" w:rsidP="77BAF1D3">
            <w:pPr>
              <w:jc w:val="center"/>
            </w:pPr>
            <w:r w:rsidRPr="77BAF1D3">
              <w:rPr>
                <w:rFonts w:ascii="Calibri" w:eastAsia="Calibri" w:hAnsi="Calibri" w:cs="Calibri"/>
                <w:color w:val="000000" w:themeColor="text1"/>
                <w:sz w:val="18"/>
                <w:szCs w:val="18"/>
              </w:rPr>
              <w:t>Geração de Energia Hidrelétrica</w:t>
            </w:r>
            <w:r w:rsidRPr="77BAF1D3">
              <w:rPr>
                <w:rFonts w:ascii="Calibri" w:eastAsia="Calibri" w:hAnsi="Calibri" w:cs="Calibri"/>
                <w:color w:val="000000" w:themeColor="text1"/>
                <w:sz w:val="18"/>
                <w:szCs w:val="18"/>
                <w:vertAlign w:val="superscript"/>
              </w:rPr>
              <w:t>1</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082AE3" w14:textId="3B694F06" w:rsidR="77BAF1D3" w:rsidRDefault="77BAF1D3" w:rsidP="77BAF1D3">
            <w:pPr>
              <w:jc w:val="center"/>
            </w:pPr>
            <w:r w:rsidRPr="77BAF1D3">
              <w:rPr>
                <w:rFonts w:ascii="Calibri" w:eastAsia="Calibri" w:hAnsi="Calibri" w:cs="Calibri"/>
                <w:color w:val="000000" w:themeColor="text1"/>
                <w:sz w:val="18"/>
                <w:szCs w:val="18"/>
              </w:rPr>
              <w:t>ANEEL</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47C550" w14:textId="686AE872" w:rsidR="77BAF1D3" w:rsidRDefault="77BAF1D3">
            <w:r w:rsidRPr="77BAF1D3">
              <w:rPr>
                <w:rFonts w:ascii="Calibri" w:eastAsia="Calibri" w:hAnsi="Calibri" w:cs="Calibri"/>
                <w:color w:val="000000" w:themeColor="text1"/>
                <w:sz w:val="18"/>
                <w:szCs w:val="18"/>
              </w:rPr>
              <w:t>272 contratos</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EBF361" w14:textId="771E1283" w:rsidR="221A9AAD" w:rsidRDefault="221A9AAD" w:rsidP="00554BD6">
            <w:pPr>
              <w:jc w:val="right"/>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B608ED" w14:textId="1C00DCDD" w:rsidR="77BAF1D3" w:rsidRDefault="77BAF1D3" w:rsidP="00554BD6">
            <w:pPr>
              <w:jc w:val="right"/>
            </w:pPr>
            <w:r w:rsidRPr="77BAF1D3">
              <w:rPr>
                <w:rFonts w:ascii="Calibri" w:eastAsia="Calibri" w:hAnsi="Calibri" w:cs="Calibri"/>
                <w:color w:val="000000" w:themeColor="text1"/>
                <w:sz w:val="18"/>
                <w:szCs w:val="18"/>
              </w:rPr>
              <w:t>1969</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9847E4" w14:textId="43CD0F30" w:rsidR="77BAF1D3" w:rsidRDefault="77BAF1D3" w:rsidP="00554BD6">
            <w:pPr>
              <w:jc w:val="right"/>
            </w:pPr>
            <w:r w:rsidRPr="77BAF1D3">
              <w:rPr>
                <w:rFonts w:ascii="Calibri" w:eastAsia="Calibri" w:hAnsi="Calibri" w:cs="Calibri"/>
                <w:color w:val="000000" w:themeColor="text1"/>
                <w:sz w:val="18"/>
                <w:szCs w:val="18"/>
              </w:rPr>
              <w:t>2055</w:t>
            </w:r>
          </w:p>
        </w:tc>
      </w:tr>
      <w:tr w:rsidR="77BAF1D3" w14:paraId="0525851C" w14:textId="77777777" w:rsidTr="00554BD6">
        <w:trPr>
          <w:gridAfter w:val="1"/>
          <w:wAfter w:w="360" w:type="dxa"/>
          <w:trHeight w:val="2595"/>
        </w:trPr>
        <w:tc>
          <w:tcPr>
            <w:tcW w:w="1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D4D825" w14:textId="1A644E16" w:rsidR="77BAF1D3" w:rsidRDefault="77BAF1D3" w:rsidP="77BAF1D3">
            <w:pPr>
              <w:jc w:val="center"/>
            </w:pPr>
            <w:r w:rsidRPr="77BAF1D3">
              <w:rPr>
                <w:rFonts w:ascii="Calibri" w:eastAsia="Calibri" w:hAnsi="Calibri" w:cs="Calibri"/>
                <w:color w:val="000000" w:themeColor="text1"/>
                <w:sz w:val="18"/>
                <w:szCs w:val="18"/>
              </w:rPr>
              <w:t>Geração de Energia Termelétrica</w:t>
            </w:r>
            <w:r w:rsidRPr="77BAF1D3">
              <w:rPr>
                <w:rFonts w:ascii="Calibri" w:eastAsia="Calibri" w:hAnsi="Calibri" w:cs="Calibri"/>
                <w:color w:val="000000" w:themeColor="text1"/>
                <w:sz w:val="18"/>
                <w:szCs w:val="18"/>
                <w:vertAlign w:val="superscript"/>
              </w:rPr>
              <w:t>2</w:t>
            </w:r>
          </w:p>
        </w:tc>
        <w:tc>
          <w:tcPr>
            <w:tcW w:w="13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591CC6" w14:textId="5ACC7712" w:rsidR="77BAF1D3" w:rsidRDefault="77BAF1D3" w:rsidP="77BAF1D3">
            <w:pPr>
              <w:jc w:val="center"/>
            </w:pPr>
            <w:r w:rsidRPr="77BAF1D3">
              <w:rPr>
                <w:rFonts w:ascii="Calibri" w:eastAsia="Calibri" w:hAnsi="Calibri" w:cs="Calibri"/>
                <w:color w:val="000000" w:themeColor="text1"/>
                <w:sz w:val="18"/>
                <w:szCs w:val="18"/>
              </w:rPr>
              <w:t>ANEEL</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9D18724" w14:textId="52F4BE28" w:rsidR="77BAF1D3" w:rsidRDefault="77BAF1D3" w:rsidP="77BAF1D3">
            <w:pPr>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Bagre</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0607AE" w14:textId="08760728" w:rsidR="77BAF1D3" w:rsidRDefault="77BAF1D3" w:rsidP="00554BD6">
            <w:pPr>
              <w:jc w:val="right"/>
              <w:rPr>
                <w:rFonts w:ascii="Calibri" w:eastAsia="Calibri" w:hAnsi="Calibri" w:cs="Calibri"/>
                <w:color w:val="000000" w:themeColor="text1"/>
                <w:sz w:val="18"/>
                <w:szCs w:val="18"/>
              </w:rPr>
            </w:pPr>
            <w:r w:rsidRPr="77BAF1D3">
              <w:rPr>
                <w:rFonts w:ascii="Calibri" w:eastAsia="Calibri" w:hAnsi="Calibri" w:cs="Calibri"/>
                <w:color w:val="000000" w:themeColor="text1"/>
                <w:sz w:val="18"/>
                <w:szCs w:val="18"/>
              </w:rPr>
              <w:t xml:space="preserve">1.222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BEAB88" w14:textId="559CCA18" w:rsidR="77BAF1D3" w:rsidRDefault="77BAF1D3" w:rsidP="00554BD6">
            <w:pPr>
              <w:jc w:val="right"/>
            </w:pPr>
            <w:r w:rsidRPr="77BAF1D3">
              <w:rPr>
                <w:rFonts w:ascii="Calibri" w:eastAsia="Calibri" w:hAnsi="Calibri" w:cs="Calibri"/>
                <w:color w:val="000000" w:themeColor="text1"/>
                <w:sz w:val="18"/>
                <w:szCs w:val="18"/>
              </w:rPr>
              <w:t>1998</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8D48AB" w14:textId="7C0569BA" w:rsidR="77BAF1D3" w:rsidRDefault="77BAF1D3" w:rsidP="00554BD6">
            <w:pPr>
              <w:jc w:val="right"/>
            </w:pPr>
            <w:r w:rsidRPr="77BAF1D3">
              <w:rPr>
                <w:rFonts w:ascii="Calibri" w:eastAsia="Calibri" w:hAnsi="Calibri" w:cs="Calibri"/>
                <w:color w:val="000000" w:themeColor="text1"/>
                <w:sz w:val="18"/>
                <w:szCs w:val="18"/>
              </w:rPr>
              <w:t>2028</w:t>
            </w:r>
          </w:p>
        </w:tc>
      </w:tr>
      <w:tr w:rsidR="77BAF1D3" w14:paraId="2E8D8160"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04A230"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32E4D3"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C8814F" w14:textId="22319E11" w:rsidR="77BAF1D3" w:rsidRDefault="77BAF1D3">
            <w:r w:rsidRPr="77BAF1D3">
              <w:rPr>
                <w:rFonts w:ascii="Calibri" w:eastAsia="Calibri" w:hAnsi="Calibri" w:cs="Calibri"/>
                <w:color w:val="000000" w:themeColor="text1"/>
                <w:sz w:val="18"/>
                <w:szCs w:val="18"/>
              </w:rPr>
              <w:t>Barreira do Campo</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6D96044F" w14:textId="7950974C" w:rsidR="77BAF1D3" w:rsidRDefault="77BAF1D3" w:rsidP="00554BD6">
            <w:pPr>
              <w:jc w:val="right"/>
            </w:pPr>
            <w:r w:rsidRPr="77BAF1D3">
              <w:rPr>
                <w:rFonts w:ascii="Calibri" w:eastAsia="Calibri" w:hAnsi="Calibri" w:cs="Calibri"/>
                <w:color w:val="000000" w:themeColor="text1"/>
                <w:sz w:val="18"/>
                <w:szCs w:val="18"/>
              </w:rPr>
              <w:t xml:space="preserve">440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71FD1B" w14:textId="3B0BE155" w:rsidR="77BAF1D3" w:rsidRDefault="77BAF1D3" w:rsidP="00554BD6">
            <w:pPr>
              <w:jc w:val="right"/>
            </w:pPr>
            <w:r w:rsidRPr="77BAF1D3">
              <w:rPr>
                <w:rFonts w:ascii="Calibri" w:eastAsia="Calibri" w:hAnsi="Calibri" w:cs="Calibri"/>
                <w:color w:val="000000" w:themeColor="text1"/>
                <w:sz w:val="18"/>
                <w:szCs w:val="18"/>
              </w:rPr>
              <w:t>1998</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369DD8" w14:textId="64470126" w:rsidR="77BAF1D3" w:rsidRDefault="77BAF1D3" w:rsidP="00554BD6">
            <w:pPr>
              <w:jc w:val="right"/>
            </w:pPr>
            <w:r w:rsidRPr="77BAF1D3">
              <w:rPr>
                <w:rFonts w:ascii="Calibri" w:eastAsia="Calibri" w:hAnsi="Calibri" w:cs="Calibri"/>
                <w:color w:val="000000" w:themeColor="text1"/>
                <w:sz w:val="18"/>
                <w:szCs w:val="18"/>
              </w:rPr>
              <w:t>2028</w:t>
            </w:r>
          </w:p>
        </w:tc>
      </w:tr>
      <w:tr w:rsidR="77BAF1D3" w14:paraId="00BC6B57"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034732"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A3D1E3"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28C99A" w14:textId="68B2DDD8" w:rsidR="77BAF1D3" w:rsidRDefault="77BAF1D3">
            <w:r w:rsidRPr="77BAF1D3">
              <w:rPr>
                <w:rFonts w:ascii="Calibri" w:eastAsia="Calibri" w:hAnsi="Calibri" w:cs="Calibri"/>
                <w:color w:val="000000" w:themeColor="text1"/>
                <w:sz w:val="18"/>
                <w:szCs w:val="18"/>
              </w:rPr>
              <w:t>Figueira</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C5AA61" w14:textId="53816D25" w:rsidR="77BAF1D3" w:rsidRDefault="77BAF1D3" w:rsidP="00554BD6">
            <w:pPr>
              <w:jc w:val="right"/>
            </w:pPr>
            <w:r w:rsidRPr="77BAF1D3">
              <w:rPr>
                <w:rFonts w:ascii="Calibri" w:eastAsia="Calibri" w:hAnsi="Calibri" w:cs="Calibri"/>
                <w:color w:val="000000" w:themeColor="text1"/>
                <w:sz w:val="18"/>
                <w:szCs w:val="18"/>
              </w:rPr>
              <w:t xml:space="preserve">20.000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3B88AB" w14:textId="7A3FB422" w:rsidR="77BAF1D3" w:rsidRDefault="77BAF1D3" w:rsidP="00554BD6">
            <w:pPr>
              <w:jc w:val="right"/>
            </w:pPr>
            <w:r w:rsidRPr="77BAF1D3">
              <w:rPr>
                <w:rFonts w:ascii="Calibri" w:eastAsia="Calibri" w:hAnsi="Calibri" w:cs="Calibri"/>
                <w:color w:val="000000" w:themeColor="text1"/>
                <w:sz w:val="18"/>
                <w:szCs w:val="18"/>
              </w:rPr>
              <w:t>1999</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9BD248" w14:textId="6D19B362" w:rsidR="77BAF1D3" w:rsidRDefault="77BAF1D3" w:rsidP="00554BD6">
            <w:pPr>
              <w:jc w:val="right"/>
            </w:pPr>
            <w:r w:rsidRPr="77BAF1D3">
              <w:rPr>
                <w:rFonts w:ascii="Calibri" w:eastAsia="Calibri" w:hAnsi="Calibri" w:cs="Calibri"/>
                <w:color w:val="000000" w:themeColor="text1"/>
                <w:sz w:val="18"/>
                <w:szCs w:val="18"/>
              </w:rPr>
              <w:t>2019</w:t>
            </w:r>
          </w:p>
        </w:tc>
      </w:tr>
      <w:tr w:rsidR="77BAF1D3" w14:paraId="1A8EE26A"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DBBE7C"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72D020"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7567E00" w14:textId="766DF110" w:rsidR="77BAF1D3" w:rsidRDefault="77BAF1D3">
            <w:r w:rsidRPr="77BAF1D3">
              <w:rPr>
                <w:rFonts w:ascii="Calibri" w:eastAsia="Calibri" w:hAnsi="Calibri" w:cs="Calibri"/>
                <w:color w:val="000000" w:themeColor="text1"/>
                <w:sz w:val="18"/>
                <w:szCs w:val="18"/>
              </w:rPr>
              <w:t>Igarapé</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3F884F" w14:textId="4119C8BA" w:rsidR="77BAF1D3" w:rsidRDefault="77BAF1D3" w:rsidP="00554BD6">
            <w:pPr>
              <w:jc w:val="right"/>
            </w:pPr>
            <w:r w:rsidRPr="77BAF1D3">
              <w:rPr>
                <w:rFonts w:ascii="Calibri" w:eastAsia="Calibri" w:hAnsi="Calibri" w:cs="Calibri"/>
                <w:color w:val="000000" w:themeColor="text1"/>
                <w:sz w:val="18"/>
                <w:szCs w:val="18"/>
              </w:rPr>
              <w:t xml:space="preserve">131.000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4933C1" w14:textId="0E3D3984" w:rsidR="77BAF1D3" w:rsidRDefault="77BAF1D3" w:rsidP="00554BD6">
            <w:pPr>
              <w:jc w:val="right"/>
            </w:pPr>
            <w:r w:rsidRPr="77BAF1D3">
              <w:rPr>
                <w:rFonts w:ascii="Calibri" w:eastAsia="Calibri" w:hAnsi="Calibri" w:cs="Calibri"/>
                <w:color w:val="000000" w:themeColor="text1"/>
                <w:sz w:val="18"/>
                <w:szCs w:val="18"/>
              </w:rPr>
              <w:t>2004</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DD676D" w14:textId="55218AC9" w:rsidR="5441A130" w:rsidRDefault="5441A130" w:rsidP="00554BD6">
            <w:pPr>
              <w:jc w:val="right"/>
            </w:pPr>
            <w:r w:rsidRPr="77BAF1D3">
              <w:rPr>
                <w:rFonts w:ascii="Calibri" w:eastAsia="Calibri" w:hAnsi="Calibri" w:cs="Calibri"/>
                <w:color w:val="000000" w:themeColor="text1"/>
                <w:sz w:val="18"/>
                <w:szCs w:val="18"/>
              </w:rPr>
              <w:t xml:space="preserve">   </w:t>
            </w:r>
            <w:r w:rsidR="77BAF1D3" w:rsidRPr="77BAF1D3">
              <w:rPr>
                <w:rFonts w:ascii="Calibri" w:eastAsia="Calibri" w:hAnsi="Calibri" w:cs="Calibri"/>
                <w:color w:val="000000" w:themeColor="text1"/>
                <w:sz w:val="18"/>
                <w:szCs w:val="18"/>
              </w:rPr>
              <w:t xml:space="preserve">2021 </w:t>
            </w:r>
            <w:r w:rsidR="77BAF1D3" w:rsidRPr="77BAF1D3">
              <w:rPr>
                <w:rFonts w:ascii="Calibri" w:eastAsia="Calibri" w:hAnsi="Calibri" w:cs="Calibri"/>
                <w:color w:val="000000" w:themeColor="text1"/>
                <w:sz w:val="18"/>
                <w:szCs w:val="18"/>
                <w:vertAlign w:val="superscript"/>
              </w:rPr>
              <w:t>3</w:t>
            </w:r>
          </w:p>
        </w:tc>
      </w:tr>
      <w:tr w:rsidR="77BAF1D3" w14:paraId="60B7F5F5"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2D4421"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AB1DAC"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47CE6E" w14:textId="4AE70682" w:rsidR="77BAF1D3" w:rsidRDefault="77BAF1D3">
            <w:r w:rsidRPr="77BAF1D3">
              <w:rPr>
                <w:rFonts w:ascii="Calibri" w:eastAsia="Calibri" w:hAnsi="Calibri" w:cs="Calibri"/>
                <w:color w:val="000000" w:themeColor="text1"/>
                <w:sz w:val="18"/>
                <w:szCs w:val="18"/>
              </w:rPr>
              <w:t>Melgaço</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57D63DB9" w14:textId="24D77E1F" w:rsidR="77BAF1D3" w:rsidRDefault="77BAF1D3" w:rsidP="00554BD6">
            <w:pPr>
              <w:jc w:val="right"/>
            </w:pPr>
            <w:r w:rsidRPr="77BAF1D3">
              <w:rPr>
                <w:rFonts w:ascii="Calibri" w:eastAsia="Calibri" w:hAnsi="Calibri" w:cs="Calibri"/>
                <w:color w:val="000000" w:themeColor="text1"/>
                <w:sz w:val="18"/>
                <w:szCs w:val="18"/>
              </w:rPr>
              <w:t xml:space="preserve">720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20F656" w14:textId="292D7A39" w:rsidR="77BAF1D3" w:rsidRDefault="77BAF1D3" w:rsidP="00554BD6">
            <w:pPr>
              <w:jc w:val="right"/>
            </w:pPr>
            <w:r w:rsidRPr="77BAF1D3">
              <w:rPr>
                <w:rFonts w:ascii="Calibri" w:eastAsia="Calibri" w:hAnsi="Calibri" w:cs="Calibri"/>
                <w:color w:val="000000" w:themeColor="text1"/>
                <w:sz w:val="18"/>
                <w:szCs w:val="18"/>
              </w:rPr>
              <w:t>1998</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83D110C" w14:textId="4851D47C" w:rsidR="77BAF1D3" w:rsidRDefault="77BAF1D3" w:rsidP="00554BD6">
            <w:pPr>
              <w:jc w:val="right"/>
            </w:pPr>
            <w:r w:rsidRPr="77BAF1D3">
              <w:rPr>
                <w:rFonts w:ascii="Calibri" w:eastAsia="Calibri" w:hAnsi="Calibri" w:cs="Calibri"/>
                <w:color w:val="000000" w:themeColor="text1"/>
                <w:sz w:val="18"/>
                <w:szCs w:val="18"/>
              </w:rPr>
              <w:t>2028</w:t>
            </w:r>
          </w:p>
        </w:tc>
      </w:tr>
      <w:tr w:rsidR="77BAF1D3" w14:paraId="262AFCB8"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1DA380"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177F0D"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FB25A9" w14:textId="1EB878A5" w:rsidR="77BAF1D3" w:rsidRDefault="77BAF1D3">
            <w:r w:rsidRPr="77BAF1D3">
              <w:rPr>
                <w:rFonts w:ascii="Calibri" w:eastAsia="Calibri" w:hAnsi="Calibri" w:cs="Calibri"/>
                <w:color w:val="000000" w:themeColor="text1"/>
                <w:sz w:val="18"/>
                <w:szCs w:val="18"/>
              </w:rPr>
              <w:t>Novo Progresso</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C18CB1" w14:textId="1C17F4FD" w:rsidR="77BAF1D3" w:rsidRDefault="77BAF1D3" w:rsidP="00554BD6">
            <w:pPr>
              <w:jc w:val="right"/>
            </w:pPr>
            <w:r w:rsidRPr="77BAF1D3">
              <w:rPr>
                <w:rFonts w:ascii="Calibri" w:eastAsia="Calibri" w:hAnsi="Calibri" w:cs="Calibri"/>
                <w:color w:val="000000" w:themeColor="text1"/>
                <w:sz w:val="18"/>
                <w:szCs w:val="18"/>
              </w:rPr>
              <w:t xml:space="preserve">9.125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513C53" w14:textId="6205B486" w:rsidR="77BAF1D3" w:rsidRDefault="77BAF1D3" w:rsidP="00554BD6">
            <w:pPr>
              <w:jc w:val="right"/>
            </w:pPr>
            <w:r w:rsidRPr="77BAF1D3">
              <w:rPr>
                <w:rFonts w:ascii="Calibri" w:eastAsia="Calibri" w:hAnsi="Calibri" w:cs="Calibri"/>
                <w:color w:val="000000" w:themeColor="text1"/>
                <w:sz w:val="18"/>
                <w:szCs w:val="18"/>
              </w:rPr>
              <w:t>1998</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E238DA" w14:textId="069A39C7" w:rsidR="77BAF1D3" w:rsidRDefault="77BAF1D3" w:rsidP="00554BD6">
            <w:pPr>
              <w:jc w:val="right"/>
            </w:pPr>
            <w:r w:rsidRPr="77BAF1D3">
              <w:rPr>
                <w:rFonts w:ascii="Calibri" w:eastAsia="Calibri" w:hAnsi="Calibri" w:cs="Calibri"/>
                <w:color w:val="000000" w:themeColor="text1"/>
                <w:sz w:val="18"/>
                <w:szCs w:val="18"/>
              </w:rPr>
              <w:t>2028</w:t>
            </w:r>
          </w:p>
        </w:tc>
      </w:tr>
      <w:tr w:rsidR="77BAF1D3" w14:paraId="34F3B0E5"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4507D8"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9DDD1E"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115926" w14:textId="369728E3" w:rsidR="77BAF1D3" w:rsidRDefault="77BAF1D3">
            <w:r w:rsidRPr="77BAF1D3">
              <w:rPr>
                <w:rFonts w:ascii="Calibri" w:eastAsia="Calibri" w:hAnsi="Calibri" w:cs="Calibri"/>
                <w:color w:val="000000" w:themeColor="text1"/>
                <w:sz w:val="18"/>
                <w:szCs w:val="18"/>
              </w:rPr>
              <w:t>Piratininga</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203DB8" w14:textId="1E46DA2C" w:rsidR="77BAF1D3" w:rsidRDefault="77BAF1D3" w:rsidP="00554BD6">
            <w:pPr>
              <w:jc w:val="right"/>
            </w:pPr>
            <w:r w:rsidRPr="77BAF1D3">
              <w:rPr>
                <w:rFonts w:ascii="Calibri" w:eastAsia="Calibri" w:hAnsi="Calibri" w:cs="Calibri"/>
                <w:color w:val="000000" w:themeColor="text1"/>
                <w:sz w:val="18"/>
                <w:szCs w:val="18"/>
              </w:rPr>
              <w:t xml:space="preserve">39.0000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0339B9" w14:textId="74A5362C" w:rsidR="77BAF1D3" w:rsidRDefault="77BAF1D3" w:rsidP="00554BD6">
            <w:pPr>
              <w:jc w:val="right"/>
            </w:pPr>
            <w:r w:rsidRPr="77BAF1D3">
              <w:rPr>
                <w:rFonts w:ascii="Calibri" w:eastAsia="Calibri" w:hAnsi="Calibri" w:cs="Calibri"/>
                <w:color w:val="000000" w:themeColor="text1"/>
                <w:sz w:val="18"/>
                <w:szCs w:val="18"/>
              </w:rPr>
              <w:t>1995</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5F40B4" w14:textId="6D81871E" w:rsidR="77BAF1D3" w:rsidRDefault="77BAF1D3" w:rsidP="00554BD6">
            <w:pPr>
              <w:jc w:val="right"/>
            </w:pPr>
            <w:r w:rsidRPr="77BAF1D3">
              <w:rPr>
                <w:rFonts w:ascii="Calibri" w:eastAsia="Calibri" w:hAnsi="Calibri" w:cs="Calibri"/>
                <w:color w:val="000000" w:themeColor="text1"/>
                <w:sz w:val="18"/>
                <w:szCs w:val="18"/>
              </w:rPr>
              <w:t>2015</w:t>
            </w:r>
          </w:p>
        </w:tc>
      </w:tr>
      <w:tr w:rsidR="77BAF1D3" w14:paraId="49B990B7"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CC9BA"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FE7E36"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631FB1" w14:textId="0F62E5B9" w:rsidR="77BAF1D3" w:rsidRDefault="77BAF1D3">
            <w:r w:rsidRPr="77BAF1D3">
              <w:rPr>
                <w:rFonts w:ascii="Calibri" w:eastAsia="Calibri" w:hAnsi="Calibri" w:cs="Calibri"/>
                <w:color w:val="000000" w:themeColor="text1"/>
                <w:sz w:val="18"/>
                <w:szCs w:val="18"/>
              </w:rPr>
              <w:t>Santa Cruz</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bottom"/>
          </w:tcPr>
          <w:p w14:paraId="14C6ACFB" w14:textId="06B0AF6E" w:rsidR="77BAF1D3" w:rsidRDefault="77BAF1D3" w:rsidP="00554BD6">
            <w:pPr>
              <w:jc w:val="right"/>
            </w:pPr>
            <w:r w:rsidRPr="77BAF1D3">
              <w:rPr>
                <w:rFonts w:ascii="Calibri" w:eastAsia="Calibri" w:hAnsi="Calibri" w:cs="Calibri"/>
                <w:color w:val="000000" w:themeColor="text1"/>
                <w:sz w:val="18"/>
                <w:szCs w:val="18"/>
              </w:rPr>
              <w:t xml:space="preserve">1.000.000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6A3073" w14:textId="732B35CE" w:rsidR="77BAF1D3" w:rsidRDefault="77BAF1D3" w:rsidP="00554BD6">
            <w:pPr>
              <w:jc w:val="right"/>
            </w:pPr>
            <w:r w:rsidRPr="77BAF1D3">
              <w:rPr>
                <w:rFonts w:ascii="Calibri" w:eastAsia="Calibri" w:hAnsi="Calibri" w:cs="Calibri"/>
                <w:color w:val="000000" w:themeColor="text1"/>
                <w:sz w:val="18"/>
                <w:szCs w:val="18"/>
              </w:rPr>
              <w:t>1995</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774F63" w14:textId="72848836" w:rsidR="77BAF1D3" w:rsidRDefault="77BAF1D3" w:rsidP="00554BD6">
            <w:pPr>
              <w:jc w:val="right"/>
            </w:pPr>
            <w:r w:rsidRPr="77BAF1D3">
              <w:rPr>
                <w:rFonts w:ascii="Calibri" w:eastAsia="Calibri" w:hAnsi="Calibri" w:cs="Calibri"/>
                <w:color w:val="000000" w:themeColor="text1"/>
                <w:sz w:val="18"/>
                <w:szCs w:val="18"/>
              </w:rPr>
              <w:t>2015</w:t>
            </w:r>
          </w:p>
        </w:tc>
      </w:tr>
      <w:tr w:rsidR="77BAF1D3" w14:paraId="198C9ACA" w14:textId="77777777" w:rsidTr="00554BD6">
        <w:trPr>
          <w:gridAfter w:val="1"/>
          <w:wAfter w:w="360" w:type="dxa"/>
          <w:trHeight w:val="285"/>
        </w:trPr>
        <w:tc>
          <w:tcPr>
            <w:tcW w:w="1268"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159DFE" w14:textId="77777777" w:rsidR="00422732" w:rsidRDefault="00422732"/>
        </w:tc>
        <w:tc>
          <w:tcPr>
            <w:tcW w:w="13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B57F05" w14:textId="77777777" w:rsidR="00422732" w:rsidRDefault="00422732"/>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B3389F" w14:textId="35E0B24D" w:rsidR="77BAF1D3" w:rsidRDefault="77BAF1D3">
            <w:r w:rsidRPr="77BAF1D3">
              <w:rPr>
                <w:rFonts w:ascii="Calibri" w:eastAsia="Calibri" w:hAnsi="Calibri" w:cs="Calibri"/>
                <w:color w:val="000000" w:themeColor="text1"/>
                <w:sz w:val="18"/>
                <w:szCs w:val="18"/>
              </w:rPr>
              <w:t>Santa Maria das Barreiras</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559BFE" w14:textId="501BC66D" w:rsidR="77BAF1D3" w:rsidRDefault="77BAF1D3" w:rsidP="00554BD6">
            <w:pPr>
              <w:jc w:val="right"/>
            </w:pPr>
            <w:r w:rsidRPr="77BAF1D3">
              <w:rPr>
                <w:rFonts w:ascii="Calibri" w:eastAsia="Calibri" w:hAnsi="Calibri" w:cs="Calibri"/>
                <w:color w:val="000000" w:themeColor="text1"/>
                <w:sz w:val="18"/>
                <w:szCs w:val="18"/>
              </w:rPr>
              <w:t xml:space="preserve">1.112 </w:t>
            </w:r>
            <w:proofErr w:type="gramStart"/>
            <w:r w:rsidRPr="77BAF1D3">
              <w:rPr>
                <w:rFonts w:ascii="Calibri" w:eastAsia="Calibri" w:hAnsi="Calibri" w:cs="Calibri"/>
                <w:color w:val="000000" w:themeColor="text1"/>
                <w:sz w:val="18"/>
                <w:szCs w:val="18"/>
              </w:rPr>
              <w:t>kW</w:t>
            </w:r>
            <w:proofErr w:type="gramEnd"/>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051B92" w14:textId="2B9D704B" w:rsidR="77BAF1D3" w:rsidRDefault="77BAF1D3" w:rsidP="00554BD6">
            <w:pPr>
              <w:jc w:val="right"/>
            </w:pPr>
            <w:r w:rsidRPr="77BAF1D3">
              <w:rPr>
                <w:rFonts w:ascii="Calibri" w:eastAsia="Calibri" w:hAnsi="Calibri" w:cs="Calibri"/>
                <w:color w:val="000000" w:themeColor="text1"/>
                <w:sz w:val="18"/>
                <w:szCs w:val="18"/>
              </w:rPr>
              <w:t>1998</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042E97" w14:textId="2F8944AD" w:rsidR="77BAF1D3" w:rsidRDefault="77BAF1D3" w:rsidP="00554BD6">
            <w:pPr>
              <w:jc w:val="right"/>
            </w:pPr>
            <w:r w:rsidRPr="77BAF1D3">
              <w:rPr>
                <w:rFonts w:ascii="Calibri" w:eastAsia="Calibri" w:hAnsi="Calibri" w:cs="Calibri"/>
                <w:color w:val="000000" w:themeColor="text1"/>
                <w:sz w:val="18"/>
                <w:szCs w:val="18"/>
              </w:rPr>
              <w:t>2024</w:t>
            </w:r>
          </w:p>
        </w:tc>
      </w:tr>
      <w:tr w:rsidR="77BAF1D3" w14:paraId="690ED872" w14:textId="77777777" w:rsidTr="00554BD6">
        <w:trPr>
          <w:gridAfter w:val="1"/>
          <w:wAfter w:w="360" w:type="dxa"/>
          <w:trHeight w:val="510"/>
        </w:trPr>
        <w:tc>
          <w:tcPr>
            <w:tcW w:w="1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C0160E" w14:textId="1C6ABB4A" w:rsidR="77BAF1D3" w:rsidRDefault="77BAF1D3" w:rsidP="77BAF1D3">
            <w:pPr>
              <w:jc w:val="center"/>
            </w:pPr>
            <w:r w:rsidRPr="77BAF1D3">
              <w:rPr>
                <w:rFonts w:ascii="Calibri" w:eastAsia="Calibri" w:hAnsi="Calibri" w:cs="Calibri"/>
                <w:color w:val="000000" w:themeColor="text1"/>
                <w:sz w:val="18"/>
                <w:szCs w:val="18"/>
              </w:rPr>
              <w:t>Exploração e Pesquisa Mineral</w:t>
            </w:r>
            <w:r w:rsidRPr="77BAF1D3">
              <w:rPr>
                <w:rFonts w:ascii="Calibri" w:eastAsia="Calibri" w:hAnsi="Calibri" w:cs="Calibri"/>
                <w:color w:val="000000" w:themeColor="text1"/>
                <w:sz w:val="18"/>
                <w:szCs w:val="18"/>
                <w:vertAlign w:val="superscript"/>
              </w:rPr>
              <w:t>4</w:t>
            </w:r>
          </w:p>
        </w:tc>
        <w:tc>
          <w:tcPr>
            <w:tcW w:w="13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E84E3C" w14:textId="3F7DFA35" w:rsidR="77BAF1D3" w:rsidRDefault="77BAF1D3" w:rsidP="77BAF1D3">
            <w:pPr>
              <w:jc w:val="center"/>
            </w:pPr>
            <w:r w:rsidRPr="77BAF1D3">
              <w:rPr>
                <w:rFonts w:ascii="Calibri" w:eastAsia="Calibri" w:hAnsi="Calibri" w:cs="Calibri"/>
                <w:color w:val="000000" w:themeColor="text1"/>
                <w:sz w:val="18"/>
                <w:szCs w:val="18"/>
              </w:rPr>
              <w:t>ANM</w:t>
            </w:r>
          </w:p>
        </w:tc>
        <w:tc>
          <w:tcPr>
            <w:tcW w:w="24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8AD8A7" w14:textId="61D7105F" w:rsidR="77BAF1D3" w:rsidRDefault="77BAF1D3">
            <w:r w:rsidRPr="77BAF1D3">
              <w:rPr>
                <w:rFonts w:ascii="Calibri" w:eastAsia="Calibri" w:hAnsi="Calibri" w:cs="Calibri"/>
                <w:color w:val="000000" w:themeColor="text1"/>
                <w:sz w:val="18"/>
                <w:szCs w:val="18"/>
              </w:rPr>
              <w:t>Concessão do direi</w:t>
            </w:r>
            <w:r w:rsidR="00BB1F30">
              <w:rPr>
                <w:rFonts w:ascii="Calibri" w:eastAsia="Calibri" w:hAnsi="Calibri" w:cs="Calibri"/>
                <w:color w:val="000000" w:themeColor="text1"/>
                <w:sz w:val="18"/>
                <w:szCs w:val="18"/>
              </w:rPr>
              <w:t>t</w:t>
            </w:r>
            <w:r w:rsidRPr="77BAF1D3">
              <w:rPr>
                <w:rFonts w:ascii="Calibri" w:eastAsia="Calibri" w:hAnsi="Calibri" w:cs="Calibri"/>
                <w:color w:val="000000" w:themeColor="text1"/>
                <w:sz w:val="18"/>
                <w:szCs w:val="18"/>
              </w:rPr>
              <w:t>o real do uso</w:t>
            </w:r>
          </w:p>
        </w:tc>
        <w:tc>
          <w:tcPr>
            <w:tcW w:w="2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5968E6" w14:textId="795E3984" w:rsidR="77BAF1D3" w:rsidRDefault="77BAF1D3" w:rsidP="00554BD6">
            <w:pPr>
              <w:jc w:val="right"/>
            </w:pPr>
            <w:r w:rsidRPr="77BAF1D3">
              <w:rPr>
                <w:rFonts w:ascii="Calibri" w:eastAsia="Calibri" w:hAnsi="Calibri" w:cs="Calibri"/>
                <w:color w:val="000000" w:themeColor="text1"/>
                <w:sz w:val="18"/>
                <w:szCs w:val="18"/>
              </w:rPr>
              <w:t>22.027,48 m2</w:t>
            </w:r>
          </w:p>
        </w:tc>
        <w:tc>
          <w:tcPr>
            <w:tcW w:w="11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5126E6" w14:textId="5C1C4B50" w:rsidR="77BAF1D3" w:rsidRDefault="77BAF1D3" w:rsidP="00554BD6">
            <w:pPr>
              <w:jc w:val="right"/>
            </w:pPr>
            <w:r w:rsidRPr="77BAF1D3">
              <w:rPr>
                <w:rFonts w:ascii="Calibri" w:eastAsia="Calibri" w:hAnsi="Calibri" w:cs="Calibri"/>
                <w:color w:val="000000" w:themeColor="text1"/>
                <w:sz w:val="18"/>
                <w:szCs w:val="18"/>
              </w:rPr>
              <w:t>2017</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30A480" w14:textId="2EF758DC" w:rsidR="77BAF1D3" w:rsidRDefault="77BAF1D3" w:rsidP="00554BD6">
            <w:pPr>
              <w:jc w:val="right"/>
            </w:pPr>
            <w:r w:rsidRPr="77BAF1D3">
              <w:rPr>
                <w:rFonts w:ascii="Calibri" w:eastAsia="Calibri" w:hAnsi="Calibri" w:cs="Calibri"/>
                <w:color w:val="000000" w:themeColor="text1"/>
                <w:sz w:val="18"/>
                <w:szCs w:val="18"/>
              </w:rPr>
              <w:t>2047</w:t>
            </w:r>
          </w:p>
        </w:tc>
      </w:tr>
      <w:tr w:rsidR="77BAF1D3" w14:paraId="748D23D4" w14:textId="77777777" w:rsidTr="00554BD6">
        <w:trPr>
          <w:trHeight w:val="285"/>
        </w:trPr>
        <w:tc>
          <w:tcPr>
            <w:tcW w:w="10275" w:type="dxa"/>
            <w:gridSpan w:val="7"/>
            <w:tcBorders>
              <w:top w:val="nil"/>
              <w:left w:val="single" w:sz="4" w:space="0" w:color="FFFFFF" w:themeColor="background1"/>
              <w:bottom w:val="nil"/>
              <w:right w:val="nil"/>
            </w:tcBorders>
            <w:vAlign w:val="bottom"/>
          </w:tcPr>
          <w:p w14:paraId="2B22C1C1" w14:textId="7043EDA4" w:rsidR="77BAF1D3" w:rsidRDefault="77BAF1D3" w:rsidP="77BAF1D3">
            <w:proofErr w:type="gramStart"/>
            <w:r w:rsidRPr="77BAF1D3">
              <w:rPr>
                <w:rFonts w:ascii="Calibri" w:eastAsia="Calibri" w:hAnsi="Calibri" w:cs="Calibri"/>
                <w:color w:val="000000" w:themeColor="text1"/>
                <w:sz w:val="16"/>
                <w:szCs w:val="16"/>
                <w:vertAlign w:val="superscript"/>
              </w:rPr>
              <w:t>1</w:t>
            </w:r>
            <w:r w:rsidRPr="77BAF1D3">
              <w:rPr>
                <w:rFonts w:ascii="Calibri" w:eastAsia="Calibri" w:hAnsi="Calibri" w:cs="Calibri"/>
                <w:color w:val="000000" w:themeColor="text1"/>
                <w:sz w:val="16"/>
                <w:szCs w:val="16"/>
              </w:rPr>
              <w:t>O</w:t>
            </w:r>
            <w:proofErr w:type="gramEnd"/>
            <w:r w:rsidRPr="77BAF1D3">
              <w:rPr>
                <w:rFonts w:ascii="Calibri" w:eastAsia="Calibri" w:hAnsi="Calibri" w:cs="Calibri"/>
                <w:color w:val="000000" w:themeColor="text1"/>
                <w:sz w:val="16"/>
                <w:szCs w:val="16"/>
              </w:rPr>
              <w:t xml:space="preserve"> aumento do número de contratos na lista de 2021 em relação a de 2020 é devido à inclusão de usinas de baixo potencial hidrelétrico e à </w:t>
            </w:r>
          </w:p>
          <w:p w14:paraId="7370998C" w14:textId="0DF13FF4" w:rsidR="2DB1AF87" w:rsidRDefault="2DB1AF87" w:rsidP="77BAF1D3">
            <w:proofErr w:type="gramStart"/>
            <w:r w:rsidRPr="77BAF1D3">
              <w:rPr>
                <w:rFonts w:ascii="Calibri" w:eastAsia="Calibri" w:hAnsi="Calibri" w:cs="Calibri"/>
                <w:color w:val="000000" w:themeColor="text1"/>
                <w:sz w:val="16"/>
                <w:szCs w:val="16"/>
              </w:rPr>
              <w:t>at</w:t>
            </w:r>
            <w:r w:rsidR="77BAF1D3" w:rsidRPr="77BAF1D3">
              <w:rPr>
                <w:rFonts w:ascii="Calibri" w:eastAsia="Calibri" w:hAnsi="Calibri" w:cs="Calibri"/>
                <w:color w:val="000000" w:themeColor="text1"/>
                <w:sz w:val="16"/>
                <w:szCs w:val="16"/>
              </w:rPr>
              <w:t>ualização</w:t>
            </w:r>
            <w:proofErr w:type="gramEnd"/>
            <w:r w:rsidR="77BAF1D3" w:rsidRPr="77BAF1D3">
              <w:rPr>
                <w:rFonts w:ascii="Calibri" w:eastAsia="Calibri" w:hAnsi="Calibri" w:cs="Calibri"/>
                <w:color w:val="000000" w:themeColor="text1"/>
                <w:sz w:val="16"/>
                <w:szCs w:val="16"/>
              </w:rPr>
              <w:t xml:space="preserve"> na base dados da ANEEL.</w:t>
            </w:r>
          </w:p>
        </w:tc>
      </w:tr>
      <w:tr w:rsidR="77BAF1D3" w14:paraId="6B86FA0B" w14:textId="77777777" w:rsidTr="00554BD6">
        <w:trPr>
          <w:gridAfter w:val="1"/>
          <w:wAfter w:w="360" w:type="dxa"/>
          <w:trHeight w:val="285"/>
        </w:trPr>
        <w:tc>
          <w:tcPr>
            <w:tcW w:w="9915" w:type="dxa"/>
            <w:gridSpan w:val="6"/>
            <w:tcBorders>
              <w:top w:val="nil"/>
              <w:left w:val="single" w:sz="4" w:space="0" w:color="FFFFFF" w:themeColor="background1"/>
              <w:bottom w:val="nil"/>
              <w:right w:val="nil"/>
            </w:tcBorders>
            <w:vAlign w:val="bottom"/>
          </w:tcPr>
          <w:p w14:paraId="128CC8C7" w14:textId="06A925F9" w:rsidR="77BAF1D3" w:rsidRDefault="77BAF1D3" w:rsidP="77BAF1D3">
            <w:proofErr w:type="gramStart"/>
            <w:r w:rsidRPr="77BAF1D3">
              <w:rPr>
                <w:rFonts w:ascii="Calibri" w:eastAsia="Calibri" w:hAnsi="Calibri" w:cs="Calibri"/>
                <w:color w:val="000000" w:themeColor="text1"/>
                <w:sz w:val="16"/>
                <w:szCs w:val="16"/>
                <w:vertAlign w:val="superscript"/>
              </w:rPr>
              <w:t>2</w:t>
            </w:r>
            <w:r w:rsidRPr="77BAF1D3">
              <w:rPr>
                <w:rFonts w:ascii="Calibri" w:eastAsia="Calibri" w:hAnsi="Calibri" w:cs="Calibri"/>
                <w:color w:val="000000" w:themeColor="text1"/>
                <w:sz w:val="16"/>
                <w:szCs w:val="16"/>
              </w:rPr>
              <w:t>A</w:t>
            </w:r>
            <w:proofErr w:type="gramEnd"/>
            <w:r w:rsidRPr="77BAF1D3">
              <w:rPr>
                <w:rFonts w:ascii="Calibri" w:eastAsia="Calibri" w:hAnsi="Calibri" w:cs="Calibri"/>
                <w:color w:val="000000" w:themeColor="text1"/>
                <w:sz w:val="16"/>
                <w:szCs w:val="16"/>
              </w:rPr>
              <w:t xml:space="preserve"> redução no número de contratos na lista de 2021 em relação a 2020 é devida à atualização na base dados da ANEEL.</w:t>
            </w:r>
          </w:p>
        </w:tc>
      </w:tr>
      <w:tr w:rsidR="77BAF1D3" w14:paraId="1B15B313" w14:textId="77777777" w:rsidTr="00554BD6">
        <w:trPr>
          <w:gridAfter w:val="1"/>
          <w:wAfter w:w="360" w:type="dxa"/>
          <w:trHeight w:val="285"/>
        </w:trPr>
        <w:tc>
          <w:tcPr>
            <w:tcW w:w="9915" w:type="dxa"/>
            <w:gridSpan w:val="6"/>
            <w:tcBorders>
              <w:top w:val="nil"/>
              <w:left w:val="single" w:sz="4" w:space="0" w:color="FFFFFF" w:themeColor="background1"/>
              <w:bottom w:val="nil"/>
              <w:right w:val="nil"/>
            </w:tcBorders>
            <w:vAlign w:val="bottom"/>
          </w:tcPr>
          <w:p w14:paraId="16B1B113" w14:textId="237F0A6D" w:rsidR="77BAF1D3" w:rsidRDefault="77BAF1D3" w:rsidP="77BAF1D3">
            <w:proofErr w:type="gramStart"/>
            <w:r w:rsidRPr="77BAF1D3">
              <w:rPr>
                <w:rFonts w:ascii="Calibri" w:eastAsia="Calibri" w:hAnsi="Calibri" w:cs="Calibri"/>
                <w:color w:val="000000" w:themeColor="text1"/>
                <w:sz w:val="16"/>
                <w:szCs w:val="16"/>
                <w:vertAlign w:val="superscript"/>
              </w:rPr>
              <w:t>3</w:t>
            </w:r>
            <w:r w:rsidRPr="77BAF1D3">
              <w:rPr>
                <w:rFonts w:ascii="Calibri" w:eastAsia="Calibri" w:hAnsi="Calibri" w:cs="Calibri"/>
                <w:color w:val="000000" w:themeColor="text1"/>
                <w:sz w:val="16"/>
                <w:szCs w:val="16"/>
              </w:rPr>
              <w:t>A</w:t>
            </w:r>
            <w:proofErr w:type="gramEnd"/>
            <w:r w:rsidRPr="77BAF1D3">
              <w:rPr>
                <w:rFonts w:ascii="Calibri" w:eastAsia="Calibri" w:hAnsi="Calibri" w:cs="Calibri"/>
                <w:color w:val="000000" w:themeColor="text1"/>
                <w:sz w:val="16"/>
                <w:szCs w:val="16"/>
              </w:rPr>
              <w:t xml:space="preserve"> UTE Igarapé tinha vencimento em 2024, mas foi extinta pela Portaria MME nº 487/2021, de 10/02/2021</w:t>
            </w:r>
          </w:p>
        </w:tc>
      </w:tr>
      <w:tr w:rsidR="77BAF1D3" w14:paraId="3ECB0A60" w14:textId="77777777" w:rsidTr="00554BD6">
        <w:trPr>
          <w:gridAfter w:val="1"/>
          <w:wAfter w:w="360" w:type="dxa"/>
          <w:trHeight w:val="285"/>
        </w:trPr>
        <w:tc>
          <w:tcPr>
            <w:tcW w:w="9915" w:type="dxa"/>
            <w:gridSpan w:val="6"/>
            <w:tcBorders>
              <w:top w:val="nil"/>
              <w:left w:val="single" w:sz="4" w:space="0" w:color="FFFFFF" w:themeColor="background1"/>
              <w:bottom w:val="nil"/>
              <w:right w:val="nil"/>
            </w:tcBorders>
            <w:vAlign w:val="bottom"/>
          </w:tcPr>
          <w:p w14:paraId="0381A99E" w14:textId="77777777" w:rsidR="00BB1F30" w:rsidRDefault="77BAF1D3" w:rsidP="77BAF1D3">
            <w:pPr>
              <w:rPr>
                <w:rFonts w:ascii="Calibri" w:eastAsia="Calibri" w:hAnsi="Calibri" w:cs="Calibri"/>
                <w:color w:val="000000" w:themeColor="text1"/>
                <w:sz w:val="16"/>
                <w:szCs w:val="16"/>
              </w:rPr>
            </w:pPr>
            <w:proofErr w:type="gramStart"/>
            <w:r w:rsidRPr="77BAF1D3">
              <w:rPr>
                <w:rFonts w:ascii="Calibri" w:eastAsia="Calibri" w:hAnsi="Calibri" w:cs="Calibri"/>
                <w:color w:val="000000" w:themeColor="text1"/>
                <w:sz w:val="16"/>
                <w:szCs w:val="16"/>
                <w:vertAlign w:val="superscript"/>
              </w:rPr>
              <w:t>4</w:t>
            </w:r>
            <w:r w:rsidRPr="77BAF1D3">
              <w:rPr>
                <w:rFonts w:ascii="Calibri" w:eastAsia="Calibri" w:hAnsi="Calibri" w:cs="Calibri"/>
                <w:color w:val="000000" w:themeColor="text1"/>
                <w:sz w:val="16"/>
                <w:szCs w:val="16"/>
              </w:rPr>
              <w:t>Dados</w:t>
            </w:r>
            <w:proofErr w:type="gramEnd"/>
            <w:r w:rsidRPr="77BAF1D3">
              <w:rPr>
                <w:rFonts w:ascii="Calibri" w:eastAsia="Calibri" w:hAnsi="Calibri" w:cs="Calibri"/>
                <w:color w:val="000000" w:themeColor="text1"/>
                <w:sz w:val="16"/>
                <w:szCs w:val="16"/>
              </w:rPr>
              <w:t xml:space="preserve"> de 2020</w:t>
            </w:r>
            <w:r w:rsidR="0A13F047" w:rsidRPr="2CEEB9C7">
              <w:rPr>
                <w:rFonts w:ascii="Calibri" w:eastAsia="Calibri" w:hAnsi="Calibri" w:cs="Calibri"/>
                <w:color w:val="000000" w:themeColor="text1"/>
                <w:sz w:val="16"/>
                <w:szCs w:val="16"/>
              </w:rPr>
              <w:t xml:space="preserve">. </w:t>
            </w:r>
          </w:p>
          <w:p w14:paraId="28005299" w14:textId="704C90A2" w:rsidR="77BAF1D3" w:rsidRDefault="00BB1F30" w:rsidP="77BAF1D3">
            <w:pPr>
              <w:rPr>
                <w:rFonts w:eastAsia="Times New Roman" w:cs="Times New Roman"/>
                <w:sz w:val="18"/>
                <w:szCs w:val="18"/>
                <w:lang w:eastAsia="pt-BR"/>
              </w:rPr>
            </w:pPr>
            <w:r>
              <w:rPr>
                <w:rFonts w:eastAsia="Times New Roman" w:cs="Arial"/>
                <w:b/>
                <w:bCs/>
                <w:i/>
                <w:iCs/>
                <w:sz w:val="16"/>
                <w:szCs w:val="16"/>
                <w:lang w:eastAsia="pt-BR"/>
              </w:rPr>
              <w:t xml:space="preserve">Fonte: </w:t>
            </w:r>
            <w:r w:rsidRPr="00BB1F30">
              <w:rPr>
                <w:rFonts w:eastAsia="Times New Roman" w:cs="Arial"/>
                <w:bCs/>
                <w:i/>
                <w:iCs/>
                <w:sz w:val="16"/>
                <w:szCs w:val="16"/>
                <w:lang w:eastAsia="pt-BR"/>
              </w:rPr>
              <w:t>Agências Reguladoras.</w:t>
            </w:r>
            <w:r>
              <w:rPr>
                <w:rFonts w:eastAsia="Times New Roman" w:cs="Arial"/>
                <w:b/>
                <w:bCs/>
                <w:i/>
                <w:iCs/>
                <w:sz w:val="16"/>
                <w:szCs w:val="16"/>
                <w:lang w:eastAsia="pt-BR"/>
              </w:rPr>
              <w:t xml:space="preserve"> </w:t>
            </w:r>
            <w:r w:rsidR="0A13F047" w:rsidRPr="2CEEB9C7">
              <w:rPr>
                <w:rFonts w:eastAsia="Times New Roman" w:cs="Arial"/>
                <w:b/>
                <w:bCs/>
                <w:i/>
                <w:iCs/>
                <w:sz w:val="16"/>
                <w:szCs w:val="16"/>
                <w:lang w:eastAsia="pt-BR"/>
              </w:rPr>
              <w:t>Elaboração</w:t>
            </w:r>
            <w:r w:rsidR="0A13F047" w:rsidRPr="2CEEB9C7">
              <w:rPr>
                <w:rFonts w:eastAsia="Times New Roman" w:cs="Arial"/>
                <w:i/>
                <w:iCs/>
                <w:sz w:val="16"/>
                <w:szCs w:val="16"/>
                <w:lang w:eastAsia="pt-BR"/>
              </w:rPr>
              <w:t>: STN/ME</w:t>
            </w:r>
          </w:p>
        </w:tc>
      </w:tr>
    </w:tbl>
    <w:p w14:paraId="7D08821A" w14:textId="2FD4BE30" w:rsidR="2CEEB9C7" w:rsidRDefault="2CEEB9C7"/>
    <w:p w14:paraId="28BED5D6" w14:textId="09E23ACA" w:rsidR="000D17A6" w:rsidRPr="0022645B" w:rsidRDefault="000D17A6" w:rsidP="00F46A35">
      <w:pPr>
        <w:pStyle w:val="Ttulo3"/>
        <w:keepNext w:val="0"/>
        <w:numPr>
          <w:ilvl w:val="2"/>
          <w:numId w:val="36"/>
        </w:numPr>
        <w:spacing w:before="240" w:after="120"/>
        <w:ind w:left="720" w:hanging="720"/>
        <w:rPr>
          <w:rFonts w:asciiTheme="minorHAnsi" w:hAnsiTheme="minorHAnsi"/>
          <w:b/>
          <w:smallCaps w:val="0"/>
        </w:rPr>
      </w:pPr>
      <w:bookmarkStart w:id="405" w:name="_Toc5012252"/>
      <w:bookmarkStart w:id="406" w:name="_Toc5030498"/>
      <w:bookmarkStart w:id="407" w:name="_Toc5180295"/>
      <w:bookmarkStart w:id="408" w:name="_Toc67318009"/>
      <w:bookmarkStart w:id="409" w:name="_Toc67929663"/>
      <w:bookmarkStart w:id="410" w:name="_Toc69121242"/>
      <w:r w:rsidRPr="0EDB2EA1">
        <w:rPr>
          <w:rFonts w:asciiTheme="minorHAnsi" w:hAnsiTheme="minorHAnsi"/>
          <w:b/>
          <w:smallCaps w:val="0"/>
        </w:rPr>
        <w:t>Estatais Federais</w:t>
      </w:r>
      <w:bookmarkEnd w:id="405"/>
      <w:bookmarkEnd w:id="406"/>
      <w:bookmarkEnd w:id="407"/>
      <w:bookmarkEnd w:id="408"/>
      <w:bookmarkEnd w:id="409"/>
      <w:bookmarkEnd w:id="410"/>
    </w:p>
    <w:p w14:paraId="2F049789" w14:textId="2CE04477" w:rsidR="00A21F07" w:rsidRDefault="523B8B10" w:rsidP="00EB6C2F">
      <w:pPr>
        <w:spacing w:after="120" w:line="240" w:lineRule="auto"/>
        <w:ind w:firstLine="1418"/>
        <w:jc w:val="both"/>
        <w:rPr>
          <w:rFonts w:ascii="Calibri" w:eastAsia="Calibri" w:hAnsi="Calibri" w:cs="Calibri"/>
          <w:sz w:val="24"/>
          <w:szCs w:val="24"/>
          <w:vertAlign w:val="superscript"/>
        </w:rPr>
      </w:pPr>
      <w:r w:rsidRPr="0EDB2EA1">
        <w:rPr>
          <w:rFonts w:ascii="Calibri" w:eastAsia="Calibri" w:hAnsi="Calibri" w:cs="Calibri"/>
          <w:color w:val="000000" w:themeColor="text1"/>
          <w:sz w:val="24"/>
          <w:szCs w:val="24"/>
        </w:rPr>
        <w:t xml:space="preserve">Esta seção engloba os riscos fiscais relacionados às empresas estatais federais não dependentes controladas diretamente pela União. Tais empresas integram o Orçamento de </w:t>
      </w:r>
      <w:r w:rsidRPr="0EDB2EA1">
        <w:rPr>
          <w:rFonts w:ascii="Calibri" w:eastAsia="Calibri" w:hAnsi="Calibri" w:cs="Calibri"/>
          <w:color w:val="000000" w:themeColor="text1"/>
          <w:sz w:val="24"/>
          <w:szCs w:val="24"/>
        </w:rPr>
        <w:lastRenderedPageBreak/>
        <w:t>Investimentos das Empresas Estatais (OI) e o Programa de Dispêndios Globais (PDG</w:t>
      </w:r>
      <w:proofErr w:type="gramStart"/>
      <w:r w:rsidR="76906ECA" w:rsidRPr="0EDB2EA1">
        <w:rPr>
          <w:rFonts w:ascii="Calibri" w:eastAsia="Calibri" w:hAnsi="Calibri" w:cs="Calibri"/>
          <w:color w:val="000000" w:themeColor="text1"/>
          <w:sz w:val="24"/>
          <w:szCs w:val="24"/>
        </w:rPr>
        <w:t>)</w:t>
      </w:r>
      <w:proofErr w:type="gramEnd"/>
      <w:r w:rsidR="00A21F07" w:rsidRPr="77BAF1D3">
        <w:rPr>
          <w:rStyle w:val="Refdenotaderodap"/>
          <w:rFonts w:ascii="Calibri" w:eastAsia="Calibri" w:hAnsi="Calibri" w:cs="Calibri"/>
          <w:color w:val="000000" w:themeColor="text1"/>
          <w:sz w:val="24"/>
          <w:szCs w:val="24"/>
        </w:rPr>
        <w:footnoteReference w:id="18"/>
      </w:r>
      <w:r w:rsidRPr="0EDB2EA1">
        <w:rPr>
          <w:rFonts w:ascii="Calibri" w:eastAsia="Calibri" w:hAnsi="Calibri" w:cs="Calibri"/>
          <w:color w:val="000000" w:themeColor="text1"/>
          <w:sz w:val="24"/>
          <w:szCs w:val="24"/>
        </w:rPr>
        <w:t>.</w:t>
      </w:r>
      <w:r w:rsidR="3C4371B7" w:rsidRPr="0EDB2EA1">
        <w:rPr>
          <w:rFonts w:ascii="Calibri" w:eastAsia="Calibri" w:hAnsi="Calibri" w:cs="Calibri"/>
          <w:color w:val="000000" w:themeColor="text1"/>
          <w:sz w:val="24"/>
          <w:szCs w:val="24"/>
        </w:rPr>
        <w:t xml:space="preserve"> </w:t>
      </w:r>
      <w:r w:rsidRPr="0EDB2EA1">
        <w:rPr>
          <w:rFonts w:ascii="Calibri" w:eastAsia="Calibri" w:hAnsi="Calibri" w:cs="Calibri"/>
          <w:color w:val="000000" w:themeColor="text1"/>
          <w:sz w:val="24"/>
          <w:szCs w:val="24"/>
        </w:rPr>
        <w:t xml:space="preserve">Refere-se a um conjunto de 27 empresas, sendo 21 empresas públicas e </w:t>
      </w:r>
      <w:proofErr w:type="gramStart"/>
      <w:r w:rsidRPr="0EDB2EA1">
        <w:rPr>
          <w:rFonts w:ascii="Calibri" w:eastAsia="Calibri" w:hAnsi="Calibri" w:cs="Calibri"/>
          <w:color w:val="000000" w:themeColor="text1"/>
          <w:sz w:val="24"/>
          <w:szCs w:val="24"/>
        </w:rPr>
        <w:t>6</w:t>
      </w:r>
      <w:proofErr w:type="gramEnd"/>
      <w:r w:rsidRPr="0EDB2EA1">
        <w:rPr>
          <w:rFonts w:ascii="Calibri" w:eastAsia="Calibri" w:hAnsi="Calibri" w:cs="Calibri"/>
          <w:color w:val="000000" w:themeColor="text1"/>
          <w:sz w:val="24"/>
          <w:szCs w:val="24"/>
        </w:rPr>
        <w:t xml:space="preserve"> sociedades de economia mista, conforme </w:t>
      </w:r>
      <w:r w:rsidR="00997445" w:rsidRPr="00997445">
        <w:rPr>
          <w:rFonts w:ascii="Calibri" w:eastAsia="Calibri" w:hAnsi="Calibri" w:cs="Calibri"/>
          <w:color w:val="000000" w:themeColor="text1"/>
          <w:sz w:val="24"/>
          <w:szCs w:val="24"/>
        </w:rPr>
        <w:fldChar w:fldCharType="begin"/>
      </w:r>
      <w:r w:rsidR="00997445" w:rsidRPr="00997445">
        <w:rPr>
          <w:rFonts w:ascii="Calibri" w:eastAsia="Calibri" w:hAnsi="Calibri" w:cs="Calibri"/>
          <w:color w:val="000000" w:themeColor="text1"/>
          <w:sz w:val="24"/>
          <w:szCs w:val="24"/>
        </w:rPr>
        <w:instrText xml:space="preserve"> REF _Ref68015760 \h  \* MERGEFORMAT </w:instrText>
      </w:r>
      <w:r w:rsidR="00997445" w:rsidRPr="00997445">
        <w:rPr>
          <w:rFonts w:ascii="Calibri" w:eastAsia="Calibri" w:hAnsi="Calibri" w:cs="Calibri"/>
          <w:color w:val="000000" w:themeColor="text1"/>
          <w:sz w:val="24"/>
          <w:szCs w:val="24"/>
        </w:rPr>
      </w:r>
      <w:r w:rsidR="00997445" w:rsidRPr="00997445">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58</w:t>
      </w:r>
      <w:r w:rsidR="00997445" w:rsidRPr="00997445">
        <w:rPr>
          <w:rFonts w:ascii="Calibri" w:eastAsia="Calibri" w:hAnsi="Calibri" w:cs="Calibri"/>
          <w:color w:val="000000" w:themeColor="text1"/>
          <w:sz w:val="24"/>
          <w:szCs w:val="24"/>
        </w:rPr>
        <w:fldChar w:fldCharType="end"/>
      </w:r>
      <w:r w:rsidR="00A21F07" w:rsidRPr="77BAF1D3">
        <w:rPr>
          <w:rStyle w:val="Refdenotaderodap"/>
          <w:rFonts w:ascii="Calibri" w:eastAsia="Calibri" w:hAnsi="Calibri" w:cs="Calibri"/>
          <w:color w:val="000000" w:themeColor="text1"/>
          <w:sz w:val="24"/>
          <w:szCs w:val="24"/>
        </w:rPr>
        <w:footnoteReference w:id="19"/>
      </w:r>
      <w:r w:rsidRPr="0EDB2EA1">
        <w:rPr>
          <w:rFonts w:ascii="Calibri" w:eastAsia="Calibri" w:hAnsi="Calibri" w:cs="Calibri"/>
          <w:color w:val="000000" w:themeColor="text1"/>
          <w:sz w:val="24"/>
          <w:szCs w:val="24"/>
        </w:rPr>
        <w:t>.</w:t>
      </w:r>
    </w:p>
    <w:p w14:paraId="5E2AD0C3" w14:textId="09F2BB58" w:rsidR="00A21F07" w:rsidRDefault="523B8B10" w:rsidP="00EB6C2F">
      <w:pPr>
        <w:spacing w:after="120" w:line="240" w:lineRule="auto"/>
        <w:ind w:firstLine="1418"/>
        <w:jc w:val="both"/>
      </w:pPr>
      <w:r w:rsidRPr="0EDB2EA1">
        <w:rPr>
          <w:rFonts w:ascii="Calibri" w:eastAsia="Calibri" w:hAnsi="Calibri" w:cs="Calibri"/>
          <w:color w:val="000000" w:themeColor="text1"/>
          <w:sz w:val="24"/>
          <w:szCs w:val="24"/>
        </w:rPr>
        <w:t>As empresas estatais federais em liquidação, que também não fazem parte desta seção, não integram o Orçamento Fiscal nem o Orçamento de Investimento, mas integram o Programa de Dispêndios Globais (PDG). É adotado o rito de liquidação da Lei nº 8.029, de 1990, em que o Estado coordena e assume, de forma subsidiária, na condição de sucessor (art. 23 da Lei nº 8.029/</w:t>
      </w:r>
      <w:r w:rsidR="00563F85">
        <w:rPr>
          <w:rFonts w:ascii="Calibri" w:eastAsia="Calibri" w:hAnsi="Calibri" w:cs="Calibri"/>
          <w:color w:val="000000" w:themeColor="text1"/>
          <w:sz w:val="24"/>
          <w:szCs w:val="24"/>
        </w:rPr>
        <w:t>19</w:t>
      </w:r>
      <w:r w:rsidRPr="0EDB2EA1">
        <w:rPr>
          <w:rFonts w:ascii="Calibri" w:eastAsia="Calibri" w:hAnsi="Calibri" w:cs="Calibri"/>
          <w:color w:val="000000" w:themeColor="text1"/>
          <w:sz w:val="24"/>
          <w:szCs w:val="24"/>
        </w:rPr>
        <w:t xml:space="preserve">90), os ativos e passivos remanescentes, mediante atuação do liquidante indicado pela administração pública federal. É um processo que tende a conferir maior celeridade em relação à liquidação nos termos da legislação societária, mas pode imputar maiores riscos fiscais para o ente controlador, pois os passivos poderão ser transferidos sem a realização de todos os ativos existentes. Em 2020, as empresas </w:t>
      </w:r>
      <w:proofErr w:type="spellStart"/>
      <w:r w:rsidRPr="0EDB2EA1">
        <w:rPr>
          <w:rFonts w:ascii="Calibri" w:eastAsia="Calibri" w:hAnsi="Calibri" w:cs="Calibri"/>
          <w:color w:val="000000" w:themeColor="text1"/>
          <w:sz w:val="24"/>
          <w:szCs w:val="24"/>
        </w:rPr>
        <w:t>Codomar</w:t>
      </w:r>
      <w:proofErr w:type="spellEnd"/>
      <w:r w:rsidRPr="0EDB2EA1">
        <w:rPr>
          <w:rFonts w:ascii="Calibri" w:eastAsia="Calibri" w:hAnsi="Calibri" w:cs="Calibri"/>
          <w:color w:val="000000" w:themeColor="text1"/>
          <w:sz w:val="24"/>
          <w:szCs w:val="24"/>
        </w:rPr>
        <w:t xml:space="preserve"> e a </w:t>
      </w:r>
      <w:proofErr w:type="spellStart"/>
      <w:r w:rsidRPr="0EDB2EA1">
        <w:rPr>
          <w:rFonts w:ascii="Calibri" w:eastAsia="Calibri" w:hAnsi="Calibri" w:cs="Calibri"/>
          <w:color w:val="000000" w:themeColor="text1"/>
          <w:sz w:val="24"/>
          <w:szCs w:val="24"/>
        </w:rPr>
        <w:t>Casemg</w:t>
      </w:r>
      <w:proofErr w:type="spellEnd"/>
      <w:r w:rsidRPr="0EDB2EA1">
        <w:rPr>
          <w:rFonts w:ascii="Calibri" w:eastAsia="Calibri" w:hAnsi="Calibri" w:cs="Calibri"/>
          <w:color w:val="000000" w:themeColor="text1"/>
          <w:sz w:val="24"/>
          <w:szCs w:val="24"/>
        </w:rPr>
        <w:t xml:space="preserve">, que se </w:t>
      </w:r>
      <w:proofErr w:type="gramStart"/>
      <w:r w:rsidRPr="0EDB2EA1">
        <w:rPr>
          <w:rFonts w:ascii="Calibri" w:eastAsia="Calibri" w:hAnsi="Calibri" w:cs="Calibri"/>
          <w:color w:val="000000" w:themeColor="text1"/>
          <w:sz w:val="24"/>
          <w:szCs w:val="24"/>
        </w:rPr>
        <w:t>encontravam</w:t>
      </w:r>
      <w:proofErr w:type="gramEnd"/>
      <w:r w:rsidRPr="0EDB2EA1">
        <w:rPr>
          <w:rFonts w:ascii="Calibri" w:eastAsia="Calibri" w:hAnsi="Calibri" w:cs="Calibri"/>
          <w:color w:val="000000" w:themeColor="text1"/>
          <w:sz w:val="24"/>
          <w:szCs w:val="24"/>
        </w:rPr>
        <w:t xml:space="preserve"> em processo de liquidação, foram extintas. A SEST é o órgão responsável pelo planejamento, coordenação e supervisão dos processos de liquidação.</w:t>
      </w:r>
    </w:p>
    <w:p w14:paraId="4A07D928" w14:textId="50FCB726" w:rsidR="00A21F07" w:rsidRDefault="523B8B10" w:rsidP="00EB6C2F">
      <w:pPr>
        <w:spacing w:after="120" w:line="240" w:lineRule="auto"/>
        <w:ind w:firstLine="1418"/>
        <w:jc w:val="both"/>
      </w:pPr>
      <w:r w:rsidRPr="0EDB2EA1">
        <w:rPr>
          <w:rFonts w:ascii="Calibri" w:eastAsia="Calibri" w:hAnsi="Calibri" w:cs="Calibri"/>
          <w:color w:val="000000" w:themeColor="text1"/>
          <w:sz w:val="24"/>
          <w:szCs w:val="24"/>
        </w:rPr>
        <w:t xml:space="preserve">Quanto ao resultado fiscal das empresas estatais não dependentes, vale lembrar que as Instituições </w:t>
      </w:r>
      <w:proofErr w:type="gramStart"/>
      <w:r w:rsidRPr="0EDB2EA1">
        <w:rPr>
          <w:rFonts w:ascii="Calibri" w:eastAsia="Calibri" w:hAnsi="Calibri" w:cs="Calibri"/>
          <w:color w:val="000000" w:themeColor="text1"/>
          <w:sz w:val="24"/>
          <w:szCs w:val="24"/>
        </w:rPr>
        <w:t>Financeiras Federais (IFF), incluída</w:t>
      </w:r>
      <w:proofErr w:type="gramEnd"/>
      <w:r w:rsidRPr="0EDB2EA1">
        <w:rPr>
          <w:rFonts w:ascii="Calibri" w:eastAsia="Calibri" w:hAnsi="Calibri" w:cs="Calibri"/>
          <w:color w:val="000000" w:themeColor="text1"/>
          <w:sz w:val="24"/>
          <w:szCs w:val="24"/>
        </w:rPr>
        <w:t xml:space="preserve"> a FINEP, não compõem o setor público consolidado conforme metodologia vigente. As empresas Petrobras e </w:t>
      </w:r>
      <w:proofErr w:type="spellStart"/>
      <w:r w:rsidRPr="0EDB2EA1">
        <w:rPr>
          <w:rFonts w:ascii="Calibri" w:eastAsia="Calibri" w:hAnsi="Calibri" w:cs="Calibri"/>
          <w:color w:val="000000" w:themeColor="text1"/>
          <w:sz w:val="24"/>
          <w:szCs w:val="24"/>
        </w:rPr>
        <w:t>Eletrobr</w:t>
      </w:r>
      <w:r w:rsidR="00494B55">
        <w:rPr>
          <w:rFonts w:ascii="Calibri" w:eastAsia="Calibri" w:hAnsi="Calibri" w:cs="Calibri"/>
          <w:color w:val="000000" w:themeColor="text1"/>
          <w:sz w:val="24"/>
          <w:szCs w:val="24"/>
        </w:rPr>
        <w:t>a</w:t>
      </w:r>
      <w:r w:rsidRPr="0EDB2EA1">
        <w:rPr>
          <w:rFonts w:ascii="Calibri" w:eastAsia="Calibri" w:hAnsi="Calibri" w:cs="Calibri"/>
          <w:color w:val="000000" w:themeColor="text1"/>
          <w:sz w:val="24"/>
          <w:szCs w:val="24"/>
        </w:rPr>
        <w:t>s</w:t>
      </w:r>
      <w:proofErr w:type="spellEnd"/>
      <w:r w:rsidRPr="0EDB2EA1">
        <w:rPr>
          <w:rFonts w:ascii="Calibri" w:eastAsia="Calibri" w:hAnsi="Calibri" w:cs="Calibri"/>
          <w:color w:val="000000" w:themeColor="text1"/>
          <w:sz w:val="24"/>
          <w:szCs w:val="24"/>
        </w:rPr>
        <w:t>, incluindo suas subsidiárias, por outro lado, foram excluídas do escopo da metodologia do Banco Central, considerando, à época, suas características operacionais e de governança corporativa, à exceção da empresa Itaipu binacional, que ainda faz parte das estatísticas fiscais, por sua singularidade. Não obstante, essas empresas, como estatais não dependentes, podem oferecer riscos fiscais ao acionista controlador como se verá adiante.</w:t>
      </w:r>
    </w:p>
    <w:p w14:paraId="414968E5" w14:textId="06A312C2" w:rsidR="00A21F07" w:rsidRPr="00997445" w:rsidRDefault="523B8B10" w:rsidP="00997445">
      <w:pPr>
        <w:pStyle w:val="Legenda"/>
        <w:jc w:val="center"/>
        <w:rPr>
          <w:rFonts w:asciiTheme="minorHAnsi" w:eastAsia="Calibri" w:hAnsiTheme="minorHAnsi" w:cstheme="minorHAnsi"/>
          <w:i w:val="0"/>
          <w:color w:val="auto"/>
          <w:sz w:val="22"/>
          <w:szCs w:val="22"/>
        </w:rPr>
      </w:pPr>
      <w:bookmarkStart w:id="411" w:name="_Ref68015760"/>
      <w:bookmarkStart w:id="412" w:name="_Toc69121404"/>
      <w:r w:rsidRPr="00997445">
        <w:rPr>
          <w:rFonts w:asciiTheme="minorHAnsi" w:eastAsia="Calibri" w:hAnsiTheme="minorHAnsi" w:cstheme="minorHAnsi"/>
          <w:i w:val="0"/>
          <w:color w:val="auto"/>
          <w:sz w:val="22"/>
          <w:szCs w:val="22"/>
        </w:rPr>
        <w:t xml:space="preserve">Tabela </w:t>
      </w:r>
      <w:r w:rsidR="00997445" w:rsidRPr="00997445">
        <w:rPr>
          <w:rFonts w:asciiTheme="minorHAnsi" w:hAnsiTheme="minorHAnsi" w:cstheme="minorHAnsi"/>
          <w:i w:val="0"/>
          <w:color w:val="auto"/>
          <w:sz w:val="22"/>
          <w:szCs w:val="22"/>
        </w:rPr>
        <w:fldChar w:fldCharType="begin"/>
      </w:r>
      <w:r w:rsidR="00997445" w:rsidRPr="00997445">
        <w:rPr>
          <w:rFonts w:asciiTheme="minorHAnsi" w:hAnsiTheme="minorHAnsi" w:cstheme="minorHAnsi"/>
          <w:i w:val="0"/>
          <w:color w:val="auto"/>
          <w:sz w:val="22"/>
          <w:szCs w:val="22"/>
        </w:rPr>
        <w:instrText xml:space="preserve"> SEQ Tabela \* ARABIC </w:instrText>
      </w:r>
      <w:r w:rsidR="00997445" w:rsidRPr="00997445">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58</w:t>
      </w:r>
      <w:r w:rsidR="00997445" w:rsidRPr="00997445">
        <w:rPr>
          <w:rFonts w:asciiTheme="minorHAnsi" w:hAnsiTheme="minorHAnsi" w:cstheme="minorHAnsi"/>
          <w:i w:val="0"/>
          <w:color w:val="auto"/>
          <w:sz w:val="22"/>
          <w:szCs w:val="22"/>
        </w:rPr>
        <w:fldChar w:fldCharType="end"/>
      </w:r>
      <w:bookmarkEnd w:id="411"/>
      <w:r w:rsidRPr="00997445">
        <w:rPr>
          <w:rFonts w:asciiTheme="minorHAnsi" w:eastAsia="Calibri" w:hAnsiTheme="minorHAnsi" w:cstheme="minorHAnsi"/>
          <w:i w:val="0"/>
          <w:color w:val="auto"/>
          <w:sz w:val="22"/>
          <w:szCs w:val="22"/>
        </w:rPr>
        <w:t xml:space="preserve"> - Escopo da Análise de Riscos de Empresas Estatais Não Dependentes</w:t>
      </w:r>
      <w:bookmarkEnd w:id="412"/>
    </w:p>
    <w:p w14:paraId="52BF315E" w14:textId="77777777" w:rsidR="0095042C" w:rsidRDefault="0095042C" w:rsidP="0095042C">
      <w:pPr>
        <w:pStyle w:val="TabelaARF"/>
        <w:jc w:val="center"/>
      </w:pPr>
    </w:p>
    <w:tbl>
      <w:tblPr>
        <w:tblStyle w:val="Tabelacomgrade"/>
        <w:tblW w:w="0" w:type="auto"/>
        <w:tblLayout w:type="fixed"/>
        <w:tblLook w:val="06A0" w:firstRow="1" w:lastRow="0" w:firstColumn="1" w:lastColumn="0" w:noHBand="1" w:noVBand="1"/>
      </w:tblPr>
      <w:tblGrid>
        <w:gridCol w:w="3305"/>
        <w:gridCol w:w="3305"/>
        <w:gridCol w:w="3305"/>
      </w:tblGrid>
      <w:tr w:rsidR="0EDB2EA1" w14:paraId="6BBFF66E"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A310341" w14:textId="40F8C98B" w:rsidR="0EDB2EA1" w:rsidRDefault="0EDB2EA1" w:rsidP="0EDB2EA1">
            <w:pPr>
              <w:jc w:val="center"/>
            </w:pPr>
            <w:r w:rsidRPr="0EDB2EA1">
              <w:rPr>
                <w:rFonts w:ascii="Calibri" w:eastAsia="Calibri" w:hAnsi="Calibri" w:cs="Calibri"/>
                <w:b/>
                <w:bCs/>
                <w:color w:val="FFFFFF" w:themeColor="background1"/>
                <w:sz w:val="20"/>
                <w:szCs w:val="20"/>
              </w:rPr>
              <w:t>Empresa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E1539E5" w14:textId="03944EA4" w:rsidR="0EDB2EA1" w:rsidRDefault="0EDB2EA1" w:rsidP="0EDB2EA1">
            <w:pPr>
              <w:jc w:val="center"/>
            </w:pPr>
            <w:r w:rsidRPr="0EDB2EA1">
              <w:rPr>
                <w:rFonts w:ascii="Calibri" w:eastAsia="Calibri" w:hAnsi="Calibri" w:cs="Calibri"/>
                <w:b/>
                <w:bCs/>
                <w:color w:val="FFFFFF" w:themeColor="background1"/>
                <w:sz w:val="20"/>
                <w:szCs w:val="20"/>
              </w:rPr>
              <w:t>Natureza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1E2E7A7B" w14:textId="5C1C4A44" w:rsidR="0EDB2EA1" w:rsidRDefault="0EDB2EA1" w:rsidP="0EDB2EA1">
            <w:pPr>
              <w:jc w:val="center"/>
            </w:pPr>
            <w:r w:rsidRPr="0EDB2EA1">
              <w:rPr>
                <w:rFonts w:ascii="Calibri" w:eastAsia="Calibri" w:hAnsi="Calibri" w:cs="Calibri"/>
                <w:b/>
                <w:bCs/>
                <w:color w:val="FFFFFF" w:themeColor="background1"/>
                <w:sz w:val="20"/>
                <w:szCs w:val="20"/>
              </w:rPr>
              <w:t>Participação</w:t>
            </w:r>
            <w:r w:rsidRPr="0EDB2EA1">
              <w:rPr>
                <w:rFonts w:ascii="Calibri" w:eastAsia="Calibri" w:hAnsi="Calibri" w:cs="Calibri"/>
                <w:b/>
                <w:bCs/>
                <w:color w:val="FFFFFF" w:themeColor="background1"/>
                <w:sz w:val="20"/>
                <w:szCs w:val="20"/>
                <w:vertAlign w:val="superscript"/>
              </w:rPr>
              <w:t xml:space="preserve"> </w:t>
            </w:r>
            <w:proofErr w:type="gramStart"/>
            <w:r w:rsidRPr="0EDB2EA1">
              <w:rPr>
                <w:rFonts w:ascii="Calibri" w:eastAsia="Calibri" w:hAnsi="Calibri" w:cs="Calibri"/>
                <w:b/>
                <w:bCs/>
                <w:color w:val="FFFFFF" w:themeColor="background1"/>
                <w:sz w:val="20"/>
                <w:szCs w:val="20"/>
                <w:vertAlign w:val="superscript"/>
              </w:rPr>
              <w:t>1</w:t>
            </w:r>
            <w:proofErr w:type="gramEnd"/>
          </w:p>
        </w:tc>
      </w:tr>
      <w:tr w:rsidR="0EDB2EA1" w14:paraId="07662179"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7180D233" w14:textId="3F0B6D7E" w:rsidR="0EDB2EA1" w:rsidRDefault="0EDB2EA1" w:rsidP="0EDB2EA1">
            <w:pPr>
              <w:jc w:val="both"/>
            </w:pPr>
            <w:r w:rsidRPr="0EDB2EA1">
              <w:rPr>
                <w:rFonts w:ascii="Calibri" w:eastAsia="Calibri" w:hAnsi="Calibri" w:cs="Calibri"/>
                <w:b/>
                <w:bCs/>
                <w:sz w:val="18"/>
                <w:szCs w:val="18"/>
              </w:rPr>
              <w:t>ABGF</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3F927A2" w14:textId="42CFD7B4"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760B41" w14:textId="0749782E" w:rsidR="0EDB2EA1" w:rsidRDefault="0EDB2EA1" w:rsidP="00C57CCF">
            <w:pPr>
              <w:jc w:val="center"/>
            </w:pPr>
            <w:r w:rsidRPr="0EDB2EA1">
              <w:rPr>
                <w:rFonts w:ascii="Calibri" w:eastAsia="Calibri" w:hAnsi="Calibri" w:cs="Calibri"/>
                <w:sz w:val="18"/>
                <w:szCs w:val="18"/>
              </w:rPr>
              <w:t>100,00%</w:t>
            </w:r>
          </w:p>
        </w:tc>
      </w:tr>
      <w:tr w:rsidR="0EDB2EA1" w14:paraId="7C874F20"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2BDD05A" w14:textId="7BBC1121" w:rsidR="0EDB2EA1" w:rsidRDefault="0EDB2EA1" w:rsidP="0EDB2EA1">
            <w:pPr>
              <w:jc w:val="both"/>
            </w:pPr>
            <w:r w:rsidRPr="0EDB2EA1">
              <w:rPr>
                <w:rFonts w:ascii="Calibri" w:eastAsia="Calibri" w:hAnsi="Calibri" w:cs="Calibri"/>
                <w:b/>
                <w:bCs/>
                <w:sz w:val="18"/>
                <w:szCs w:val="18"/>
              </w:rPr>
              <w:t>BNDES</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0FA33D" w14:textId="5F47FD36"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A62247" w14:textId="1B2B331E" w:rsidR="0EDB2EA1" w:rsidRDefault="0EDB2EA1" w:rsidP="00C57CCF">
            <w:pPr>
              <w:jc w:val="center"/>
            </w:pPr>
            <w:r w:rsidRPr="0EDB2EA1">
              <w:rPr>
                <w:rFonts w:ascii="Calibri" w:eastAsia="Calibri" w:hAnsi="Calibri" w:cs="Calibri"/>
                <w:sz w:val="18"/>
                <w:szCs w:val="18"/>
              </w:rPr>
              <w:t>100,00%</w:t>
            </w:r>
          </w:p>
        </w:tc>
      </w:tr>
      <w:tr w:rsidR="0EDB2EA1" w14:paraId="5CF2E04E"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77101CAD" w14:textId="2510D845" w:rsidR="0EDB2EA1" w:rsidRDefault="0EDB2EA1" w:rsidP="0EDB2EA1">
            <w:pPr>
              <w:jc w:val="both"/>
            </w:pPr>
            <w:r w:rsidRPr="0EDB2EA1">
              <w:rPr>
                <w:rFonts w:ascii="Calibri" w:eastAsia="Calibri" w:hAnsi="Calibri" w:cs="Calibri"/>
                <w:b/>
                <w:bCs/>
                <w:sz w:val="18"/>
                <w:szCs w:val="18"/>
              </w:rPr>
              <w:t>CAIXA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108EA46" w14:textId="29F05818"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08BD750" w14:textId="7C44E018" w:rsidR="0EDB2EA1" w:rsidRDefault="0EDB2EA1" w:rsidP="00C57CCF">
            <w:pPr>
              <w:jc w:val="center"/>
            </w:pPr>
            <w:r w:rsidRPr="0EDB2EA1">
              <w:rPr>
                <w:rFonts w:ascii="Calibri" w:eastAsia="Calibri" w:hAnsi="Calibri" w:cs="Calibri"/>
                <w:sz w:val="18"/>
                <w:szCs w:val="18"/>
              </w:rPr>
              <w:t>100,00%</w:t>
            </w:r>
          </w:p>
        </w:tc>
      </w:tr>
      <w:tr w:rsidR="0EDB2EA1" w14:paraId="3B7CCE36"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0467A02" w14:textId="70CC41AC" w:rsidR="0EDB2EA1" w:rsidRDefault="0EDB2EA1" w:rsidP="0EDB2EA1">
            <w:pPr>
              <w:jc w:val="both"/>
            </w:pPr>
            <w:r w:rsidRPr="0EDB2EA1">
              <w:rPr>
                <w:rFonts w:ascii="Calibri" w:eastAsia="Calibri" w:hAnsi="Calibri" w:cs="Calibri"/>
                <w:b/>
                <w:bCs/>
                <w:sz w:val="18"/>
                <w:szCs w:val="18"/>
              </w:rPr>
              <w:t>CASA DA MOEDA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6B7C55" w14:textId="4691B85C"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FF2262" w14:textId="6A9907CB" w:rsidR="0EDB2EA1" w:rsidRDefault="0EDB2EA1" w:rsidP="00C57CCF">
            <w:pPr>
              <w:jc w:val="center"/>
            </w:pPr>
            <w:r w:rsidRPr="0EDB2EA1">
              <w:rPr>
                <w:rFonts w:ascii="Calibri" w:eastAsia="Calibri" w:hAnsi="Calibri" w:cs="Calibri"/>
                <w:sz w:val="18"/>
                <w:szCs w:val="18"/>
              </w:rPr>
              <w:t>100,00%</w:t>
            </w:r>
          </w:p>
        </w:tc>
      </w:tr>
      <w:tr w:rsidR="0EDB2EA1" w14:paraId="26D5CA83"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ED41AF0" w14:textId="3D359465" w:rsidR="0EDB2EA1" w:rsidRDefault="0EDB2EA1" w:rsidP="0EDB2EA1">
            <w:pPr>
              <w:jc w:val="both"/>
            </w:pPr>
            <w:r w:rsidRPr="0EDB2EA1">
              <w:rPr>
                <w:rFonts w:ascii="Calibri" w:eastAsia="Calibri" w:hAnsi="Calibri" w:cs="Calibri"/>
                <w:b/>
                <w:bCs/>
                <w:sz w:val="18"/>
                <w:szCs w:val="18"/>
              </w:rPr>
              <w:t>DATAPREV</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1D574F" w14:textId="28BBBD4E"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8DA84E" w14:textId="2AD9DEEE" w:rsidR="0EDB2EA1" w:rsidRDefault="0EDB2EA1" w:rsidP="00C57CCF">
            <w:pPr>
              <w:jc w:val="center"/>
            </w:pPr>
            <w:r w:rsidRPr="0EDB2EA1">
              <w:rPr>
                <w:rFonts w:ascii="Calibri" w:eastAsia="Calibri" w:hAnsi="Calibri" w:cs="Calibri"/>
                <w:sz w:val="18"/>
                <w:szCs w:val="18"/>
              </w:rPr>
              <w:t>51,00%</w:t>
            </w:r>
          </w:p>
        </w:tc>
      </w:tr>
      <w:tr w:rsidR="0EDB2EA1" w14:paraId="10F5AF1B"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5DDF3A3" w14:textId="79F883C1" w:rsidR="0EDB2EA1" w:rsidRDefault="0EDB2EA1" w:rsidP="0EDB2EA1">
            <w:pPr>
              <w:jc w:val="both"/>
            </w:pPr>
            <w:r w:rsidRPr="0EDB2EA1">
              <w:rPr>
                <w:rFonts w:ascii="Calibri" w:eastAsia="Calibri" w:hAnsi="Calibri" w:cs="Calibri"/>
                <w:b/>
                <w:bCs/>
                <w:sz w:val="18"/>
                <w:szCs w:val="18"/>
              </w:rPr>
              <w:t>CORREIOS</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820EF6" w14:textId="7A922968"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90973B" w14:textId="2FC571BF" w:rsidR="0EDB2EA1" w:rsidRDefault="0EDB2EA1" w:rsidP="00C57CCF">
            <w:pPr>
              <w:jc w:val="center"/>
            </w:pPr>
            <w:r w:rsidRPr="0EDB2EA1">
              <w:rPr>
                <w:rFonts w:ascii="Calibri" w:eastAsia="Calibri" w:hAnsi="Calibri" w:cs="Calibri"/>
                <w:sz w:val="18"/>
                <w:szCs w:val="18"/>
              </w:rPr>
              <w:t>100,00%</w:t>
            </w:r>
          </w:p>
        </w:tc>
      </w:tr>
      <w:tr w:rsidR="0EDB2EA1" w14:paraId="202B7A2C"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416BC69" w14:textId="298E6C4A" w:rsidR="0EDB2EA1" w:rsidRDefault="0EDB2EA1" w:rsidP="0EDB2EA1">
            <w:pPr>
              <w:jc w:val="both"/>
            </w:pPr>
            <w:r w:rsidRPr="0EDB2EA1">
              <w:rPr>
                <w:rFonts w:ascii="Calibri" w:eastAsia="Calibri" w:hAnsi="Calibri" w:cs="Calibri"/>
                <w:b/>
                <w:bCs/>
                <w:sz w:val="18"/>
                <w:szCs w:val="18"/>
              </w:rPr>
              <w:t>EMGEA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521B60C" w14:textId="0A7FBE35"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1D27535" w14:textId="2F2563EB" w:rsidR="0EDB2EA1" w:rsidRDefault="0EDB2EA1" w:rsidP="00C57CCF">
            <w:pPr>
              <w:jc w:val="center"/>
            </w:pPr>
            <w:r w:rsidRPr="0EDB2EA1">
              <w:rPr>
                <w:rFonts w:ascii="Calibri" w:eastAsia="Calibri" w:hAnsi="Calibri" w:cs="Calibri"/>
                <w:sz w:val="18"/>
                <w:szCs w:val="18"/>
              </w:rPr>
              <w:t>100,00%</w:t>
            </w:r>
          </w:p>
        </w:tc>
      </w:tr>
      <w:tr w:rsidR="0EDB2EA1" w14:paraId="6B03D7B7"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A20EB05" w14:textId="4C81D0DF" w:rsidR="0EDB2EA1" w:rsidRDefault="0EDB2EA1" w:rsidP="0EDB2EA1">
            <w:pPr>
              <w:jc w:val="both"/>
            </w:pPr>
            <w:r w:rsidRPr="0EDB2EA1">
              <w:rPr>
                <w:rFonts w:ascii="Calibri" w:eastAsia="Calibri" w:hAnsi="Calibri" w:cs="Calibri"/>
                <w:b/>
                <w:bCs/>
                <w:sz w:val="18"/>
                <w:szCs w:val="18"/>
              </w:rPr>
              <w:t>ENGEPRON</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DB01A3" w14:textId="0A63241E"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F27055" w14:textId="5297A6BC" w:rsidR="0EDB2EA1" w:rsidRDefault="0EDB2EA1" w:rsidP="00C57CCF">
            <w:pPr>
              <w:jc w:val="center"/>
            </w:pPr>
            <w:r w:rsidRPr="0EDB2EA1">
              <w:rPr>
                <w:rFonts w:ascii="Calibri" w:eastAsia="Calibri" w:hAnsi="Calibri" w:cs="Calibri"/>
                <w:sz w:val="18"/>
                <w:szCs w:val="18"/>
              </w:rPr>
              <w:t>100,00%</w:t>
            </w:r>
          </w:p>
        </w:tc>
      </w:tr>
      <w:tr w:rsidR="0EDB2EA1" w14:paraId="3CEEC9F0"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F31908A" w14:textId="4B18934C" w:rsidR="0EDB2EA1" w:rsidRDefault="0EDB2EA1" w:rsidP="0EDB2EA1">
            <w:pPr>
              <w:jc w:val="both"/>
            </w:pPr>
            <w:r w:rsidRPr="0EDB2EA1">
              <w:rPr>
                <w:rFonts w:ascii="Calibri" w:eastAsia="Calibri" w:hAnsi="Calibri" w:cs="Calibri"/>
                <w:b/>
                <w:bCs/>
                <w:sz w:val="18"/>
                <w:szCs w:val="18"/>
              </w:rPr>
              <w:t>FINEP</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CDFA3A6" w14:textId="22126635"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5009ECE" w14:textId="769B9888" w:rsidR="0EDB2EA1" w:rsidRDefault="0EDB2EA1" w:rsidP="00C57CCF">
            <w:pPr>
              <w:jc w:val="center"/>
            </w:pPr>
            <w:r w:rsidRPr="0EDB2EA1">
              <w:rPr>
                <w:rFonts w:ascii="Calibri" w:eastAsia="Calibri" w:hAnsi="Calibri" w:cs="Calibri"/>
                <w:sz w:val="18"/>
                <w:szCs w:val="18"/>
              </w:rPr>
              <w:t>100,00%</w:t>
            </w:r>
          </w:p>
        </w:tc>
      </w:tr>
      <w:tr w:rsidR="0EDB2EA1" w14:paraId="254A3FE6"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830FC54" w14:textId="2B848D45" w:rsidR="0EDB2EA1" w:rsidRDefault="0EDB2EA1" w:rsidP="0EDB2EA1">
            <w:pPr>
              <w:jc w:val="both"/>
            </w:pPr>
            <w:r w:rsidRPr="0EDB2EA1">
              <w:rPr>
                <w:rFonts w:ascii="Calibri" w:eastAsia="Calibri" w:hAnsi="Calibri" w:cs="Calibri"/>
                <w:b/>
                <w:bCs/>
                <w:sz w:val="18"/>
                <w:szCs w:val="18"/>
              </w:rPr>
              <w:t>HEMOBRAS</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AF656F" w14:textId="518DDE7F"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AD7E5C" w14:textId="5523B65E" w:rsidR="0EDB2EA1" w:rsidRDefault="0EDB2EA1" w:rsidP="00C57CCF">
            <w:pPr>
              <w:jc w:val="center"/>
            </w:pPr>
            <w:r w:rsidRPr="0EDB2EA1">
              <w:rPr>
                <w:rFonts w:ascii="Calibri" w:eastAsia="Calibri" w:hAnsi="Calibri" w:cs="Calibri"/>
                <w:sz w:val="18"/>
                <w:szCs w:val="18"/>
              </w:rPr>
              <w:t>100,00%</w:t>
            </w:r>
          </w:p>
        </w:tc>
      </w:tr>
      <w:tr w:rsidR="0EDB2EA1" w14:paraId="6D9662E8"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2719DBD" w14:textId="0381CBED" w:rsidR="0EDB2EA1" w:rsidRDefault="0EDB2EA1" w:rsidP="0EDB2EA1">
            <w:pPr>
              <w:jc w:val="both"/>
            </w:pPr>
            <w:r w:rsidRPr="0EDB2EA1">
              <w:rPr>
                <w:rFonts w:ascii="Calibri" w:eastAsia="Calibri" w:hAnsi="Calibri" w:cs="Calibri"/>
                <w:b/>
                <w:bCs/>
                <w:sz w:val="18"/>
                <w:szCs w:val="18"/>
              </w:rPr>
              <w:t>INFRAERO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6A97D13" w14:textId="189C0DEA"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57BF5C2" w14:textId="4E74410B" w:rsidR="0EDB2EA1" w:rsidRDefault="0EDB2EA1" w:rsidP="00C57CCF">
            <w:pPr>
              <w:jc w:val="center"/>
            </w:pPr>
            <w:r w:rsidRPr="0EDB2EA1">
              <w:rPr>
                <w:rFonts w:ascii="Calibri" w:eastAsia="Calibri" w:hAnsi="Calibri" w:cs="Calibri"/>
                <w:sz w:val="18"/>
                <w:szCs w:val="18"/>
              </w:rPr>
              <w:t>100,00%</w:t>
            </w:r>
          </w:p>
        </w:tc>
      </w:tr>
      <w:tr w:rsidR="0EDB2EA1" w14:paraId="6A8BF944"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303E8FA" w14:textId="5F86FC25" w:rsidR="0EDB2EA1" w:rsidRDefault="0EDB2EA1" w:rsidP="0EDB2EA1">
            <w:pPr>
              <w:jc w:val="both"/>
            </w:pPr>
            <w:r w:rsidRPr="0EDB2EA1">
              <w:rPr>
                <w:rFonts w:ascii="Calibri" w:eastAsia="Calibri" w:hAnsi="Calibri" w:cs="Calibri"/>
                <w:b/>
                <w:bCs/>
                <w:sz w:val="18"/>
                <w:szCs w:val="18"/>
              </w:rPr>
              <w:t>PPSA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90B1F5" w14:textId="7215C36F"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B73212" w14:textId="6E40751C" w:rsidR="0EDB2EA1" w:rsidRDefault="0EDB2EA1" w:rsidP="00C57CCF">
            <w:pPr>
              <w:jc w:val="center"/>
            </w:pPr>
            <w:r w:rsidRPr="0EDB2EA1">
              <w:rPr>
                <w:rFonts w:ascii="Calibri" w:eastAsia="Calibri" w:hAnsi="Calibri" w:cs="Calibri"/>
                <w:sz w:val="18"/>
                <w:szCs w:val="18"/>
              </w:rPr>
              <w:t>100,00%</w:t>
            </w:r>
          </w:p>
        </w:tc>
      </w:tr>
      <w:tr w:rsidR="0EDB2EA1" w14:paraId="1935F13D"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FF00CB5" w14:textId="181A2E1D" w:rsidR="0EDB2EA1" w:rsidRDefault="0EDB2EA1" w:rsidP="0EDB2EA1">
            <w:pPr>
              <w:jc w:val="both"/>
            </w:pPr>
            <w:r w:rsidRPr="0EDB2EA1">
              <w:rPr>
                <w:rFonts w:ascii="Calibri" w:eastAsia="Calibri" w:hAnsi="Calibri" w:cs="Calibri"/>
                <w:b/>
                <w:bCs/>
                <w:sz w:val="18"/>
                <w:szCs w:val="18"/>
              </w:rPr>
              <w:t>SERPRO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24E32DB" w14:textId="20E57E30"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5593A4E" w14:textId="228DAA79" w:rsidR="0EDB2EA1" w:rsidRDefault="0EDB2EA1" w:rsidP="00C57CCF">
            <w:pPr>
              <w:jc w:val="center"/>
            </w:pPr>
            <w:r w:rsidRPr="0EDB2EA1">
              <w:rPr>
                <w:rFonts w:ascii="Calibri" w:eastAsia="Calibri" w:hAnsi="Calibri" w:cs="Calibri"/>
                <w:sz w:val="18"/>
                <w:szCs w:val="18"/>
              </w:rPr>
              <w:t>100,00%</w:t>
            </w:r>
          </w:p>
        </w:tc>
      </w:tr>
      <w:tr w:rsidR="0EDB2EA1" w14:paraId="19F54ED5"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E10CFA3" w14:textId="68A3465A" w:rsidR="0EDB2EA1" w:rsidRDefault="0EDB2EA1" w:rsidP="0EDB2EA1">
            <w:pPr>
              <w:jc w:val="both"/>
            </w:pPr>
            <w:r w:rsidRPr="0EDB2EA1">
              <w:rPr>
                <w:rFonts w:ascii="Calibri" w:eastAsia="Calibri" w:hAnsi="Calibri" w:cs="Calibri"/>
                <w:b/>
                <w:bCs/>
                <w:sz w:val="18"/>
                <w:szCs w:val="18"/>
              </w:rPr>
              <w:t>CEAGESP</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7A8B28" w14:textId="0856073E"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C01C1E" w14:textId="7D33F0F8" w:rsidR="0EDB2EA1" w:rsidRDefault="0EDB2EA1" w:rsidP="00C57CCF">
            <w:pPr>
              <w:jc w:val="center"/>
            </w:pPr>
            <w:r w:rsidRPr="0EDB2EA1">
              <w:rPr>
                <w:rFonts w:ascii="Calibri" w:eastAsia="Calibri" w:hAnsi="Calibri" w:cs="Calibri"/>
                <w:sz w:val="18"/>
                <w:szCs w:val="18"/>
              </w:rPr>
              <w:t>99,70%</w:t>
            </w:r>
          </w:p>
        </w:tc>
      </w:tr>
      <w:tr w:rsidR="0EDB2EA1" w14:paraId="4E88C39C"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B0FD6A3" w14:textId="77A356BE" w:rsidR="0EDB2EA1" w:rsidRDefault="0EDB2EA1" w:rsidP="0EDB2EA1">
            <w:pPr>
              <w:jc w:val="both"/>
            </w:pPr>
            <w:r w:rsidRPr="0EDB2EA1">
              <w:rPr>
                <w:rFonts w:ascii="Calibri" w:eastAsia="Calibri" w:hAnsi="Calibri" w:cs="Calibri"/>
                <w:b/>
                <w:bCs/>
                <w:sz w:val="18"/>
                <w:szCs w:val="18"/>
              </w:rPr>
              <w:t>CDC</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7830077" w14:textId="12AB6904"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BA5D09" w14:textId="5B141C26" w:rsidR="0EDB2EA1" w:rsidRDefault="0EDB2EA1" w:rsidP="00C57CCF">
            <w:pPr>
              <w:jc w:val="center"/>
            </w:pPr>
            <w:r w:rsidRPr="0EDB2EA1">
              <w:rPr>
                <w:rFonts w:ascii="Calibri" w:eastAsia="Calibri" w:hAnsi="Calibri" w:cs="Calibri"/>
                <w:sz w:val="18"/>
                <w:szCs w:val="18"/>
              </w:rPr>
              <w:t>99,90%</w:t>
            </w:r>
          </w:p>
        </w:tc>
      </w:tr>
      <w:tr w:rsidR="0EDB2EA1" w14:paraId="0B029A32"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FBCCC7C" w14:textId="0D54B12A" w:rsidR="0EDB2EA1" w:rsidRDefault="0EDB2EA1" w:rsidP="0EDB2EA1">
            <w:pPr>
              <w:jc w:val="both"/>
            </w:pPr>
            <w:r w:rsidRPr="0EDB2EA1">
              <w:rPr>
                <w:rFonts w:ascii="Calibri" w:eastAsia="Calibri" w:hAnsi="Calibri" w:cs="Calibri"/>
                <w:b/>
                <w:bCs/>
                <w:sz w:val="18"/>
                <w:szCs w:val="18"/>
              </w:rPr>
              <w:lastRenderedPageBreak/>
              <w:t>CDP</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EB3F7D" w14:textId="2F65AE5D"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9241C4" w14:textId="6D2179D4" w:rsidR="0EDB2EA1" w:rsidRDefault="0EDB2EA1" w:rsidP="00C57CCF">
            <w:pPr>
              <w:jc w:val="center"/>
            </w:pPr>
            <w:r w:rsidRPr="0EDB2EA1">
              <w:rPr>
                <w:rFonts w:ascii="Calibri" w:eastAsia="Calibri" w:hAnsi="Calibri" w:cs="Calibri"/>
                <w:sz w:val="18"/>
                <w:szCs w:val="18"/>
              </w:rPr>
              <w:t>100,00%</w:t>
            </w:r>
          </w:p>
        </w:tc>
      </w:tr>
      <w:tr w:rsidR="0EDB2EA1" w14:paraId="1C2C4449"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7608B5DD" w14:textId="6AF856C0" w:rsidR="0EDB2EA1" w:rsidRDefault="0EDB2EA1" w:rsidP="0EDB2EA1">
            <w:pPr>
              <w:jc w:val="both"/>
            </w:pPr>
            <w:r w:rsidRPr="0EDB2EA1">
              <w:rPr>
                <w:rFonts w:ascii="Calibri" w:eastAsia="Calibri" w:hAnsi="Calibri" w:cs="Calibri"/>
                <w:b/>
                <w:bCs/>
                <w:sz w:val="18"/>
                <w:szCs w:val="18"/>
              </w:rPr>
              <w:t>CDRJ</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758C293" w14:textId="38F4246D"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86CE02A" w14:textId="172F2C74" w:rsidR="0EDB2EA1" w:rsidRDefault="0EDB2EA1" w:rsidP="00C57CCF">
            <w:pPr>
              <w:jc w:val="center"/>
            </w:pPr>
            <w:r w:rsidRPr="0EDB2EA1">
              <w:rPr>
                <w:rFonts w:ascii="Calibri" w:eastAsia="Calibri" w:hAnsi="Calibri" w:cs="Calibri"/>
                <w:sz w:val="18"/>
                <w:szCs w:val="18"/>
              </w:rPr>
              <w:t>100,00%</w:t>
            </w:r>
          </w:p>
        </w:tc>
      </w:tr>
      <w:tr w:rsidR="0EDB2EA1" w14:paraId="53D5C38A"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CE77734" w14:textId="5DC42F44" w:rsidR="0EDB2EA1" w:rsidRDefault="0EDB2EA1" w:rsidP="0EDB2EA1">
            <w:pPr>
              <w:jc w:val="both"/>
            </w:pPr>
            <w:r w:rsidRPr="0EDB2EA1">
              <w:rPr>
                <w:rFonts w:ascii="Calibri" w:eastAsia="Calibri" w:hAnsi="Calibri" w:cs="Calibri"/>
                <w:b/>
                <w:bCs/>
                <w:sz w:val="18"/>
                <w:szCs w:val="18"/>
              </w:rPr>
              <w:t>CODEBA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565D24" w14:textId="50C2B362"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96E926" w14:textId="073299AA" w:rsidR="0EDB2EA1" w:rsidRDefault="0EDB2EA1" w:rsidP="00C57CCF">
            <w:pPr>
              <w:jc w:val="center"/>
            </w:pPr>
            <w:r w:rsidRPr="0EDB2EA1">
              <w:rPr>
                <w:rFonts w:ascii="Calibri" w:eastAsia="Calibri" w:hAnsi="Calibri" w:cs="Calibri"/>
                <w:sz w:val="18"/>
                <w:szCs w:val="18"/>
              </w:rPr>
              <w:t>98,40%</w:t>
            </w:r>
          </w:p>
        </w:tc>
      </w:tr>
      <w:tr w:rsidR="0EDB2EA1" w14:paraId="1B1F47AA"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5D0D315" w14:textId="6FF7C154" w:rsidR="0EDB2EA1" w:rsidRDefault="0EDB2EA1" w:rsidP="0EDB2EA1">
            <w:pPr>
              <w:jc w:val="both"/>
            </w:pPr>
            <w:r w:rsidRPr="0EDB2EA1">
              <w:rPr>
                <w:rFonts w:ascii="Calibri" w:eastAsia="Calibri" w:hAnsi="Calibri" w:cs="Calibri"/>
                <w:b/>
                <w:bCs/>
                <w:sz w:val="18"/>
                <w:szCs w:val="18"/>
              </w:rPr>
              <w:t>CODERN</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55F217" w14:textId="20C8009C"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43BEB49" w14:textId="607CA31F" w:rsidR="0EDB2EA1" w:rsidRDefault="0EDB2EA1" w:rsidP="00C57CCF">
            <w:pPr>
              <w:jc w:val="center"/>
            </w:pPr>
            <w:r w:rsidRPr="0EDB2EA1">
              <w:rPr>
                <w:rFonts w:ascii="Calibri" w:eastAsia="Calibri" w:hAnsi="Calibri" w:cs="Calibri"/>
                <w:sz w:val="18"/>
                <w:szCs w:val="18"/>
              </w:rPr>
              <w:t>100,00%</w:t>
            </w:r>
          </w:p>
        </w:tc>
      </w:tr>
      <w:tr w:rsidR="0EDB2EA1" w14:paraId="162509BE"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B6162F2" w14:textId="4A78A9A2" w:rsidR="0EDB2EA1" w:rsidRDefault="0EDB2EA1" w:rsidP="0EDB2EA1">
            <w:pPr>
              <w:jc w:val="both"/>
            </w:pPr>
            <w:r w:rsidRPr="0EDB2EA1">
              <w:rPr>
                <w:rFonts w:ascii="Calibri" w:eastAsia="Calibri" w:hAnsi="Calibri" w:cs="Calibri"/>
                <w:b/>
                <w:bCs/>
                <w:sz w:val="18"/>
                <w:szCs w:val="18"/>
              </w:rPr>
              <w:t>CODESP</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28212F" w14:textId="144A684E"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613688" w14:textId="00342A71" w:rsidR="0EDB2EA1" w:rsidRDefault="0EDB2EA1" w:rsidP="00C57CCF">
            <w:pPr>
              <w:jc w:val="center"/>
            </w:pPr>
            <w:r w:rsidRPr="0EDB2EA1">
              <w:rPr>
                <w:rFonts w:ascii="Calibri" w:eastAsia="Calibri" w:hAnsi="Calibri" w:cs="Calibri"/>
                <w:sz w:val="18"/>
                <w:szCs w:val="18"/>
              </w:rPr>
              <w:t>100,00%</w:t>
            </w:r>
          </w:p>
        </w:tc>
      </w:tr>
      <w:tr w:rsidR="0EDB2EA1" w14:paraId="782304EA" w14:textId="77777777" w:rsidTr="0EDB2EA1">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bottom"/>
          </w:tcPr>
          <w:p w14:paraId="480A3C34" w14:textId="2648ED51" w:rsidR="0EDB2EA1" w:rsidRDefault="0EDB2EA1" w:rsidP="0EDB2EA1">
            <w:pPr>
              <w:jc w:val="both"/>
            </w:pPr>
            <w:r w:rsidRPr="0EDB2EA1">
              <w:rPr>
                <w:rFonts w:ascii="Calibri" w:eastAsia="Calibri" w:hAnsi="Calibri" w:cs="Calibri"/>
                <w:b/>
                <w:bCs/>
                <w:sz w:val="18"/>
                <w:szCs w:val="18"/>
              </w:rPr>
              <w:t>CODESA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04CF024" w14:textId="622E45A4" w:rsidR="0EDB2EA1" w:rsidRDefault="0EDB2EA1" w:rsidP="0EDB2EA1">
            <w:pPr>
              <w:jc w:val="both"/>
            </w:pPr>
            <w:r w:rsidRPr="0EDB2EA1">
              <w:rPr>
                <w:rFonts w:ascii="Calibri" w:eastAsia="Calibri" w:hAnsi="Calibri" w:cs="Calibri"/>
                <w:sz w:val="18"/>
                <w:szCs w:val="18"/>
              </w:rPr>
              <w:t>Empresa Pública Não Dependente</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18879DA" w14:textId="08F5B155" w:rsidR="0EDB2EA1" w:rsidRDefault="0EDB2EA1" w:rsidP="00C57CCF">
            <w:pPr>
              <w:jc w:val="center"/>
            </w:pPr>
            <w:r w:rsidRPr="0EDB2EA1">
              <w:rPr>
                <w:rFonts w:ascii="Calibri" w:eastAsia="Calibri" w:hAnsi="Calibri" w:cs="Calibri"/>
                <w:sz w:val="18"/>
                <w:szCs w:val="18"/>
              </w:rPr>
              <w:t>99,50%</w:t>
            </w:r>
          </w:p>
        </w:tc>
      </w:tr>
      <w:tr w:rsidR="0EDB2EA1" w14:paraId="16A3CDF2" w14:textId="77777777" w:rsidTr="00E6191A">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F75361" w14:textId="64D57337" w:rsidR="0EDB2EA1" w:rsidRDefault="0EDB2EA1" w:rsidP="0EDB2EA1">
            <w:pPr>
              <w:jc w:val="both"/>
            </w:pPr>
            <w:r w:rsidRPr="0EDB2EA1">
              <w:rPr>
                <w:rFonts w:ascii="Calibri" w:eastAsia="Calibri" w:hAnsi="Calibri" w:cs="Calibri"/>
                <w:b/>
                <w:bCs/>
                <w:sz w:val="18"/>
                <w:szCs w:val="18"/>
              </w:rPr>
              <w:t>BANCO DO BRASIL</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8AADD5" w14:textId="38DBD427" w:rsidR="0EDB2EA1" w:rsidRDefault="0EDB2EA1" w:rsidP="0EDB2EA1">
            <w:pPr>
              <w:jc w:val="both"/>
            </w:pPr>
            <w:r w:rsidRPr="0EDB2EA1">
              <w:rPr>
                <w:rFonts w:ascii="Calibri" w:eastAsia="Calibri" w:hAnsi="Calibri" w:cs="Calibri"/>
                <w:sz w:val="18"/>
                <w:szCs w:val="18"/>
              </w:rPr>
              <w:t>Sociedade de Economia Mista Não Dependente – Capital Aberto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495328" w14:textId="3B7B1D91" w:rsidR="0EDB2EA1" w:rsidRDefault="0EDB2EA1" w:rsidP="00C57CCF">
            <w:pPr>
              <w:jc w:val="center"/>
            </w:pPr>
            <w:r w:rsidRPr="0EDB2EA1">
              <w:rPr>
                <w:rFonts w:ascii="Calibri" w:eastAsia="Calibri" w:hAnsi="Calibri" w:cs="Calibri"/>
                <w:sz w:val="18"/>
                <w:szCs w:val="18"/>
              </w:rPr>
              <w:t>50,00%</w:t>
            </w:r>
          </w:p>
        </w:tc>
      </w:tr>
      <w:tr w:rsidR="0EDB2EA1" w14:paraId="25890B96" w14:textId="77777777" w:rsidTr="00E6191A">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2792948" w14:textId="0243A068" w:rsidR="0EDB2EA1" w:rsidRDefault="0EDB2EA1" w:rsidP="0EDB2EA1">
            <w:pPr>
              <w:jc w:val="both"/>
            </w:pPr>
            <w:r w:rsidRPr="0EDB2EA1">
              <w:rPr>
                <w:rFonts w:ascii="Calibri" w:eastAsia="Calibri" w:hAnsi="Calibri" w:cs="Calibri"/>
                <w:b/>
                <w:bCs/>
                <w:sz w:val="18"/>
                <w:szCs w:val="18"/>
              </w:rPr>
              <w:t>ELETROBRAS</w:t>
            </w:r>
            <w:r w:rsidRPr="0EDB2EA1">
              <w:rPr>
                <w:rFonts w:ascii="Calibri" w:eastAsia="Calibri" w:hAnsi="Calibri" w:cs="Calibri"/>
                <w:b/>
                <w:bCs/>
                <w:sz w:val="18"/>
                <w:szCs w:val="18"/>
                <w:vertAlign w:val="superscript"/>
              </w:rPr>
              <w:t xml:space="preserve"> </w:t>
            </w:r>
            <w:proofErr w:type="gramStart"/>
            <w:r w:rsidRPr="0EDB2EA1">
              <w:rPr>
                <w:rFonts w:ascii="Calibri" w:eastAsia="Calibri" w:hAnsi="Calibri" w:cs="Calibri"/>
                <w:b/>
                <w:bCs/>
                <w:sz w:val="18"/>
                <w:szCs w:val="18"/>
                <w:vertAlign w:val="superscript"/>
              </w:rPr>
              <w:t>2</w:t>
            </w:r>
            <w:proofErr w:type="gramEnd"/>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B5A2B57" w14:textId="118E6779" w:rsidR="0EDB2EA1" w:rsidRDefault="0EDB2EA1" w:rsidP="0EDB2EA1">
            <w:pPr>
              <w:jc w:val="both"/>
            </w:pPr>
            <w:r w:rsidRPr="0EDB2EA1">
              <w:rPr>
                <w:rFonts w:ascii="Calibri" w:eastAsia="Calibri" w:hAnsi="Calibri" w:cs="Calibri"/>
                <w:sz w:val="18"/>
                <w:szCs w:val="18"/>
              </w:rPr>
              <w:t>Sociedade de Economia Mista Não Dependente – Capital Aberto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88B83D2" w14:textId="1586BCB5" w:rsidR="0EDB2EA1" w:rsidRDefault="0EDB2EA1" w:rsidP="00C57CCF">
            <w:pPr>
              <w:jc w:val="center"/>
            </w:pPr>
            <w:r w:rsidRPr="0EDB2EA1">
              <w:rPr>
                <w:rFonts w:ascii="Calibri" w:eastAsia="Calibri" w:hAnsi="Calibri" w:cs="Calibri"/>
                <w:sz w:val="18"/>
                <w:szCs w:val="18"/>
              </w:rPr>
              <w:t>42,57%</w:t>
            </w:r>
          </w:p>
        </w:tc>
      </w:tr>
      <w:tr w:rsidR="0EDB2EA1" w14:paraId="24D10230" w14:textId="77777777" w:rsidTr="00E6191A">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D6E4C5" w14:textId="205413C5" w:rsidR="0EDB2EA1" w:rsidRDefault="0EDB2EA1" w:rsidP="0EDB2EA1">
            <w:pPr>
              <w:jc w:val="both"/>
            </w:pPr>
            <w:r w:rsidRPr="0EDB2EA1">
              <w:rPr>
                <w:rFonts w:ascii="Calibri" w:eastAsia="Calibri" w:hAnsi="Calibri" w:cs="Calibri"/>
                <w:b/>
                <w:bCs/>
                <w:sz w:val="18"/>
                <w:szCs w:val="18"/>
              </w:rPr>
              <w:t>PETROBRAS</w:t>
            </w:r>
            <w:r w:rsidRPr="0EDB2EA1">
              <w:rPr>
                <w:rFonts w:ascii="Calibri" w:eastAsia="Calibri" w:hAnsi="Calibri" w:cs="Calibri"/>
                <w:b/>
                <w:bCs/>
                <w:sz w:val="18"/>
                <w:szCs w:val="18"/>
                <w:vertAlign w:val="superscript"/>
              </w:rPr>
              <w:t xml:space="preserve"> </w:t>
            </w:r>
            <w:proofErr w:type="gramStart"/>
            <w:r w:rsidRPr="0EDB2EA1">
              <w:rPr>
                <w:rFonts w:ascii="Calibri" w:eastAsia="Calibri" w:hAnsi="Calibri" w:cs="Calibri"/>
                <w:b/>
                <w:bCs/>
                <w:sz w:val="18"/>
                <w:szCs w:val="18"/>
                <w:vertAlign w:val="superscript"/>
              </w:rPr>
              <w:t>2</w:t>
            </w:r>
            <w:proofErr w:type="gramEnd"/>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63B83E" w14:textId="0D404EC3" w:rsidR="0EDB2EA1" w:rsidRDefault="0EDB2EA1" w:rsidP="0EDB2EA1">
            <w:pPr>
              <w:jc w:val="both"/>
            </w:pPr>
            <w:r w:rsidRPr="0EDB2EA1">
              <w:rPr>
                <w:rFonts w:ascii="Calibri" w:eastAsia="Calibri" w:hAnsi="Calibri" w:cs="Calibri"/>
                <w:sz w:val="18"/>
                <w:szCs w:val="18"/>
              </w:rPr>
              <w:t>Sociedade de Economia Mista Não Dependente – Capital Aberto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AA2672" w14:textId="4B1B2CEF" w:rsidR="0EDB2EA1" w:rsidRDefault="0EDB2EA1" w:rsidP="00C57CCF">
            <w:pPr>
              <w:jc w:val="center"/>
            </w:pPr>
            <w:r w:rsidRPr="0EDB2EA1">
              <w:rPr>
                <w:rFonts w:ascii="Calibri" w:eastAsia="Calibri" w:hAnsi="Calibri" w:cs="Calibri"/>
                <w:sz w:val="18"/>
                <w:szCs w:val="18"/>
              </w:rPr>
              <w:t>28,67%</w:t>
            </w:r>
          </w:p>
        </w:tc>
      </w:tr>
      <w:tr w:rsidR="0EDB2EA1" w14:paraId="39514670" w14:textId="77777777" w:rsidTr="00E6191A">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3506ED1" w14:textId="40AA5652" w:rsidR="0EDB2EA1" w:rsidRDefault="0EDB2EA1" w:rsidP="0EDB2EA1">
            <w:pPr>
              <w:jc w:val="both"/>
            </w:pPr>
            <w:r w:rsidRPr="0EDB2EA1">
              <w:rPr>
                <w:rFonts w:ascii="Calibri" w:eastAsia="Calibri" w:hAnsi="Calibri" w:cs="Calibri"/>
                <w:b/>
                <w:bCs/>
                <w:sz w:val="18"/>
                <w:szCs w:val="18"/>
              </w:rPr>
              <w:t>BASA</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814F0C1" w14:textId="24ADD1CC" w:rsidR="0EDB2EA1" w:rsidRDefault="0EDB2EA1" w:rsidP="0EDB2EA1">
            <w:pPr>
              <w:jc w:val="both"/>
            </w:pPr>
            <w:r w:rsidRPr="0EDB2EA1">
              <w:rPr>
                <w:rFonts w:ascii="Calibri" w:eastAsia="Calibri" w:hAnsi="Calibri" w:cs="Calibri"/>
                <w:sz w:val="18"/>
                <w:szCs w:val="18"/>
              </w:rPr>
              <w:t>Sociedade de Economia Mista Não Dependente – Capital Aberto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504D907" w14:textId="2D3E1E72" w:rsidR="0EDB2EA1" w:rsidRDefault="0EDB2EA1" w:rsidP="00C57CCF">
            <w:pPr>
              <w:jc w:val="center"/>
            </w:pPr>
            <w:r w:rsidRPr="0EDB2EA1">
              <w:rPr>
                <w:rFonts w:ascii="Calibri" w:eastAsia="Calibri" w:hAnsi="Calibri" w:cs="Calibri"/>
                <w:sz w:val="18"/>
                <w:szCs w:val="18"/>
              </w:rPr>
              <w:t>51,00%</w:t>
            </w:r>
          </w:p>
        </w:tc>
      </w:tr>
      <w:tr w:rsidR="0EDB2EA1" w14:paraId="5CFEF483" w14:textId="77777777" w:rsidTr="00E6191A">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1DA32F" w14:textId="357FF07C" w:rsidR="0EDB2EA1" w:rsidRDefault="0EDB2EA1" w:rsidP="0EDB2EA1">
            <w:pPr>
              <w:jc w:val="both"/>
            </w:pPr>
            <w:r w:rsidRPr="0EDB2EA1">
              <w:rPr>
                <w:rFonts w:ascii="Calibri" w:eastAsia="Calibri" w:hAnsi="Calibri" w:cs="Calibri"/>
                <w:b/>
                <w:bCs/>
                <w:sz w:val="18"/>
                <w:szCs w:val="18"/>
              </w:rPr>
              <w:t>BNB</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7EB847" w14:textId="46755038" w:rsidR="0EDB2EA1" w:rsidRDefault="0EDB2EA1" w:rsidP="0EDB2EA1">
            <w:pPr>
              <w:jc w:val="both"/>
            </w:pPr>
            <w:r w:rsidRPr="0EDB2EA1">
              <w:rPr>
                <w:rFonts w:ascii="Calibri" w:eastAsia="Calibri" w:hAnsi="Calibri" w:cs="Calibri"/>
                <w:sz w:val="18"/>
                <w:szCs w:val="18"/>
              </w:rPr>
              <w:t>Sociedade de Economia Mista Não Dependente – Capital Aberto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B9E585" w14:textId="72A7B763" w:rsidR="0EDB2EA1" w:rsidRDefault="0EDB2EA1" w:rsidP="00C57CCF">
            <w:pPr>
              <w:jc w:val="center"/>
            </w:pPr>
            <w:r w:rsidRPr="0EDB2EA1">
              <w:rPr>
                <w:rFonts w:ascii="Calibri" w:eastAsia="Calibri" w:hAnsi="Calibri" w:cs="Calibri"/>
                <w:sz w:val="18"/>
                <w:szCs w:val="18"/>
              </w:rPr>
              <w:t>55,45%</w:t>
            </w:r>
          </w:p>
        </w:tc>
      </w:tr>
      <w:tr w:rsidR="0EDB2EA1" w14:paraId="4957035A" w14:textId="77777777" w:rsidTr="00E6191A">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951B8" w14:textId="6019E110" w:rsidR="0EDB2EA1" w:rsidRDefault="0EDB2EA1" w:rsidP="0EDB2EA1">
            <w:pPr>
              <w:jc w:val="both"/>
            </w:pPr>
            <w:r w:rsidRPr="0EDB2EA1">
              <w:rPr>
                <w:rFonts w:ascii="Calibri" w:eastAsia="Calibri" w:hAnsi="Calibri" w:cs="Calibri"/>
                <w:b/>
                <w:bCs/>
                <w:sz w:val="18"/>
                <w:szCs w:val="18"/>
              </w:rPr>
              <w:t>CEASAMINAS</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7D05069" w14:textId="73503B3C" w:rsidR="0EDB2EA1" w:rsidRDefault="0EDB2EA1" w:rsidP="0EDB2EA1">
            <w:pPr>
              <w:jc w:val="both"/>
            </w:pPr>
            <w:r w:rsidRPr="0EDB2EA1">
              <w:rPr>
                <w:rFonts w:ascii="Calibri" w:eastAsia="Calibri" w:hAnsi="Calibri" w:cs="Calibri"/>
                <w:sz w:val="18"/>
                <w:szCs w:val="18"/>
              </w:rPr>
              <w:t>Sociedade de Economia Mista Não Dependente – Capital Fechado</w:t>
            </w:r>
          </w:p>
        </w:tc>
        <w:tc>
          <w:tcPr>
            <w:tcW w:w="3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D737D5D" w14:textId="4BF8706A" w:rsidR="0EDB2EA1" w:rsidRDefault="0EDB2EA1" w:rsidP="00C57CCF">
            <w:pPr>
              <w:jc w:val="center"/>
            </w:pPr>
            <w:r w:rsidRPr="0EDB2EA1">
              <w:rPr>
                <w:rFonts w:ascii="Calibri" w:eastAsia="Calibri" w:hAnsi="Calibri" w:cs="Calibri"/>
                <w:sz w:val="18"/>
                <w:szCs w:val="18"/>
              </w:rPr>
              <w:t>99,60%</w:t>
            </w:r>
          </w:p>
        </w:tc>
      </w:tr>
      <w:tr w:rsidR="0EDB2EA1" w14:paraId="2647E768" w14:textId="77777777" w:rsidTr="0EDB2EA1">
        <w:tc>
          <w:tcPr>
            <w:tcW w:w="9915" w:type="dxa"/>
            <w:gridSpan w:val="3"/>
            <w:tcBorders>
              <w:top w:val="single" w:sz="8" w:space="0" w:color="BFBFBF" w:themeColor="background1" w:themeShade="BF"/>
              <w:left w:val="nil"/>
              <w:bottom w:val="nil"/>
              <w:right w:val="nil"/>
            </w:tcBorders>
          </w:tcPr>
          <w:p w14:paraId="10A72307" w14:textId="3B377547" w:rsidR="0EDB2EA1" w:rsidRPr="00585EB9" w:rsidRDefault="0EDB2EA1">
            <w:pPr>
              <w:rPr>
                <w:sz w:val="18"/>
                <w:szCs w:val="18"/>
              </w:rPr>
            </w:pPr>
            <w:proofErr w:type="gramStart"/>
            <w:r w:rsidRPr="00585EB9">
              <w:rPr>
                <w:rFonts w:ascii="Calibri" w:eastAsia="Calibri" w:hAnsi="Calibri" w:cs="Calibri"/>
                <w:i/>
                <w:sz w:val="18"/>
                <w:szCs w:val="18"/>
                <w:vertAlign w:val="superscript"/>
              </w:rPr>
              <w:t>1</w:t>
            </w:r>
            <w:proofErr w:type="gramEnd"/>
            <w:r w:rsidRPr="00585EB9">
              <w:rPr>
                <w:rFonts w:ascii="Calibri" w:eastAsia="Calibri" w:hAnsi="Calibri" w:cs="Calibri"/>
                <w:i/>
                <w:sz w:val="18"/>
                <w:szCs w:val="18"/>
                <w:vertAlign w:val="superscript"/>
              </w:rPr>
              <w:t xml:space="preserve"> </w:t>
            </w:r>
            <w:r w:rsidRPr="00585EB9">
              <w:rPr>
                <w:rFonts w:ascii="Calibri" w:eastAsia="Calibri" w:hAnsi="Calibri" w:cs="Calibri"/>
                <w:i/>
                <w:sz w:val="18"/>
                <w:szCs w:val="18"/>
              </w:rPr>
              <w:t>Posição em 31/12/2020</w:t>
            </w:r>
          </w:p>
          <w:p w14:paraId="7E65D953" w14:textId="69DC28AC" w:rsidR="0EDB2EA1" w:rsidRPr="00585EB9" w:rsidRDefault="0EDB2EA1">
            <w:pPr>
              <w:rPr>
                <w:sz w:val="18"/>
                <w:szCs w:val="18"/>
              </w:rPr>
            </w:pPr>
            <w:proofErr w:type="gramStart"/>
            <w:r w:rsidRPr="00585EB9">
              <w:rPr>
                <w:rFonts w:ascii="Calibri" w:eastAsia="Calibri" w:hAnsi="Calibri" w:cs="Calibri"/>
                <w:i/>
                <w:sz w:val="18"/>
                <w:szCs w:val="18"/>
                <w:vertAlign w:val="superscript"/>
              </w:rPr>
              <w:t>2</w:t>
            </w:r>
            <w:proofErr w:type="gramEnd"/>
            <w:r w:rsidRPr="00585EB9">
              <w:rPr>
                <w:rFonts w:ascii="Calibri" w:eastAsia="Calibri" w:hAnsi="Calibri" w:cs="Calibri"/>
                <w:i/>
                <w:sz w:val="18"/>
                <w:szCs w:val="18"/>
              </w:rPr>
              <w:t xml:space="preserve"> Controle por meio das ações ordinárias.</w:t>
            </w:r>
          </w:p>
          <w:p w14:paraId="19D0D4AD" w14:textId="295603D0" w:rsidR="0EDB2EA1" w:rsidRDefault="0EDB2EA1" w:rsidP="0EDB2EA1">
            <w:pPr>
              <w:jc w:val="both"/>
            </w:pPr>
            <w:r w:rsidRPr="00585EB9">
              <w:rPr>
                <w:rFonts w:ascii="Calibri" w:eastAsia="Calibri" w:hAnsi="Calibri" w:cs="Calibri"/>
                <w:b/>
                <w:i/>
                <w:sz w:val="18"/>
                <w:szCs w:val="18"/>
              </w:rPr>
              <w:t>Fonte e elaboração</w:t>
            </w:r>
            <w:r w:rsidRPr="00585EB9">
              <w:rPr>
                <w:rFonts w:ascii="Calibri" w:eastAsia="Calibri" w:hAnsi="Calibri" w:cs="Calibri"/>
                <w:i/>
                <w:sz w:val="18"/>
                <w:szCs w:val="18"/>
              </w:rPr>
              <w:t>: STN/ME.</w:t>
            </w:r>
          </w:p>
        </w:tc>
      </w:tr>
    </w:tbl>
    <w:p w14:paraId="6B99E48F" w14:textId="11E8BDC5" w:rsidR="00A21F07" w:rsidRDefault="523B8B10" w:rsidP="0EDB2EA1">
      <w:pPr>
        <w:spacing w:after="120"/>
        <w:jc w:val="both"/>
      </w:pPr>
      <w:r w:rsidRPr="0EDB2EA1">
        <w:rPr>
          <w:rFonts w:ascii="Calibri" w:eastAsia="Calibri" w:hAnsi="Calibri" w:cs="Calibri"/>
          <w:color w:val="00B050"/>
          <w:sz w:val="24"/>
          <w:szCs w:val="24"/>
        </w:rPr>
        <w:t xml:space="preserve"> </w:t>
      </w:r>
    </w:p>
    <w:p w14:paraId="0052B497" w14:textId="011471D9" w:rsidR="00A21F07" w:rsidRDefault="523B8B10" w:rsidP="00C57CCF">
      <w:pPr>
        <w:spacing w:after="120"/>
        <w:ind w:firstLine="1418"/>
        <w:jc w:val="both"/>
        <w:rPr>
          <w:rFonts w:ascii="Calibri" w:eastAsia="Calibri" w:hAnsi="Calibri" w:cs="Calibri"/>
          <w:color w:val="000000" w:themeColor="text1"/>
          <w:sz w:val="24"/>
          <w:szCs w:val="24"/>
        </w:rPr>
      </w:pPr>
      <w:r w:rsidRPr="0EDB2EA1">
        <w:rPr>
          <w:rFonts w:ascii="Calibri" w:eastAsia="Calibri" w:hAnsi="Calibri" w:cs="Calibri"/>
          <w:color w:val="000000" w:themeColor="text1"/>
          <w:sz w:val="24"/>
          <w:szCs w:val="24"/>
        </w:rPr>
        <w:t>A avaliação de riscos das empresas estatais não dependentes, na maioria dos elementos de risco mapeados, demanda a separação da categoria das Instituições Financeiras Federais em relação às demais empresas estatais exploradoras de atividades econômicas ou prestadoras de serviço público. Isto em razão da especificidade do setor financeiro, com uma regulamentação própria, sobretudo quanto ao cumprimento de indicadores de capitalização.</w:t>
      </w:r>
    </w:p>
    <w:p w14:paraId="1573CF3F" w14:textId="77777777" w:rsidR="007152C7" w:rsidRDefault="007152C7" w:rsidP="00C57CCF">
      <w:pPr>
        <w:spacing w:after="120"/>
        <w:ind w:firstLine="1418"/>
        <w:jc w:val="both"/>
      </w:pPr>
    </w:p>
    <w:p w14:paraId="75CA2EC7" w14:textId="1FFF5B89" w:rsidR="00A21F07" w:rsidRPr="00541BF4" w:rsidRDefault="523B8B10" w:rsidP="00541BF4">
      <w:pPr>
        <w:pStyle w:val="Ttulo4"/>
        <w:keepLines/>
        <w:numPr>
          <w:ilvl w:val="3"/>
          <w:numId w:val="36"/>
        </w:numPr>
        <w:spacing w:before="240" w:after="120"/>
        <w:ind w:left="862" w:hanging="862"/>
        <w:jc w:val="left"/>
        <w:rPr>
          <w:rFonts w:asciiTheme="minorHAnsi" w:hAnsiTheme="minorHAnsi"/>
        </w:rPr>
      </w:pPr>
      <w:r w:rsidRPr="00541BF4">
        <w:rPr>
          <w:rFonts w:asciiTheme="minorHAnsi" w:eastAsia="Calibri" w:hAnsiTheme="minorHAnsi"/>
        </w:rPr>
        <w:t xml:space="preserve">Descrição dos riscos fiscais mapeados, agrupados de acordo com a </w:t>
      </w:r>
      <w:proofErr w:type="gramStart"/>
      <w:r w:rsidRPr="00541BF4">
        <w:rPr>
          <w:rFonts w:asciiTheme="minorHAnsi" w:eastAsia="Calibri" w:hAnsiTheme="minorHAnsi"/>
        </w:rPr>
        <w:t>natureza</w:t>
      </w:r>
      <w:proofErr w:type="gramEnd"/>
    </w:p>
    <w:p w14:paraId="3842DE66" w14:textId="22AFD2C2" w:rsidR="00A21F07" w:rsidRDefault="523B8B10" w:rsidP="00C57CCF">
      <w:pPr>
        <w:spacing w:after="120"/>
        <w:ind w:firstLine="1418"/>
        <w:jc w:val="both"/>
      </w:pPr>
      <w:r w:rsidRPr="0EDB2EA1">
        <w:rPr>
          <w:rFonts w:ascii="Calibri" w:eastAsia="Calibri" w:hAnsi="Calibri" w:cs="Calibri"/>
          <w:color w:val="000000" w:themeColor="text1"/>
          <w:sz w:val="24"/>
          <w:szCs w:val="24"/>
        </w:rPr>
        <w:t>Os riscos fiscais relacionados a empresas estatais não dependentes referem-se à possibilidade da ocorrência dos seguintes eventos, conforme a sua natureza:</w:t>
      </w:r>
    </w:p>
    <w:p w14:paraId="582CC85B" w14:textId="539ABE32" w:rsidR="00A21F07" w:rsidRDefault="523B8B10" w:rsidP="00C57CCF">
      <w:pPr>
        <w:spacing w:after="120"/>
        <w:ind w:left="360" w:hanging="360"/>
        <w:jc w:val="both"/>
      </w:pPr>
      <w:r w:rsidRPr="0EDB2EA1">
        <w:rPr>
          <w:rFonts w:ascii="Calibri" w:eastAsia="Calibri" w:hAnsi="Calibri" w:cs="Calibri"/>
          <w:color w:val="000000" w:themeColor="text1"/>
          <w:sz w:val="24"/>
          <w:szCs w:val="24"/>
        </w:rPr>
        <w:t>a)</w:t>
      </w:r>
      <w:proofErr w:type="gramStart"/>
      <w:r w:rsidRPr="0EDB2EA1">
        <w:rPr>
          <w:rFonts w:ascii="Times New Roman" w:eastAsia="Times New Roman" w:hAnsi="Times New Roman" w:cs="Times New Roman"/>
          <w:color w:val="000000" w:themeColor="text1"/>
          <w:sz w:val="14"/>
          <w:szCs w:val="14"/>
        </w:rPr>
        <w:t xml:space="preserve">    </w:t>
      </w:r>
      <w:proofErr w:type="gramEnd"/>
      <w:r w:rsidR="00A21F07">
        <w:tab/>
      </w:r>
      <w:r w:rsidRPr="0EDB2EA1">
        <w:rPr>
          <w:rFonts w:ascii="Calibri" w:eastAsia="Calibri" w:hAnsi="Calibri" w:cs="Calibri"/>
          <w:b/>
          <w:bCs/>
          <w:color w:val="000000" w:themeColor="text1"/>
          <w:sz w:val="24"/>
          <w:szCs w:val="24"/>
        </w:rPr>
        <w:t>Risco 1</w:t>
      </w:r>
      <w:r w:rsidRPr="0EDB2EA1">
        <w:rPr>
          <w:rFonts w:ascii="Calibri" w:eastAsia="Calibri" w:hAnsi="Calibri" w:cs="Calibri"/>
          <w:color w:val="000000" w:themeColor="text1"/>
          <w:sz w:val="24"/>
          <w:szCs w:val="24"/>
        </w:rPr>
        <w:t>: Frustração de receita - receita de dividendos e ou juros sobre capital próprio (JCP) menor do que a receita estimada na composição do resultado fiscal do Governo Central;</w:t>
      </w:r>
    </w:p>
    <w:p w14:paraId="4B561FD1" w14:textId="17582436" w:rsidR="00A21F07" w:rsidRDefault="523B8B10" w:rsidP="00C57CCF">
      <w:pPr>
        <w:spacing w:after="120"/>
        <w:ind w:left="360" w:hanging="360"/>
        <w:jc w:val="both"/>
      </w:pPr>
      <w:r w:rsidRPr="0EDB2EA1">
        <w:rPr>
          <w:rFonts w:ascii="Calibri" w:eastAsia="Calibri" w:hAnsi="Calibri" w:cs="Calibri"/>
          <w:color w:val="000000" w:themeColor="text1"/>
          <w:sz w:val="24"/>
          <w:szCs w:val="24"/>
        </w:rPr>
        <w:t>b)</w:t>
      </w:r>
      <w:proofErr w:type="gramStart"/>
      <w:r w:rsidRPr="0EDB2EA1">
        <w:rPr>
          <w:rFonts w:ascii="Times New Roman" w:eastAsia="Times New Roman" w:hAnsi="Times New Roman" w:cs="Times New Roman"/>
          <w:color w:val="000000" w:themeColor="text1"/>
          <w:sz w:val="14"/>
          <w:szCs w:val="14"/>
        </w:rPr>
        <w:t xml:space="preserve">    </w:t>
      </w:r>
      <w:proofErr w:type="gramEnd"/>
      <w:r w:rsidR="00A21F07">
        <w:tab/>
      </w:r>
      <w:r w:rsidRPr="0EDB2EA1">
        <w:rPr>
          <w:rFonts w:ascii="Calibri" w:eastAsia="Calibri" w:hAnsi="Calibri" w:cs="Calibri"/>
          <w:b/>
          <w:bCs/>
          <w:color w:val="000000" w:themeColor="text1"/>
          <w:sz w:val="24"/>
          <w:szCs w:val="24"/>
        </w:rPr>
        <w:t>Risco 2</w:t>
      </w:r>
      <w:r w:rsidRPr="0EDB2EA1">
        <w:rPr>
          <w:rFonts w:ascii="Calibri" w:eastAsia="Calibri" w:hAnsi="Calibri" w:cs="Calibri"/>
          <w:color w:val="000000" w:themeColor="text1"/>
          <w:sz w:val="24"/>
          <w:szCs w:val="24"/>
        </w:rPr>
        <w:t>: Aporte emergencial - aporte de capital ou subvenção econômica em caráter de emergência para o atendimento da necessidade de recursos ou de capital de determinada empresa estatal; e</w:t>
      </w:r>
    </w:p>
    <w:p w14:paraId="40DEA15C" w14:textId="503FAD85" w:rsidR="00A21F07" w:rsidRDefault="523B8B10" w:rsidP="00C57CCF">
      <w:pPr>
        <w:spacing w:after="120"/>
        <w:ind w:left="360" w:hanging="360"/>
        <w:jc w:val="both"/>
        <w:rPr>
          <w:rFonts w:ascii="Calibri" w:eastAsia="Calibri" w:hAnsi="Calibri" w:cs="Calibri"/>
          <w:color w:val="000000" w:themeColor="text1"/>
          <w:sz w:val="24"/>
          <w:szCs w:val="24"/>
        </w:rPr>
      </w:pPr>
      <w:r w:rsidRPr="0EDB2EA1">
        <w:rPr>
          <w:rFonts w:ascii="Calibri" w:eastAsia="Calibri" w:hAnsi="Calibri" w:cs="Calibri"/>
          <w:color w:val="000000" w:themeColor="text1"/>
          <w:sz w:val="24"/>
          <w:szCs w:val="24"/>
        </w:rPr>
        <w:t>c)</w:t>
      </w:r>
      <w:r w:rsidRPr="0EDB2EA1">
        <w:rPr>
          <w:rFonts w:ascii="Times New Roman" w:eastAsia="Times New Roman" w:hAnsi="Times New Roman" w:cs="Times New Roman"/>
          <w:color w:val="000000" w:themeColor="text1"/>
          <w:sz w:val="14"/>
          <w:szCs w:val="14"/>
        </w:rPr>
        <w:t xml:space="preserve">     </w:t>
      </w:r>
      <w:r w:rsidR="00A21F07">
        <w:tab/>
      </w:r>
      <w:r w:rsidRPr="0EDB2EA1">
        <w:rPr>
          <w:rFonts w:ascii="Calibri" w:eastAsia="Calibri" w:hAnsi="Calibri" w:cs="Calibri"/>
          <w:b/>
          <w:bCs/>
          <w:color w:val="000000" w:themeColor="text1"/>
          <w:sz w:val="24"/>
          <w:szCs w:val="24"/>
        </w:rPr>
        <w:t xml:space="preserve">Risco </w:t>
      </w:r>
      <w:proofErr w:type="gramStart"/>
      <w:r w:rsidRPr="0EDB2EA1">
        <w:rPr>
          <w:rFonts w:ascii="Calibri" w:eastAsia="Calibri" w:hAnsi="Calibri" w:cs="Calibri"/>
          <w:b/>
          <w:bCs/>
          <w:color w:val="000000" w:themeColor="text1"/>
          <w:sz w:val="24"/>
          <w:szCs w:val="24"/>
        </w:rPr>
        <w:t>3</w:t>
      </w:r>
      <w:proofErr w:type="gramEnd"/>
      <w:r w:rsidRPr="0EDB2EA1">
        <w:rPr>
          <w:rFonts w:ascii="Calibri" w:eastAsia="Calibri" w:hAnsi="Calibri" w:cs="Calibri"/>
          <w:color w:val="000000" w:themeColor="text1"/>
          <w:sz w:val="24"/>
          <w:szCs w:val="24"/>
        </w:rPr>
        <w:t xml:space="preserve">: Esforço fiscal adicional (compensação de primário) - Necessidade de compensação pelo Tesouro Nacional de um eventual resultado primário menor do que o estimado para o conjunto dos resultados primários das Empresas Estatais Federais (por força da Lei de Diretrizes Orçamentárias – LDO: § 2º do art. 3º da Lei nº 14.116, </w:t>
      </w:r>
      <w:r w:rsidR="00E6191A">
        <w:rPr>
          <w:rFonts w:ascii="Calibri" w:eastAsia="Calibri" w:hAnsi="Calibri" w:cs="Calibri"/>
          <w:color w:val="000000" w:themeColor="text1"/>
          <w:sz w:val="24"/>
          <w:szCs w:val="24"/>
        </w:rPr>
        <w:t xml:space="preserve">de </w:t>
      </w:r>
      <w:r w:rsidR="00563F85">
        <w:rPr>
          <w:rFonts w:ascii="Calibri" w:eastAsia="Calibri" w:hAnsi="Calibri" w:cs="Calibri"/>
          <w:color w:val="000000" w:themeColor="text1"/>
          <w:sz w:val="24"/>
          <w:szCs w:val="24"/>
        </w:rPr>
        <w:t xml:space="preserve">31 de dezembro </w:t>
      </w:r>
      <w:r w:rsidRPr="0EDB2EA1">
        <w:rPr>
          <w:rFonts w:ascii="Calibri" w:eastAsia="Calibri" w:hAnsi="Calibri" w:cs="Calibri"/>
          <w:color w:val="000000" w:themeColor="text1"/>
          <w:sz w:val="24"/>
          <w:szCs w:val="24"/>
        </w:rPr>
        <w:t>de 2020).</w:t>
      </w:r>
    </w:p>
    <w:p w14:paraId="73546099" w14:textId="77777777" w:rsidR="00EB6C2F" w:rsidRDefault="00EB6C2F" w:rsidP="00C57CCF">
      <w:pPr>
        <w:spacing w:after="120"/>
        <w:ind w:left="360" w:hanging="360"/>
        <w:jc w:val="both"/>
      </w:pPr>
    </w:p>
    <w:p w14:paraId="5A39546E" w14:textId="41C5217F" w:rsidR="00A21F07" w:rsidRPr="00541BF4" w:rsidRDefault="523B8B10" w:rsidP="00541BF4">
      <w:pPr>
        <w:pStyle w:val="Ttulo4"/>
        <w:keepLines/>
        <w:numPr>
          <w:ilvl w:val="3"/>
          <w:numId w:val="36"/>
        </w:numPr>
        <w:spacing w:before="240" w:after="120"/>
        <w:ind w:left="862" w:hanging="862"/>
        <w:jc w:val="left"/>
        <w:rPr>
          <w:rFonts w:asciiTheme="minorHAnsi" w:eastAsia="Calibri" w:hAnsiTheme="minorHAnsi"/>
        </w:rPr>
      </w:pPr>
      <w:r w:rsidRPr="00541BF4">
        <w:rPr>
          <w:rFonts w:asciiTheme="minorHAnsi" w:eastAsia="Calibri" w:hAnsiTheme="minorHAnsi"/>
        </w:rPr>
        <w:t>Metodologia de avaliação dos riscos</w:t>
      </w:r>
    </w:p>
    <w:p w14:paraId="32390230" w14:textId="77777777" w:rsidR="00EB6C2F" w:rsidRPr="000C7E8F" w:rsidRDefault="00EB6C2F" w:rsidP="00C57CCF"/>
    <w:p w14:paraId="70032C9B" w14:textId="45C18FD9"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u w:val="single"/>
        </w:rPr>
        <w:t>Risco 1 - frustração da receita de dividendos e JCP</w:t>
      </w:r>
    </w:p>
    <w:p w14:paraId="742B24D9" w14:textId="2FEF4F4E"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lastRenderedPageBreak/>
        <w:t xml:space="preserve">A metodologia identifica, em relação à receita de dividendos, os seguintes elementos que podem contribuir para a arrecadação </w:t>
      </w:r>
      <w:proofErr w:type="gramStart"/>
      <w:r w:rsidRPr="0EDB2EA1">
        <w:rPr>
          <w:rFonts w:ascii="Calibri" w:eastAsia="Calibri" w:hAnsi="Calibri" w:cs="Calibri"/>
          <w:color w:val="000000" w:themeColor="text1"/>
          <w:sz w:val="24"/>
          <w:szCs w:val="24"/>
        </w:rPr>
        <w:t>vir</w:t>
      </w:r>
      <w:proofErr w:type="gramEnd"/>
      <w:r w:rsidRPr="0EDB2EA1">
        <w:rPr>
          <w:rFonts w:ascii="Calibri" w:eastAsia="Calibri" w:hAnsi="Calibri" w:cs="Calibri"/>
          <w:color w:val="000000" w:themeColor="text1"/>
          <w:sz w:val="24"/>
          <w:szCs w:val="24"/>
        </w:rPr>
        <w:t xml:space="preserve"> a ser inferior à prevista: a) fatores inerentes à atividade empresarial das companhias, que podem afetar o lucro líquido estimado; b) alterações na composição do capital social reduzindo a participação relativa da União, c) mudança da política de distribuição de dividendos afetando, sobretudo, o percentual de distribuição do lucro, e d) fatores que possam gerar direito ou obrigação de retenção de lucros por parte da empresa.</w:t>
      </w:r>
    </w:p>
    <w:p w14:paraId="68259147" w14:textId="10D6AE59"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A principal fonte para a estimativa das receitas são as demonstrações financeiras das empresas e, uma vez que as estimativas da PLDO e da PLOA são anteriores à divulgação das demonstrações, é importante a reestimativa da receita de dividendos. Assim, a previsão dessa receita é avaliada mensalmente e ajustes são divulgados pelos relatórios bimestrais de avaliação das receitas e despesas.</w:t>
      </w:r>
    </w:p>
    <w:p w14:paraId="48DE5208" w14:textId="5ACB74A6"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Como forma de avaliar a exposição ao risco frente </w:t>
      </w:r>
      <w:proofErr w:type="gramStart"/>
      <w:r w:rsidRPr="0EDB2EA1">
        <w:rPr>
          <w:rFonts w:ascii="Calibri" w:eastAsia="Calibri" w:hAnsi="Calibri" w:cs="Calibri"/>
          <w:color w:val="000000" w:themeColor="text1"/>
          <w:sz w:val="24"/>
          <w:szCs w:val="24"/>
        </w:rPr>
        <w:t>à</w:t>
      </w:r>
      <w:proofErr w:type="gramEnd"/>
      <w:r w:rsidRPr="0EDB2EA1">
        <w:rPr>
          <w:rFonts w:ascii="Calibri" w:eastAsia="Calibri" w:hAnsi="Calibri" w:cs="Calibri"/>
          <w:color w:val="000000" w:themeColor="text1"/>
          <w:sz w:val="24"/>
          <w:szCs w:val="24"/>
        </w:rPr>
        <w:t xml:space="preserve"> não realização da receita de dividendos, considera-se a Matriz de Risco A (</w:t>
      </w:r>
      <w:r w:rsidR="00997445" w:rsidRPr="00187204">
        <w:rPr>
          <w:rFonts w:ascii="Calibri" w:eastAsia="Calibri" w:hAnsi="Calibri" w:cs="Calibri"/>
          <w:color w:val="000000" w:themeColor="text1"/>
          <w:sz w:val="24"/>
          <w:szCs w:val="24"/>
        </w:rPr>
        <w:fldChar w:fldCharType="begin"/>
      </w:r>
      <w:r w:rsidR="00997445" w:rsidRPr="00187204">
        <w:rPr>
          <w:rFonts w:ascii="Calibri" w:eastAsia="Calibri" w:hAnsi="Calibri" w:cs="Calibri"/>
          <w:color w:val="000000" w:themeColor="text1"/>
          <w:sz w:val="24"/>
          <w:szCs w:val="24"/>
        </w:rPr>
        <w:instrText xml:space="preserve"> REF _Ref68015845 \h </w:instrText>
      </w:r>
      <w:r w:rsidR="00187204" w:rsidRPr="00187204">
        <w:rPr>
          <w:rFonts w:ascii="Calibri" w:eastAsia="Calibri" w:hAnsi="Calibri" w:cs="Calibri"/>
          <w:color w:val="000000" w:themeColor="text1"/>
          <w:sz w:val="24"/>
          <w:szCs w:val="24"/>
        </w:rPr>
        <w:instrText xml:space="preserve"> \* MERGEFORMAT </w:instrText>
      </w:r>
      <w:r w:rsidR="00997445" w:rsidRPr="00187204">
        <w:rPr>
          <w:rFonts w:ascii="Calibri" w:eastAsia="Calibri" w:hAnsi="Calibri" w:cs="Calibri"/>
          <w:color w:val="000000" w:themeColor="text1"/>
          <w:sz w:val="24"/>
          <w:szCs w:val="24"/>
        </w:rPr>
      </w:r>
      <w:r w:rsidR="00997445" w:rsidRPr="00187204">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Figura </w:t>
      </w:r>
      <w:r w:rsidR="00304F5F" w:rsidRPr="00304F5F">
        <w:rPr>
          <w:rFonts w:cstheme="minorHAnsi"/>
          <w:noProof/>
          <w:sz w:val="24"/>
          <w:szCs w:val="24"/>
        </w:rPr>
        <w:t>18</w:t>
      </w:r>
      <w:r w:rsidR="00997445" w:rsidRPr="00187204">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em que o eixo horizontal apresenta o percentual de distribuição de dividendo/JCP em relação ao lucro líquido ajustado (distribuições de 25%, de 25% a 50% e de 50% a 100%) e o eixo vertical apresenta o valor monetário do pagamento, segmentado em valores abaixo e acima de R$1 bilhã</w:t>
      </w:r>
      <w:r w:rsidR="19803A7F" w:rsidRPr="0EDB2EA1">
        <w:rPr>
          <w:rFonts w:ascii="Calibri" w:eastAsia="Calibri" w:hAnsi="Calibri" w:cs="Calibri"/>
          <w:color w:val="000000" w:themeColor="text1"/>
          <w:sz w:val="24"/>
          <w:szCs w:val="24"/>
        </w:rPr>
        <w:t>o.</w:t>
      </w:r>
    </w:p>
    <w:p w14:paraId="412C458A" w14:textId="63869C21" w:rsidR="00A21F07" w:rsidRPr="00187204" w:rsidRDefault="523B8B10" w:rsidP="00997445">
      <w:pPr>
        <w:pStyle w:val="Legenda"/>
        <w:jc w:val="center"/>
        <w:rPr>
          <w:rFonts w:asciiTheme="minorHAnsi" w:hAnsiTheme="minorHAnsi" w:cstheme="minorHAnsi"/>
          <w:i w:val="0"/>
          <w:color w:val="auto"/>
          <w:sz w:val="22"/>
          <w:szCs w:val="22"/>
        </w:rPr>
      </w:pPr>
      <w:bookmarkStart w:id="413" w:name="_Ref68015845"/>
      <w:bookmarkStart w:id="414" w:name="_Ref68015840"/>
      <w:bookmarkStart w:id="415" w:name="_Toc69121343"/>
      <w:r w:rsidRPr="00187204">
        <w:rPr>
          <w:rFonts w:asciiTheme="minorHAnsi" w:eastAsia="Calibri" w:hAnsiTheme="minorHAnsi" w:cstheme="minorHAnsi"/>
          <w:i w:val="0"/>
          <w:color w:val="auto"/>
          <w:sz w:val="22"/>
          <w:szCs w:val="22"/>
        </w:rPr>
        <w:t xml:space="preserve">Figura </w:t>
      </w:r>
      <w:r w:rsidR="00997445" w:rsidRPr="00187204">
        <w:rPr>
          <w:rFonts w:asciiTheme="minorHAnsi" w:hAnsiTheme="minorHAnsi" w:cstheme="minorHAnsi"/>
          <w:i w:val="0"/>
          <w:color w:val="auto"/>
          <w:sz w:val="22"/>
          <w:szCs w:val="22"/>
        </w:rPr>
        <w:fldChar w:fldCharType="begin"/>
      </w:r>
      <w:r w:rsidR="00997445" w:rsidRPr="00187204">
        <w:rPr>
          <w:rFonts w:asciiTheme="minorHAnsi" w:hAnsiTheme="minorHAnsi" w:cstheme="minorHAnsi"/>
          <w:i w:val="0"/>
          <w:color w:val="auto"/>
          <w:sz w:val="22"/>
          <w:szCs w:val="22"/>
        </w:rPr>
        <w:instrText xml:space="preserve"> SEQ Figura \* ARABIC </w:instrText>
      </w:r>
      <w:r w:rsidR="00997445" w:rsidRPr="0018720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18</w:t>
      </w:r>
      <w:r w:rsidR="00997445" w:rsidRPr="00187204">
        <w:rPr>
          <w:rFonts w:asciiTheme="minorHAnsi" w:hAnsiTheme="minorHAnsi" w:cstheme="minorHAnsi"/>
          <w:i w:val="0"/>
          <w:color w:val="auto"/>
          <w:sz w:val="22"/>
          <w:szCs w:val="22"/>
        </w:rPr>
        <w:fldChar w:fldCharType="end"/>
      </w:r>
      <w:bookmarkEnd w:id="413"/>
      <w:r w:rsidRPr="00187204">
        <w:rPr>
          <w:rFonts w:asciiTheme="minorHAnsi" w:eastAsia="Calibri" w:hAnsiTheme="minorHAnsi" w:cstheme="minorHAnsi"/>
          <w:i w:val="0"/>
          <w:color w:val="auto"/>
          <w:sz w:val="22"/>
          <w:szCs w:val="22"/>
        </w:rPr>
        <w:t xml:space="preserve"> - Matriz de Risco </w:t>
      </w:r>
      <w:r w:rsidRPr="00187204">
        <w:rPr>
          <w:rFonts w:asciiTheme="minorHAnsi" w:eastAsia="Calibri" w:hAnsiTheme="minorHAnsi" w:cstheme="minorHAnsi"/>
          <w:i w:val="0"/>
          <w:caps/>
          <w:color w:val="auto"/>
          <w:sz w:val="22"/>
          <w:szCs w:val="22"/>
        </w:rPr>
        <w:t>A</w:t>
      </w:r>
      <w:r w:rsidRPr="00187204">
        <w:rPr>
          <w:rFonts w:asciiTheme="minorHAnsi" w:eastAsia="Calibri" w:hAnsiTheme="minorHAnsi" w:cstheme="minorHAnsi"/>
          <w:i w:val="0"/>
          <w:color w:val="auto"/>
          <w:sz w:val="22"/>
          <w:szCs w:val="22"/>
        </w:rPr>
        <w:t xml:space="preserve"> - Dividendos</w:t>
      </w:r>
      <w:bookmarkEnd w:id="414"/>
      <w:bookmarkEnd w:id="415"/>
    </w:p>
    <w:p w14:paraId="3158756B" w14:textId="412FC58E" w:rsidR="00A21F07" w:rsidRDefault="637B1F8A" w:rsidP="00BD35DE">
      <w:pPr>
        <w:spacing w:after="120"/>
        <w:jc w:val="center"/>
      </w:pPr>
      <w:r>
        <w:rPr>
          <w:noProof/>
          <w:lang w:eastAsia="pt-BR"/>
        </w:rPr>
        <w:drawing>
          <wp:inline distT="0" distB="0" distL="0" distR="0" wp14:anchorId="6CB5E2C2" wp14:editId="30B1DF00">
            <wp:extent cx="4572000" cy="1866900"/>
            <wp:effectExtent l="0" t="0" r="0" b="0"/>
            <wp:docPr id="766506308" name="Imagem 76650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6506308"/>
                    <pic:cNvPicPr/>
                  </pic:nvPicPr>
                  <pic:blipFill>
                    <a:blip r:embed="rId30">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2800DF77" w14:textId="510984F3"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A exposição ao risco pode ser considerada muito baixa nas previsões de dividendos de 25% do lucro líquido ajustado (mínimo legal), pois, nesta hipótese, não incidem os eventos de mudança na política de dividendos. Podem, contudo, ocorrer eventos que afetem a lucratividade. Assim, para valores superiores a R$ 1 bilhão considera-se uma situação de baixa exposição (em contraponto </w:t>
      </w:r>
      <w:proofErr w:type="gramStart"/>
      <w:r w:rsidRPr="0EDB2EA1">
        <w:rPr>
          <w:rFonts w:ascii="Calibri" w:eastAsia="Calibri" w:hAnsi="Calibri" w:cs="Calibri"/>
          <w:color w:val="000000" w:themeColor="text1"/>
          <w:sz w:val="24"/>
          <w:szCs w:val="24"/>
        </w:rPr>
        <w:t>a</w:t>
      </w:r>
      <w:proofErr w:type="gramEnd"/>
      <w:r w:rsidRPr="0EDB2EA1">
        <w:rPr>
          <w:rFonts w:ascii="Calibri" w:eastAsia="Calibri" w:hAnsi="Calibri" w:cs="Calibri"/>
          <w:color w:val="000000" w:themeColor="text1"/>
          <w:sz w:val="24"/>
          <w:szCs w:val="24"/>
        </w:rPr>
        <w:t xml:space="preserve"> uma muito baixa exposição), ou seja, com um risco ligeiramente superior.</w:t>
      </w:r>
    </w:p>
    <w:p w14:paraId="6301B192" w14:textId="3B16F845"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A partir de 25% do lucro líquido, na faixa até 50%, essa exposição eleva-se em razão dos fatores que podem restringir essa distribuição, não somente eventual mudança da política de dividendos, mas também a necessidade de enquadramento nos limites operacionais no caso das instituições financeiras. Esta situação, em valores inferiores a R$1 bilhão, é considerada como de baixa exposição.</w:t>
      </w:r>
    </w:p>
    <w:p w14:paraId="0E39EC84" w14:textId="365159EE"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Considerando-se a elevação do risco, naturalmente, em função dos montantes envolvidos, a partir de R$1 bilhão, é considerada uma situação de média exposição (para a faixa entre 25% e 50% do lucro líquido). Deve-se ressaltar que é possível uma exceção nessa faixa enquadrada como de baixo risco: quando a política de dividendos admite, formalmente e com regularidade, distribuição variável de até 50%.</w:t>
      </w:r>
    </w:p>
    <w:p w14:paraId="70B1211F" w14:textId="0709108A"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Finalmente, o risco se eleva na distribuição acima de 50% do lucro líquido. Para valores abaixo de R$1 bilhão considera-se média exposição e acima uma situação de alta exposição. </w:t>
      </w:r>
      <w:r w:rsidRPr="0EDB2EA1">
        <w:rPr>
          <w:rFonts w:ascii="Calibri" w:eastAsia="Calibri" w:hAnsi="Calibri" w:cs="Calibri"/>
          <w:color w:val="000000" w:themeColor="text1"/>
          <w:sz w:val="24"/>
          <w:szCs w:val="24"/>
        </w:rPr>
        <w:lastRenderedPageBreak/>
        <w:t>Recomenda-se não se incluir na programação financeira as parcelas de dividendos com exposição a alto risco.</w:t>
      </w:r>
    </w:p>
    <w:p w14:paraId="6912C262" w14:textId="3557591F"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Com base em tais critérios, a metodologia distribui a exposição (valores previstos de dividendos) nas quatro categorias de risco: de Muito Baixa Exposição (quadrante </w:t>
      </w:r>
      <w:proofErr w:type="gramStart"/>
      <w:r w:rsidRPr="0EDB2EA1">
        <w:rPr>
          <w:rFonts w:ascii="Calibri" w:eastAsia="Calibri" w:hAnsi="Calibri" w:cs="Calibri"/>
          <w:color w:val="000000" w:themeColor="text1"/>
          <w:sz w:val="24"/>
          <w:szCs w:val="24"/>
        </w:rPr>
        <w:t>1</w:t>
      </w:r>
      <w:proofErr w:type="gramEnd"/>
      <w:r w:rsidRPr="0EDB2EA1">
        <w:rPr>
          <w:rFonts w:ascii="Calibri" w:eastAsia="Calibri" w:hAnsi="Calibri" w:cs="Calibri"/>
          <w:color w:val="000000" w:themeColor="text1"/>
          <w:sz w:val="24"/>
          <w:szCs w:val="24"/>
        </w:rPr>
        <w:t>), de Baixa Exposição (quadrantes 2 e 4), de Média Exposição (quadrantes 3 e 5) e de Alta Exposição (quadrante 6).</w:t>
      </w:r>
    </w:p>
    <w:p w14:paraId="08A61944" w14:textId="250C6190"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A partir do </w:t>
      </w:r>
      <w:proofErr w:type="gramStart"/>
      <w:r w:rsidRPr="0EDB2EA1">
        <w:rPr>
          <w:rFonts w:ascii="Calibri" w:eastAsia="Calibri" w:hAnsi="Calibri" w:cs="Calibri"/>
          <w:color w:val="000000" w:themeColor="text1"/>
          <w:sz w:val="24"/>
          <w:szCs w:val="24"/>
        </w:rPr>
        <w:t>2º bimestre, quando já estariam divulgadas as demonstrações financeiras, aprovadas</w:t>
      </w:r>
      <w:proofErr w:type="gramEnd"/>
      <w:r w:rsidRPr="0EDB2EA1">
        <w:rPr>
          <w:rFonts w:ascii="Calibri" w:eastAsia="Calibri" w:hAnsi="Calibri" w:cs="Calibri"/>
          <w:color w:val="000000" w:themeColor="text1"/>
          <w:sz w:val="24"/>
          <w:szCs w:val="24"/>
        </w:rPr>
        <w:t xml:space="preserve"> em Assembleia pelos acionistas, o risco não pode ser considerado nulo, pois há situações que podem ocorrer, de maneira mais remota, por fatores relacionados à disponibilidade de caixa da empresa. Para esse período, considera-se a Matriz de Risco B (</w:t>
      </w:r>
      <w:r w:rsidR="00187204" w:rsidRPr="00187204">
        <w:rPr>
          <w:rFonts w:ascii="Calibri" w:eastAsia="Calibri" w:hAnsi="Calibri" w:cs="Calibri"/>
          <w:color w:val="000000" w:themeColor="text1"/>
          <w:sz w:val="24"/>
          <w:szCs w:val="24"/>
        </w:rPr>
        <w:fldChar w:fldCharType="begin"/>
      </w:r>
      <w:r w:rsidR="00187204" w:rsidRPr="00187204">
        <w:rPr>
          <w:rFonts w:ascii="Calibri" w:eastAsia="Calibri" w:hAnsi="Calibri" w:cs="Calibri"/>
          <w:color w:val="000000" w:themeColor="text1"/>
          <w:sz w:val="24"/>
          <w:szCs w:val="24"/>
        </w:rPr>
        <w:instrText xml:space="preserve"> REF _Ref68015983 \h  \* MERGEFORMAT </w:instrText>
      </w:r>
      <w:r w:rsidR="00187204" w:rsidRPr="00187204">
        <w:rPr>
          <w:rFonts w:ascii="Calibri" w:eastAsia="Calibri" w:hAnsi="Calibri" w:cs="Calibri"/>
          <w:color w:val="000000" w:themeColor="text1"/>
          <w:sz w:val="24"/>
          <w:szCs w:val="24"/>
        </w:rPr>
      </w:r>
      <w:r w:rsidR="00187204" w:rsidRPr="00187204">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Figura </w:t>
      </w:r>
      <w:r w:rsidR="00304F5F" w:rsidRPr="00304F5F">
        <w:rPr>
          <w:rFonts w:cstheme="minorHAnsi"/>
          <w:noProof/>
          <w:sz w:val="24"/>
          <w:szCs w:val="24"/>
        </w:rPr>
        <w:t>19</w:t>
      </w:r>
      <w:r w:rsidR="00187204" w:rsidRPr="00187204">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passando os quadrantes 4, 5 e 6 para Muito Baixa, Baixa e Média Exposição, respectivamente.</w:t>
      </w:r>
    </w:p>
    <w:p w14:paraId="2603650F" w14:textId="6CFE9108" w:rsidR="00A21F07" w:rsidRPr="00187204" w:rsidRDefault="523B8B10" w:rsidP="00187204">
      <w:pPr>
        <w:pStyle w:val="Legenda"/>
        <w:jc w:val="center"/>
        <w:rPr>
          <w:rFonts w:asciiTheme="minorHAnsi" w:eastAsia="Calibri" w:hAnsiTheme="minorHAnsi" w:cstheme="minorHAnsi"/>
          <w:i w:val="0"/>
          <w:color w:val="auto"/>
          <w:sz w:val="22"/>
          <w:szCs w:val="22"/>
        </w:rPr>
      </w:pPr>
      <w:bookmarkStart w:id="416" w:name="_Ref68015983"/>
      <w:bookmarkStart w:id="417" w:name="_Toc69121344"/>
      <w:r w:rsidRPr="00187204">
        <w:rPr>
          <w:rFonts w:asciiTheme="minorHAnsi" w:eastAsia="Calibri" w:hAnsiTheme="minorHAnsi" w:cstheme="minorHAnsi"/>
          <w:i w:val="0"/>
          <w:color w:val="auto"/>
          <w:sz w:val="22"/>
          <w:szCs w:val="22"/>
        </w:rPr>
        <w:t xml:space="preserve">Figura </w:t>
      </w:r>
      <w:r w:rsidR="00187204" w:rsidRPr="00187204">
        <w:rPr>
          <w:rFonts w:asciiTheme="minorHAnsi" w:hAnsiTheme="minorHAnsi" w:cstheme="minorHAnsi"/>
          <w:i w:val="0"/>
          <w:color w:val="auto"/>
          <w:sz w:val="22"/>
          <w:szCs w:val="22"/>
        </w:rPr>
        <w:fldChar w:fldCharType="begin"/>
      </w:r>
      <w:r w:rsidR="00187204" w:rsidRPr="00187204">
        <w:rPr>
          <w:rFonts w:asciiTheme="minorHAnsi" w:hAnsiTheme="minorHAnsi" w:cstheme="minorHAnsi"/>
          <w:i w:val="0"/>
          <w:color w:val="auto"/>
          <w:sz w:val="22"/>
          <w:szCs w:val="22"/>
        </w:rPr>
        <w:instrText xml:space="preserve"> SEQ Figura \* ARABIC </w:instrText>
      </w:r>
      <w:r w:rsidR="00187204" w:rsidRPr="0018720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19</w:t>
      </w:r>
      <w:r w:rsidR="00187204" w:rsidRPr="00187204">
        <w:rPr>
          <w:rFonts w:asciiTheme="minorHAnsi" w:hAnsiTheme="minorHAnsi" w:cstheme="minorHAnsi"/>
          <w:i w:val="0"/>
          <w:color w:val="auto"/>
          <w:sz w:val="22"/>
          <w:szCs w:val="22"/>
        </w:rPr>
        <w:fldChar w:fldCharType="end"/>
      </w:r>
      <w:bookmarkEnd w:id="416"/>
      <w:r w:rsidRPr="00187204">
        <w:rPr>
          <w:rFonts w:asciiTheme="minorHAnsi" w:eastAsia="Calibri" w:hAnsiTheme="minorHAnsi" w:cstheme="minorHAnsi"/>
          <w:i w:val="0"/>
          <w:color w:val="auto"/>
          <w:sz w:val="22"/>
          <w:szCs w:val="22"/>
        </w:rPr>
        <w:t xml:space="preserve"> - Matriz de Risco B</w:t>
      </w:r>
      <w:r w:rsidR="3158C993" w:rsidRPr="00187204">
        <w:rPr>
          <w:rFonts w:asciiTheme="minorHAnsi" w:eastAsia="Calibri" w:hAnsiTheme="minorHAnsi" w:cstheme="minorHAnsi"/>
          <w:i w:val="0"/>
          <w:color w:val="auto"/>
          <w:sz w:val="22"/>
          <w:szCs w:val="22"/>
        </w:rPr>
        <w:t xml:space="preserve"> </w:t>
      </w:r>
      <w:r w:rsidR="00187204">
        <w:rPr>
          <w:rFonts w:asciiTheme="minorHAnsi" w:eastAsia="Calibri" w:hAnsiTheme="minorHAnsi" w:cstheme="minorHAnsi"/>
          <w:i w:val="0"/>
          <w:color w:val="auto"/>
          <w:sz w:val="22"/>
          <w:szCs w:val="22"/>
        </w:rPr>
        <w:t>-</w:t>
      </w:r>
      <w:r w:rsidR="3158C993" w:rsidRPr="00187204">
        <w:rPr>
          <w:rFonts w:asciiTheme="minorHAnsi" w:eastAsia="Calibri" w:hAnsiTheme="minorHAnsi" w:cstheme="minorHAnsi"/>
          <w:i w:val="0"/>
          <w:color w:val="auto"/>
          <w:sz w:val="22"/>
          <w:szCs w:val="22"/>
        </w:rPr>
        <w:t xml:space="preserve"> </w:t>
      </w:r>
      <w:r w:rsidRPr="00187204">
        <w:rPr>
          <w:rFonts w:asciiTheme="minorHAnsi" w:eastAsia="Calibri" w:hAnsiTheme="minorHAnsi" w:cstheme="minorHAnsi"/>
          <w:i w:val="0"/>
          <w:color w:val="auto"/>
          <w:sz w:val="22"/>
          <w:szCs w:val="22"/>
        </w:rPr>
        <w:t>Dividendos</w:t>
      </w:r>
      <w:bookmarkEnd w:id="417"/>
    </w:p>
    <w:p w14:paraId="7430DEB7" w14:textId="77777777" w:rsidR="00BD35DE" w:rsidRDefault="00BD35DE" w:rsidP="00BD35DE">
      <w:pPr>
        <w:pStyle w:val="TabelaARF"/>
        <w:jc w:val="center"/>
      </w:pPr>
    </w:p>
    <w:p w14:paraId="7FF236EE" w14:textId="6FCCE710" w:rsidR="00A21F07" w:rsidRDefault="3158C993" w:rsidP="0EDB2EA1">
      <w:pPr>
        <w:spacing w:after="120"/>
        <w:jc w:val="center"/>
      </w:pPr>
      <w:r>
        <w:rPr>
          <w:noProof/>
          <w:lang w:eastAsia="pt-BR"/>
        </w:rPr>
        <w:drawing>
          <wp:inline distT="0" distB="0" distL="0" distR="0" wp14:anchorId="4A7BDA6B" wp14:editId="1E77B480">
            <wp:extent cx="4572000" cy="1857375"/>
            <wp:effectExtent l="0" t="0" r="0" b="0"/>
            <wp:docPr id="528608733" name="Imagem 52860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8608733"/>
                    <pic:cNvPicPr/>
                  </pic:nvPicPr>
                  <pic:blipFill>
                    <a:blip r:embed="rId31">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14:paraId="69D0F7FC" w14:textId="5BBBE670" w:rsidR="00A21F07" w:rsidRDefault="523B8B10" w:rsidP="00881203">
      <w:pPr>
        <w:spacing w:after="120"/>
        <w:ind w:firstLine="1418"/>
        <w:jc w:val="both"/>
      </w:pPr>
      <w:r w:rsidRPr="0EDB2EA1">
        <w:rPr>
          <w:rFonts w:ascii="Calibri" w:eastAsia="Calibri" w:hAnsi="Calibri" w:cs="Calibri"/>
          <w:color w:val="000000" w:themeColor="text1"/>
          <w:sz w:val="24"/>
          <w:szCs w:val="24"/>
        </w:rPr>
        <w:t xml:space="preserve"> </w:t>
      </w:r>
    </w:p>
    <w:p w14:paraId="59936D4A" w14:textId="64F62C16"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Deve-se levar em consideração que as estimativas do lucro líquido das principais empresas para cálculo dos dividendos são obtidas de avaliações de mercado, no caso das empresas estatais de capital aberto, ou com base em informações da própria administração no caso das empresas públicas de capital fechado. Na impossibilidade de acesso a tais informações, os dividendos são estimados com base no histórico de pagamento atualizado monetariamente, procedimento que já é utilizado para estimar os dividendos das participações societárias de menor relevância.</w:t>
      </w:r>
    </w:p>
    <w:p w14:paraId="2FECD257" w14:textId="2B0E837D"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A alteração ou perda da participação relativa da União no capital social afeta </w:t>
      </w:r>
      <w:proofErr w:type="gramStart"/>
      <w:r w:rsidRPr="0EDB2EA1">
        <w:rPr>
          <w:rFonts w:ascii="Calibri" w:eastAsia="Calibri" w:hAnsi="Calibri" w:cs="Calibri"/>
          <w:color w:val="000000" w:themeColor="text1"/>
          <w:sz w:val="24"/>
          <w:szCs w:val="24"/>
        </w:rPr>
        <w:t>a</w:t>
      </w:r>
      <w:proofErr w:type="gramEnd"/>
      <w:r w:rsidRPr="0EDB2EA1">
        <w:rPr>
          <w:rFonts w:ascii="Calibri" w:eastAsia="Calibri" w:hAnsi="Calibri" w:cs="Calibri"/>
          <w:color w:val="000000" w:themeColor="text1"/>
          <w:sz w:val="24"/>
          <w:szCs w:val="24"/>
        </w:rPr>
        <w:t xml:space="preserve"> parcela a que tem direito na distribuição dos dividendos, podendo ocorrer na alienação de participações ou renúncia do direito de participar em aumento de capital. Considerando que se pretende renunciar ao direito de subscrever capital na </w:t>
      </w:r>
      <w:proofErr w:type="spellStart"/>
      <w:r w:rsidRPr="0EDB2EA1">
        <w:rPr>
          <w:rFonts w:ascii="Calibri" w:eastAsia="Calibri" w:hAnsi="Calibri" w:cs="Calibri"/>
          <w:color w:val="000000" w:themeColor="text1"/>
          <w:sz w:val="24"/>
          <w:szCs w:val="24"/>
        </w:rPr>
        <w:t>Eletrobras</w:t>
      </w:r>
      <w:proofErr w:type="spellEnd"/>
      <w:r w:rsidRPr="0EDB2EA1">
        <w:rPr>
          <w:rFonts w:ascii="Calibri" w:eastAsia="Calibri" w:hAnsi="Calibri" w:cs="Calibri"/>
          <w:color w:val="000000" w:themeColor="text1"/>
          <w:sz w:val="24"/>
          <w:szCs w:val="24"/>
        </w:rPr>
        <w:t>, no âmbito de seu processo de privatização, as estimativas de dividendos incluem uma menor participação da União.</w:t>
      </w:r>
    </w:p>
    <w:p w14:paraId="2645954F" w14:textId="675E78BB"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Finalmente, sobre o risco de retenção de dividendos, cabe lembrar que o lucro das empresas, que é a base da distribuição ao acionista, é calculado pelo critério de competência. Contudo, a lei prevê situações em que eventuais dificuldades de caixa podem se constituir razão para a sua retenção, devendo ficar indisponíveis aos acionistas até que a empresa tenha condições de efetivar o pagamento (constituição de reserva de lucros a realizar ou de reserva especial). Há outras situações específicas em que os dividendos podem ser retidos de acordo com regulamento próprio. É o caso das instituições financeiras quando não cumprirem os seus limites operacionais. Não se vislumbram hipótese de retenção pelas instituições financeiras para os exercícios incluídos na LDO.</w:t>
      </w:r>
    </w:p>
    <w:p w14:paraId="48F0E104" w14:textId="3674D7C1" w:rsidR="00A21F07" w:rsidRDefault="523B8B10" w:rsidP="00C57CCF">
      <w:pPr>
        <w:spacing w:after="120"/>
        <w:ind w:firstLine="1418"/>
        <w:jc w:val="both"/>
      </w:pPr>
      <w:r w:rsidRPr="0EDB2EA1">
        <w:rPr>
          <w:rFonts w:ascii="Calibri" w:eastAsia="Calibri" w:hAnsi="Calibri" w:cs="Calibri"/>
          <w:color w:val="000000" w:themeColor="text1"/>
          <w:sz w:val="24"/>
          <w:szCs w:val="24"/>
          <w:u w:val="single"/>
        </w:rPr>
        <w:lastRenderedPageBreak/>
        <w:t>Risco 2 - aportes emergenciais</w:t>
      </w:r>
    </w:p>
    <w:p w14:paraId="3CCD4410" w14:textId="3CF3E495"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A metodologia prevê tratamento diferenciado para as instituições financeiras e para as demais empresas estatais não dependentes (não financeiras).</w:t>
      </w:r>
    </w:p>
    <w:p w14:paraId="4B4BEFEC" w14:textId="0128AA3C"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O risco de aportes emergenciais associado às instituições financeiras, em geral, não está relacionado à escassez de caixa (liquidez), mas à insuficiência de capital regulatório para cumprir os índices de requerimento de capital (Basileia, Capital Nível I e Capital Principal).</w:t>
      </w:r>
    </w:p>
    <w:p w14:paraId="1C2F6933" w14:textId="57F9853D"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Os requerimentos mínimos de capital, baseados no Acordo de Basileia III, conforme definidos na Resolução BCB nº 4.192, de 1º de março de 2013, devem ser apurados pelas instituições financeiras e demais instituições autorizadas a funcionar pelo</w:t>
      </w:r>
      <w:r w:rsidRPr="0EDB2EA1" w:rsidDel="00F7612A">
        <w:rPr>
          <w:rFonts w:ascii="Calibri" w:eastAsia="Calibri" w:hAnsi="Calibri" w:cs="Calibri"/>
          <w:color w:val="000000" w:themeColor="text1"/>
          <w:sz w:val="24"/>
          <w:szCs w:val="24"/>
        </w:rPr>
        <w:t xml:space="preserve"> </w:t>
      </w:r>
      <w:r w:rsidR="00F7612A">
        <w:rPr>
          <w:rFonts w:ascii="Calibri" w:eastAsia="Calibri" w:hAnsi="Calibri" w:cs="Calibri"/>
          <w:color w:val="000000" w:themeColor="text1"/>
          <w:sz w:val="24"/>
          <w:szCs w:val="24"/>
        </w:rPr>
        <w:t>BCB</w:t>
      </w:r>
      <w:r w:rsidRPr="0EDB2EA1">
        <w:rPr>
          <w:rFonts w:ascii="Calibri" w:eastAsia="Calibri" w:hAnsi="Calibri" w:cs="Calibri"/>
          <w:color w:val="000000" w:themeColor="text1"/>
          <w:sz w:val="24"/>
          <w:szCs w:val="24"/>
        </w:rPr>
        <w:t xml:space="preserve">, nos termos da Resolução BCB nº 4.193, de </w:t>
      </w:r>
      <w:proofErr w:type="gramStart"/>
      <w:r w:rsidRPr="0EDB2EA1">
        <w:rPr>
          <w:rFonts w:ascii="Calibri" w:eastAsia="Calibri" w:hAnsi="Calibri" w:cs="Calibri"/>
          <w:color w:val="000000" w:themeColor="text1"/>
          <w:sz w:val="24"/>
          <w:szCs w:val="24"/>
        </w:rPr>
        <w:t>5</w:t>
      </w:r>
      <w:proofErr w:type="gramEnd"/>
      <w:r w:rsidRPr="0EDB2EA1">
        <w:rPr>
          <w:rFonts w:ascii="Calibri" w:eastAsia="Calibri" w:hAnsi="Calibri" w:cs="Calibri"/>
          <w:color w:val="000000" w:themeColor="text1"/>
          <w:sz w:val="24"/>
          <w:szCs w:val="24"/>
        </w:rPr>
        <w:t xml:space="preserve"> de março de 2013.</w:t>
      </w:r>
    </w:p>
    <w:p w14:paraId="43ECCB80" w14:textId="0B14AC08"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Os requerimentos mínimos são definidos por uma relação entre um conjunto de ativos que compõem o capital da instituição financeira e outros ativos selecionados (classificados em diversos níveis conforme sua qualidade e liquidez) e os ativos do balanço (créditos concedidos e outros) ponderados pelo risco a que estão expostos. Assim, quanto maior a relação, menor a exposição ao risco de insolvência, ou seja, há uma maior disponibilidade de ativos de boa qualidade e liquidez para fazer frente aos riscos devidamente apurados. Expressão genérica das fórmulas: Capital e Ativos de boa qualidade e liquidez / Ativos Ponderados pelo Risco.</w:t>
      </w:r>
    </w:p>
    <w:p w14:paraId="6488BCFB" w14:textId="4E732905"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O primeiro indicador (4,5%) é o </w:t>
      </w:r>
      <w:r w:rsidRPr="0EDB2EA1">
        <w:rPr>
          <w:rFonts w:ascii="Calibri" w:eastAsia="Calibri" w:hAnsi="Calibri" w:cs="Calibri"/>
          <w:b/>
          <w:bCs/>
          <w:color w:val="000000" w:themeColor="text1"/>
          <w:sz w:val="24"/>
          <w:szCs w:val="24"/>
        </w:rPr>
        <w:t>Requerimento de Capital Principal</w:t>
      </w:r>
      <w:r w:rsidRPr="0EDB2EA1">
        <w:rPr>
          <w:rFonts w:ascii="Calibri" w:eastAsia="Calibri" w:hAnsi="Calibri" w:cs="Calibri"/>
          <w:color w:val="000000" w:themeColor="text1"/>
          <w:sz w:val="24"/>
          <w:szCs w:val="24"/>
        </w:rPr>
        <w:t>, cuja fórmula seria:</w:t>
      </w:r>
    </w:p>
    <w:p w14:paraId="60215D3E" w14:textId="2DF55725" w:rsidR="00A21F07" w:rsidRDefault="523B8B10" w:rsidP="0EDB2EA1">
      <w:pPr>
        <w:spacing w:after="120" w:line="257" w:lineRule="exact"/>
        <w:ind w:left="1704" w:hanging="360"/>
        <w:jc w:val="both"/>
      </w:pPr>
      <w:r w:rsidRPr="0EDB2EA1">
        <w:rPr>
          <w:rFonts w:ascii="Wingdings" w:eastAsia="Wingdings" w:hAnsi="Wingdings" w:cs="Wingdings"/>
          <w:color w:val="000000" w:themeColor="text1"/>
          <w:sz w:val="24"/>
          <w:szCs w:val="24"/>
        </w:rPr>
        <w:t></w:t>
      </w:r>
      <w:proofErr w:type="gramStart"/>
      <w:r w:rsidRPr="0EDB2EA1">
        <w:rPr>
          <w:rFonts w:ascii="Times New Roman" w:eastAsia="Times New Roman" w:hAnsi="Times New Roman" w:cs="Times New Roman"/>
          <w:color w:val="000000" w:themeColor="text1"/>
          <w:sz w:val="14"/>
          <w:szCs w:val="14"/>
        </w:rPr>
        <w:t xml:space="preserve">  </w:t>
      </w:r>
      <w:proofErr w:type="gramEnd"/>
      <w:r w:rsidRPr="0EDB2EA1">
        <w:rPr>
          <w:rFonts w:ascii="Calibri" w:eastAsia="Calibri" w:hAnsi="Calibri" w:cs="Calibri"/>
          <w:b/>
          <w:bCs/>
          <w:color w:val="000000" w:themeColor="text1"/>
          <w:sz w:val="24"/>
          <w:szCs w:val="24"/>
        </w:rPr>
        <w:t>Requerimento de Capital Principal = Capital Principal / RWA</w:t>
      </w:r>
    </w:p>
    <w:p w14:paraId="789831E9" w14:textId="585078AB" w:rsidR="00A21F07" w:rsidRDefault="523B8B10" w:rsidP="0EDB2EA1">
      <w:pPr>
        <w:spacing w:after="120" w:line="257" w:lineRule="exact"/>
        <w:ind w:left="1344"/>
        <w:jc w:val="both"/>
      </w:pPr>
      <w:r w:rsidRPr="0EDB2EA1">
        <w:rPr>
          <w:rFonts w:ascii="Calibri" w:eastAsia="Calibri" w:hAnsi="Calibri" w:cs="Calibri"/>
          <w:color w:val="000000" w:themeColor="text1"/>
          <w:sz w:val="24"/>
          <w:szCs w:val="24"/>
        </w:rPr>
        <w:t>Onde capital principal = ações, reservas e lucros com as deduções regulamentares; e RWA = Ativos Ponderados pelo Risco.</w:t>
      </w:r>
    </w:p>
    <w:p w14:paraId="0D2F6B26" w14:textId="2187A5B1"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O segundo indicador (6%) é o </w:t>
      </w:r>
      <w:r w:rsidRPr="0EDB2EA1">
        <w:rPr>
          <w:rFonts w:ascii="Calibri" w:eastAsia="Calibri" w:hAnsi="Calibri" w:cs="Calibri"/>
          <w:b/>
          <w:bCs/>
          <w:color w:val="000000" w:themeColor="text1"/>
          <w:sz w:val="24"/>
          <w:szCs w:val="24"/>
        </w:rPr>
        <w:t>Requerimento Mínimo Nível I</w:t>
      </w:r>
      <w:r w:rsidRPr="0EDB2EA1">
        <w:rPr>
          <w:rFonts w:ascii="Calibri" w:eastAsia="Calibri" w:hAnsi="Calibri" w:cs="Calibri"/>
          <w:color w:val="000000" w:themeColor="text1"/>
          <w:sz w:val="24"/>
          <w:szCs w:val="24"/>
        </w:rPr>
        <w:t>, cuja fórmula seria:</w:t>
      </w:r>
    </w:p>
    <w:p w14:paraId="3FCB2A21" w14:textId="3B0FD7B9" w:rsidR="00A21F07" w:rsidRDefault="523B8B10" w:rsidP="0EDB2EA1">
      <w:pPr>
        <w:spacing w:after="120" w:line="257" w:lineRule="exact"/>
        <w:ind w:left="1701" w:hanging="360"/>
        <w:jc w:val="both"/>
      </w:pPr>
      <w:r w:rsidRPr="0EDB2EA1">
        <w:rPr>
          <w:rFonts w:ascii="Wingdings" w:eastAsia="Wingdings" w:hAnsi="Wingdings" w:cs="Wingdings"/>
          <w:color w:val="000000" w:themeColor="text1"/>
          <w:sz w:val="24"/>
          <w:szCs w:val="24"/>
        </w:rPr>
        <w:t></w:t>
      </w:r>
      <w:proofErr w:type="gramStart"/>
      <w:r w:rsidRPr="0EDB2EA1">
        <w:rPr>
          <w:rFonts w:ascii="Times New Roman" w:eastAsia="Times New Roman" w:hAnsi="Times New Roman" w:cs="Times New Roman"/>
          <w:color w:val="000000" w:themeColor="text1"/>
          <w:sz w:val="14"/>
          <w:szCs w:val="14"/>
        </w:rPr>
        <w:t xml:space="preserve">  </w:t>
      </w:r>
      <w:proofErr w:type="gramEnd"/>
      <w:r w:rsidRPr="0EDB2EA1">
        <w:rPr>
          <w:rFonts w:ascii="Calibri" w:eastAsia="Calibri" w:hAnsi="Calibri" w:cs="Calibri"/>
          <w:b/>
          <w:bCs/>
          <w:color w:val="000000" w:themeColor="text1"/>
          <w:sz w:val="24"/>
          <w:szCs w:val="24"/>
        </w:rPr>
        <w:t>Requerimento Mínimo Nível I = Capital de Nível I / RWA</w:t>
      </w:r>
    </w:p>
    <w:p w14:paraId="623F15B5" w14:textId="7F2B5068" w:rsidR="00A21F07" w:rsidRDefault="523B8B10" w:rsidP="0EDB2EA1">
      <w:pPr>
        <w:spacing w:after="120" w:line="257" w:lineRule="exact"/>
        <w:ind w:left="1344"/>
        <w:jc w:val="both"/>
      </w:pPr>
      <w:r w:rsidRPr="0EDB2EA1">
        <w:rPr>
          <w:rFonts w:ascii="Calibri" w:eastAsia="Calibri" w:hAnsi="Calibri" w:cs="Calibri"/>
          <w:color w:val="000000" w:themeColor="text1"/>
          <w:sz w:val="24"/>
          <w:szCs w:val="24"/>
        </w:rPr>
        <w:t>Onde Capital de Nível I = Capital Principal + instrumentos elegíveis a capital Nível I</w:t>
      </w:r>
      <w:r w:rsidR="00A21F07" w:rsidRPr="0EDB2EA1">
        <w:rPr>
          <w:rStyle w:val="Refdenotaderodap"/>
          <w:rFonts w:ascii="Calibri" w:eastAsia="Calibri" w:hAnsi="Calibri" w:cs="Calibri"/>
          <w:color w:val="000000" w:themeColor="text1"/>
          <w:sz w:val="24"/>
          <w:szCs w:val="24"/>
        </w:rPr>
        <w:footnoteReference w:id="20"/>
      </w:r>
      <w:r w:rsidRPr="0EDB2EA1">
        <w:rPr>
          <w:rFonts w:ascii="Calibri" w:eastAsia="Calibri" w:hAnsi="Calibri" w:cs="Calibri"/>
          <w:color w:val="000000" w:themeColor="text1"/>
          <w:sz w:val="24"/>
          <w:szCs w:val="24"/>
        </w:rPr>
        <w:t xml:space="preserve"> (capital complementar), dos quais instrumentos híbridos de capital e dívida com requisitos específicos.</w:t>
      </w:r>
    </w:p>
    <w:p w14:paraId="567D73D3" w14:textId="403B0A3B"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O terceiro indicador (8%) é o </w:t>
      </w:r>
      <w:r w:rsidRPr="0EDB2EA1">
        <w:rPr>
          <w:rFonts w:ascii="Calibri" w:eastAsia="Calibri" w:hAnsi="Calibri" w:cs="Calibri"/>
          <w:b/>
          <w:bCs/>
          <w:color w:val="000000" w:themeColor="text1"/>
          <w:sz w:val="24"/>
          <w:szCs w:val="24"/>
        </w:rPr>
        <w:t>Requerimento Mínimo do Patrimônio de Referência (PR) ou Basileia</w:t>
      </w:r>
      <w:r w:rsidRPr="0EDB2EA1">
        <w:rPr>
          <w:rFonts w:ascii="Calibri" w:eastAsia="Calibri" w:hAnsi="Calibri" w:cs="Calibri"/>
          <w:color w:val="000000" w:themeColor="text1"/>
          <w:sz w:val="24"/>
          <w:szCs w:val="24"/>
        </w:rPr>
        <w:t>, cuja fórmula seria:</w:t>
      </w:r>
    </w:p>
    <w:p w14:paraId="37AF8D8B" w14:textId="0E5E5B4F" w:rsidR="00A21F07" w:rsidRDefault="523B8B10" w:rsidP="0EDB2EA1">
      <w:pPr>
        <w:spacing w:after="120" w:line="257" w:lineRule="exact"/>
        <w:ind w:left="1704" w:hanging="360"/>
        <w:jc w:val="both"/>
      </w:pPr>
      <w:r w:rsidRPr="0EDB2EA1">
        <w:rPr>
          <w:rFonts w:ascii="Wingdings" w:eastAsia="Wingdings" w:hAnsi="Wingdings" w:cs="Wingdings"/>
          <w:color w:val="000000" w:themeColor="text1"/>
          <w:sz w:val="24"/>
          <w:szCs w:val="24"/>
        </w:rPr>
        <w:t></w:t>
      </w:r>
      <w:proofErr w:type="gramStart"/>
      <w:r w:rsidRPr="0EDB2EA1">
        <w:rPr>
          <w:rFonts w:ascii="Times New Roman" w:eastAsia="Times New Roman" w:hAnsi="Times New Roman" w:cs="Times New Roman"/>
          <w:color w:val="000000" w:themeColor="text1"/>
          <w:sz w:val="14"/>
          <w:szCs w:val="14"/>
        </w:rPr>
        <w:t xml:space="preserve">  </w:t>
      </w:r>
      <w:proofErr w:type="gramEnd"/>
      <w:r w:rsidRPr="0EDB2EA1">
        <w:rPr>
          <w:rFonts w:ascii="Calibri" w:eastAsia="Calibri" w:hAnsi="Calibri" w:cs="Calibri"/>
          <w:b/>
          <w:bCs/>
          <w:color w:val="000000" w:themeColor="text1"/>
          <w:sz w:val="24"/>
          <w:szCs w:val="24"/>
        </w:rPr>
        <w:t>Requerimento Mínimo do Patrimônio de Referência (PR) = Patrimônio de Referência (PR) / Ativos Ponderados pelo Risco (RWA)</w:t>
      </w:r>
    </w:p>
    <w:p w14:paraId="6D5303E3" w14:textId="063A51A3" w:rsidR="00A21F07" w:rsidRDefault="523B8B10" w:rsidP="0EDB2EA1">
      <w:pPr>
        <w:spacing w:after="120" w:line="257" w:lineRule="exact"/>
        <w:ind w:left="1344"/>
        <w:jc w:val="both"/>
      </w:pPr>
      <w:r w:rsidRPr="0EDB2EA1">
        <w:rPr>
          <w:rFonts w:ascii="Calibri" w:eastAsia="Calibri" w:hAnsi="Calibri" w:cs="Calibri"/>
          <w:color w:val="000000" w:themeColor="text1"/>
          <w:sz w:val="24"/>
          <w:szCs w:val="24"/>
        </w:rPr>
        <w:t>Onde PR = Capital Nível I + instrumentos elegíveis para Capital Nível II</w:t>
      </w:r>
      <w:r w:rsidR="00A21F07" w:rsidRPr="0EDB2EA1">
        <w:rPr>
          <w:rStyle w:val="Refdenotaderodap"/>
          <w:rFonts w:ascii="Calibri" w:eastAsia="Calibri" w:hAnsi="Calibri" w:cs="Calibri"/>
          <w:color w:val="000000" w:themeColor="text1"/>
          <w:sz w:val="24"/>
          <w:szCs w:val="24"/>
        </w:rPr>
        <w:footnoteReference w:id="21"/>
      </w:r>
      <w:r w:rsidRPr="0EDB2EA1">
        <w:rPr>
          <w:rFonts w:ascii="Calibri" w:eastAsia="Calibri" w:hAnsi="Calibri" w:cs="Calibri"/>
          <w:color w:val="000000" w:themeColor="text1"/>
          <w:sz w:val="24"/>
          <w:szCs w:val="24"/>
        </w:rPr>
        <w:t xml:space="preserve"> dos quais instrumentos híbridos de capital e dívida que não atendem os requisitos do Nível I e dívida subordinada.</w:t>
      </w:r>
    </w:p>
    <w:p w14:paraId="55994EEA" w14:textId="58544EB0"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Finalmente, devem ser acrescidas ao Capital Principal as seguintes parcelas constituídas como reservas, ou “colchões”, para amortecer riscos específicos, com o título de Adicional do Capital Principal (ACP):</w:t>
      </w:r>
    </w:p>
    <w:p w14:paraId="115BB5F6" w14:textId="5B669C65" w:rsidR="00A21F07" w:rsidRDefault="523B8B10" w:rsidP="00C57CCF">
      <w:pPr>
        <w:spacing w:after="120" w:line="240" w:lineRule="auto"/>
        <w:ind w:left="1494" w:hanging="360"/>
        <w:jc w:val="both"/>
      </w:pPr>
      <w:r w:rsidRPr="0EDB2EA1">
        <w:rPr>
          <w:rFonts w:ascii="Calibri" w:eastAsia="Calibri" w:hAnsi="Calibri" w:cs="Calibri"/>
          <w:color w:val="000000" w:themeColor="text1"/>
          <w:sz w:val="24"/>
          <w:szCs w:val="24"/>
        </w:rPr>
        <w:lastRenderedPageBreak/>
        <w:t>a)</w:t>
      </w:r>
      <w:r w:rsidRPr="0EDB2EA1">
        <w:rPr>
          <w:rFonts w:ascii="Times New Roman" w:eastAsia="Times New Roman" w:hAnsi="Times New Roman" w:cs="Times New Roman"/>
          <w:color w:val="000000" w:themeColor="text1"/>
          <w:sz w:val="14"/>
          <w:szCs w:val="14"/>
        </w:rPr>
        <w:t xml:space="preserve">     </w:t>
      </w:r>
      <w:r w:rsidRPr="0EDB2EA1">
        <w:rPr>
          <w:rFonts w:ascii="Calibri" w:eastAsia="Calibri" w:hAnsi="Calibri" w:cs="Calibri"/>
          <w:color w:val="000000" w:themeColor="text1"/>
          <w:sz w:val="24"/>
          <w:szCs w:val="24"/>
        </w:rPr>
        <w:t>Adicional de Conservação do Capital Principal (ACP Conservação), de 2,5%, único aplicável a todas as instituições financeiras;</w:t>
      </w:r>
    </w:p>
    <w:p w14:paraId="21663B7B" w14:textId="48DD56C9" w:rsidR="00A21F07" w:rsidRDefault="523B8B10" w:rsidP="00C57CCF">
      <w:pPr>
        <w:spacing w:after="120" w:line="240" w:lineRule="auto"/>
        <w:ind w:left="1494" w:hanging="360"/>
        <w:jc w:val="both"/>
      </w:pPr>
      <w:r w:rsidRPr="0EDB2EA1">
        <w:rPr>
          <w:rFonts w:ascii="Calibri" w:eastAsia="Calibri" w:hAnsi="Calibri" w:cs="Calibri"/>
          <w:color w:val="000000" w:themeColor="text1"/>
          <w:sz w:val="24"/>
          <w:szCs w:val="24"/>
        </w:rPr>
        <w:t>b)</w:t>
      </w:r>
      <w:proofErr w:type="gramStart"/>
      <w:r w:rsidRPr="0EDB2EA1">
        <w:rPr>
          <w:rFonts w:ascii="Times New Roman" w:eastAsia="Times New Roman" w:hAnsi="Times New Roman" w:cs="Times New Roman"/>
          <w:color w:val="000000" w:themeColor="text1"/>
          <w:sz w:val="14"/>
          <w:szCs w:val="14"/>
        </w:rPr>
        <w:t xml:space="preserve">    </w:t>
      </w:r>
      <w:proofErr w:type="gramEnd"/>
      <w:r w:rsidRPr="0EDB2EA1">
        <w:rPr>
          <w:rFonts w:ascii="Calibri" w:eastAsia="Calibri" w:hAnsi="Calibri" w:cs="Calibri"/>
          <w:color w:val="000000" w:themeColor="text1"/>
          <w:sz w:val="24"/>
          <w:szCs w:val="24"/>
        </w:rPr>
        <w:t xml:space="preserve">Adicional </w:t>
      </w:r>
      <w:proofErr w:type="spellStart"/>
      <w:r w:rsidRPr="0EDB2EA1">
        <w:rPr>
          <w:rFonts w:ascii="Calibri" w:eastAsia="Calibri" w:hAnsi="Calibri" w:cs="Calibri"/>
          <w:color w:val="000000" w:themeColor="text1"/>
          <w:sz w:val="24"/>
          <w:szCs w:val="24"/>
        </w:rPr>
        <w:t>Contracíclico</w:t>
      </w:r>
      <w:proofErr w:type="spellEnd"/>
      <w:r w:rsidRPr="0EDB2EA1">
        <w:rPr>
          <w:rFonts w:ascii="Calibri" w:eastAsia="Calibri" w:hAnsi="Calibri" w:cs="Calibri"/>
          <w:color w:val="000000" w:themeColor="text1"/>
          <w:sz w:val="24"/>
          <w:szCs w:val="24"/>
        </w:rPr>
        <w:t xml:space="preserve"> (ACP </w:t>
      </w:r>
      <w:proofErr w:type="spellStart"/>
      <w:r w:rsidRPr="0EDB2EA1">
        <w:rPr>
          <w:rFonts w:ascii="Calibri" w:eastAsia="Calibri" w:hAnsi="Calibri" w:cs="Calibri"/>
          <w:color w:val="000000" w:themeColor="text1"/>
          <w:sz w:val="24"/>
          <w:szCs w:val="24"/>
        </w:rPr>
        <w:t>contracíclico</w:t>
      </w:r>
      <w:proofErr w:type="spellEnd"/>
      <w:r w:rsidRPr="0EDB2EA1">
        <w:rPr>
          <w:rFonts w:ascii="Calibri" w:eastAsia="Calibri" w:hAnsi="Calibri" w:cs="Calibri"/>
          <w:color w:val="000000" w:themeColor="text1"/>
          <w:sz w:val="24"/>
          <w:szCs w:val="24"/>
        </w:rPr>
        <w:t>), de 2,5%, no momento não aplicável a nenhuma das instituições financeiras;</w:t>
      </w:r>
    </w:p>
    <w:p w14:paraId="15A4BAF8" w14:textId="1459ECD9" w:rsidR="00A21F07" w:rsidRDefault="523B8B10" w:rsidP="00C57CCF">
      <w:pPr>
        <w:spacing w:after="120" w:line="240" w:lineRule="auto"/>
        <w:ind w:left="1494" w:hanging="360"/>
        <w:jc w:val="both"/>
      </w:pPr>
      <w:r w:rsidRPr="0EDB2EA1">
        <w:rPr>
          <w:rFonts w:ascii="Calibri" w:eastAsia="Calibri" w:hAnsi="Calibri" w:cs="Calibri"/>
          <w:color w:val="000000" w:themeColor="text1"/>
          <w:sz w:val="24"/>
          <w:szCs w:val="24"/>
        </w:rPr>
        <w:t>c)</w:t>
      </w:r>
      <w:r w:rsidRPr="0EDB2EA1">
        <w:rPr>
          <w:rFonts w:ascii="Times New Roman" w:eastAsia="Times New Roman" w:hAnsi="Times New Roman" w:cs="Times New Roman"/>
          <w:color w:val="000000" w:themeColor="text1"/>
          <w:sz w:val="14"/>
          <w:szCs w:val="14"/>
        </w:rPr>
        <w:t xml:space="preserve">     </w:t>
      </w:r>
      <w:r w:rsidRPr="0EDB2EA1">
        <w:rPr>
          <w:rFonts w:ascii="Calibri" w:eastAsia="Calibri" w:hAnsi="Calibri" w:cs="Calibri"/>
          <w:color w:val="000000" w:themeColor="text1"/>
          <w:sz w:val="24"/>
          <w:szCs w:val="24"/>
        </w:rPr>
        <w:t>Adicional Sistêmico (ACP sistêmico), de 1%, aplicável aos bancos múltiplos, bancos comerciais, bancos de investimento e caixas econômicas. Aplicável, portanto, ao Banco do Brasil e Caixa Econômica Federal.</w:t>
      </w:r>
    </w:p>
    <w:p w14:paraId="05BFF979" w14:textId="47F03362"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Assim, todos os limites operacionais acabam acrescidos dos correspondentes adicionais (ACP). Os limites totais a cada uma das instituições federais serão: a) capital principal: 7% para BNDES, BASA e BNB e 8% para BB e CEF; b) Capital Nível I: 8,5% para BNDES, BASA e BNB e 9,5% para BB e CEF; e c) Basileia ou Patrimônio de Referência: 10,5% para BNDES, BASA e BNB e 11,5% para BB e CEF.</w:t>
      </w:r>
    </w:p>
    <w:p w14:paraId="099A01BF" w14:textId="362C19BA"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Já o risco associado às </w:t>
      </w:r>
      <w:r w:rsidRPr="0EDB2EA1">
        <w:rPr>
          <w:rFonts w:ascii="Calibri" w:eastAsia="Calibri" w:hAnsi="Calibri" w:cs="Calibri"/>
          <w:b/>
          <w:bCs/>
          <w:color w:val="000000" w:themeColor="text1"/>
          <w:sz w:val="24"/>
          <w:szCs w:val="24"/>
        </w:rPr>
        <w:t>demais empresas (não financeiras)</w:t>
      </w:r>
      <w:r w:rsidRPr="0EDB2EA1">
        <w:rPr>
          <w:rFonts w:ascii="Calibri" w:eastAsia="Calibri" w:hAnsi="Calibri" w:cs="Calibri"/>
          <w:color w:val="000000" w:themeColor="text1"/>
          <w:sz w:val="24"/>
          <w:szCs w:val="24"/>
        </w:rPr>
        <w:t xml:space="preserve"> refere-se à necessidade de aporte de capital eventual e não programado que visa a suprir o financiamento de investimentos, ou à cobertura de outras despesas em caráter pontual.</w:t>
      </w:r>
    </w:p>
    <w:p w14:paraId="72C69898" w14:textId="497FF1A4"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Um risco fiscal de maior impacto seria de incapacidade de geração de caixa para manutenção e custeio, com a consequente classificação como empresa estatal dependente nos termos do art. 2º da Lei Complementar nº 101/2000</w:t>
      </w:r>
      <w:r w:rsidR="00A21F07" w:rsidRPr="0EDB2EA1">
        <w:rPr>
          <w:rStyle w:val="Refdenotaderodap"/>
          <w:rFonts w:ascii="Calibri" w:eastAsia="Calibri" w:hAnsi="Calibri" w:cs="Calibri"/>
          <w:color w:val="000000" w:themeColor="text1"/>
          <w:sz w:val="24"/>
          <w:szCs w:val="24"/>
        </w:rPr>
        <w:footnoteReference w:id="22"/>
      </w:r>
      <w:r w:rsidRPr="0EDB2EA1">
        <w:rPr>
          <w:rFonts w:ascii="Calibri" w:eastAsia="Calibri" w:hAnsi="Calibri" w:cs="Calibri"/>
          <w:color w:val="000000" w:themeColor="text1"/>
          <w:sz w:val="24"/>
          <w:szCs w:val="24"/>
        </w:rPr>
        <w:t xml:space="preserve"> e art. 6º da LDO, assim como o disposto na Resolução </w:t>
      </w:r>
      <w:r w:rsidR="00563F85">
        <w:rPr>
          <w:rFonts w:ascii="Calibri" w:eastAsia="Calibri" w:hAnsi="Calibri" w:cs="Calibri"/>
          <w:color w:val="000000" w:themeColor="text1"/>
          <w:sz w:val="24"/>
          <w:szCs w:val="24"/>
        </w:rPr>
        <w:t xml:space="preserve">do Senado Federal </w:t>
      </w:r>
      <w:r w:rsidRPr="0EDB2EA1">
        <w:rPr>
          <w:rFonts w:ascii="Calibri" w:eastAsia="Calibri" w:hAnsi="Calibri" w:cs="Calibri"/>
          <w:color w:val="000000" w:themeColor="text1"/>
          <w:sz w:val="24"/>
          <w:szCs w:val="24"/>
        </w:rPr>
        <w:t>nº 48</w:t>
      </w:r>
      <w:r w:rsidR="00563F85">
        <w:rPr>
          <w:rFonts w:ascii="Calibri" w:eastAsia="Calibri" w:hAnsi="Calibri" w:cs="Calibri"/>
          <w:color w:val="000000" w:themeColor="text1"/>
          <w:sz w:val="24"/>
          <w:szCs w:val="24"/>
        </w:rPr>
        <w:t>, de 21 de dezembro de</w:t>
      </w:r>
      <w:r w:rsidR="00327C71">
        <w:rPr>
          <w:rFonts w:ascii="Calibri" w:eastAsia="Calibri" w:hAnsi="Calibri" w:cs="Calibri"/>
          <w:color w:val="000000" w:themeColor="text1"/>
          <w:sz w:val="24"/>
          <w:szCs w:val="24"/>
        </w:rPr>
        <w:t xml:space="preserve"> </w:t>
      </w:r>
      <w:r w:rsidRPr="0EDB2EA1">
        <w:rPr>
          <w:rFonts w:ascii="Calibri" w:eastAsia="Calibri" w:hAnsi="Calibri" w:cs="Calibri"/>
          <w:color w:val="000000" w:themeColor="text1"/>
          <w:sz w:val="24"/>
          <w:szCs w:val="24"/>
        </w:rPr>
        <w:t>2007</w:t>
      </w:r>
      <w:r w:rsidR="00A21F07" w:rsidRPr="0EDB2EA1">
        <w:rPr>
          <w:rStyle w:val="Refdenotaderodap"/>
          <w:rFonts w:ascii="Calibri" w:eastAsia="Calibri" w:hAnsi="Calibri" w:cs="Calibri"/>
          <w:color w:val="000000" w:themeColor="text1"/>
          <w:sz w:val="24"/>
          <w:szCs w:val="24"/>
        </w:rPr>
        <w:footnoteReference w:id="23"/>
      </w:r>
      <w:r w:rsidRPr="0EDB2EA1">
        <w:rPr>
          <w:rFonts w:ascii="Calibri" w:eastAsia="Calibri" w:hAnsi="Calibri" w:cs="Calibri"/>
          <w:color w:val="000000" w:themeColor="text1"/>
          <w:sz w:val="24"/>
          <w:szCs w:val="24"/>
        </w:rPr>
        <w:t>.</w:t>
      </w:r>
    </w:p>
    <w:p w14:paraId="665F6278" w14:textId="52FD05D0"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No caso de classificação como empresa estatal dependente, toda a sua programação (receitas e despesas) passa a ser incluída no Orçamento Fiscal e da Seguridade Social. Os impactos seriam mais significativos, inclusive para efeito do cumprimento do limite global de gastos instituído no Novo Regime Fiscal ou “teto de gastos” (</w:t>
      </w:r>
      <w:proofErr w:type="spellStart"/>
      <w:r w:rsidRPr="0EDB2EA1">
        <w:rPr>
          <w:rFonts w:ascii="Calibri" w:eastAsia="Calibri" w:hAnsi="Calibri" w:cs="Calibri"/>
          <w:color w:val="000000" w:themeColor="text1"/>
          <w:sz w:val="24"/>
          <w:szCs w:val="24"/>
        </w:rPr>
        <w:t>arts</w:t>
      </w:r>
      <w:proofErr w:type="spellEnd"/>
      <w:r w:rsidRPr="0EDB2EA1">
        <w:rPr>
          <w:rFonts w:ascii="Calibri" w:eastAsia="Calibri" w:hAnsi="Calibri" w:cs="Calibri"/>
          <w:color w:val="000000" w:themeColor="text1"/>
          <w:sz w:val="24"/>
          <w:szCs w:val="24"/>
        </w:rPr>
        <w:t xml:space="preserve">. </w:t>
      </w:r>
      <w:proofErr w:type="spellStart"/>
      <w:r w:rsidRPr="0EDB2EA1">
        <w:rPr>
          <w:rFonts w:ascii="Calibri" w:eastAsia="Calibri" w:hAnsi="Calibri" w:cs="Calibri"/>
          <w:color w:val="000000" w:themeColor="text1"/>
          <w:sz w:val="24"/>
          <w:szCs w:val="24"/>
        </w:rPr>
        <w:t>nºs</w:t>
      </w:r>
      <w:proofErr w:type="spellEnd"/>
      <w:r w:rsidRPr="0EDB2EA1">
        <w:rPr>
          <w:rFonts w:ascii="Calibri" w:eastAsia="Calibri" w:hAnsi="Calibri" w:cs="Calibri"/>
          <w:color w:val="000000" w:themeColor="text1"/>
          <w:sz w:val="24"/>
          <w:szCs w:val="24"/>
        </w:rPr>
        <w:t xml:space="preserve"> 106 a 114 do Ato das Disposições Constitucionais Transitórias da Constituição Federal, introduzidos pela Emenda Constitucional nº 95/2016) e outros limites e condições, como despesas de pessoal, operações de crédito, endividamento líquido etc.</w:t>
      </w:r>
    </w:p>
    <w:p w14:paraId="27D7379E" w14:textId="4203DE7D"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O risco de que uma empresa atualmente não dependente venha a se tornar dependente é agravado por decisões do Tribunal de Contas da União (TCU) que interpretam de maneira mais restritiva as condições para esse enquadramento, em casos específicos. As interpretações mais recentes do TCU, ao considerar o uso de recursos recebidos do controlador para gastos de manutenção, ainda que não sejam recursos alocados orçamentariamente para essa finalidade, vêm trazendo um risco elevado da entrada de empresas no orçamento fiscal, em situações meramente transitórias.</w:t>
      </w:r>
    </w:p>
    <w:p w14:paraId="68C3319D" w14:textId="319C77F6"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Contudo, a Lei de Diretrizes Orçamentárias para 2021 (Lei n° 14.116/2020), assim como o PLDO 2022 autorizam desejáveis procedimentos para a transição de uma empresa estatal </w:t>
      </w:r>
      <w:r w:rsidRPr="0EDB2EA1">
        <w:rPr>
          <w:rFonts w:ascii="Calibri" w:eastAsia="Calibri" w:hAnsi="Calibri" w:cs="Calibri"/>
          <w:color w:val="000000" w:themeColor="text1"/>
          <w:sz w:val="24"/>
          <w:szCs w:val="24"/>
        </w:rPr>
        <w:lastRenderedPageBreak/>
        <w:t xml:space="preserve">federal da condição de não dependência para a condição de estatal dependente, assim como na direção inversa, ou seja, da condição de estatal dependente para estatal não dependente. A transição é importante, pois permite a adoção de planos de ações pela administração da empresa que possam fortalecer </w:t>
      </w:r>
      <w:proofErr w:type="gramStart"/>
      <w:r w:rsidRPr="0EDB2EA1">
        <w:rPr>
          <w:rFonts w:ascii="Calibri" w:eastAsia="Calibri" w:hAnsi="Calibri" w:cs="Calibri"/>
          <w:color w:val="000000" w:themeColor="text1"/>
          <w:sz w:val="24"/>
          <w:szCs w:val="24"/>
        </w:rPr>
        <w:t>sua condição econômico financeira antes da efetiva classificação</w:t>
      </w:r>
      <w:proofErr w:type="gramEnd"/>
      <w:r w:rsidRPr="0EDB2EA1">
        <w:rPr>
          <w:rFonts w:ascii="Calibri" w:eastAsia="Calibri" w:hAnsi="Calibri" w:cs="Calibri"/>
          <w:color w:val="000000" w:themeColor="text1"/>
          <w:sz w:val="24"/>
          <w:szCs w:val="24"/>
        </w:rPr>
        <w:t xml:space="preserve">. Tal possibilidade contribui para que a classificação seja mais coerente com a realidade de </w:t>
      </w:r>
      <w:proofErr w:type="gramStart"/>
      <w:r w:rsidRPr="0EDB2EA1">
        <w:rPr>
          <w:rFonts w:ascii="Calibri" w:eastAsia="Calibri" w:hAnsi="Calibri" w:cs="Calibri"/>
          <w:color w:val="000000" w:themeColor="text1"/>
          <w:sz w:val="24"/>
          <w:szCs w:val="24"/>
        </w:rPr>
        <w:t>médio ou longo prazos</w:t>
      </w:r>
      <w:proofErr w:type="gramEnd"/>
      <w:r w:rsidRPr="0EDB2EA1">
        <w:rPr>
          <w:rFonts w:ascii="Calibri" w:eastAsia="Calibri" w:hAnsi="Calibri" w:cs="Calibri"/>
          <w:color w:val="000000" w:themeColor="text1"/>
          <w:sz w:val="24"/>
          <w:szCs w:val="24"/>
        </w:rPr>
        <w:t>, evitando assim impactos e custos desnecessários com a mudança repentina e volátil dessa situação, pois há uma ampla alteração dos mecanismos de controle orçamentário e dos regimes de autonomia e gestão.</w:t>
      </w:r>
    </w:p>
    <w:p w14:paraId="5F11C10A" w14:textId="7703452D"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Assim, a empresa até então não dependente, mas em vias de ser considerada como dependente, poderá apresentar um </w:t>
      </w:r>
      <w:r w:rsidRPr="0EDB2EA1">
        <w:rPr>
          <w:rFonts w:ascii="Calibri" w:eastAsia="Calibri" w:hAnsi="Calibri" w:cs="Calibri"/>
          <w:b/>
          <w:bCs/>
          <w:color w:val="000000" w:themeColor="text1"/>
          <w:sz w:val="24"/>
          <w:szCs w:val="24"/>
        </w:rPr>
        <w:t>Plano de Reequilíbrio Econômico-financeiro</w:t>
      </w:r>
      <w:r w:rsidRPr="0EDB2EA1">
        <w:rPr>
          <w:rFonts w:ascii="Calibri" w:eastAsia="Calibri" w:hAnsi="Calibri" w:cs="Calibri"/>
          <w:color w:val="000000" w:themeColor="text1"/>
          <w:sz w:val="24"/>
          <w:szCs w:val="24"/>
        </w:rPr>
        <w:t xml:space="preserve"> e, nessa situação, permanecer no Orçamento de Investimentos (OI), (Art. 43º § 6º</w:t>
      </w:r>
      <w:r w:rsidR="00563F85">
        <w:rPr>
          <w:rFonts w:ascii="Calibri" w:eastAsia="Calibri" w:hAnsi="Calibri" w:cs="Calibri"/>
          <w:color w:val="000000" w:themeColor="text1"/>
          <w:sz w:val="24"/>
          <w:szCs w:val="24"/>
        </w:rPr>
        <w:t xml:space="preserve"> da Lei </w:t>
      </w:r>
      <w:r w:rsidR="00563F85" w:rsidRPr="0EDB2EA1">
        <w:rPr>
          <w:rFonts w:ascii="Calibri" w:eastAsia="Calibri" w:hAnsi="Calibri" w:cs="Calibri"/>
          <w:color w:val="000000" w:themeColor="text1"/>
          <w:sz w:val="24"/>
          <w:szCs w:val="24"/>
        </w:rPr>
        <w:t>n° 14.116/2020</w:t>
      </w:r>
      <w:r w:rsidRPr="0EDB2EA1">
        <w:rPr>
          <w:rFonts w:ascii="Calibri" w:eastAsia="Calibri" w:hAnsi="Calibri" w:cs="Calibri"/>
          <w:color w:val="000000" w:themeColor="text1"/>
          <w:sz w:val="24"/>
          <w:szCs w:val="24"/>
        </w:rPr>
        <w:t>).  Na outra vertente, a empresa até então dependente, mas que já apresente resultados superavitários</w:t>
      </w:r>
      <w:proofErr w:type="gramStart"/>
      <w:r w:rsidRPr="0EDB2EA1">
        <w:rPr>
          <w:rFonts w:ascii="Calibri" w:eastAsia="Calibri" w:hAnsi="Calibri" w:cs="Calibri"/>
          <w:color w:val="000000" w:themeColor="text1"/>
          <w:sz w:val="24"/>
          <w:szCs w:val="24"/>
        </w:rPr>
        <w:t>, poderá</w:t>
      </w:r>
      <w:proofErr w:type="gramEnd"/>
      <w:r w:rsidRPr="0EDB2EA1">
        <w:rPr>
          <w:rFonts w:ascii="Calibri" w:eastAsia="Calibri" w:hAnsi="Calibri" w:cs="Calibri"/>
          <w:color w:val="000000" w:themeColor="text1"/>
          <w:sz w:val="24"/>
          <w:szCs w:val="24"/>
        </w:rPr>
        <w:t xml:space="preserve"> apresentar um </w:t>
      </w:r>
      <w:r w:rsidRPr="0EDB2EA1">
        <w:rPr>
          <w:rFonts w:ascii="Calibri" w:eastAsia="Calibri" w:hAnsi="Calibri" w:cs="Calibri"/>
          <w:b/>
          <w:bCs/>
          <w:color w:val="000000" w:themeColor="text1"/>
          <w:sz w:val="24"/>
          <w:szCs w:val="24"/>
        </w:rPr>
        <w:t>Plano de Sustentabilidade Econômica</w:t>
      </w:r>
      <w:r w:rsidRPr="0EDB2EA1">
        <w:rPr>
          <w:rFonts w:ascii="Calibri" w:eastAsia="Calibri" w:hAnsi="Calibri" w:cs="Calibri"/>
          <w:color w:val="000000" w:themeColor="text1"/>
          <w:sz w:val="24"/>
          <w:szCs w:val="24"/>
        </w:rPr>
        <w:t xml:space="preserve"> para que possa confirmar essa condição e sair dos Orçamentos Fiscal e da Seguridade Social (Art. 6º § 2º e 3º</w:t>
      </w:r>
      <w:r w:rsidR="00563F85">
        <w:rPr>
          <w:rFonts w:ascii="Calibri" w:eastAsia="Calibri" w:hAnsi="Calibri" w:cs="Calibri"/>
          <w:color w:val="000000" w:themeColor="text1"/>
          <w:sz w:val="24"/>
          <w:szCs w:val="24"/>
        </w:rPr>
        <w:t xml:space="preserve"> da Lei </w:t>
      </w:r>
      <w:r w:rsidR="00563F85" w:rsidRPr="0EDB2EA1">
        <w:rPr>
          <w:rFonts w:ascii="Calibri" w:eastAsia="Calibri" w:hAnsi="Calibri" w:cs="Calibri"/>
          <w:color w:val="000000" w:themeColor="text1"/>
          <w:sz w:val="24"/>
          <w:szCs w:val="24"/>
        </w:rPr>
        <w:t>n° 14.116/2020</w:t>
      </w:r>
      <w:r w:rsidRPr="0EDB2EA1">
        <w:rPr>
          <w:rFonts w:ascii="Calibri" w:eastAsia="Calibri" w:hAnsi="Calibri" w:cs="Calibri"/>
          <w:color w:val="000000" w:themeColor="text1"/>
          <w:sz w:val="24"/>
          <w:szCs w:val="24"/>
        </w:rPr>
        <w:t>).</w:t>
      </w:r>
    </w:p>
    <w:p w14:paraId="4A93C7B8" w14:textId="14E592B2"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 </w:t>
      </w:r>
    </w:p>
    <w:p w14:paraId="4DB22624" w14:textId="2440ECE1"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u w:val="single"/>
        </w:rPr>
        <w:t>Risco 3 - esforço fiscal adicional (compensação de primário)</w:t>
      </w:r>
    </w:p>
    <w:p w14:paraId="4B51527B" w14:textId="7381DA5A" w:rsidR="00A21F07" w:rsidRDefault="523B8B10" w:rsidP="00060156">
      <w:pPr>
        <w:spacing w:after="120" w:line="240" w:lineRule="auto"/>
        <w:ind w:firstLine="1418"/>
        <w:jc w:val="both"/>
      </w:pPr>
      <w:r w:rsidRPr="0EDB2EA1">
        <w:rPr>
          <w:rFonts w:ascii="Calibri" w:eastAsia="Calibri" w:hAnsi="Calibri" w:cs="Calibri"/>
          <w:color w:val="000000" w:themeColor="text1"/>
          <w:sz w:val="24"/>
          <w:szCs w:val="24"/>
        </w:rPr>
        <w:t>A metodologia consiste em monitorar mensalmente o desempenho fiscal nos conceitos de apuração da SEST (critério “acima da linha”) e do BCB (“abaixo da linha”), bem como as reestimativas de resultado produzidas por meio do sistema de acompanhamento do PDG (Programa de Dispêndios Globais) pela SEST, tendo por parâmetro as estimativas ou metas definidas no Anexo de Metas Fiscais da LDO para o conjunto das empresas estatais não dependentes.</w:t>
      </w:r>
    </w:p>
    <w:p w14:paraId="55E60DB4" w14:textId="6EB6A580" w:rsidR="00A21F07" w:rsidRDefault="523B8B10" w:rsidP="00060156">
      <w:pPr>
        <w:spacing w:after="120" w:line="240" w:lineRule="auto"/>
        <w:ind w:firstLine="1418"/>
        <w:jc w:val="both"/>
      </w:pPr>
      <w:r w:rsidRPr="0EDB2EA1">
        <w:rPr>
          <w:rFonts w:ascii="Calibri" w:eastAsia="Calibri" w:hAnsi="Calibri" w:cs="Calibri"/>
          <w:color w:val="000000" w:themeColor="text1"/>
          <w:sz w:val="24"/>
          <w:szCs w:val="24"/>
        </w:rPr>
        <w:t>O critério oficial para efeito de demonstração do cumprimento de metas é o da apuração pelo BCB.</w:t>
      </w:r>
    </w:p>
    <w:p w14:paraId="17762926" w14:textId="308115FA" w:rsidR="00A21F07" w:rsidRDefault="523B8B10" w:rsidP="00060156">
      <w:pPr>
        <w:spacing w:after="120" w:line="240" w:lineRule="auto"/>
        <w:ind w:firstLine="1418"/>
        <w:jc w:val="both"/>
      </w:pPr>
      <w:r w:rsidRPr="0EDB2EA1">
        <w:rPr>
          <w:rFonts w:ascii="Calibri" w:eastAsia="Calibri" w:hAnsi="Calibri" w:cs="Calibri"/>
          <w:color w:val="000000" w:themeColor="text1"/>
          <w:sz w:val="24"/>
          <w:szCs w:val="24"/>
        </w:rPr>
        <w:t>O risco de esforço fiscal adicional (compensação entre metas) é identificado quando as estimativas de resultado das estatais evidenciam que as metas definidas na LDO podem não ser atingidas.</w:t>
      </w:r>
    </w:p>
    <w:p w14:paraId="576218A2" w14:textId="09B69B25" w:rsidR="00A21F07" w:rsidRPr="009243EB" w:rsidRDefault="523B8B10" w:rsidP="009243EB">
      <w:pPr>
        <w:pStyle w:val="Ttulo4"/>
        <w:keepLines/>
        <w:numPr>
          <w:ilvl w:val="3"/>
          <w:numId w:val="36"/>
        </w:numPr>
        <w:spacing w:before="240" w:after="120"/>
        <w:ind w:left="862" w:hanging="862"/>
        <w:jc w:val="left"/>
        <w:rPr>
          <w:rFonts w:asciiTheme="minorHAnsi" w:hAnsiTheme="minorHAnsi"/>
        </w:rPr>
      </w:pPr>
      <w:r w:rsidRPr="009243EB">
        <w:rPr>
          <w:rFonts w:asciiTheme="minorHAnsi" w:eastAsia="Calibri" w:hAnsiTheme="minorHAnsi"/>
        </w:rPr>
        <w:t xml:space="preserve">Comparação entre os fluxos estimados e realizados, nos últimos três </w:t>
      </w:r>
      <w:proofErr w:type="gramStart"/>
      <w:r w:rsidRPr="009243EB">
        <w:rPr>
          <w:rFonts w:asciiTheme="minorHAnsi" w:eastAsia="Calibri" w:hAnsiTheme="minorHAnsi"/>
        </w:rPr>
        <w:t>exercícios</w:t>
      </w:r>
      <w:proofErr w:type="gramEnd"/>
    </w:p>
    <w:p w14:paraId="2BEE0A13" w14:textId="60ECAF0E" w:rsidR="00A21F07" w:rsidRDefault="523B8B10" w:rsidP="00C57CCF">
      <w:pPr>
        <w:spacing w:after="120" w:line="240" w:lineRule="auto"/>
        <w:ind w:firstLine="1418"/>
        <w:jc w:val="both"/>
        <w:rPr>
          <w:rFonts w:ascii="Calibri" w:eastAsia="Calibri" w:hAnsi="Calibri" w:cs="Calibri"/>
          <w:color w:val="000000" w:themeColor="text1"/>
          <w:sz w:val="24"/>
          <w:szCs w:val="24"/>
        </w:rPr>
      </w:pPr>
      <w:r w:rsidRPr="0EDB2EA1">
        <w:rPr>
          <w:rFonts w:ascii="Calibri" w:eastAsia="Calibri" w:hAnsi="Calibri" w:cs="Calibri"/>
          <w:color w:val="000000" w:themeColor="text1"/>
          <w:sz w:val="24"/>
          <w:szCs w:val="24"/>
        </w:rPr>
        <w:t xml:space="preserve">A </w:t>
      </w:r>
      <w:r w:rsidR="00187204" w:rsidRPr="00187204">
        <w:rPr>
          <w:rFonts w:ascii="Calibri" w:eastAsia="Calibri" w:hAnsi="Calibri" w:cs="Calibri"/>
          <w:color w:val="000000" w:themeColor="text1"/>
          <w:sz w:val="24"/>
          <w:szCs w:val="24"/>
        </w:rPr>
        <w:fldChar w:fldCharType="begin"/>
      </w:r>
      <w:r w:rsidR="00187204" w:rsidRPr="00187204">
        <w:rPr>
          <w:rFonts w:ascii="Calibri" w:eastAsia="Calibri" w:hAnsi="Calibri" w:cs="Calibri"/>
          <w:color w:val="000000" w:themeColor="text1"/>
          <w:sz w:val="24"/>
          <w:szCs w:val="24"/>
        </w:rPr>
        <w:instrText xml:space="preserve"> REF _Ref68016106 \h  \* MERGEFORMAT </w:instrText>
      </w:r>
      <w:r w:rsidR="00187204" w:rsidRPr="00187204">
        <w:rPr>
          <w:rFonts w:ascii="Calibri" w:eastAsia="Calibri" w:hAnsi="Calibri" w:cs="Calibri"/>
          <w:color w:val="000000" w:themeColor="text1"/>
          <w:sz w:val="24"/>
          <w:szCs w:val="24"/>
        </w:rPr>
      </w:r>
      <w:r w:rsidR="00187204" w:rsidRPr="00187204">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59</w:t>
      </w:r>
      <w:r w:rsidR="00187204" w:rsidRPr="00187204">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xml:space="preserve"> apresenta a comparação entre os valores estimados e os realizados dos fluxos atinentes aos riscos mapeados. Foi considerado como valor para o item Transferências para aumento de capital as dotações do exercício acrescidas dos restos a pagar abrangendo somente as empresas estatais não dependentes</w:t>
      </w:r>
      <w:r w:rsidR="00A21F07" w:rsidRPr="0EDB2EA1">
        <w:rPr>
          <w:rStyle w:val="Refdenotaderodap"/>
          <w:rFonts w:ascii="Calibri" w:eastAsia="Calibri" w:hAnsi="Calibri" w:cs="Calibri"/>
          <w:color w:val="000000" w:themeColor="text1"/>
          <w:sz w:val="24"/>
          <w:szCs w:val="24"/>
        </w:rPr>
        <w:footnoteReference w:id="24"/>
      </w:r>
      <w:r w:rsidRPr="0EDB2EA1">
        <w:rPr>
          <w:rFonts w:ascii="Calibri" w:eastAsia="Calibri" w:hAnsi="Calibri" w:cs="Calibri"/>
          <w:color w:val="000000" w:themeColor="text1"/>
          <w:sz w:val="24"/>
          <w:szCs w:val="24"/>
        </w:rPr>
        <w:t>.</w:t>
      </w:r>
    </w:p>
    <w:p w14:paraId="30A5B475" w14:textId="775C098F" w:rsidR="009C33EE" w:rsidRDefault="009C33EE" w:rsidP="00C57CCF">
      <w:pPr>
        <w:spacing w:after="120" w:line="240" w:lineRule="auto"/>
        <w:ind w:firstLine="1418"/>
        <w:jc w:val="both"/>
      </w:pPr>
    </w:p>
    <w:p w14:paraId="763B8FFE" w14:textId="35CC2DDC" w:rsidR="00A21F07" w:rsidRDefault="00A21F07" w:rsidP="0EDB2EA1">
      <w:pPr>
        <w:spacing w:after="120" w:line="257" w:lineRule="exact"/>
        <w:ind w:firstLine="1418"/>
        <w:jc w:val="both"/>
      </w:pPr>
    </w:p>
    <w:p w14:paraId="2792DAE8" w14:textId="6805C73B" w:rsidR="00A21F07" w:rsidRPr="00187204" w:rsidRDefault="523B8B10" w:rsidP="00187204">
      <w:pPr>
        <w:pStyle w:val="Legenda"/>
        <w:jc w:val="center"/>
        <w:rPr>
          <w:rFonts w:asciiTheme="minorHAnsi" w:hAnsiTheme="minorHAnsi" w:cstheme="minorHAnsi"/>
          <w:i w:val="0"/>
          <w:color w:val="auto"/>
          <w:sz w:val="22"/>
          <w:szCs w:val="22"/>
        </w:rPr>
      </w:pPr>
      <w:bookmarkStart w:id="418" w:name="_Ref68016106"/>
      <w:bookmarkStart w:id="419" w:name="_Ref68016102"/>
      <w:bookmarkStart w:id="420" w:name="_Toc69121405"/>
      <w:r w:rsidRPr="00187204">
        <w:rPr>
          <w:rFonts w:asciiTheme="minorHAnsi" w:eastAsia="Calibri" w:hAnsiTheme="minorHAnsi" w:cstheme="minorHAnsi"/>
          <w:i w:val="0"/>
          <w:color w:val="auto"/>
          <w:sz w:val="22"/>
          <w:szCs w:val="22"/>
        </w:rPr>
        <w:t xml:space="preserve">Tabela </w:t>
      </w:r>
      <w:r w:rsidR="00187204" w:rsidRPr="00187204">
        <w:rPr>
          <w:rFonts w:asciiTheme="minorHAnsi" w:hAnsiTheme="minorHAnsi" w:cstheme="minorHAnsi"/>
          <w:i w:val="0"/>
          <w:color w:val="auto"/>
          <w:sz w:val="22"/>
          <w:szCs w:val="22"/>
        </w:rPr>
        <w:fldChar w:fldCharType="begin"/>
      </w:r>
      <w:r w:rsidR="00187204" w:rsidRPr="00187204">
        <w:rPr>
          <w:rFonts w:asciiTheme="minorHAnsi" w:hAnsiTheme="minorHAnsi" w:cstheme="minorHAnsi"/>
          <w:i w:val="0"/>
          <w:color w:val="auto"/>
          <w:sz w:val="22"/>
          <w:szCs w:val="22"/>
        </w:rPr>
        <w:instrText xml:space="preserve"> SEQ Tabela \* ARABIC </w:instrText>
      </w:r>
      <w:r w:rsidR="00187204" w:rsidRPr="0018720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59</w:t>
      </w:r>
      <w:r w:rsidR="00187204" w:rsidRPr="00187204">
        <w:rPr>
          <w:rFonts w:asciiTheme="minorHAnsi" w:hAnsiTheme="minorHAnsi" w:cstheme="minorHAnsi"/>
          <w:i w:val="0"/>
          <w:color w:val="auto"/>
          <w:sz w:val="22"/>
          <w:szCs w:val="22"/>
        </w:rPr>
        <w:fldChar w:fldCharType="end"/>
      </w:r>
      <w:bookmarkEnd w:id="418"/>
      <w:r w:rsidRPr="00187204">
        <w:rPr>
          <w:rFonts w:asciiTheme="minorHAnsi" w:eastAsia="Calibri" w:hAnsiTheme="minorHAnsi" w:cstheme="minorHAnsi"/>
          <w:i w:val="0"/>
          <w:color w:val="auto"/>
          <w:sz w:val="22"/>
          <w:szCs w:val="22"/>
        </w:rPr>
        <w:t xml:space="preserve"> - Comparação entre os fluxos estimados e realizados - Estatais</w:t>
      </w:r>
      <w:bookmarkEnd w:id="419"/>
      <w:bookmarkEnd w:id="420"/>
    </w:p>
    <w:tbl>
      <w:tblPr>
        <w:tblStyle w:val="Tabelacomgrade"/>
        <w:tblW w:w="0" w:type="auto"/>
        <w:tblBorders>
          <w:top w:val="none" w:sz="0" w:space="0" w:color="auto"/>
          <w:left w:val="single" w:sz="4" w:space="0" w:color="BFBFBF" w:themeColor="background1" w:themeShade="BF"/>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349"/>
        <w:gridCol w:w="317"/>
        <w:gridCol w:w="1416"/>
        <w:gridCol w:w="1416"/>
        <w:gridCol w:w="1416"/>
      </w:tblGrid>
      <w:tr w:rsidR="0EDB2EA1" w14:paraId="0C91A9B8" w14:textId="77777777" w:rsidTr="00327C71">
        <w:trPr>
          <w:trHeight w:val="240"/>
        </w:trPr>
        <w:tc>
          <w:tcPr>
            <w:tcW w:w="9914" w:type="dxa"/>
            <w:gridSpan w:val="5"/>
            <w:tcBorders>
              <w:left w:val="nil"/>
            </w:tcBorders>
            <w:vAlign w:val="center"/>
          </w:tcPr>
          <w:p w14:paraId="14869AD1" w14:textId="1B6B0E75" w:rsidR="0EDB2EA1" w:rsidRDefault="0EDB2EA1" w:rsidP="0EDB2EA1">
            <w:pPr>
              <w:jc w:val="right"/>
            </w:pPr>
            <w:r w:rsidRPr="0EDB2EA1">
              <w:rPr>
                <w:rFonts w:ascii="Calibri" w:eastAsia="Calibri" w:hAnsi="Calibri" w:cs="Calibri"/>
                <w:i/>
                <w:iCs/>
                <w:sz w:val="16"/>
                <w:szCs w:val="16"/>
              </w:rPr>
              <w:t>Em R$ milhões</w:t>
            </w:r>
          </w:p>
        </w:tc>
      </w:tr>
      <w:tr w:rsidR="0EDB2EA1" w14:paraId="03A97851" w14:textId="77777777" w:rsidTr="00327C71">
        <w:trPr>
          <w:trHeight w:val="630"/>
        </w:trPr>
        <w:tc>
          <w:tcPr>
            <w:tcW w:w="534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0171C8B7" w14:textId="49FA0379" w:rsidR="0EDB2EA1" w:rsidRDefault="0EDB2EA1" w:rsidP="0EDB2EA1">
            <w:pPr>
              <w:jc w:val="center"/>
            </w:pPr>
            <w:r w:rsidRPr="0EDB2EA1">
              <w:rPr>
                <w:rFonts w:ascii="Calibri" w:eastAsia="Calibri" w:hAnsi="Calibri" w:cs="Calibri"/>
                <w:b/>
                <w:bCs/>
                <w:color w:val="FFFFFF" w:themeColor="background1"/>
                <w:sz w:val="20"/>
                <w:szCs w:val="20"/>
              </w:rPr>
              <w:t>Natureza do Fluxo</w:t>
            </w:r>
          </w:p>
        </w:tc>
        <w:tc>
          <w:tcPr>
            <w:tcW w:w="456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0F40EF7F" w14:textId="11EF64AC" w:rsidR="0EDB2EA1" w:rsidRDefault="0EDB2EA1" w:rsidP="0EDB2EA1">
            <w:pPr>
              <w:jc w:val="center"/>
            </w:pPr>
            <w:r w:rsidRPr="0EDB2EA1">
              <w:rPr>
                <w:rFonts w:ascii="Calibri" w:eastAsia="Calibri" w:hAnsi="Calibri" w:cs="Calibri"/>
                <w:b/>
                <w:bCs/>
                <w:color w:val="FFFFFF" w:themeColor="background1"/>
                <w:sz w:val="20"/>
                <w:szCs w:val="20"/>
              </w:rPr>
              <w:t>Fluxo</w:t>
            </w:r>
          </w:p>
          <w:p w14:paraId="5922A58D" w14:textId="1B536B33" w:rsidR="0EDB2EA1" w:rsidRDefault="0EDB2EA1" w:rsidP="0EDB2EA1">
            <w:pPr>
              <w:jc w:val="center"/>
            </w:pPr>
            <w:r w:rsidRPr="0EDB2EA1">
              <w:rPr>
                <w:rFonts w:ascii="Calibri" w:eastAsia="Calibri" w:hAnsi="Calibri" w:cs="Calibri"/>
                <w:color w:val="FFFFFF" w:themeColor="background1"/>
                <w:sz w:val="20"/>
                <w:szCs w:val="20"/>
              </w:rPr>
              <w:t>Valor Estimado (E)</w:t>
            </w:r>
          </w:p>
          <w:p w14:paraId="114B0CBE" w14:textId="7A23CEC4" w:rsidR="0EDB2EA1" w:rsidRDefault="0EDB2EA1" w:rsidP="0EDB2EA1">
            <w:pPr>
              <w:jc w:val="center"/>
            </w:pPr>
            <w:r w:rsidRPr="0EDB2EA1">
              <w:rPr>
                <w:rFonts w:ascii="Calibri" w:eastAsia="Calibri" w:hAnsi="Calibri" w:cs="Calibri"/>
                <w:color w:val="FFFFFF" w:themeColor="background1"/>
                <w:sz w:val="20"/>
                <w:szCs w:val="20"/>
              </w:rPr>
              <w:t>Valor Realizado (R)</w:t>
            </w:r>
          </w:p>
          <w:p w14:paraId="058AA04E" w14:textId="2F88809B" w:rsidR="0EDB2EA1" w:rsidRDefault="0EDB2EA1" w:rsidP="0EDB2EA1">
            <w:pPr>
              <w:jc w:val="center"/>
            </w:pPr>
            <w:r w:rsidRPr="0EDB2EA1">
              <w:rPr>
                <w:rFonts w:ascii="Calibri" w:eastAsia="Calibri" w:hAnsi="Calibri" w:cs="Calibri"/>
                <w:color w:val="FFFFFF" w:themeColor="background1"/>
                <w:sz w:val="20"/>
                <w:szCs w:val="20"/>
              </w:rPr>
              <w:lastRenderedPageBreak/>
              <w:t>Variação</w:t>
            </w:r>
            <w:r w:rsidRPr="0EDB2EA1">
              <w:rPr>
                <w:rFonts w:ascii="Calibri" w:eastAsia="Calibri" w:hAnsi="Calibri" w:cs="Calibri"/>
                <w:color w:val="FFFFFF" w:themeColor="background1"/>
                <w:sz w:val="20"/>
                <w:szCs w:val="20"/>
                <w:vertAlign w:val="superscript"/>
              </w:rPr>
              <w:t xml:space="preserve"> </w:t>
            </w:r>
            <w:proofErr w:type="gramStart"/>
            <w:r w:rsidRPr="0EDB2EA1">
              <w:rPr>
                <w:rFonts w:ascii="Calibri" w:eastAsia="Calibri" w:hAnsi="Calibri" w:cs="Calibri"/>
                <w:color w:val="FFFFFF" w:themeColor="background1"/>
                <w:sz w:val="20"/>
                <w:szCs w:val="20"/>
                <w:vertAlign w:val="superscript"/>
              </w:rPr>
              <w:t>1</w:t>
            </w:r>
            <w:proofErr w:type="gramEnd"/>
            <w:r w:rsidRPr="0EDB2EA1">
              <w:rPr>
                <w:rFonts w:ascii="Calibri" w:eastAsia="Calibri" w:hAnsi="Calibri" w:cs="Calibri"/>
                <w:color w:val="FFFFFF" w:themeColor="background1"/>
                <w:sz w:val="20"/>
                <w:szCs w:val="20"/>
              </w:rPr>
              <w:t xml:space="preserve"> (%)</w:t>
            </w:r>
          </w:p>
        </w:tc>
      </w:tr>
      <w:tr w:rsidR="0EDB2EA1" w14:paraId="68DA19CF" w14:textId="77777777" w:rsidTr="00327C71">
        <w:tc>
          <w:tcPr>
            <w:tcW w:w="5349" w:type="dxa"/>
            <w:vMerge/>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657313C" w14:textId="77777777" w:rsidR="00422732" w:rsidRDefault="00422732"/>
        </w:tc>
        <w:tc>
          <w:tcPr>
            <w:tcW w:w="3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1022D103" w14:textId="5236BE28" w:rsidR="0EDB2EA1" w:rsidRDefault="0EDB2EA1" w:rsidP="0EDB2EA1">
            <w:pPr>
              <w:jc w:val="center"/>
            </w:pPr>
            <w:r w:rsidRPr="0EDB2EA1">
              <w:rPr>
                <w:rFonts w:ascii="Calibri" w:eastAsia="Calibri" w:hAnsi="Calibri" w:cs="Calibri"/>
                <w:b/>
                <w:bCs/>
                <w:color w:val="FFFFFF" w:themeColor="background1"/>
                <w:sz w:val="20"/>
                <w:szCs w:val="20"/>
              </w:rPr>
              <w:t xml:space="preserve"> </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7557C908" w14:textId="45B00A2D" w:rsidR="0EDB2EA1" w:rsidRDefault="0EDB2EA1" w:rsidP="0EDB2EA1">
            <w:pPr>
              <w:jc w:val="center"/>
            </w:pPr>
            <w:r w:rsidRPr="0EDB2EA1">
              <w:rPr>
                <w:rFonts w:ascii="Calibri" w:eastAsia="Calibri" w:hAnsi="Calibri" w:cs="Calibri"/>
                <w:b/>
                <w:bCs/>
                <w:color w:val="FFFFFF" w:themeColor="background1"/>
                <w:sz w:val="20"/>
                <w:szCs w:val="20"/>
              </w:rPr>
              <w:t>2018</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649BF448" w14:textId="36E3779D" w:rsidR="0EDB2EA1" w:rsidRDefault="0EDB2EA1" w:rsidP="0EDB2EA1">
            <w:pPr>
              <w:jc w:val="center"/>
            </w:pPr>
            <w:r w:rsidRPr="0EDB2EA1">
              <w:rPr>
                <w:rFonts w:ascii="Calibri" w:eastAsia="Calibri" w:hAnsi="Calibri" w:cs="Calibri"/>
                <w:b/>
                <w:bCs/>
                <w:color w:val="FFFFFF" w:themeColor="background1"/>
                <w:sz w:val="20"/>
                <w:szCs w:val="20"/>
              </w:rPr>
              <w:t>2019</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73F4568C" w14:textId="277CB974" w:rsidR="0EDB2EA1" w:rsidRDefault="0EDB2EA1" w:rsidP="0EDB2EA1">
            <w:pPr>
              <w:jc w:val="center"/>
            </w:pPr>
            <w:r w:rsidRPr="0EDB2EA1">
              <w:rPr>
                <w:rFonts w:ascii="Calibri" w:eastAsia="Calibri" w:hAnsi="Calibri" w:cs="Calibri"/>
                <w:b/>
                <w:bCs/>
                <w:color w:val="FFFFFF" w:themeColor="background1"/>
                <w:sz w:val="20"/>
                <w:szCs w:val="20"/>
              </w:rPr>
              <w:t>2020</w:t>
            </w:r>
          </w:p>
        </w:tc>
      </w:tr>
      <w:tr w:rsidR="0EDB2EA1" w14:paraId="390B46A5" w14:textId="77777777" w:rsidTr="00327C71">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4BF68A7" w14:textId="750A4FA9" w:rsidR="0EDB2EA1" w:rsidRDefault="0EDB2EA1">
            <w:r w:rsidRPr="0EDB2EA1">
              <w:rPr>
                <w:rFonts w:ascii="Calibri" w:eastAsia="Calibri" w:hAnsi="Calibri" w:cs="Calibri"/>
                <w:b/>
                <w:bCs/>
                <w:sz w:val="18"/>
                <w:szCs w:val="18"/>
              </w:rPr>
              <w:t>Receita de Dividendos e JCP</w:t>
            </w:r>
          </w:p>
        </w:tc>
        <w:tc>
          <w:tcPr>
            <w:tcW w:w="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01C39DC" w14:textId="67D51546" w:rsidR="0EDB2EA1" w:rsidRDefault="0EDB2EA1" w:rsidP="0EDB2EA1">
            <w:pPr>
              <w:jc w:val="right"/>
            </w:pPr>
            <w:r w:rsidRPr="0EDB2EA1">
              <w:rPr>
                <w:rFonts w:ascii="Calibri" w:eastAsia="Calibri" w:hAnsi="Calibri" w:cs="Calibri"/>
                <w:sz w:val="18"/>
                <w:szCs w:val="18"/>
              </w:rPr>
              <w:t>E</w:t>
            </w:r>
          </w:p>
          <w:p w14:paraId="7226155E" w14:textId="12861237" w:rsidR="0EDB2EA1" w:rsidRDefault="0EDB2EA1" w:rsidP="0EDB2EA1">
            <w:pPr>
              <w:jc w:val="right"/>
            </w:pPr>
            <w:r w:rsidRPr="0EDB2EA1">
              <w:rPr>
                <w:rFonts w:ascii="Calibri" w:eastAsia="Calibri" w:hAnsi="Calibri" w:cs="Calibri"/>
                <w:sz w:val="18"/>
                <w:szCs w:val="18"/>
              </w:rPr>
              <w:t>R</w:t>
            </w:r>
          </w:p>
          <w:p w14:paraId="1BA3E4B9" w14:textId="6C735B94" w:rsidR="0EDB2EA1" w:rsidRDefault="0EDB2EA1" w:rsidP="0EDB2EA1">
            <w:pPr>
              <w:jc w:val="right"/>
            </w:pPr>
            <w:r w:rsidRPr="0EDB2EA1">
              <w:rPr>
                <w:rFonts w:ascii="Calibri" w:eastAsia="Calibri" w:hAnsi="Calibri" w:cs="Calibri"/>
                <w:sz w:val="18"/>
                <w:szCs w:val="18"/>
              </w:rPr>
              <w:t>%</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9ABF47" w14:textId="798840E7" w:rsidR="0EDB2EA1" w:rsidRDefault="0EDB2EA1" w:rsidP="0EDB2EA1">
            <w:pPr>
              <w:jc w:val="right"/>
            </w:pPr>
            <w:r w:rsidRPr="0EDB2EA1">
              <w:rPr>
                <w:rFonts w:ascii="Calibri" w:eastAsia="Calibri" w:hAnsi="Calibri" w:cs="Calibri"/>
                <w:sz w:val="18"/>
                <w:szCs w:val="18"/>
              </w:rPr>
              <w:t>6.782,0</w:t>
            </w:r>
          </w:p>
          <w:p w14:paraId="6B9D5668" w14:textId="31325139" w:rsidR="0EDB2EA1" w:rsidRDefault="0EDB2EA1" w:rsidP="0EDB2EA1">
            <w:pPr>
              <w:jc w:val="right"/>
            </w:pPr>
            <w:r w:rsidRPr="0EDB2EA1">
              <w:rPr>
                <w:rFonts w:ascii="Calibri" w:eastAsia="Calibri" w:hAnsi="Calibri" w:cs="Calibri"/>
                <w:sz w:val="18"/>
                <w:szCs w:val="18"/>
              </w:rPr>
              <w:t>7.657,2</w:t>
            </w:r>
          </w:p>
          <w:p w14:paraId="2B229816" w14:textId="1929DD6F" w:rsidR="0EDB2EA1" w:rsidRDefault="0EDB2EA1" w:rsidP="0EDB2EA1">
            <w:pPr>
              <w:jc w:val="right"/>
            </w:pPr>
            <w:r w:rsidRPr="0EDB2EA1">
              <w:rPr>
                <w:rFonts w:ascii="Calibri" w:eastAsia="Calibri" w:hAnsi="Calibri" w:cs="Calibri"/>
                <w:sz w:val="18"/>
                <w:szCs w:val="18"/>
              </w:rPr>
              <w:t>12,9%</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FBEAED" w14:textId="7409E8C6" w:rsidR="0EDB2EA1" w:rsidRDefault="0EDB2EA1" w:rsidP="0EDB2EA1">
            <w:pPr>
              <w:jc w:val="right"/>
            </w:pPr>
            <w:r w:rsidRPr="0EDB2EA1">
              <w:rPr>
                <w:rFonts w:ascii="Calibri" w:eastAsia="Calibri" w:hAnsi="Calibri" w:cs="Calibri"/>
                <w:sz w:val="18"/>
                <w:szCs w:val="18"/>
              </w:rPr>
              <w:t>7.489,3</w:t>
            </w:r>
          </w:p>
          <w:p w14:paraId="5C97295F" w14:textId="1B32C4AE" w:rsidR="0EDB2EA1" w:rsidRDefault="0EDB2EA1" w:rsidP="0EDB2EA1">
            <w:pPr>
              <w:jc w:val="right"/>
            </w:pPr>
            <w:r w:rsidRPr="0EDB2EA1">
              <w:rPr>
                <w:rFonts w:ascii="Calibri" w:eastAsia="Calibri" w:hAnsi="Calibri" w:cs="Calibri"/>
                <w:sz w:val="18"/>
                <w:szCs w:val="18"/>
              </w:rPr>
              <w:t>20.879,0</w:t>
            </w:r>
          </w:p>
          <w:p w14:paraId="7BBCFF95" w14:textId="7DE8373B" w:rsidR="0EDB2EA1" w:rsidRDefault="0EDB2EA1" w:rsidP="0EDB2EA1">
            <w:pPr>
              <w:jc w:val="right"/>
            </w:pPr>
            <w:r w:rsidRPr="0EDB2EA1">
              <w:rPr>
                <w:rFonts w:ascii="Calibri" w:eastAsia="Calibri" w:hAnsi="Calibri" w:cs="Calibri"/>
                <w:sz w:val="18"/>
                <w:szCs w:val="18"/>
              </w:rPr>
              <w:t>178,8%</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BDDD5F" w14:textId="62425446" w:rsidR="0EDB2EA1" w:rsidRDefault="0EDB2EA1" w:rsidP="0EDB2EA1">
            <w:pPr>
              <w:jc w:val="right"/>
            </w:pPr>
            <w:r w:rsidRPr="0EDB2EA1">
              <w:rPr>
                <w:rFonts w:ascii="Calibri" w:eastAsia="Calibri" w:hAnsi="Calibri" w:cs="Calibri"/>
                <w:sz w:val="18"/>
                <w:szCs w:val="18"/>
              </w:rPr>
              <w:t>13.521,8</w:t>
            </w:r>
          </w:p>
          <w:p w14:paraId="0E319C50" w14:textId="7C77746D" w:rsidR="0EDB2EA1" w:rsidRDefault="0EDB2EA1" w:rsidP="0EDB2EA1">
            <w:pPr>
              <w:jc w:val="right"/>
            </w:pPr>
            <w:r w:rsidRPr="0EDB2EA1">
              <w:rPr>
                <w:rFonts w:ascii="Calibri" w:eastAsia="Calibri" w:hAnsi="Calibri" w:cs="Calibri"/>
                <w:sz w:val="18"/>
                <w:szCs w:val="18"/>
              </w:rPr>
              <w:t>6.605,1</w:t>
            </w:r>
          </w:p>
          <w:p w14:paraId="1314962B" w14:textId="23D3329B" w:rsidR="0EDB2EA1" w:rsidRDefault="0EDB2EA1" w:rsidP="0EDB2EA1">
            <w:pPr>
              <w:jc w:val="right"/>
            </w:pPr>
            <w:r w:rsidRPr="0EDB2EA1">
              <w:rPr>
                <w:rFonts w:ascii="Calibri" w:eastAsia="Calibri" w:hAnsi="Calibri" w:cs="Calibri"/>
                <w:sz w:val="18"/>
                <w:szCs w:val="18"/>
              </w:rPr>
              <w:t>-51,2%</w:t>
            </w:r>
          </w:p>
        </w:tc>
      </w:tr>
      <w:tr w:rsidR="0EDB2EA1" w14:paraId="52CEC106" w14:textId="77777777" w:rsidTr="00327C71">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6501E3" w14:textId="7F5B0C00" w:rsidR="0EDB2EA1" w:rsidRDefault="0EDB2EA1">
            <w:r w:rsidRPr="0EDB2EA1">
              <w:rPr>
                <w:rFonts w:ascii="Calibri" w:eastAsia="Calibri" w:hAnsi="Calibri" w:cs="Calibri"/>
                <w:b/>
                <w:bCs/>
                <w:sz w:val="18"/>
                <w:szCs w:val="18"/>
              </w:rPr>
              <w:t>Transferências para Aumento de Capital</w:t>
            </w:r>
          </w:p>
        </w:tc>
        <w:tc>
          <w:tcPr>
            <w:tcW w:w="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AEA0C4" w14:textId="4C32B080" w:rsidR="0EDB2EA1" w:rsidRDefault="0EDB2EA1" w:rsidP="0EDB2EA1">
            <w:pPr>
              <w:jc w:val="right"/>
            </w:pPr>
            <w:r w:rsidRPr="0EDB2EA1">
              <w:rPr>
                <w:rFonts w:ascii="Calibri" w:eastAsia="Calibri" w:hAnsi="Calibri" w:cs="Calibri"/>
                <w:sz w:val="18"/>
                <w:szCs w:val="18"/>
              </w:rPr>
              <w:t>E</w:t>
            </w:r>
          </w:p>
          <w:p w14:paraId="08F8CB18" w14:textId="57E27150" w:rsidR="0EDB2EA1" w:rsidRDefault="0EDB2EA1" w:rsidP="0EDB2EA1">
            <w:pPr>
              <w:jc w:val="right"/>
            </w:pPr>
            <w:r w:rsidRPr="0EDB2EA1">
              <w:rPr>
                <w:rFonts w:ascii="Calibri" w:eastAsia="Calibri" w:hAnsi="Calibri" w:cs="Calibri"/>
                <w:sz w:val="18"/>
                <w:szCs w:val="18"/>
              </w:rPr>
              <w:t>R</w:t>
            </w:r>
          </w:p>
          <w:p w14:paraId="30A3E888" w14:textId="720DABDA" w:rsidR="0EDB2EA1" w:rsidRDefault="0EDB2EA1" w:rsidP="0EDB2EA1">
            <w:pPr>
              <w:jc w:val="right"/>
            </w:pPr>
            <w:r w:rsidRPr="0EDB2EA1">
              <w:rPr>
                <w:rFonts w:ascii="Calibri" w:eastAsia="Calibri" w:hAnsi="Calibri" w:cs="Calibri"/>
                <w:sz w:val="18"/>
                <w:szCs w:val="18"/>
              </w:rPr>
              <w:t>%</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60DB0E" w14:textId="0D8A7C09" w:rsidR="0EDB2EA1" w:rsidRDefault="0EDB2EA1" w:rsidP="0EDB2EA1">
            <w:pPr>
              <w:jc w:val="right"/>
            </w:pPr>
            <w:r w:rsidRPr="0EDB2EA1">
              <w:rPr>
                <w:rFonts w:ascii="Calibri" w:eastAsia="Calibri" w:hAnsi="Calibri" w:cs="Calibri"/>
                <w:sz w:val="18"/>
                <w:szCs w:val="18"/>
              </w:rPr>
              <w:t>4.786,4</w:t>
            </w:r>
          </w:p>
          <w:p w14:paraId="1FC6728F" w14:textId="7C8F55FD" w:rsidR="0EDB2EA1" w:rsidRDefault="0EDB2EA1" w:rsidP="0EDB2EA1">
            <w:pPr>
              <w:jc w:val="right"/>
            </w:pPr>
            <w:r w:rsidRPr="0EDB2EA1">
              <w:rPr>
                <w:rFonts w:ascii="Calibri" w:eastAsia="Calibri" w:hAnsi="Calibri" w:cs="Calibri"/>
                <w:sz w:val="18"/>
                <w:szCs w:val="18"/>
              </w:rPr>
              <w:t>4.799,2</w:t>
            </w:r>
          </w:p>
          <w:p w14:paraId="5C968A44" w14:textId="54BC2A29" w:rsidR="0EDB2EA1" w:rsidRDefault="0EDB2EA1" w:rsidP="0EDB2EA1">
            <w:pPr>
              <w:jc w:val="right"/>
            </w:pPr>
            <w:r w:rsidRPr="0EDB2EA1">
              <w:rPr>
                <w:rFonts w:ascii="Calibri" w:eastAsia="Calibri" w:hAnsi="Calibri" w:cs="Calibri"/>
                <w:sz w:val="18"/>
                <w:szCs w:val="18"/>
              </w:rPr>
              <w:t>0,3%</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DFAFD" w14:textId="7DE833DE" w:rsidR="0EDB2EA1" w:rsidRDefault="0EDB2EA1" w:rsidP="0EDB2EA1">
            <w:pPr>
              <w:jc w:val="right"/>
            </w:pPr>
            <w:r w:rsidRPr="0EDB2EA1">
              <w:rPr>
                <w:rFonts w:ascii="Calibri" w:eastAsia="Calibri" w:hAnsi="Calibri" w:cs="Calibri"/>
                <w:sz w:val="18"/>
                <w:szCs w:val="18"/>
              </w:rPr>
              <w:t>9.611,0</w:t>
            </w:r>
          </w:p>
          <w:p w14:paraId="347F9B08" w14:textId="23B59ADE" w:rsidR="0EDB2EA1" w:rsidRDefault="0EDB2EA1" w:rsidP="0EDB2EA1">
            <w:pPr>
              <w:jc w:val="right"/>
            </w:pPr>
            <w:r w:rsidRPr="0EDB2EA1">
              <w:rPr>
                <w:rFonts w:ascii="Calibri" w:eastAsia="Calibri" w:hAnsi="Calibri" w:cs="Calibri"/>
                <w:sz w:val="18"/>
                <w:szCs w:val="18"/>
              </w:rPr>
              <w:t>10.066,2</w:t>
            </w:r>
          </w:p>
          <w:p w14:paraId="7131524B" w14:textId="3DDBA3E9" w:rsidR="0EDB2EA1" w:rsidRDefault="0EDB2EA1" w:rsidP="0EDB2EA1">
            <w:pPr>
              <w:jc w:val="right"/>
            </w:pPr>
            <w:r w:rsidRPr="0EDB2EA1">
              <w:rPr>
                <w:rFonts w:ascii="Calibri" w:eastAsia="Calibri" w:hAnsi="Calibri" w:cs="Calibri"/>
                <w:sz w:val="18"/>
                <w:szCs w:val="18"/>
              </w:rPr>
              <w:t>4,7%</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295AE1" w14:textId="288BFF2F" w:rsidR="0EDB2EA1" w:rsidRDefault="0EDB2EA1" w:rsidP="0EDB2EA1">
            <w:pPr>
              <w:jc w:val="right"/>
            </w:pPr>
            <w:r w:rsidRPr="0EDB2EA1">
              <w:rPr>
                <w:rFonts w:ascii="Calibri" w:eastAsia="Calibri" w:hAnsi="Calibri" w:cs="Calibri"/>
                <w:sz w:val="18"/>
                <w:szCs w:val="18"/>
              </w:rPr>
              <w:t>671,9</w:t>
            </w:r>
          </w:p>
          <w:p w14:paraId="0BEE34DB" w14:textId="14853CAB" w:rsidR="0EDB2EA1" w:rsidRDefault="0EDB2EA1" w:rsidP="0EDB2EA1">
            <w:pPr>
              <w:jc w:val="right"/>
            </w:pPr>
            <w:r w:rsidRPr="0EDB2EA1">
              <w:rPr>
                <w:rFonts w:ascii="Calibri" w:eastAsia="Calibri" w:hAnsi="Calibri" w:cs="Calibri"/>
                <w:sz w:val="18"/>
                <w:szCs w:val="18"/>
              </w:rPr>
              <w:t>23,7</w:t>
            </w:r>
          </w:p>
          <w:p w14:paraId="3C4FFCFF" w14:textId="07FCCB6B" w:rsidR="0EDB2EA1" w:rsidRDefault="0EDB2EA1" w:rsidP="0EDB2EA1">
            <w:pPr>
              <w:jc w:val="right"/>
            </w:pPr>
            <w:r w:rsidRPr="0EDB2EA1">
              <w:rPr>
                <w:rFonts w:ascii="Calibri" w:eastAsia="Calibri" w:hAnsi="Calibri" w:cs="Calibri"/>
                <w:sz w:val="18"/>
                <w:szCs w:val="18"/>
              </w:rPr>
              <w:t>-96,5%</w:t>
            </w:r>
          </w:p>
        </w:tc>
      </w:tr>
      <w:tr w:rsidR="0EDB2EA1" w14:paraId="4CF5DB4E" w14:textId="77777777" w:rsidTr="00327C71">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EC4975A" w14:textId="6516A2DF" w:rsidR="0EDB2EA1" w:rsidRDefault="0EDB2EA1">
            <w:r w:rsidRPr="0EDB2EA1">
              <w:rPr>
                <w:rFonts w:ascii="Calibri" w:eastAsia="Calibri" w:hAnsi="Calibri" w:cs="Calibri"/>
                <w:b/>
                <w:bCs/>
                <w:sz w:val="18"/>
                <w:szCs w:val="18"/>
              </w:rPr>
              <w:t>Resultado Primário das Empresas Estatais</w:t>
            </w:r>
          </w:p>
        </w:tc>
        <w:tc>
          <w:tcPr>
            <w:tcW w:w="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06F4A4" w14:textId="2CEC1E50" w:rsidR="0EDB2EA1" w:rsidRDefault="0EDB2EA1" w:rsidP="0EDB2EA1">
            <w:pPr>
              <w:jc w:val="right"/>
            </w:pPr>
            <w:r w:rsidRPr="0EDB2EA1">
              <w:rPr>
                <w:rFonts w:ascii="Calibri" w:eastAsia="Calibri" w:hAnsi="Calibri" w:cs="Calibri"/>
                <w:sz w:val="18"/>
                <w:szCs w:val="18"/>
              </w:rPr>
              <w:t>E</w:t>
            </w:r>
          </w:p>
          <w:p w14:paraId="6243C628" w14:textId="5F267826" w:rsidR="0EDB2EA1" w:rsidRDefault="0EDB2EA1" w:rsidP="0EDB2EA1">
            <w:pPr>
              <w:jc w:val="right"/>
            </w:pPr>
            <w:r w:rsidRPr="0EDB2EA1">
              <w:rPr>
                <w:rFonts w:ascii="Calibri" w:eastAsia="Calibri" w:hAnsi="Calibri" w:cs="Calibri"/>
                <w:sz w:val="18"/>
                <w:szCs w:val="18"/>
              </w:rPr>
              <w:t>R</w:t>
            </w:r>
          </w:p>
          <w:p w14:paraId="1F3487C7" w14:textId="44ECA76D" w:rsidR="0EDB2EA1" w:rsidRDefault="0EDB2EA1" w:rsidP="0EDB2EA1">
            <w:pPr>
              <w:jc w:val="right"/>
            </w:pPr>
            <w:r w:rsidRPr="0EDB2EA1">
              <w:rPr>
                <w:rFonts w:ascii="Calibri" w:eastAsia="Calibri" w:hAnsi="Calibri" w:cs="Calibri"/>
                <w:sz w:val="18"/>
                <w:szCs w:val="18"/>
              </w:rPr>
              <w:t>%</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4607C37" w14:textId="10E23D39" w:rsidR="0EDB2EA1" w:rsidRDefault="0EDB2EA1" w:rsidP="0EDB2EA1">
            <w:pPr>
              <w:jc w:val="right"/>
            </w:pPr>
            <w:r w:rsidRPr="0EDB2EA1">
              <w:rPr>
                <w:rFonts w:ascii="Calibri" w:eastAsia="Calibri" w:hAnsi="Calibri" w:cs="Calibri"/>
                <w:sz w:val="18"/>
                <w:szCs w:val="18"/>
              </w:rPr>
              <w:t>-3.500,0</w:t>
            </w:r>
          </w:p>
          <w:p w14:paraId="67ED1050" w14:textId="08D5597F" w:rsidR="0EDB2EA1" w:rsidRDefault="0EDB2EA1" w:rsidP="0EDB2EA1">
            <w:pPr>
              <w:jc w:val="right"/>
            </w:pPr>
            <w:r w:rsidRPr="0EDB2EA1">
              <w:rPr>
                <w:rFonts w:ascii="Calibri" w:eastAsia="Calibri" w:hAnsi="Calibri" w:cs="Calibri"/>
                <w:sz w:val="18"/>
                <w:szCs w:val="18"/>
              </w:rPr>
              <w:t>3.466,4</w:t>
            </w:r>
          </w:p>
          <w:p w14:paraId="1ED74F50" w14:textId="3559E5EC" w:rsidR="0EDB2EA1" w:rsidRDefault="0EDB2EA1" w:rsidP="0EDB2EA1">
            <w:pPr>
              <w:jc w:val="right"/>
            </w:pPr>
            <w:r w:rsidRPr="0EDB2EA1">
              <w:rPr>
                <w:rFonts w:ascii="Calibri" w:eastAsia="Calibri" w:hAnsi="Calibri" w:cs="Calibri"/>
                <w:sz w:val="18"/>
                <w:szCs w:val="18"/>
              </w:rPr>
              <w:t>199,0%</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DE0026F" w14:textId="390896B0" w:rsidR="0EDB2EA1" w:rsidRDefault="0EDB2EA1" w:rsidP="0EDB2EA1">
            <w:pPr>
              <w:jc w:val="right"/>
            </w:pPr>
            <w:r w:rsidRPr="0EDB2EA1">
              <w:rPr>
                <w:rFonts w:ascii="Calibri" w:eastAsia="Calibri" w:hAnsi="Calibri" w:cs="Calibri"/>
                <w:sz w:val="18"/>
                <w:szCs w:val="18"/>
              </w:rPr>
              <w:t>-3.500,0</w:t>
            </w:r>
          </w:p>
          <w:p w14:paraId="0B11D02D" w14:textId="11129EF8" w:rsidR="0EDB2EA1" w:rsidRDefault="0EDB2EA1" w:rsidP="0EDB2EA1">
            <w:pPr>
              <w:jc w:val="right"/>
            </w:pPr>
            <w:r w:rsidRPr="0EDB2EA1">
              <w:rPr>
                <w:rFonts w:ascii="Calibri" w:eastAsia="Calibri" w:hAnsi="Calibri" w:cs="Calibri"/>
                <w:sz w:val="18"/>
                <w:szCs w:val="18"/>
              </w:rPr>
              <w:t>10.291,8</w:t>
            </w:r>
          </w:p>
          <w:p w14:paraId="0DAE4A3A" w14:textId="349C635A" w:rsidR="0EDB2EA1" w:rsidRDefault="0EDB2EA1" w:rsidP="0EDB2EA1">
            <w:pPr>
              <w:jc w:val="right"/>
            </w:pPr>
            <w:r w:rsidRPr="0EDB2EA1">
              <w:rPr>
                <w:rFonts w:ascii="Calibri" w:eastAsia="Calibri" w:hAnsi="Calibri" w:cs="Calibri"/>
                <w:sz w:val="18"/>
                <w:szCs w:val="18"/>
              </w:rPr>
              <w:t>394,1%</w:t>
            </w:r>
          </w:p>
        </w:tc>
        <w:tc>
          <w:tcPr>
            <w:tcW w:w="14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3DA2461" w14:textId="563FA34C" w:rsidR="0EDB2EA1" w:rsidRDefault="0EDB2EA1" w:rsidP="0EDB2EA1">
            <w:pPr>
              <w:jc w:val="right"/>
            </w:pPr>
            <w:r w:rsidRPr="51379820">
              <w:rPr>
                <w:rFonts w:ascii="Calibri" w:eastAsia="Calibri" w:hAnsi="Calibri" w:cs="Calibri"/>
                <w:sz w:val="18"/>
                <w:szCs w:val="18"/>
              </w:rPr>
              <w:t>-3.810,0</w:t>
            </w:r>
          </w:p>
          <w:p w14:paraId="08FAC1ED" w14:textId="17E09EF3" w:rsidR="0EDB2EA1" w:rsidRDefault="0EDB2EA1" w:rsidP="0EDB2EA1">
            <w:pPr>
              <w:jc w:val="right"/>
            </w:pPr>
            <w:r w:rsidRPr="0EDB2EA1">
              <w:rPr>
                <w:rFonts w:ascii="Calibri" w:eastAsia="Calibri" w:hAnsi="Calibri" w:cs="Calibri"/>
                <w:sz w:val="18"/>
                <w:szCs w:val="18"/>
              </w:rPr>
              <w:t>107</w:t>
            </w:r>
          </w:p>
          <w:p w14:paraId="22940B87" w14:textId="141321AA" w:rsidR="0EDB2EA1" w:rsidRDefault="0EDB2EA1" w:rsidP="0EDB2EA1">
            <w:pPr>
              <w:jc w:val="right"/>
            </w:pPr>
            <w:r w:rsidRPr="0EDB2EA1">
              <w:rPr>
                <w:rFonts w:ascii="Calibri" w:eastAsia="Calibri" w:hAnsi="Calibri" w:cs="Calibri"/>
                <w:sz w:val="18"/>
                <w:szCs w:val="18"/>
              </w:rPr>
              <w:t>-102,8%</w:t>
            </w:r>
          </w:p>
        </w:tc>
      </w:tr>
      <w:tr w:rsidR="0EDB2EA1" w14:paraId="1C3F0004" w14:textId="77777777" w:rsidTr="00327C71">
        <w:tc>
          <w:tcPr>
            <w:tcW w:w="9914" w:type="dxa"/>
            <w:gridSpan w:val="5"/>
            <w:tcBorders>
              <w:top w:val="single" w:sz="4" w:space="0" w:color="BFBFBF" w:themeColor="background1" w:themeShade="BF"/>
              <w:left w:val="nil"/>
            </w:tcBorders>
          </w:tcPr>
          <w:p w14:paraId="7F9A6E57" w14:textId="1D50D882" w:rsidR="0EDB2EA1" w:rsidRDefault="0EDB2EA1">
            <w:proofErr w:type="gramStart"/>
            <w:r w:rsidRPr="0EDB2EA1">
              <w:rPr>
                <w:rFonts w:ascii="Calibri" w:eastAsia="Calibri" w:hAnsi="Calibri" w:cs="Calibri"/>
                <w:i/>
                <w:iCs/>
                <w:sz w:val="16"/>
                <w:szCs w:val="16"/>
                <w:vertAlign w:val="superscript"/>
              </w:rPr>
              <w:t>1</w:t>
            </w:r>
            <w:proofErr w:type="gramEnd"/>
            <w:r w:rsidRPr="0EDB2EA1">
              <w:rPr>
                <w:rFonts w:ascii="Calibri" w:eastAsia="Calibri" w:hAnsi="Calibri" w:cs="Calibri"/>
                <w:i/>
                <w:iCs/>
                <w:sz w:val="16"/>
                <w:szCs w:val="16"/>
                <w:vertAlign w:val="superscript"/>
              </w:rPr>
              <w:t xml:space="preserve"> </w:t>
            </w:r>
            <w:r w:rsidRPr="0EDB2EA1">
              <w:rPr>
                <w:rFonts w:ascii="Calibri" w:eastAsia="Calibri" w:hAnsi="Calibri" w:cs="Calibri"/>
                <w:i/>
                <w:iCs/>
                <w:sz w:val="16"/>
                <w:szCs w:val="16"/>
              </w:rPr>
              <w:t>Variação entre os valores estimados na LOA e os realizados.</w:t>
            </w:r>
          </w:p>
          <w:p w14:paraId="24F39A11" w14:textId="67446836" w:rsidR="0EDB2EA1" w:rsidRDefault="0EDB2EA1">
            <w:r w:rsidRPr="0EDB2EA1">
              <w:rPr>
                <w:rFonts w:ascii="Calibri" w:eastAsia="Calibri" w:hAnsi="Calibri" w:cs="Calibri"/>
                <w:b/>
                <w:bCs/>
                <w:i/>
                <w:iCs/>
                <w:sz w:val="16"/>
                <w:szCs w:val="16"/>
              </w:rPr>
              <w:t>Fonte e elaboração</w:t>
            </w:r>
            <w:r w:rsidRPr="0EDB2EA1">
              <w:rPr>
                <w:rFonts w:ascii="Calibri" w:eastAsia="Calibri" w:hAnsi="Calibri" w:cs="Calibri"/>
                <w:i/>
                <w:iCs/>
                <w:sz w:val="16"/>
                <w:szCs w:val="16"/>
              </w:rPr>
              <w:t>: STN: dividendos e aumento de capital. SEST e BACEN: resultado primário</w:t>
            </w:r>
          </w:p>
        </w:tc>
      </w:tr>
    </w:tbl>
    <w:p w14:paraId="391691F5" w14:textId="2C8562DB" w:rsidR="00A21F07" w:rsidRDefault="523B8B10" w:rsidP="0EDB2EA1">
      <w:pPr>
        <w:spacing w:after="120" w:line="257" w:lineRule="exact"/>
        <w:jc w:val="both"/>
      </w:pPr>
      <w:r w:rsidRPr="0EDB2EA1">
        <w:rPr>
          <w:rFonts w:ascii="Calibri" w:eastAsia="Calibri" w:hAnsi="Calibri" w:cs="Calibri"/>
          <w:color w:val="00B050"/>
          <w:sz w:val="24"/>
          <w:szCs w:val="24"/>
        </w:rPr>
        <w:t xml:space="preserve"> </w:t>
      </w:r>
    </w:p>
    <w:p w14:paraId="741E3E19" w14:textId="7086D8C9"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Em relação à receita de dividendos, houve arrecadação inferior à previsão apenas no exercício de 2020. O motivo dessa diferença foi o acréscimo de R$7 bilhões durante a aprovação da LOA 2020 (R$13.521,8 milhões), pois o valor proposto na PLOA 2020, com base na metodologia para previsão de dividendos, era de R$6.521,8 </w:t>
      </w:r>
      <w:proofErr w:type="gramStart"/>
      <w:r w:rsidRPr="0EDB2EA1">
        <w:rPr>
          <w:rFonts w:ascii="Calibri" w:eastAsia="Calibri" w:hAnsi="Calibri" w:cs="Calibri"/>
          <w:color w:val="000000" w:themeColor="text1"/>
          <w:sz w:val="24"/>
          <w:szCs w:val="24"/>
        </w:rPr>
        <w:t>milhões, muito próximo do valor realizado</w:t>
      </w:r>
      <w:proofErr w:type="gramEnd"/>
      <w:r w:rsidRPr="0EDB2EA1">
        <w:rPr>
          <w:rFonts w:ascii="Calibri" w:eastAsia="Calibri" w:hAnsi="Calibri" w:cs="Calibri"/>
          <w:color w:val="000000" w:themeColor="text1"/>
          <w:sz w:val="24"/>
          <w:szCs w:val="24"/>
        </w:rPr>
        <w:t xml:space="preserve">. Em 2019, ocorreram eventos extraordinários, com </w:t>
      </w:r>
      <w:proofErr w:type="gramStart"/>
      <w:r w:rsidRPr="0EDB2EA1">
        <w:rPr>
          <w:rFonts w:ascii="Calibri" w:eastAsia="Calibri" w:hAnsi="Calibri" w:cs="Calibri"/>
          <w:color w:val="000000" w:themeColor="text1"/>
          <w:sz w:val="24"/>
          <w:szCs w:val="24"/>
        </w:rPr>
        <w:t>a obtenção de melhores resultados econômicos</w:t>
      </w:r>
      <w:proofErr w:type="gramEnd"/>
      <w:r w:rsidRPr="0EDB2EA1">
        <w:rPr>
          <w:rFonts w:ascii="Calibri" w:eastAsia="Calibri" w:hAnsi="Calibri" w:cs="Calibri"/>
          <w:color w:val="000000" w:themeColor="text1"/>
          <w:sz w:val="24"/>
          <w:szCs w:val="24"/>
        </w:rPr>
        <w:t xml:space="preserve"> pelas empresas, que culminaram em antecipação de dividendos, o que ocasionou um aumento significativo da arrecadação. O acréscimo da previsão de arrecadação, pelo Congresso Nacional, em 2020, esteve muito provavelmente relacionado a um cenário de novas antecipações naquele ano e pagamentos acima do mínimo obrigatório, o que não ocorreu porque, além de não haver uma deliberação prévia da administração das empresas nesse sentido, o </w:t>
      </w:r>
      <w:r w:rsidR="00F7612A">
        <w:rPr>
          <w:rFonts w:ascii="Calibri" w:eastAsia="Calibri" w:hAnsi="Calibri" w:cs="Calibri"/>
          <w:color w:val="000000" w:themeColor="text1"/>
          <w:sz w:val="24"/>
          <w:szCs w:val="24"/>
        </w:rPr>
        <w:t>BCB</w:t>
      </w:r>
      <w:r w:rsidRPr="0EDB2EA1">
        <w:rPr>
          <w:rFonts w:ascii="Calibri" w:eastAsia="Calibri" w:hAnsi="Calibri" w:cs="Calibri"/>
          <w:color w:val="000000" w:themeColor="text1"/>
          <w:sz w:val="24"/>
          <w:szCs w:val="24"/>
        </w:rPr>
        <w:t xml:space="preserve">, em razão da Pandemia COVID-19, definiu restrições para a distribuição de remuneração aos acionistas pelas instituições financeiras, por medida de precaução, frente ao cenário de incertezas. Assim, bancos federais ficaram impedidos de destinar dividendos acima do mínimo obrigatório, bem como realizar pagamentos por resultados no mesmo exercício (antecipações).  </w:t>
      </w:r>
    </w:p>
    <w:p w14:paraId="44D2E5DC" w14:textId="58FA9EE6"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Em relação às transferências para aumento de capital, não houve acréscimo (suplementação orçamentária) relevante dos valores orçados acrescidos dos restos a pagar em todos os exercícios. Observa-se um crescimento, contudo, do patamar das transferências, sobretudo em 2019, decorrente das transferências para aumento de capital da </w:t>
      </w:r>
      <w:proofErr w:type="spellStart"/>
      <w:r w:rsidRPr="0EDB2EA1">
        <w:rPr>
          <w:rFonts w:ascii="Calibri" w:eastAsia="Calibri" w:hAnsi="Calibri" w:cs="Calibri"/>
          <w:color w:val="000000" w:themeColor="text1"/>
          <w:sz w:val="24"/>
          <w:szCs w:val="24"/>
        </w:rPr>
        <w:t>Emgepron</w:t>
      </w:r>
      <w:proofErr w:type="spellEnd"/>
      <w:r w:rsidRPr="0EDB2EA1">
        <w:rPr>
          <w:rFonts w:ascii="Calibri" w:eastAsia="Calibri" w:hAnsi="Calibri" w:cs="Calibri"/>
          <w:color w:val="000000" w:themeColor="text1"/>
          <w:sz w:val="24"/>
          <w:szCs w:val="24"/>
        </w:rPr>
        <w:t xml:space="preserve"> (Empresa Gerencial de Projetos Navais), empresa estatal que recebeu o maior valor, destinado à recomposição do núcleo naval através da construção de novas Corvetas. O ano de 2020 representou uma queda dramática dos valores para aumento de capital, sendo que a dotação do exercício foi mínima (somente R$29 milhões com restos a pagar do exercício anterior adicionado de R$643 milhões, totalizando R$672 milhões no total). Ainda assim, o realizado em 2020, ou seja, as transferências pagas se limitaram a R$24 milhões, apenas 4% do valor estimado. Isso se deve, em parte, ao não aporte do recurso previsto (R$25,0 milhões) para constituição do capital inicial da Empresa NAV Brasil Serviços de Navegação Aérea, criada em 24/12/2020, bem como a baixa transferência dos recursos inscritos em Restos a Pagar para as Empresas Estatais, principalmente para CODESP e INFRAERO. A fraca execução financeira pode ter como fundamento os efeitos de contenção da atividade econômica pela Pandemia COVID-19 sobre os cronogramas de </w:t>
      </w:r>
      <w:proofErr w:type="gramStart"/>
      <w:r w:rsidRPr="0EDB2EA1">
        <w:rPr>
          <w:rFonts w:ascii="Calibri" w:eastAsia="Calibri" w:hAnsi="Calibri" w:cs="Calibri"/>
          <w:color w:val="000000" w:themeColor="text1"/>
          <w:sz w:val="24"/>
          <w:szCs w:val="24"/>
        </w:rPr>
        <w:t>implementação</w:t>
      </w:r>
      <w:proofErr w:type="gramEnd"/>
      <w:r w:rsidRPr="0EDB2EA1">
        <w:rPr>
          <w:rFonts w:ascii="Calibri" w:eastAsia="Calibri" w:hAnsi="Calibri" w:cs="Calibri"/>
          <w:color w:val="000000" w:themeColor="text1"/>
          <w:sz w:val="24"/>
          <w:szCs w:val="24"/>
        </w:rPr>
        <w:t xml:space="preserve"> de obras. O resultado global das transferências para aumento de capital até 2020 significa que não se materializaram no orçamento geral da União, até aquele momento, os riscos identificados anteriormente para o conjunto de empresas que apresentavam dificuldades financeiras.</w:t>
      </w:r>
    </w:p>
    <w:p w14:paraId="1E0BA4BD" w14:textId="5012C1B0" w:rsidR="00A21F07" w:rsidRDefault="523B8B10" w:rsidP="00C57CCF">
      <w:pPr>
        <w:spacing w:after="120" w:line="240" w:lineRule="auto"/>
        <w:ind w:firstLine="1418"/>
        <w:jc w:val="both"/>
      </w:pPr>
      <w:r w:rsidRPr="0EDB2EA1">
        <w:rPr>
          <w:rFonts w:ascii="Calibri" w:eastAsia="Calibri" w:hAnsi="Calibri" w:cs="Calibri"/>
          <w:color w:val="000000" w:themeColor="text1"/>
          <w:sz w:val="24"/>
          <w:szCs w:val="24"/>
        </w:rPr>
        <w:t xml:space="preserve">Quanto ao resultado primário das empresas estatais, pode-se observar que os resultados dos últimos três exercícios foram de superávit, enquanto a previsão de déficit situou-se </w:t>
      </w:r>
      <w:r w:rsidRPr="0EDB2EA1">
        <w:rPr>
          <w:rFonts w:ascii="Calibri" w:eastAsia="Calibri" w:hAnsi="Calibri" w:cs="Calibri"/>
          <w:color w:val="000000" w:themeColor="text1"/>
          <w:sz w:val="24"/>
          <w:szCs w:val="24"/>
        </w:rPr>
        <w:lastRenderedPageBreak/>
        <w:t xml:space="preserve">em torno de R$3,5 bilhões, o que é um aspecto positivo do ponto de vista da gestão de riscos. A grande diferença, em 2019, entre o previsto e o realizado tem como pano de </w:t>
      </w:r>
      <w:proofErr w:type="gramStart"/>
      <w:r w:rsidRPr="0EDB2EA1">
        <w:rPr>
          <w:rFonts w:ascii="Calibri" w:eastAsia="Calibri" w:hAnsi="Calibri" w:cs="Calibri"/>
          <w:color w:val="000000" w:themeColor="text1"/>
          <w:sz w:val="24"/>
          <w:szCs w:val="24"/>
        </w:rPr>
        <w:t>fundo aportes</w:t>
      </w:r>
      <w:proofErr w:type="gramEnd"/>
      <w:r w:rsidRPr="0EDB2EA1">
        <w:rPr>
          <w:rFonts w:ascii="Calibri" w:eastAsia="Calibri" w:hAnsi="Calibri" w:cs="Calibri"/>
          <w:color w:val="000000" w:themeColor="text1"/>
          <w:sz w:val="24"/>
          <w:szCs w:val="24"/>
        </w:rPr>
        <w:t xml:space="preserve"> de capital significativos que não foram aplicados, ou seja, permaneceram os recursos nas disponibilidades das empresas, especialmente a </w:t>
      </w:r>
      <w:proofErr w:type="spellStart"/>
      <w:r w:rsidRPr="0EDB2EA1">
        <w:rPr>
          <w:rFonts w:ascii="Calibri" w:eastAsia="Calibri" w:hAnsi="Calibri" w:cs="Calibri"/>
          <w:color w:val="000000" w:themeColor="text1"/>
          <w:sz w:val="24"/>
          <w:szCs w:val="24"/>
        </w:rPr>
        <w:t>Emgepron</w:t>
      </w:r>
      <w:proofErr w:type="spellEnd"/>
      <w:r w:rsidRPr="0EDB2EA1">
        <w:rPr>
          <w:rFonts w:ascii="Calibri" w:eastAsia="Calibri" w:hAnsi="Calibri" w:cs="Calibri"/>
          <w:color w:val="000000" w:themeColor="text1"/>
          <w:sz w:val="24"/>
          <w:szCs w:val="24"/>
        </w:rPr>
        <w:t xml:space="preserve">. Uma consequência desse fato é a vinculação das próximas previsões de déficits primários de algumas empresas estatais à execução físico-financeira de projetos específicos. O exercício de 2020 foi ainda afetado pelos efeitos econômicos decorrentes da Pandemia COVID-19. Alguns importantes projetos de investimento tiveram cronogramas de </w:t>
      </w:r>
      <w:proofErr w:type="gramStart"/>
      <w:r w:rsidRPr="0EDB2EA1">
        <w:rPr>
          <w:rFonts w:ascii="Calibri" w:eastAsia="Calibri" w:hAnsi="Calibri" w:cs="Calibri"/>
          <w:color w:val="000000" w:themeColor="text1"/>
          <w:sz w:val="24"/>
          <w:szCs w:val="24"/>
        </w:rPr>
        <w:t>implementação</w:t>
      </w:r>
      <w:proofErr w:type="gramEnd"/>
      <w:r w:rsidRPr="0EDB2EA1">
        <w:rPr>
          <w:rFonts w:ascii="Calibri" w:eastAsia="Calibri" w:hAnsi="Calibri" w:cs="Calibri"/>
          <w:color w:val="000000" w:themeColor="text1"/>
          <w:sz w:val="24"/>
          <w:szCs w:val="24"/>
        </w:rPr>
        <w:t xml:space="preserve"> postergados. Algumas empresas apresentaram melhor resultado do que o estimado como o Serpro, </w:t>
      </w:r>
      <w:proofErr w:type="spellStart"/>
      <w:r w:rsidRPr="0EDB2EA1">
        <w:rPr>
          <w:rFonts w:ascii="Calibri" w:eastAsia="Calibri" w:hAnsi="Calibri" w:cs="Calibri"/>
          <w:color w:val="000000" w:themeColor="text1"/>
          <w:sz w:val="24"/>
          <w:szCs w:val="24"/>
        </w:rPr>
        <w:t>Dataprev</w:t>
      </w:r>
      <w:proofErr w:type="spellEnd"/>
      <w:r w:rsidRPr="0EDB2EA1">
        <w:rPr>
          <w:rFonts w:ascii="Calibri" w:eastAsia="Calibri" w:hAnsi="Calibri" w:cs="Calibri"/>
          <w:color w:val="000000" w:themeColor="text1"/>
          <w:sz w:val="24"/>
          <w:szCs w:val="24"/>
        </w:rPr>
        <w:t xml:space="preserve"> e ECT. Outras empresas sentiram negativamente fortes efeitos da Pandemia, como a Infraero, que aumentou sua participação com um déficit primário maior.</w:t>
      </w:r>
    </w:p>
    <w:p w14:paraId="2F26BC29" w14:textId="77C19C3F"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 </w:t>
      </w:r>
    </w:p>
    <w:p w14:paraId="7436E26C" w14:textId="0B8E13C6" w:rsidR="00A21F07" w:rsidRPr="00026D79" w:rsidRDefault="523B8B10" w:rsidP="00026D79">
      <w:pPr>
        <w:pStyle w:val="Ttulo4"/>
        <w:keepLines/>
        <w:numPr>
          <w:ilvl w:val="3"/>
          <w:numId w:val="36"/>
        </w:numPr>
        <w:spacing w:before="240" w:after="120"/>
        <w:ind w:left="862" w:hanging="862"/>
        <w:jc w:val="left"/>
        <w:rPr>
          <w:rFonts w:asciiTheme="minorHAnsi" w:hAnsiTheme="minorHAnsi"/>
        </w:rPr>
      </w:pPr>
      <w:r w:rsidRPr="00026D79">
        <w:rPr>
          <w:rFonts w:asciiTheme="minorHAnsi" w:eastAsia="Calibri" w:hAnsiTheme="minorHAnsi"/>
        </w:rPr>
        <w:t xml:space="preserve">Estimativas de fluxos para o </w:t>
      </w:r>
      <w:proofErr w:type="gramStart"/>
      <w:r w:rsidRPr="00026D79">
        <w:rPr>
          <w:rFonts w:asciiTheme="minorHAnsi" w:eastAsia="Calibri" w:hAnsiTheme="minorHAnsi"/>
        </w:rPr>
        <w:t>atual e próximos três</w:t>
      </w:r>
      <w:proofErr w:type="gramEnd"/>
      <w:r w:rsidRPr="00026D79">
        <w:rPr>
          <w:rFonts w:asciiTheme="minorHAnsi" w:eastAsia="Calibri" w:hAnsiTheme="minorHAnsi"/>
        </w:rPr>
        <w:t xml:space="preserve"> exercícios subsequentes</w:t>
      </w:r>
    </w:p>
    <w:p w14:paraId="42F8AC75" w14:textId="1F1A406D" w:rsidR="00A21F07" w:rsidRDefault="523B8B10" w:rsidP="007830CA">
      <w:pPr>
        <w:spacing w:after="120" w:line="240" w:lineRule="auto"/>
        <w:ind w:firstLine="1418"/>
        <w:jc w:val="both"/>
      </w:pPr>
      <w:r w:rsidRPr="51379820">
        <w:rPr>
          <w:rFonts w:ascii="Calibri" w:eastAsia="Calibri" w:hAnsi="Calibri" w:cs="Calibri"/>
          <w:color w:val="000000" w:themeColor="text1"/>
          <w:sz w:val="24"/>
          <w:szCs w:val="24"/>
        </w:rPr>
        <w:t xml:space="preserve">São apresentados na </w:t>
      </w:r>
      <w:r w:rsidR="00187204" w:rsidRPr="00187204">
        <w:rPr>
          <w:rFonts w:ascii="Calibri" w:eastAsia="Calibri" w:hAnsi="Calibri" w:cs="Calibri"/>
          <w:color w:val="000000" w:themeColor="text1"/>
          <w:sz w:val="24"/>
          <w:szCs w:val="24"/>
        </w:rPr>
        <w:fldChar w:fldCharType="begin"/>
      </w:r>
      <w:r w:rsidR="00187204" w:rsidRPr="00187204">
        <w:rPr>
          <w:rFonts w:ascii="Calibri" w:eastAsia="Calibri" w:hAnsi="Calibri" w:cs="Calibri"/>
          <w:color w:val="000000" w:themeColor="text1"/>
          <w:sz w:val="24"/>
          <w:szCs w:val="24"/>
        </w:rPr>
        <w:instrText xml:space="preserve"> REF _Ref68016203 \h  \* MERGEFORMAT </w:instrText>
      </w:r>
      <w:r w:rsidR="00187204" w:rsidRPr="00187204">
        <w:rPr>
          <w:rFonts w:ascii="Calibri" w:eastAsia="Calibri" w:hAnsi="Calibri" w:cs="Calibri"/>
          <w:color w:val="000000" w:themeColor="text1"/>
          <w:sz w:val="24"/>
          <w:szCs w:val="24"/>
        </w:rPr>
      </w:r>
      <w:r w:rsidR="00187204" w:rsidRPr="00187204">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60</w:t>
      </w:r>
      <w:r w:rsidR="00187204" w:rsidRPr="00187204">
        <w:rPr>
          <w:rFonts w:ascii="Calibri" w:eastAsia="Calibri" w:hAnsi="Calibri" w:cs="Calibri"/>
          <w:color w:val="000000" w:themeColor="text1"/>
          <w:sz w:val="24"/>
          <w:szCs w:val="24"/>
        </w:rPr>
        <w:fldChar w:fldCharType="end"/>
      </w:r>
      <w:r w:rsidRPr="51379820">
        <w:rPr>
          <w:rFonts w:ascii="Calibri" w:eastAsia="Calibri" w:hAnsi="Calibri" w:cs="Calibri"/>
          <w:color w:val="000000" w:themeColor="text1"/>
          <w:sz w:val="24"/>
          <w:szCs w:val="24"/>
        </w:rPr>
        <w:t xml:space="preserve"> os fluxos que constituem a base para a apuração dos riscos fiscais acima mencionados. Trata-se de fluxos de naturezas diversas, sendo: a) ingresso de receitas; b) realização de despesa e c) resultado primário</w:t>
      </w:r>
      <w:r w:rsidR="3DEF5A57" w:rsidRPr="51379820">
        <w:rPr>
          <w:rFonts w:ascii="Calibri" w:eastAsia="Calibri" w:hAnsi="Calibri" w:cs="Calibri"/>
          <w:color w:val="000000" w:themeColor="text1"/>
          <w:sz w:val="24"/>
          <w:szCs w:val="24"/>
        </w:rPr>
        <w:t>.</w:t>
      </w:r>
      <w:r w:rsidRPr="51379820">
        <w:rPr>
          <w:rFonts w:ascii="Calibri" w:eastAsia="Calibri" w:hAnsi="Calibri" w:cs="Calibri"/>
          <w:color w:val="000000" w:themeColor="text1"/>
          <w:sz w:val="24"/>
          <w:szCs w:val="24"/>
        </w:rPr>
        <w:t xml:space="preserve"> O valor da previsão das transferências para aumento de capital (valores pagos) inclui dotação orçamentária anual acrescida dos restos a pagar (RAP).</w:t>
      </w:r>
    </w:p>
    <w:p w14:paraId="65CC5A77" w14:textId="056CEC03" w:rsidR="00A21F07" w:rsidRPr="00187204" w:rsidRDefault="523B8B10" w:rsidP="00187204">
      <w:pPr>
        <w:pStyle w:val="Legenda"/>
        <w:jc w:val="center"/>
        <w:rPr>
          <w:rFonts w:asciiTheme="minorHAnsi" w:hAnsiTheme="minorHAnsi" w:cstheme="minorHAnsi"/>
          <w:i w:val="0"/>
          <w:color w:val="auto"/>
          <w:sz w:val="22"/>
          <w:szCs w:val="22"/>
        </w:rPr>
      </w:pPr>
      <w:bookmarkStart w:id="421" w:name="_Ref68016203"/>
      <w:bookmarkStart w:id="422" w:name="_Toc69121406"/>
      <w:r w:rsidRPr="00187204">
        <w:rPr>
          <w:rFonts w:asciiTheme="minorHAnsi" w:eastAsia="Calibri" w:hAnsiTheme="minorHAnsi" w:cstheme="minorHAnsi"/>
          <w:i w:val="0"/>
          <w:color w:val="auto"/>
          <w:sz w:val="22"/>
          <w:szCs w:val="22"/>
        </w:rPr>
        <w:t xml:space="preserve">Tabela </w:t>
      </w:r>
      <w:r w:rsidR="00187204" w:rsidRPr="00187204">
        <w:rPr>
          <w:rFonts w:asciiTheme="minorHAnsi" w:hAnsiTheme="minorHAnsi" w:cstheme="minorHAnsi"/>
          <w:i w:val="0"/>
          <w:color w:val="auto"/>
          <w:sz w:val="22"/>
          <w:szCs w:val="22"/>
        </w:rPr>
        <w:fldChar w:fldCharType="begin"/>
      </w:r>
      <w:r w:rsidR="00187204" w:rsidRPr="00187204">
        <w:rPr>
          <w:rFonts w:asciiTheme="minorHAnsi" w:hAnsiTheme="minorHAnsi" w:cstheme="minorHAnsi"/>
          <w:i w:val="0"/>
          <w:color w:val="auto"/>
          <w:sz w:val="22"/>
          <w:szCs w:val="22"/>
        </w:rPr>
        <w:instrText xml:space="preserve"> SEQ Tabela \* ARABIC </w:instrText>
      </w:r>
      <w:r w:rsidR="00187204" w:rsidRPr="0018720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60</w:t>
      </w:r>
      <w:r w:rsidR="00187204" w:rsidRPr="00187204">
        <w:rPr>
          <w:rFonts w:asciiTheme="minorHAnsi" w:hAnsiTheme="minorHAnsi" w:cstheme="minorHAnsi"/>
          <w:i w:val="0"/>
          <w:color w:val="auto"/>
          <w:sz w:val="22"/>
          <w:szCs w:val="22"/>
        </w:rPr>
        <w:fldChar w:fldCharType="end"/>
      </w:r>
      <w:bookmarkEnd w:id="421"/>
      <w:r w:rsidRPr="00187204">
        <w:rPr>
          <w:rFonts w:asciiTheme="minorHAnsi" w:eastAsia="Calibri" w:hAnsiTheme="minorHAnsi" w:cstheme="minorHAnsi"/>
          <w:i w:val="0"/>
          <w:color w:val="auto"/>
          <w:sz w:val="22"/>
          <w:szCs w:val="22"/>
        </w:rPr>
        <w:t xml:space="preserve"> - Fluxos estimados - Estatais</w:t>
      </w:r>
      <w:bookmarkEnd w:id="422"/>
    </w:p>
    <w:tbl>
      <w:tblPr>
        <w:tblStyle w:val="Tabelacomgrade"/>
        <w:tblW w:w="0" w:type="auto"/>
        <w:tblLayout w:type="fixed"/>
        <w:tblLook w:val="06A0" w:firstRow="1" w:lastRow="0" w:firstColumn="1" w:lastColumn="0" w:noHBand="1" w:noVBand="1"/>
      </w:tblPr>
      <w:tblGrid>
        <w:gridCol w:w="3405"/>
        <w:gridCol w:w="1485"/>
        <w:gridCol w:w="1485"/>
        <w:gridCol w:w="975"/>
        <w:gridCol w:w="900"/>
        <w:gridCol w:w="1380"/>
      </w:tblGrid>
      <w:tr w:rsidR="0EDB2EA1" w14:paraId="6A362C31" w14:textId="77777777" w:rsidTr="0EDB2EA1">
        <w:trPr>
          <w:trHeight w:val="15"/>
        </w:trPr>
        <w:tc>
          <w:tcPr>
            <w:tcW w:w="9630" w:type="dxa"/>
            <w:gridSpan w:val="6"/>
            <w:tcBorders>
              <w:top w:val="nil"/>
              <w:left w:val="nil"/>
              <w:bottom w:val="single" w:sz="8" w:space="0" w:color="BFBFBF" w:themeColor="background1" w:themeShade="BF"/>
              <w:right w:val="nil"/>
            </w:tcBorders>
            <w:vAlign w:val="center"/>
          </w:tcPr>
          <w:p w14:paraId="32546496" w14:textId="1BD1A7A3" w:rsidR="0EDB2EA1" w:rsidRDefault="0EDB2EA1" w:rsidP="0EDB2EA1">
            <w:pPr>
              <w:jc w:val="right"/>
            </w:pPr>
            <w:r w:rsidRPr="0EDB2EA1">
              <w:rPr>
                <w:rFonts w:ascii="Calibri" w:eastAsia="Calibri" w:hAnsi="Calibri" w:cs="Calibri"/>
                <w:i/>
                <w:iCs/>
                <w:sz w:val="16"/>
                <w:szCs w:val="16"/>
              </w:rPr>
              <w:t>Em R$ milhões</w:t>
            </w:r>
          </w:p>
        </w:tc>
      </w:tr>
      <w:tr w:rsidR="0EDB2EA1" w14:paraId="2FA1FF42" w14:textId="77777777" w:rsidTr="0EDB2EA1">
        <w:trPr>
          <w:trHeight w:val="15"/>
        </w:trPr>
        <w:tc>
          <w:tcPr>
            <w:tcW w:w="3405"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785E847E" w14:textId="19C3B79B" w:rsidR="0EDB2EA1" w:rsidRDefault="0EDB2EA1" w:rsidP="0EDB2EA1">
            <w:pPr>
              <w:jc w:val="center"/>
            </w:pPr>
            <w:r w:rsidRPr="0EDB2EA1">
              <w:rPr>
                <w:rFonts w:ascii="Calibri" w:eastAsia="Calibri" w:hAnsi="Calibri" w:cs="Calibri"/>
                <w:b/>
                <w:bCs/>
                <w:color w:val="FFFFFF" w:themeColor="background1"/>
                <w:sz w:val="20"/>
                <w:szCs w:val="20"/>
              </w:rPr>
              <w:t>Natureza do Fluxo</w:t>
            </w:r>
          </w:p>
        </w:tc>
        <w:tc>
          <w:tcPr>
            <w:tcW w:w="4845" w:type="dxa"/>
            <w:gridSpan w:val="4"/>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61F4CB19" w14:textId="25E18961" w:rsidR="0EDB2EA1" w:rsidRDefault="0EDB2EA1" w:rsidP="0EDB2EA1">
            <w:pPr>
              <w:jc w:val="center"/>
            </w:pPr>
            <w:r w:rsidRPr="0EDB2EA1">
              <w:rPr>
                <w:rFonts w:ascii="Calibri" w:eastAsia="Calibri" w:hAnsi="Calibri" w:cs="Calibri"/>
                <w:b/>
                <w:bCs/>
                <w:color w:val="FFFFFF" w:themeColor="background1"/>
                <w:sz w:val="20"/>
                <w:szCs w:val="20"/>
              </w:rPr>
              <w:t>Fluxo</w:t>
            </w:r>
          </w:p>
          <w:p w14:paraId="7EE7DCE7" w14:textId="18F68C3D" w:rsidR="0EDB2EA1" w:rsidRDefault="0EDB2EA1" w:rsidP="0EDB2EA1">
            <w:pPr>
              <w:jc w:val="center"/>
            </w:pPr>
            <w:r w:rsidRPr="0EDB2EA1">
              <w:rPr>
                <w:rFonts w:ascii="Calibri" w:eastAsia="Calibri" w:hAnsi="Calibri" w:cs="Calibri"/>
                <w:b/>
                <w:bCs/>
                <w:color w:val="FFFFFF" w:themeColor="background1"/>
                <w:sz w:val="20"/>
                <w:szCs w:val="20"/>
              </w:rPr>
              <w:t>Valor Estimado</w:t>
            </w:r>
          </w:p>
        </w:tc>
        <w:tc>
          <w:tcPr>
            <w:tcW w:w="1380" w:type="dxa"/>
            <w:vMerge w:val="restart"/>
            <w:tcBorders>
              <w:top w:val="nil"/>
              <w:left w:val="nil"/>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0AA242D4" w14:textId="305EF2E6" w:rsidR="0EDB2EA1" w:rsidRDefault="0EDB2EA1" w:rsidP="0EDB2EA1">
            <w:pPr>
              <w:jc w:val="center"/>
            </w:pPr>
            <w:r w:rsidRPr="0EDB2EA1">
              <w:rPr>
                <w:rFonts w:ascii="Calibri" w:eastAsia="Calibri" w:hAnsi="Calibri" w:cs="Calibri"/>
                <w:b/>
                <w:bCs/>
                <w:color w:val="FFFFFF" w:themeColor="background1"/>
                <w:sz w:val="20"/>
                <w:szCs w:val="20"/>
              </w:rPr>
              <w:t>Impacto</w:t>
            </w:r>
          </w:p>
          <w:p w14:paraId="580E1C74" w14:textId="4CE04465" w:rsidR="0EDB2EA1" w:rsidRDefault="0EDB2EA1" w:rsidP="0EDB2EA1">
            <w:pPr>
              <w:jc w:val="center"/>
            </w:pPr>
            <w:r w:rsidRPr="0EDB2EA1">
              <w:rPr>
                <w:rFonts w:ascii="Calibri" w:eastAsia="Calibri" w:hAnsi="Calibri" w:cs="Calibri"/>
                <w:color w:val="FFFFFF" w:themeColor="background1"/>
                <w:sz w:val="20"/>
                <w:szCs w:val="20"/>
              </w:rPr>
              <w:t>Financeiro (F)</w:t>
            </w:r>
          </w:p>
          <w:p w14:paraId="54693EE7" w14:textId="28BAAAD9" w:rsidR="0EDB2EA1" w:rsidRDefault="0EDB2EA1" w:rsidP="0EDB2EA1">
            <w:pPr>
              <w:jc w:val="center"/>
            </w:pPr>
            <w:r w:rsidRPr="0EDB2EA1">
              <w:rPr>
                <w:rFonts w:ascii="Calibri" w:eastAsia="Calibri" w:hAnsi="Calibri" w:cs="Calibri"/>
                <w:color w:val="FFFFFF" w:themeColor="background1"/>
                <w:sz w:val="20"/>
                <w:szCs w:val="20"/>
              </w:rPr>
              <w:t>Primário (P)</w:t>
            </w:r>
          </w:p>
        </w:tc>
      </w:tr>
      <w:tr w:rsidR="0EDB2EA1" w14:paraId="3496A8E2" w14:textId="77777777" w:rsidTr="0EDB2EA1">
        <w:trPr>
          <w:trHeight w:val="15"/>
        </w:trPr>
        <w:tc>
          <w:tcPr>
            <w:tcW w:w="3405" w:type="dxa"/>
            <w:vMerge/>
            <w:tcBorders>
              <w:left w:val="single" w:sz="0" w:space="0" w:color="BFBFBF" w:themeColor="background1" w:themeShade="BF"/>
              <w:bottom w:val="single" w:sz="0" w:space="0" w:color="BFBFBF" w:themeColor="background1" w:themeShade="BF"/>
              <w:right w:val="single" w:sz="0" w:space="0" w:color="BFBFBF" w:themeColor="background1" w:themeShade="BF"/>
            </w:tcBorders>
            <w:vAlign w:val="center"/>
          </w:tcPr>
          <w:p w14:paraId="4213B945" w14:textId="77777777" w:rsidR="00422732" w:rsidRDefault="00422732"/>
        </w:tc>
        <w:tc>
          <w:tcPr>
            <w:tcW w:w="148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404040" w:themeFill="text1" w:themeFillTint="BF"/>
          </w:tcPr>
          <w:p w14:paraId="23FE8599" w14:textId="0ABF0CAF" w:rsidR="0EDB2EA1" w:rsidRDefault="0EDB2EA1" w:rsidP="0EDB2EA1">
            <w:pPr>
              <w:jc w:val="center"/>
            </w:pPr>
            <w:r w:rsidRPr="0EDB2EA1">
              <w:rPr>
                <w:rFonts w:ascii="Calibri" w:eastAsia="Calibri" w:hAnsi="Calibri" w:cs="Calibri"/>
                <w:b/>
                <w:bCs/>
                <w:color w:val="FFFFFF" w:themeColor="background1"/>
                <w:sz w:val="20"/>
                <w:szCs w:val="20"/>
              </w:rPr>
              <w:t>2021</w:t>
            </w:r>
          </w:p>
        </w:tc>
        <w:tc>
          <w:tcPr>
            <w:tcW w:w="148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762100A0" w14:textId="5AE1273F" w:rsidR="0EDB2EA1" w:rsidRDefault="0EDB2EA1" w:rsidP="0EDB2EA1">
            <w:pPr>
              <w:jc w:val="center"/>
            </w:pPr>
            <w:r w:rsidRPr="0EDB2EA1">
              <w:rPr>
                <w:rFonts w:ascii="Calibri" w:eastAsia="Calibri" w:hAnsi="Calibri" w:cs="Calibri"/>
                <w:b/>
                <w:bCs/>
                <w:color w:val="FFFFFF" w:themeColor="background1"/>
                <w:sz w:val="20"/>
                <w:szCs w:val="20"/>
              </w:rPr>
              <w:t>2022</w:t>
            </w:r>
          </w:p>
        </w:tc>
        <w:tc>
          <w:tcPr>
            <w:tcW w:w="97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4B7473AE" w14:textId="5F61F855" w:rsidR="0EDB2EA1" w:rsidRDefault="0EDB2EA1" w:rsidP="0EDB2EA1">
            <w:pPr>
              <w:jc w:val="center"/>
            </w:pPr>
            <w:r w:rsidRPr="0EDB2EA1">
              <w:rPr>
                <w:rFonts w:ascii="Calibri" w:eastAsia="Calibri" w:hAnsi="Calibri" w:cs="Calibri"/>
                <w:b/>
                <w:bCs/>
                <w:color w:val="FFFFFF" w:themeColor="background1"/>
                <w:sz w:val="20"/>
                <w:szCs w:val="20"/>
              </w:rPr>
              <w:t>2023</w:t>
            </w:r>
          </w:p>
        </w:tc>
        <w:tc>
          <w:tcPr>
            <w:tcW w:w="90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tcPr>
          <w:p w14:paraId="2927B021" w14:textId="23DC773D" w:rsidR="0EDB2EA1" w:rsidRDefault="0EDB2EA1" w:rsidP="0EDB2EA1">
            <w:pPr>
              <w:jc w:val="center"/>
            </w:pPr>
            <w:r w:rsidRPr="0EDB2EA1">
              <w:rPr>
                <w:rFonts w:ascii="Calibri" w:eastAsia="Calibri" w:hAnsi="Calibri" w:cs="Calibri"/>
                <w:b/>
                <w:bCs/>
                <w:color w:val="FFFFFF" w:themeColor="background1"/>
                <w:sz w:val="20"/>
                <w:szCs w:val="20"/>
              </w:rPr>
              <w:t>2024</w:t>
            </w:r>
          </w:p>
        </w:tc>
        <w:tc>
          <w:tcPr>
            <w:tcW w:w="1380" w:type="dxa"/>
            <w:vMerge/>
            <w:tcBorders>
              <w:left w:val="nil"/>
              <w:bottom w:val="single" w:sz="0" w:space="0" w:color="BFBFBF" w:themeColor="background1" w:themeShade="BF"/>
              <w:right w:val="single" w:sz="0" w:space="0" w:color="BFBFBF" w:themeColor="background1" w:themeShade="BF"/>
            </w:tcBorders>
            <w:vAlign w:val="center"/>
          </w:tcPr>
          <w:p w14:paraId="45476CB2" w14:textId="77777777" w:rsidR="00422732" w:rsidRDefault="00422732"/>
        </w:tc>
      </w:tr>
      <w:tr w:rsidR="0EDB2EA1" w14:paraId="42E957B4" w14:textId="77777777" w:rsidTr="0EDB2EA1">
        <w:trPr>
          <w:trHeight w:val="15"/>
        </w:trPr>
        <w:tc>
          <w:tcPr>
            <w:tcW w:w="34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577300A3" w14:textId="0B72AA50" w:rsidR="0EDB2EA1" w:rsidRDefault="0EDB2EA1" w:rsidP="0EDB2EA1">
            <w:pPr>
              <w:jc w:val="both"/>
            </w:pPr>
            <w:r w:rsidRPr="0EDB2EA1">
              <w:rPr>
                <w:rFonts w:ascii="Calibri" w:eastAsia="Calibri" w:hAnsi="Calibri" w:cs="Calibri"/>
                <w:b/>
                <w:bCs/>
                <w:sz w:val="18"/>
                <w:szCs w:val="18"/>
              </w:rPr>
              <w:t>Receita de Dividendos e JCP</w:t>
            </w:r>
            <w:r w:rsidRPr="0EDB2EA1">
              <w:rPr>
                <w:rFonts w:ascii="Calibri" w:eastAsia="Calibri" w:hAnsi="Calibri" w:cs="Calibri"/>
                <w:b/>
                <w:bCs/>
                <w:sz w:val="18"/>
                <w:szCs w:val="18"/>
                <w:vertAlign w:val="superscript"/>
              </w:rPr>
              <w:t xml:space="preserve"> </w:t>
            </w:r>
            <w:proofErr w:type="gramStart"/>
            <w:r w:rsidRPr="0EDB2EA1">
              <w:rPr>
                <w:rFonts w:ascii="Calibri" w:eastAsia="Calibri" w:hAnsi="Calibri" w:cs="Calibri"/>
                <w:b/>
                <w:bCs/>
                <w:sz w:val="18"/>
                <w:szCs w:val="18"/>
                <w:vertAlign w:val="superscript"/>
              </w:rPr>
              <w:t>1</w:t>
            </w:r>
            <w:proofErr w:type="gramEnd"/>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4FA046E" w14:textId="3BA1C386" w:rsidR="0EDB2EA1" w:rsidRPr="007830CA" w:rsidRDefault="004D7C88" w:rsidP="0EDB2EA1">
            <w:pPr>
              <w:jc w:val="right"/>
              <w:rPr>
                <w:sz w:val="18"/>
                <w:szCs w:val="18"/>
              </w:rPr>
            </w:pPr>
            <w:r w:rsidRPr="007830CA">
              <w:rPr>
                <w:sz w:val="18"/>
                <w:szCs w:val="18"/>
              </w:rPr>
              <w:t>15.912,2</w:t>
            </w:r>
            <w:r w:rsidRPr="007830CA" w:rsidDel="00DF49E6">
              <w:rPr>
                <w:sz w:val="18"/>
                <w:szCs w:val="18"/>
              </w:rPr>
              <w:t xml:space="preserve"> </w:t>
            </w:r>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60C0184" w14:textId="2ACDD12E" w:rsidR="0EDB2EA1" w:rsidRPr="007830CA" w:rsidRDefault="00FC18E7" w:rsidP="0EDB2EA1">
            <w:pPr>
              <w:jc w:val="right"/>
              <w:rPr>
                <w:sz w:val="18"/>
                <w:szCs w:val="18"/>
              </w:rPr>
            </w:pPr>
            <w:r w:rsidRPr="007830CA">
              <w:rPr>
                <w:sz w:val="18"/>
                <w:szCs w:val="18"/>
              </w:rPr>
              <w:t>13.130,6</w:t>
            </w:r>
            <w:r w:rsidRPr="007830CA" w:rsidDel="00DF49E6">
              <w:rPr>
                <w:sz w:val="18"/>
                <w:szCs w:val="18"/>
              </w:rPr>
              <w:t xml:space="preserve"> </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6A86313" w14:textId="6072167C" w:rsidR="0EDB2EA1" w:rsidRPr="007830CA" w:rsidRDefault="00FC18E7" w:rsidP="0EDB2EA1">
            <w:pPr>
              <w:jc w:val="right"/>
              <w:rPr>
                <w:sz w:val="18"/>
                <w:szCs w:val="18"/>
              </w:rPr>
            </w:pPr>
            <w:r w:rsidRPr="007830CA">
              <w:rPr>
                <w:sz w:val="18"/>
                <w:szCs w:val="18"/>
              </w:rPr>
              <w:t>12.767,4</w:t>
            </w:r>
            <w:r w:rsidRPr="007830CA" w:rsidDel="00DF49E6">
              <w:rPr>
                <w:sz w:val="18"/>
                <w:szCs w:val="18"/>
              </w:rPr>
              <w:t xml:space="preserve"> </w:t>
            </w:r>
          </w:p>
        </w:tc>
        <w:tc>
          <w:tcPr>
            <w:tcW w:w="9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226610F" w14:textId="195B3423" w:rsidR="0EDB2EA1" w:rsidRPr="007830CA" w:rsidRDefault="00FC18E7" w:rsidP="0EDB2EA1">
            <w:pPr>
              <w:jc w:val="right"/>
              <w:rPr>
                <w:sz w:val="18"/>
                <w:szCs w:val="18"/>
              </w:rPr>
            </w:pPr>
            <w:r w:rsidRPr="007830CA">
              <w:rPr>
                <w:sz w:val="18"/>
                <w:szCs w:val="18"/>
              </w:rPr>
              <w:t>13.435,4</w:t>
            </w:r>
            <w:r w:rsidRPr="007830CA" w:rsidDel="00DF49E6">
              <w:rPr>
                <w:sz w:val="18"/>
                <w:szCs w:val="18"/>
              </w:rPr>
              <w:t xml:space="preserve"> </w:t>
            </w:r>
          </w:p>
        </w:tc>
        <w:tc>
          <w:tcPr>
            <w:tcW w:w="13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F8494EB" w14:textId="4DBAEEE4" w:rsidR="0EDB2EA1" w:rsidRDefault="0EDB2EA1" w:rsidP="0EDB2EA1">
            <w:pPr>
              <w:jc w:val="center"/>
            </w:pPr>
            <w:r w:rsidRPr="0EDB2EA1">
              <w:rPr>
                <w:rFonts w:ascii="Calibri" w:eastAsia="Calibri" w:hAnsi="Calibri" w:cs="Calibri"/>
                <w:sz w:val="18"/>
                <w:szCs w:val="18"/>
              </w:rPr>
              <w:t>F e P</w:t>
            </w:r>
          </w:p>
        </w:tc>
      </w:tr>
      <w:tr w:rsidR="0EDB2EA1" w14:paraId="04CBC5E6" w14:textId="77777777" w:rsidTr="0EDB2EA1">
        <w:trPr>
          <w:trHeight w:val="15"/>
        </w:trPr>
        <w:tc>
          <w:tcPr>
            <w:tcW w:w="34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A8EA893" w14:textId="4F189356" w:rsidR="0EDB2EA1" w:rsidRDefault="0EDB2EA1" w:rsidP="0EDB2EA1">
            <w:pPr>
              <w:jc w:val="both"/>
            </w:pPr>
            <w:r w:rsidRPr="0EDB2EA1">
              <w:rPr>
                <w:rFonts w:ascii="Calibri" w:eastAsia="Calibri" w:hAnsi="Calibri" w:cs="Calibri"/>
                <w:b/>
                <w:bCs/>
                <w:sz w:val="18"/>
                <w:szCs w:val="18"/>
              </w:rPr>
              <w:t>Transferências para Aumento de Capital</w:t>
            </w:r>
            <w:r w:rsidRPr="0EDB2EA1">
              <w:rPr>
                <w:rFonts w:ascii="Calibri" w:eastAsia="Calibri" w:hAnsi="Calibri" w:cs="Calibri"/>
                <w:b/>
                <w:bCs/>
                <w:sz w:val="18"/>
                <w:szCs w:val="18"/>
                <w:vertAlign w:val="superscript"/>
              </w:rPr>
              <w:t xml:space="preserve"> </w:t>
            </w:r>
            <w:proofErr w:type="gramStart"/>
            <w:r w:rsidRPr="0EDB2EA1">
              <w:rPr>
                <w:rFonts w:ascii="Calibri" w:eastAsia="Calibri" w:hAnsi="Calibri" w:cs="Calibri"/>
                <w:b/>
                <w:bCs/>
                <w:sz w:val="18"/>
                <w:szCs w:val="18"/>
                <w:vertAlign w:val="superscript"/>
              </w:rPr>
              <w:t>2</w:t>
            </w:r>
            <w:proofErr w:type="gramEnd"/>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BD61C0" w14:textId="11B384AB" w:rsidR="0EDB2EA1" w:rsidRDefault="0EDB2EA1" w:rsidP="0EDB2EA1">
            <w:pPr>
              <w:jc w:val="right"/>
            </w:pPr>
            <w:r w:rsidRPr="0EDB2EA1">
              <w:rPr>
                <w:rFonts w:ascii="Calibri" w:eastAsia="Calibri" w:hAnsi="Calibri" w:cs="Calibri"/>
                <w:sz w:val="18"/>
                <w:szCs w:val="18"/>
              </w:rPr>
              <w:t>2.433,3</w:t>
            </w:r>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2F5B942" w14:textId="41164213" w:rsidR="0EDB2EA1" w:rsidRDefault="0EDB2EA1" w:rsidP="0EDB2EA1">
            <w:pPr>
              <w:jc w:val="right"/>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5FC6B0E" w14:textId="4C392E3E" w:rsidR="0EDB2EA1" w:rsidRDefault="0EDB2EA1" w:rsidP="0EDB2EA1">
            <w:pPr>
              <w:jc w:val="right"/>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9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BAA6A60" w14:textId="44F0D073" w:rsidR="0EDB2EA1" w:rsidRDefault="0EDB2EA1" w:rsidP="0EDB2EA1">
            <w:pPr>
              <w:jc w:val="right"/>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A6B545D" w14:textId="60E63F56" w:rsidR="0EDB2EA1" w:rsidRDefault="0EDB2EA1" w:rsidP="0EDB2EA1">
            <w:pPr>
              <w:jc w:val="center"/>
            </w:pPr>
            <w:r w:rsidRPr="0EDB2EA1">
              <w:rPr>
                <w:rFonts w:ascii="Calibri" w:eastAsia="Calibri" w:hAnsi="Calibri" w:cs="Calibri"/>
                <w:sz w:val="18"/>
                <w:szCs w:val="18"/>
              </w:rPr>
              <w:t>F e P</w:t>
            </w:r>
          </w:p>
        </w:tc>
      </w:tr>
      <w:tr w:rsidR="0EDB2EA1" w14:paraId="627FD448" w14:textId="77777777" w:rsidTr="0EDB2EA1">
        <w:trPr>
          <w:trHeight w:val="15"/>
        </w:trPr>
        <w:tc>
          <w:tcPr>
            <w:tcW w:w="34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E517DC5" w14:textId="6EBA9025" w:rsidR="0EDB2EA1" w:rsidRDefault="0EDB2EA1" w:rsidP="0EDB2EA1">
            <w:pPr>
              <w:jc w:val="both"/>
            </w:pPr>
            <w:r w:rsidRPr="0EDB2EA1">
              <w:rPr>
                <w:rFonts w:ascii="Calibri" w:eastAsia="Calibri" w:hAnsi="Calibri" w:cs="Calibri"/>
                <w:b/>
                <w:bCs/>
                <w:sz w:val="18"/>
                <w:szCs w:val="18"/>
              </w:rPr>
              <w:t>Resultado Primário das Empresas Estatais</w:t>
            </w:r>
            <w:r w:rsidR="00B67695">
              <w:rPr>
                <w:rFonts w:ascii="Calibri" w:eastAsia="Calibri" w:hAnsi="Calibri" w:cs="Calibri"/>
                <w:b/>
                <w:bCs/>
                <w:sz w:val="18"/>
                <w:szCs w:val="18"/>
                <w:vertAlign w:val="superscript"/>
              </w:rPr>
              <w:t>3</w:t>
            </w:r>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121BE6A6" w14:textId="197DDFB0" w:rsidR="0EDB2EA1" w:rsidRDefault="00FC18E7" w:rsidP="0EDB2EA1">
            <w:pPr>
              <w:jc w:val="right"/>
            </w:pPr>
            <w:r w:rsidRPr="00FC18E7">
              <w:rPr>
                <w:rFonts w:ascii="Calibri" w:eastAsia="Calibri" w:hAnsi="Calibri" w:cs="Calibri"/>
                <w:sz w:val="18"/>
                <w:szCs w:val="18"/>
              </w:rPr>
              <w:t>-2.175,9</w:t>
            </w:r>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7167BB2" w14:textId="491D7BFB" w:rsidR="0EDB2EA1" w:rsidRDefault="007040F0" w:rsidP="0EDB2EA1">
            <w:pPr>
              <w:jc w:val="right"/>
            </w:pPr>
            <w:r w:rsidRPr="007040F0">
              <w:rPr>
                <w:rFonts w:ascii="Calibri" w:eastAsia="Calibri" w:hAnsi="Calibri" w:cs="Calibri"/>
                <w:sz w:val="18"/>
                <w:szCs w:val="18"/>
              </w:rPr>
              <w:t>-4.417,5</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97CF55A" w14:textId="4941A927" w:rsidR="0EDB2EA1" w:rsidRDefault="007040F0" w:rsidP="0EDB2EA1">
            <w:pPr>
              <w:jc w:val="right"/>
            </w:pPr>
            <w:r w:rsidRPr="007040F0">
              <w:rPr>
                <w:rFonts w:ascii="Calibri" w:eastAsia="Calibri" w:hAnsi="Calibri" w:cs="Calibri"/>
                <w:sz w:val="18"/>
                <w:szCs w:val="18"/>
              </w:rPr>
              <w:t>-4.747,9</w:t>
            </w:r>
          </w:p>
        </w:tc>
        <w:tc>
          <w:tcPr>
            <w:tcW w:w="9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2E1334F" w14:textId="27FFC5C4" w:rsidR="0EDB2EA1" w:rsidRDefault="007040F0" w:rsidP="0EDB2EA1">
            <w:pPr>
              <w:jc w:val="right"/>
            </w:pPr>
            <w:r w:rsidRPr="007040F0">
              <w:rPr>
                <w:rFonts w:ascii="Calibri" w:eastAsia="Calibri" w:hAnsi="Calibri" w:cs="Calibri"/>
                <w:sz w:val="18"/>
                <w:szCs w:val="18"/>
              </w:rPr>
              <w:t>-5.075,2</w:t>
            </w:r>
            <w:r w:rsidRPr="007040F0" w:rsidDel="007040F0">
              <w:rPr>
                <w:rFonts w:ascii="Calibri" w:eastAsia="Calibri" w:hAnsi="Calibri" w:cs="Calibri"/>
                <w:sz w:val="18"/>
                <w:szCs w:val="18"/>
              </w:rPr>
              <w:t xml:space="preserve"> </w:t>
            </w:r>
          </w:p>
        </w:tc>
        <w:tc>
          <w:tcPr>
            <w:tcW w:w="13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5FD1D9B" w14:textId="3ECAE5ED" w:rsidR="0EDB2EA1" w:rsidRDefault="0EDB2EA1" w:rsidP="0EDB2EA1">
            <w:pPr>
              <w:jc w:val="center"/>
            </w:pPr>
            <w:r w:rsidRPr="0EDB2EA1">
              <w:rPr>
                <w:rFonts w:ascii="Calibri" w:eastAsia="Calibri" w:hAnsi="Calibri" w:cs="Calibri"/>
                <w:sz w:val="18"/>
                <w:szCs w:val="18"/>
              </w:rPr>
              <w:t>P</w:t>
            </w:r>
          </w:p>
        </w:tc>
      </w:tr>
      <w:tr w:rsidR="0EDB2EA1" w14:paraId="74DDE724" w14:textId="77777777" w:rsidTr="0EDB2EA1">
        <w:trPr>
          <w:trHeight w:val="15"/>
        </w:trPr>
        <w:tc>
          <w:tcPr>
            <w:tcW w:w="9630" w:type="dxa"/>
            <w:gridSpan w:val="6"/>
            <w:tcBorders>
              <w:top w:val="single" w:sz="8" w:space="0" w:color="BFBFBF" w:themeColor="background1" w:themeShade="BF"/>
              <w:left w:val="nil"/>
              <w:bottom w:val="nil"/>
              <w:right w:val="nil"/>
            </w:tcBorders>
          </w:tcPr>
          <w:p w14:paraId="5ED3F090" w14:textId="6FCA577F" w:rsidR="0EDB2EA1" w:rsidRDefault="0EDB2EA1" w:rsidP="0EDB2EA1">
            <w:pPr>
              <w:jc w:val="both"/>
            </w:pPr>
            <w:proofErr w:type="spellStart"/>
            <w:proofErr w:type="gramStart"/>
            <w:r w:rsidRPr="0EDB2EA1">
              <w:rPr>
                <w:rFonts w:ascii="Calibri" w:eastAsia="Calibri" w:hAnsi="Calibri" w:cs="Calibri"/>
                <w:i/>
                <w:iCs/>
                <w:sz w:val="16"/>
                <w:szCs w:val="16"/>
              </w:rPr>
              <w:t>n.d</w:t>
            </w:r>
            <w:proofErr w:type="spellEnd"/>
            <w:r w:rsidRPr="0EDB2EA1">
              <w:rPr>
                <w:rFonts w:ascii="Calibri" w:eastAsia="Calibri" w:hAnsi="Calibri" w:cs="Calibri"/>
                <w:i/>
                <w:iCs/>
                <w:sz w:val="16"/>
                <w:szCs w:val="16"/>
              </w:rPr>
              <w:t>.</w:t>
            </w:r>
            <w:proofErr w:type="gramEnd"/>
            <w:r w:rsidRPr="0EDB2EA1">
              <w:rPr>
                <w:rFonts w:ascii="Calibri" w:eastAsia="Calibri" w:hAnsi="Calibri" w:cs="Calibri"/>
                <w:i/>
                <w:iCs/>
                <w:sz w:val="16"/>
                <w:szCs w:val="16"/>
              </w:rPr>
              <w:t xml:space="preserve"> - informação não disponível.</w:t>
            </w:r>
          </w:p>
          <w:p w14:paraId="0F9E7ECF" w14:textId="2FF8912C" w:rsidR="0EDB2EA1" w:rsidRDefault="0EDB2EA1" w:rsidP="0EDB2EA1">
            <w:pPr>
              <w:jc w:val="both"/>
            </w:pPr>
            <w:proofErr w:type="gramStart"/>
            <w:r w:rsidRPr="0EDB2EA1">
              <w:rPr>
                <w:rFonts w:ascii="Calibri" w:eastAsia="Calibri" w:hAnsi="Calibri" w:cs="Calibri"/>
                <w:i/>
                <w:iCs/>
                <w:sz w:val="16"/>
                <w:szCs w:val="16"/>
                <w:vertAlign w:val="superscript"/>
              </w:rPr>
              <w:t>1</w:t>
            </w:r>
            <w:proofErr w:type="gramEnd"/>
            <w:r w:rsidRPr="0EDB2EA1">
              <w:rPr>
                <w:rFonts w:ascii="Calibri" w:eastAsia="Calibri" w:hAnsi="Calibri" w:cs="Calibri"/>
                <w:i/>
                <w:iCs/>
                <w:sz w:val="16"/>
                <w:szCs w:val="16"/>
                <w:vertAlign w:val="superscript"/>
              </w:rPr>
              <w:t xml:space="preserve"> </w:t>
            </w:r>
            <w:r w:rsidRPr="0EDB2EA1">
              <w:rPr>
                <w:rFonts w:ascii="Calibri" w:eastAsia="Calibri" w:hAnsi="Calibri" w:cs="Calibri"/>
                <w:i/>
                <w:iCs/>
                <w:sz w:val="16"/>
                <w:szCs w:val="16"/>
              </w:rPr>
              <w:t xml:space="preserve">Dividendos </w:t>
            </w:r>
            <w:r w:rsidR="004A296E">
              <w:rPr>
                <w:rFonts w:ascii="Calibri" w:eastAsia="Calibri" w:hAnsi="Calibri" w:cs="Calibri"/>
                <w:i/>
                <w:iCs/>
                <w:sz w:val="16"/>
                <w:szCs w:val="16"/>
              </w:rPr>
              <w:t>previsão PLDO 2022</w:t>
            </w:r>
            <w:r w:rsidRPr="0EDB2EA1">
              <w:rPr>
                <w:rFonts w:ascii="Calibri" w:eastAsia="Calibri" w:hAnsi="Calibri" w:cs="Calibri"/>
                <w:i/>
                <w:iCs/>
                <w:sz w:val="16"/>
                <w:szCs w:val="16"/>
              </w:rPr>
              <w:t>.</w:t>
            </w:r>
          </w:p>
          <w:p w14:paraId="03C60820" w14:textId="21D9BAA6" w:rsidR="0EDB2EA1" w:rsidRDefault="0EDB2EA1" w:rsidP="0EDB2EA1">
            <w:pPr>
              <w:jc w:val="both"/>
              <w:rPr>
                <w:rFonts w:ascii="Calibri" w:eastAsia="Calibri" w:hAnsi="Calibri" w:cs="Calibri"/>
                <w:i/>
                <w:sz w:val="16"/>
                <w:szCs w:val="16"/>
              </w:rPr>
            </w:pPr>
            <w:proofErr w:type="gramStart"/>
            <w:r w:rsidRPr="0EDB2EA1">
              <w:rPr>
                <w:rFonts w:ascii="Calibri" w:eastAsia="Calibri" w:hAnsi="Calibri" w:cs="Calibri"/>
                <w:i/>
                <w:iCs/>
                <w:sz w:val="16"/>
                <w:szCs w:val="16"/>
                <w:vertAlign w:val="superscript"/>
              </w:rPr>
              <w:t>2</w:t>
            </w:r>
            <w:proofErr w:type="gramEnd"/>
            <w:r w:rsidRPr="0EDB2EA1">
              <w:rPr>
                <w:rFonts w:ascii="Calibri" w:eastAsia="Calibri" w:hAnsi="Calibri" w:cs="Calibri"/>
                <w:i/>
                <w:iCs/>
                <w:sz w:val="16"/>
                <w:szCs w:val="16"/>
                <w:vertAlign w:val="superscript"/>
              </w:rPr>
              <w:t xml:space="preserve"> </w:t>
            </w:r>
            <w:r w:rsidRPr="0EDB2EA1">
              <w:rPr>
                <w:rFonts w:ascii="Calibri" w:eastAsia="Calibri" w:hAnsi="Calibri" w:cs="Calibri"/>
                <w:i/>
                <w:iCs/>
                <w:sz w:val="16"/>
                <w:szCs w:val="16"/>
              </w:rPr>
              <w:t>Transferências para aumento de capital da PLOA 2021 – Anexo III + restos a pagar inscritos</w:t>
            </w:r>
          </w:p>
          <w:p w14:paraId="50903779" w14:textId="35CDEDEF" w:rsidR="001225D6" w:rsidRPr="00437E77" w:rsidRDefault="001225D6" w:rsidP="0EDB2EA1">
            <w:pPr>
              <w:jc w:val="both"/>
            </w:pPr>
            <w:proofErr w:type="gramStart"/>
            <w:r>
              <w:rPr>
                <w:rFonts w:ascii="Calibri" w:eastAsia="Calibri" w:hAnsi="Calibri" w:cs="Calibri"/>
                <w:b/>
                <w:bCs/>
                <w:sz w:val="18"/>
                <w:szCs w:val="18"/>
                <w:vertAlign w:val="superscript"/>
              </w:rPr>
              <w:t>3</w:t>
            </w:r>
            <w:proofErr w:type="gramEnd"/>
            <w:r w:rsidR="00437E77">
              <w:rPr>
                <w:rFonts w:ascii="Calibri" w:eastAsia="Calibri" w:hAnsi="Calibri" w:cs="Calibri"/>
                <w:b/>
                <w:bCs/>
                <w:sz w:val="18"/>
                <w:szCs w:val="18"/>
                <w:vertAlign w:val="superscript"/>
              </w:rPr>
              <w:t xml:space="preserve"> </w:t>
            </w:r>
            <w:r w:rsidR="00F70E7E" w:rsidRPr="007830CA">
              <w:rPr>
                <w:rFonts w:ascii="Calibri" w:eastAsia="Calibri" w:hAnsi="Calibri" w:cs="Calibri"/>
                <w:i/>
                <w:sz w:val="16"/>
                <w:szCs w:val="16"/>
              </w:rPr>
              <w:t>Previsão SEST em 01/2021, nos demais anos Resultado Primário previsto PLDO 2022</w:t>
            </w:r>
          </w:p>
          <w:p w14:paraId="2C3CEFCF" w14:textId="27DBA57C" w:rsidR="0EDB2EA1" w:rsidRDefault="0EDB2EA1">
            <w:r w:rsidRPr="0EDB2EA1">
              <w:rPr>
                <w:rFonts w:ascii="Calibri" w:eastAsia="Calibri" w:hAnsi="Calibri" w:cs="Calibri"/>
                <w:b/>
                <w:bCs/>
                <w:i/>
                <w:iCs/>
                <w:sz w:val="16"/>
                <w:szCs w:val="16"/>
              </w:rPr>
              <w:t>Fonte</w:t>
            </w:r>
            <w:r w:rsidRPr="0EDB2EA1">
              <w:rPr>
                <w:rFonts w:ascii="Calibri" w:eastAsia="Calibri" w:hAnsi="Calibri" w:cs="Calibri"/>
                <w:i/>
                <w:iCs/>
                <w:sz w:val="16"/>
                <w:szCs w:val="16"/>
              </w:rPr>
              <w:t>: dividendos, STN; resultado primário, LDO; e transferências para aumento de capital, SEST e STN.</w:t>
            </w:r>
          </w:p>
          <w:p w14:paraId="72E207A6" w14:textId="715DDAC5" w:rsidR="0EDB2EA1" w:rsidRDefault="0EDB2EA1">
            <w:r w:rsidRPr="0EDB2EA1">
              <w:rPr>
                <w:rFonts w:ascii="Calibri" w:eastAsia="Calibri" w:hAnsi="Calibri" w:cs="Calibri"/>
                <w:b/>
                <w:bCs/>
                <w:i/>
                <w:iCs/>
                <w:sz w:val="16"/>
                <w:szCs w:val="16"/>
              </w:rPr>
              <w:t>Elaboração</w:t>
            </w:r>
            <w:r w:rsidRPr="0EDB2EA1">
              <w:rPr>
                <w:rFonts w:ascii="Calibri" w:eastAsia="Calibri" w:hAnsi="Calibri" w:cs="Calibri"/>
                <w:i/>
                <w:iCs/>
                <w:sz w:val="16"/>
                <w:szCs w:val="16"/>
              </w:rPr>
              <w:t>: STN/ME.</w:t>
            </w:r>
          </w:p>
        </w:tc>
      </w:tr>
    </w:tbl>
    <w:p w14:paraId="24F387E3" w14:textId="15BBC63B" w:rsidR="00A21F07" w:rsidRDefault="00A21F07" w:rsidP="0EDB2EA1">
      <w:pPr>
        <w:spacing w:after="120" w:line="257" w:lineRule="exact"/>
        <w:ind w:firstLine="1418"/>
        <w:jc w:val="both"/>
      </w:pPr>
    </w:p>
    <w:p w14:paraId="7E9FAE1B" w14:textId="6EB7E9E7" w:rsidR="00A21F07" w:rsidRPr="003D34F3" w:rsidRDefault="523B8B10" w:rsidP="003D34F3">
      <w:pPr>
        <w:pStyle w:val="Ttulo4"/>
        <w:keepLines/>
        <w:numPr>
          <w:ilvl w:val="3"/>
          <w:numId w:val="36"/>
        </w:numPr>
        <w:spacing w:before="240" w:after="120"/>
        <w:ind w:left="862" w:hanging="862"/>
        <w:jc w:val="left"/>
        <w:rPr>
          <w:rFonts w:asciiTheme="minorHAnsi" w:hAnsiTheme="minorHAnsi"/>
        </w:rPr>
      </w:pPr>
      <w:r w:rsidRPr="003D34F3">
        <w:rPr>
          <w:rFonts w:asciiTheme="minorHAnsi" w:eastAsia="Calibri" w:hAnsiTheme="minorHAnsi"/>
        </w:rPr>
        <w:t>Comparação entre os impactos estimados e os riscos efetivamente materializados</w:t>
      </w:r>
    </w:p>
    <w:p w14:paraId="13E6084E" w14:textId="07145E38"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Somente em 2020 houve frustração da receita de dividendos e JCP. Porém, o valor da previsão de dividendos de 2020, de R$13,5 bilhões, foi o aumentado pelo Congresso Nacional na Lei Orçamentária de 2020, ficando bem acima da previsão do PLOA 2020, que era de R$ 6,5 bilhões.</w:t>
      </w:r>
    </w:p>
    <w:p w14:paraId="0AEA783E" w14:textId="560E18A5"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 xml:space="preserve">A possibilidade de aporte emergencial em empresas estatais federais não dependentes tem sido </w:t>
      </w:r>
      <w:proofErr w:type="gramStart"/>
      <w:r w:rsidRPr="0EDB2EA1">
        <w:rPr>
          <w:rFonts w:ascii="Calibri" w:eastAsia="Calibri" w:hAnsi="Calibri" w:cs="Calibri"/>
          <w:color w:val="000000" w:themeColor="text1"/>
          <w:sz w:val="24"/>
          <w:szCs w:val="24"/>
        </w:rPr>
        <w:t>considerado</w:t>
      </w:r>
      <w:proofErr w:type="gramEnd"/>
      <w:r w:rsidRPr="0EDB2EA1">
        <w:rPr>
          <w:rFonts w:ascii="Calibri" w:eastAsia="Calibri" w:hAnsi="Calibri" w:cs="Calibri"/>
          <w:color w:val="000000" w:themeColor="text1"/>
          <w:sz w:val="24"/>
          <w:szCs w:val="24"/>
        </w:rPr>
        <w:t xml:space="preserve"> como de risco possível para um número mais reduzido de empresas não financeiras: em 2020 foram a Casa da Moeda e os Correios e, em 2021 em diante, a classificação foi para a Infraero. Para as demais empresas foi considerado o risco remoto: </w:t>
      </w:r>
      <w:proofErr w:type="spellStart"/>
      <w:r w:rsidRPr="0EDB2EA1">
        <w:rPr>
          <w:rFonts w:ascii="Calibri" w:eastAsia="Calibri" w:hAnsi="Calibri" w:cs="Calibri"/>
          <w:color w:val="000000" w:themeColor="text1"/>
          <w:sz w:val="24"/>
          <w:szCs w:val="24"/>
        </w:rPr>
        <w:t>Emgea</w:t>
      </w:r>
      <w:proofErr w:type="spellEnd"/>
      <w:r w:rsidRPr="0EDB2EA1">
        <w:rPr>
          <w:rFonts w:ascii="Calibri" w:eastAsia="Calibri" w:hAnsi="Calibri" w:cs="Calibri"/>
          <w:color w:val="000000" w:themeColor="text1"/>
          <w:sz w:val="24"/>
          <w:szCs w:val="24"/>
        </w:rPr>
        <w:t xml:space="preserve"> e companhias docas (CDC, CDP, </w:t>
      </w:r>
      <w:proofErr w:type="spellStart"/>
      <w:r w:rsidRPr="0EDB2EA1">
        <w:rPr>
          <w:rFonts w:ascii="Calibri" w:eastAsia="Calibri" w:hAnsi="Calibri" w:cs="Calibri"/>
          <w:color w:val="000000" w:themeColor="text1"/>
          <w:sz w:val="24"/>
          <w:szCs w:val="24"/>
        </w:rPr>
        <w:t>Codeba</w:t>
      </w:r>
      <w:proofErr w:type="spellEnd"/>
      <w:r w:rsidRPr="0EDB2EA1">
        <w:rPr>
          <w:rFonts w:ascii="Calibri" w:eastAsia="Calibri" w:hAnsi="Calibri" w:cs="Calibri"/>
          <w:color w:val="000000" w:themeColor="text1"/>
          <w:sz w:val="24"/>
          <w:szCs w:val="24"/>
        </w:rPr>
        <w:t xml:space="preserve">, CDRJ, </w:t>
      </w:r>
      <w:proofErr w:type="spellStart"/>
      <w:r w:rsidRPr="0EDB2EA1">
        <w:rPr>
          <w:rFonts w:ascii="Calibri" w:eastAsia="Calibri" w:hAnsi="Calibri" w:cs="Calibri"/>
          <w:color w:val="000000" w:themeColor="text1"/>
          <w:sz w:val="24"/>
          <w:szCs w:val="24"/>
        </w:rPr>
        <w:t>Codesa</w:t>
      </w:r>
      <w:proofErr w:type="spellEnd"/>
      <w:r w:rsidRPr="0EDB2EA1">
        <w:rPr>
          <w:rFonts w:ascii="Calibri" w:eastAsia="Calibri" w:hAnsi="Calibri" w:cs="Calibri"/>
          <w:color w:val="000000" w:themeColor="text1"/>
          <w:sz w:val="24"/>
          <w:szCs w:val="24"/>
        </w:rPr>
        <w:t xml:space="preserve">, </w:t>
      </w:r>
      <w:proofErr w:type="spellStart"/>
      <w:r w:rsidRPr="0EDB2EA1">
        <w:rPr>
          <w:rFonts w:ascii="Calibri" w:eastAsia="Calibri" w:hAnsi="Calibri" w:cs="Calibri"/>
          <w:color w:val="000000" w:themeColor="text1"/>
          <w:sz w:val="24"/>
          <w:szCs w:val="24"/>
        </w:rPr>
        <w:t>Codern</w:t>
      </w:r>
      <w:proofErr w:type="spellEnd"/>
      <w:r w:rsidRPr="0EDB2EA1">
        <w:rPr>
          <w:rFonts w:ascii="Calibri" w:eastAsia="Calibri" w:hAnsi="Calibri" w:cs="Calibri"/>
          <w:color w:val="000000" w:themeColor="text1"/>
          <w:sz w:val="24"/>
          <w:szCs w:val="24"/>
        </w:rPr>
        <w:t xml:space="preserve"> e SPA-Codesp). O risco foi considerado remoto, na maioria dos casos, por existirem alternativas de atendimento a necessidades de caixa e também pelas dificuldades de se realizar aportes não previstos ou destinados </w:t>
      </w:r>
      <w:proofErr w:type="gramStart"/>
      <w:r w:rsidRPr="0EDB2EA1">
        <w:rPr>
          <w:rFonts w:ascii="Calibri" w:eastAsia="Calibri" w:hAnsi="Calibri" w:cs="Calibri"/>
          <w:color w:val="000000" w:themeColor="text1"/>
          <w:sz w:val="24"/>
          <w:szCs w:val="24"/>
        </w:rPr>
        <w:t>a</w:t>
      </w:r>
      <w:proofErr w:type="gramEnd"/>
      <w:r w:rsidRPr="0EDB2EA1">
        <w:rPr>
          <w:rFonts w:ascii="Calibri" w:eastAsia="Calibri" w:hAnsi="Calibri" w:cs="Calibri"/>
          <w:color w:val="000000" w:themeColor="text1"/>
          <w:sz w:val="24"/>
          <w:szCs w:val="24"/>
        </w:rPr>
        <w:t xml:space="preserve"> manutenção. As empresas com classificação de risco possível, por sua vez, encontram-se em contexto de redução de sua capacidade operacional e diante de cenários mercadológicos negativos (Correios, Casa da Moeda e Infraero).</w:t>
      </w:r>
    </w:p>
    <w:p w14:paraId="16B159B3" w14:textId="0AA6F555"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lastRenderedPageBreak/>
        <w:t>Em relação às instituições financeiras, somente foi identificado um risco possível para o BNB, caso seja necessário o reconhecimento pelo Banco de provisão para reposição de valores ao Fundo Constitucional de Financiamento do Nordeste – FNE, conforme o teor do Acórdão do TCU n</w:t>
      </w:r>
      <w:r w:rsidRPr="0EDB2EA1">
        <w:rPr>
          <w:rFonts w:ascii="Calibri" w:eastAsia="Calibri" w:hAnsi="Calibri" w:cs="Calibri"/>
          <w:color w:val="000000" w:themeColor="text1"/>
          <w:sz w:val="26"/>
          <w:szCs w:val="26"/>
        </w:rPr>
        <w:t xml:space="preserve">º 1325-Plenário, de 27/05/2020. </w:t>
      </w:r>
      <w:r w:rsidRPr="0EDB2EA1">
        <w:rPr>
          <w:rFonts w:ascii="Calibri" w:eastAsia="Calibri" w:hAnsi="Calibri" w:cs="Calibri"/>
          <w:color w:val="000000" w:themeColor="text1"/>
          <w:sz w:val="24"/>
          <w:szCs w:val="24"/>
        </w:rPr>
        <w:t xml:space="preserve"> </w:t>
      </w:r>
    </w:p>
    <w:p w14:paraId="33E3DB3F" w14:textId="469D0DE1"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Cabe ressaltar que a decisão de alocar recursos para transferências a título de adiantamento para aumento de capital (AFAC) ou mesmo subvenção econômica não cabe à Secretaria do Tesouro Nacional, mas ao Ministério supervisor e aos órgãos centrais que consolidam as propostas orçamentárias.</w:t>
      </w:r>
    </w:p>
    <w:p w14:paraId="5C717C73" w14:textId="7FE2A09C"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 xml:space="preserve">A classificação de risco para as empresas estatais federais, financeiras e não financeiras, revelou-se adequado, na medida em que não houve a necessidade de qualquer aporte emergencial em 2020. Ao contrário, houve redução do valor anual previsto para o conjunto das empresas, associado a uma execução financeira menor do que as dotações previstas. O ano de 2020 foi atípico em função da Pandemia da COVID-19, tendo como impactos a redução do ritmo de </w:t>
      </w:r>
      <w:proofErr w:type="gramStart"/>
      <w:r w:rsidRPr="0EDB2EA1">
        <w:rPr>
          <w:rFonts w:ascii="Calibri" w:eastAsia="Calibri" w:hAnsi="Calibri" w:cs="Calibri"/>
          <w:color w:val="000000" w:themeColor="text1"/>
          <w:sz w:val="24"/>
          <w:szCs w:val="24"/>
        </w:rPr>
        <w:t>implementação</w:t>
      </w:r>
      <w:proofErr w:type="gramEnd"/>
      <w:r w:rsidRPr="0EDB2EA1">
        <w:rPr>
          <w:rFonts w:ascii="Calibri" w:eastAsia="Calibri" w:hAnsi="Calibri" w:cs="Calibri"/>
          <w:color w:val="000000" w:themeColor="text1"/>
          <w:sz w:val="24"/>
          <w:szCs w:val="24"/>
        </w:rPr>
        <w:t xml:space="preserve"> de projetos, redução de alguns custos operacionais e administrativos e a queda de receitas de algumas empresas, das quais se destaca, neste caso, a Infraero.</w:t>
      </w:r>
    </w:p>
    <w:p w14:paraId="4F21DB6E" w14:textId="71F3BD15"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Finalmente, quanto ao risco de esforço fiscal adicional para compensar um pior desempenho das empresas estatais, nos últimos anos, somente se verificou a classificação do risco remoto, à vista do critério conservador da estimativa de déficit global das empresas estatais federais. A análise do resultado primário das estatais em todos os anos confirma que o risco foi adequadamente avaliado.</w:t>
      </w:r>
    </w:p>
    <w:p w14:paraId="41B69068" w14:textId="46B85B3B" w:rsidR="00A21F07" w:rsidRDefault="00A21F07" w:rsidP="00EB6C2F">
      <w:pPr>
        <w:spacing w:after="120" w:line="257" w:lineRule="exact"/>
        <w:jc w:val="both"/>
        <w:rPr>
          <w:rFonts w:ascii="Calibri" w:eastAsia="Calibri" w:hAnsi="Calibri" w:cs="Calibri"/>
          <w:color w:val="000000" w:themeColor="text1"/>
          <w:sz w:val="24"/>
          <w:szCs w:val="24"/>
        </w:rPr>
      </w:pPr>
    </w:p>
    <w:p w14:paraId="63B702BD" w14:textId="098A9C4C" w:rsidR="00A21F07" w:rsidRPr="00A55A6E" w:rsidRDefault="523B8B10" w:rsidP="00A55A6E">
      <w:pPr>
        <w:pStyle w:val="Ttulo4"/>
        <w:keepLines/>
        <w:numPr>
          <w:ilvl w:val="3"/>
          <w:numId w:val="36"/>
        </w:numPr>
        <w:spacing w:before="240" w:after="120"/>
        <w:ind w:left="862" w:hanging="862"/>
        <w:jc w:val="left"/>
        <w:rPr>
          <w:rFonts w:asciiTheme="minorHAnsi" w:hAnsiTheme="minorHAnsi"/>
        </w:rPr>
      </w:pPr>
      <w:r w:rsidRPr="00A55A6E">
        <w:rPr>
          <w:rFonts w:asciiTheme="minorHAnsi" w:eastAsia="Calibri" w:hAnsiTheme="minorHAnsi"/>
        </w:rPr>
        <w:t>Estimativa dos impactos nas contas públicas dos riscos fiscais mapeados</w:t>
      </w:r>
    </w:p>
    <w:p w14:paraId="2B26F29C" w14:textId="06DA5AC7"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 xml:space="preserve">A </w:t>
      </w:r>
      <w:r w:rsidR="00187204" w:rsidRPr="00187204">
        <w:rPr>
          <w:rFonts w:ascii="Calibri" w:eastAsia="Calibri" w:hAnsi="Calibri" w:cs="Calibri"/>
          <w:color w:val="000000" w:themeColor="text1"/>
          <w:sz w:val="24"/>
          <w:szCs w:val="24"/>
        </w:rPr>
        <w:fldChar w:fldCharType="begin"/>
      </w:r>
      <w:r w:rsidR="00187204" w:rsidRPr="00187204">
        <w:rPr>
          <w:rFonts w:ascii="Calibri" w:eastAsia="Calibri" w:hAnsi="Calibri" w:cs="Calibri"/>
          <w:color w:val="000000" w:themeColor="text1"/>
          <w:sz w:val="24"/>
          <w:szCs w:val="24"/>
        </w:rPr>
        <w:instrText xml:space="preserve"> REF _Ref68016273 \h  \* MERGEFORMAT </w:instrText>
      </w:r>
      <w:r w:rsidR="00187204" w:rsidRPr="00187204">
        <w:rPr>
          <w:rFonts w:ascii="Calibri" w:eastAsia="Calibri" w:hAnsi="Calibri" w:cs="Calibri"/>
          <w:color w:val="000000" w:themeColor="text1"/>
          <w:sz w:val="24"/>
          <w:szCs w:val="24"/>
        </w:rPr>
      </w:r>
      <w:r w:rsidR="00187204" w:rsidRPr="00187204">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61</w:t>
      </w:r>
      <w:r w:rsidR="00187204" w:rsidRPr="00187204">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xml:space="preserve"> consolida os impactos apurados a partir de elementos de risco considerados.</w:t>
      </w:r>
    </w:p>
    <w:p w14:paraId="1174D459" w14:textId="182FA298"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 xml:space="preserve">O </w:t>
      </w:r>
      <w:r w:rsidRPr="0EDB2EA1">
        <w:rPr>
          <w:rFonts w:ascii="Calibri" w:eastAsia="Calibri" w:hAnsi="Calibri" w:cs="Calibri"/>
          <w:b/>
          <w:bCs/>
          <w:color w:val="000000" w:themeColor="text1"/>
          <w:sz w:val="24"/>
          <w:szCs w:val="24"/>
        </w:rPr>
        <w:t>risco 1 - frustração da receita de dividendos e JCP</w:t>
      </w:r>
      <w:proofErr w:type="gramStart"/>
      <w:r w:rsidRPr="0EDB2EA1">
        <w:rPr>
          <w:rFonts w:ascii="Calibri" w:eastAsia="Calibri" w:hAnsi="Calibri" w:cs="Calibri"/>
          <w:color w:val="000000" w:themeColor="text1"/>
          <w:sz w:val="24"/>
          <w:szCs w:val="24"/>
        </w:rPr>
        <w:t>, foi</w:t>
      </w:r>
      <w:proofErr w:type="gramEnd"/>
      <w:r w:rsidRPr="0EDB2EA1">
        <w:rPr>
          <w:rFonts w:ascii="Calibri" w:eastAsia="Calibri" w:hAnsi="Calibri" w:cs="Calibri"/>
          <w:color w:val="000000" w:themeColor="text1"/>
          <w:sz w:val="24"/>
          <w:szCs w:val="24"/>
        </w:rPr>
        <w:t xml:space="preserve"> considerado como risco remoto para os próximos exercícios tendo em vista a ausência de dados mais concretos ou inexistência de eventos restritivos não antecipados para os próximos anos, que pudessem trazer dúvidas sobre as estimativas atuais.</w:t>
      </w:r>
    </w:p>
    <w:p w14:paraId="11D102CD" w14:textId="0E25E2E7" w:rsidR="00A21F07" w:rsidRDefault="523B8B10" w:rsidP="001E39E1">
      <w:pPr>
        <w:spacing w:after="120" w:line="240" w:lineRule="auto"/>
        <w:ind w:firstLine="1418"/>
        <w:jc w:val="both"/>
      </w:pPr>
      <w:r w:rsidRPr="0EDB2EA1">
        <w:rPr>
          <w:rFonts w:ascii="Calibri" w:eastAsia="Calibri" w:hAnsi="Calibri" w:cs="Calibri"/>
          <w:color w:val="000000" w:themeColor="text1"/>
          <w:sz w:val="24"/>
          <w:szCs w:val="24"/>
        </w:rPr>
        <w:t xml:space="preserve">O </w:t>
      </w:r>
      <w:r w:rsidRPr="0EDB2EA1">
        <w:rPr>
          <w:rFonts w:ascii="Calibri" w:eastAsia="Calibri" w:hAnsi="Calibri" w:cs="Calibri"/>
          <w:b/>
          <w:bCs/>
          <w:color w:val="000000" w:themeColor="text1"/>
          <w:sz w:val="24"/>
          <w:szCs w:val="24"/>
        </w:rPr>
        <w:t>risco 2 - aporte emergencial</w:t>
      </w:r>
      <w:r w:rsidRPr="0EDB2EA1">
        <w:rPr>
          <w:rFonts w:ascii="Calibri" w:eastAsia="Calibri" w:hAnsi="Calibri" w:cs="Calibri"/>
          <w:color w:val="000000" w:themeColor="text1"/>
          <w:sz w:val="24"/>
          <w:szCs w:val="24"/>
        </w:rPr>
        <w:t xml:space="preserve"> para empresas estatais federais com dificuldades foi considerado como risco possível ou remoto para algumas empresas que enfrentam dificuldades há alguns anos. Vale ressaltar ainda que, além das medidas mitigadoras em andamento, a LDO 2021 (Lei nº 14.116/2020) introduziu condições restritivas adicionais para que uma empresa possa receber recurso de aumento de capital, o que tende a fazer com que as condições de dificuldades perdurem por prazos maiores. A principal restrição imposta na LDO 2021 para o recebimento de aportes para aumento de capital é a condição de que a empresa esteja incluída no Programa Nacional de Desestatização (PND), instituído pela Lei nº 9.491/1997 (Art. 43. §10 e 11). Foram definidas somente as seguintes exceções a essa regra geral: a) aporte inicial para constituição do capital inicial de empresa criada por lei; e b) quando for empresa financeira para enquadramento nas regras do Acordo de Basileia. A medida reflete o posicionamento estratégico do governo federal de incentivar o processo de desestatização ou participação do setor privado.</w:t>
      </w:r>
    </w:p>
    <w:p w14:paraId="37FDF782" w14:textId="1F9E503A" w:rsidR="00A21F07" w:rsidRDefault="523B8B10" w:rsidP="001E39E1">
      <w:pPr>
        <w:spacing w:after="120" w:line="240" w:lineRule="auto"/>
        <w:ind w:firstLine="1418"/>
        <w:jc w:val="both"/>
        <w:rPr>
          <w:rFonts w:ascii="Calibri" w:eastAsia="Calibri" w:hAnsi="Calibri" w:cs="Calibri"/>
          <w:color w:val="000000" w:themeColor="text1"/>
          <w:sz w:val="24"/>
          <w:szCs w:val="24"/>
        </w:rPr>
      </w:pPr>
      <w:r w:rsidRPr="0EDB2EA1">
        <w:rPr>
          <w:rFonts w:ascii="Calibri" w:eastAsia="Calibri" w:hAnsi="Calibri" w:cs="Calibri"/>
          <w:color w:val="000000" w:themeColor="text1"/>
          <w:sz w:val="24"/>
          <w:szCs w:val="24"/>
        </w:rPr>
        <w:t xml:space="preserve">Em relação ao </w:t>
      </w:r>
      <w:r w:rsidRPr="00864969">
        <w:rPr>
          <w:rFonts w:ascii="Calibri" w:eastAsia="Calibri" w:hAnsi="Calibri" w:cs="Calibri"/>
          <w:b/>
          <w:bCs/>
          <w:color w:val="000000" w:themeColor="text1"/>
          <w:sz w:val="24"/>
          <w:szCs w:val="24"/>
        </w:rPr>
        <w:t>risco 3 - esforço fiscal adicional</w:t>
      </w:r>
      <w:r w:rsidRPr="0EDB2EA1">
        <w:rPr>
          <w:rFonts w:ascii="Calibri" w:eastAsia="Calibri" w:hAnsi="Calibri" w:cs="Calibri"/>
          <w:color w:val="000000" w:themeColor="text1"/>
          <w:sz w:val="24"/>
          <w:szCs w:val="24"/>
        </w:rPr>
        <w:t xml:space="preserve"> (compensação de primário), as estimativas indicam como risco remoto, pois, como ocorrido nos três últimos anos, existe uma perspectiva de um déficit primário menor do que o previsto para 2021.</w:t>
      </w:r>
    </w:p>
    <w:p w14:paraId="517CEFAF" w14:textId="472AA713" w:rsidR="00A21F07" w:rsidRPr="00187204" w:rsidRDefault="523B8B10" w:rsidP="00187204">
      <w:pPr>
        <w:pStyle w:val="Legenda"/>
        <w:jc w:val="center"/>
        <w:rPr>
          <w:rFonts w:asciiTheme="minorHAnsi" w:hAnsiTheme="minorHAnsi" w:cstheme="minorHAnsi"/>
          <w:i w:val="0"/>
          <w:color w:val="auto"/>
          <w:sz w:val="22"/>
          <w:szCs w:val="22"/>
        </w:rPr>
      </w:pPr>
      <w:bookmarkStart w:id="423" w:name="_Ref68016273"/>
      <w:bookmarkStart w:id="424" w:name="_Toc69121407"/>
      <w:r w:rsidRPr="00187204">
        <w:rPr>
          <w:rFonts w:asciiTheme="minorHAnsi" w:eastAsia="Calibri" w:hAnsiTheme="minorHAnsi" w:cstheme="minorHAnsi"/>
          <w:i w:val="0"/>
          <w:color w:val="auto"/>
          <w:sz w:val="22"/>
          <w:szCs w:val="22"/>
        </w:rPr>
        <w:lastRenderedPageBreak/>
        <w:t xml:space="preserve">Tabela </w:t>
      </w:r>
      <w:r w:rsidR="00187204" w:rsidRPr="00187204">
        <w:rPr>
          <w:rFonts w:asciiTheme="minorHAnsi" w:hAnsiTheme="minorHAnsi" w:cstheme="minorHAnsi"/>
          <w:i w:val="0"/>
          <w:color w:val="auto"/>
          <w:sz w:val="22"/>
          <w:szCs w:val="22"/>
        </w:rPr>
        <w:fldChar w:fldCharType="begin"/>
      </w:r>
      <w:r w:rsidR="00187204" w:rsidRPr="00187204">
        <w:rPr>
          <w:rFonts w:asciiTheme="minorHAnsi" w:hAnsiTheme="minorHAnsi" w:cstheme="minorHAnsi"/>
          <w:i w:val="0"/>
          <w:color w:val="auto"/>
          <w:sz w:val="22"/>
          <w:szCs w:val="22"/>
        </w:rPr>
        <w:instrText xml:space="preserve"> SEQ Tabela \* ARABIC </w:instrText>
      </w:r>
      <w:r w:rsidR="00187204" w:rsidRPr="0018720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61</w:t>
      </w:r>
      <w:r w:rsidR="00187204" w:rsidRPr="00187204">
        <w:rPr>
          <w:rFonts w:asciiTheme="minorHAnsi" w:hAnsiTheme="minorHAnsi" w:cstheme="minorHAnsi"/>
          <w:i w:val="0"/>
          <w:color w:val="auto"/>
          <w:sz w:val="22"/>
          <w:szCs w:val="22"/>
        </w:rPr>
        <w:fldChar w:fldCharType="end"/>
      </w:r>
      <w:bookmarkEnd w:id="423"/>
      <w:r w:rsidRPr="00187204">
        <w:rPr>
          <w:rFonts w:asciiTheme="minorHAnsi" w:eastAsia="Calibri" w:hAnsiTheme="minorHAnsi" w:cstheme="minorHAnsi"/>
          <w:i w:val="0"/>
          <w:color w:val="auto"/>
          <w:sz w:val="22"/>
          <w:szCs w:val="22"/>
        </w:rPr>
        <w:t xml:space="preserve"> - Impactos estimados (Estatais Não Dependentes)</w:t>
      </w:r>
      <w:bookmarkEnd w:id="424"/>
    </w:p>
    <w:tbl>
      <w:tblPr>
        <w:tblStyle w:val="Tabelacomgrade"/>
        <w:tblW w:w="0" w:type="auto"/>
        <w:tblLayout w:type="fixed"/>
        <w:tblLook w:val="06A0" w:firstRow="1" w:lastRow="0" w:firstColumn="1" w:lastColumn="0" w:noHBand="1" w:noVBand="1"/>
      </w:tblPr>
      <w:tblGrid>
        <w:gridCol w:w="2970"/>
        <w:gridCol w:w="1335"/>
        <w:gridCol w:w="1485"/>
        <w:gridCol w:w="1485"/>
        <w:gridCol w:w="1485"/>
        <w:gridCol w:w="1140"/>
      </w:tblGrid>
      <w:tr w:rsidR="0EDB2EA1" w14:paraId="17321A82" w14:textId="77777777" w:rsidTr="00187204">
        <w:tc>
          <w:tcPr>
            <w:tcW w:w="9900" w:type="dxa"/>
            <w:gridSpan w:val="6"/>
            <w:tcBorders>
              <w:top w:val="nil"/>
              <w:left w:val="nil"/>
              <w:bottom w:val="single" w:sz="4" w:space="0" w:color="BFBFBF" w:themeColor="background1" w:themeShade="BF"/>
              <w:right w:val="nil"/>
            </w:tcBorders>
          </w:tcPr>
          <w:p w14:paraId="33D9E94C" w14:textId="2C368DEF" w:rsidR="0EDB2EA1" w:rsidRDefault="0EDB2EA1" w:rsidP="0EDB2EA1">
            <w:pPr>
              <w:jc w:val="right"/>
            </w:pPr>
            <w:r w:rsidRPr="0EDB2EA1">
              <w:rPr>
                <w:rFonts w:ascii="Calibri" w:eastAsia="Calibri" w:hAnsi="Calibri" w:cs="Calibri"/>
                <w:i/>
                <w:iCs/>
                <w:sz w:val="16"/>
                <w:szCs w:val="16"/>
              </w:rPr>
              <w:t>Em R$ milhões</w:t>
            </w:r>
          </w:p>
        </w:tc>
      </w:tr>
      <w:tr w:rsidR="0EDB2EA1" w14:paraId="606F16D4" w14:textId="77777777" w:rsidTr="00187204">
        <w:tc>
          <w:tcPr>
            <w:tcW w:w="297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2C30845C" w14:textId="469EADBD" w:rsidR="0EDB2EA1" w:rsidRDefault="0EDB2EA1" w:rsidP="0EDB2EA1">
            <w:pPr>
              <w:jc w:val="center"/>
            </w:pPr>
            <w:r w:rsidRPr="0EDB2EA1">
              <w:rPr>
                <w:rFonts w:ascii="Calibri" w:eastAsia="Calibri" w:hAnsi="Calibri" w:cs="Calibri"/>
                <w:b/>
                <w:bCs/>
                <w:color w:val="FFFFFF" w:themeColor="background1"/>
                <w:sz w:val="20"/>
                <w:szCs w:val="20"/>
              </w:rPr>
              <w:t>Impactos Estimados</w:t>
            </w:r>
          </w:p>
        </w:tc>
        <w:tc>
          <w:tcPr>
            <w:tcW w:w="57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7D11A8B2" w14:textId="5CC4BE68" w:rsidR="0EDB2EA1" w:rsidRDefault="0EDB2EA1" w:rsidP="0EDB2EA1">
            <w:pPr>
              <w:jc w:val="center"/>
            </w:pPr>
            <w:r w:rsidRPr="0EDB2EA1">
              <w:rPr>
                <w:rFonts w:ascii="Calibri" w:eastAsia="Calibri" w:hAnsi="Calibri" w:cs="Calibri"/>
                <w:b/>
                <w:bCs/>
                <w:color w:val="FFFFFF" w:themeColor="background1"/>
                <w:sz w:val="20"/>
                <w:szCs w:val="20"/>
              </w:rPr>
              <w:t>Fluxo</w:t>
            </w:r>
          </w:p>
          <w:p w14:paraId="1E55B857" w14:textId="5D46E2AD" w:rsidR="0EDB2EA1" w:rsidRDefault="0EDB2EA1" w:rsidP="0EDB2EA1">
            <w:pPr>
              <w:jc w:val="center"/>
            </w:pPr>
            <w:r w:rsidRPr="0EDB2EA1">
              <w:rPr>
                <w:rFonts w:ascii="Calibri" w:eastAsia="Calibri" w:hAnsi="Calibri" w:cs="Calibri"/>
                <w:b/>
                <w:bCs/>
                <w:color w:val="FFFFFF" w:themeColor="background1"/>
                <w:sz w:val="20"/>
                <w:szCs w:val="20"/>
              </w:rPr>
              <w:t>Valor Estimado</w:t>
            </w:r>
          </w:p>
        </w:tc>
        <w:tc>
          <w:tcPr>
            <w:tcW w:w="11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67DFD83A" w14:textId="459EDBC8" w:rsidR="0EDB2EA1" w:rsidRDefault="0EDB2EA1" w:rsidP="0EDB2EA1">
            <w:pPr>
              <w:jc w:val="center"/>
            </w:pPr>
            <w:r w:rsidRPr="0EDB2EA1">
              <w:rPr>
                <w:rFonts w:ascii="Calibri" w:eastAsia="Calibri" w:hAnsi="Calibri" w:cs="Calibri"/>
                <w:b/>
                <w:bCs/>
                <w:color w:val="FFFFFF" w:themeColor="background1"/>
                <w:sz w:val="20"/>
                <w:szCs w:val="20"/>
              </w:rPr>
              <w:t>Impacto</w:t>
            </w:r>
          </w:p>
          <w:p w14:paraId="28A9CCC5" w14:textId="21667427" w:rsidR="0EDB2EA1" w:rsidRDefault="0EDB2EA1" w:rsidP="0EDB2EA1">
            <w:pPr>
              <w:jc w:val="center"/>
            </w:pPr>
            <w:r w:rsidRPr="0EDB2EA1">
              <w:rPr>
                <w:rFonts w:ascii="Calibri" w:eastAsia="Calibri" w:hAnsi="Calibri" w:cs="Calibri"/>
                <w:color w:val="FFFFFF" w:themeColor="background1"/>
                <w:sz w:val="20"/>
                <w:szCs w:val="20"/>
              </w:rPr>
              <w:t>Financeiro (F)</w:t>
            </w:r>
          </w:p>
          <w:p w14:paraId="287449A2" w14:textId="3DFF0A06" w:rsidR="0EDB2EA1" w:rsidRDefault="0EDB2EA1" w:rsidP="0EDB2EA1">
            <w:pPr>
              <w:jc w:val="center"/>
            </w:pPr>
            <w:r w:rsidRPr="0EDB2EA1">
              <w:rPr>
                <w:rFonts w:ascii="Calibri" w:eastAsia="Calibri" w:hAnsi="Calibri" w:cs="Calibri"/>
                <w:color w:val="FFFFFF" w:themeColor="background1"/>
                <w:sz w:val="20"/>
                <w:szCs w:val="20"/>
              </w:rPr>
              <w:t>Primário (P)</w:t>
            </w:r>
          </w:p>
        </w:tc>
      </w:tr>
      <w:tr w:rsidR="0EDB2EA1" w14:paraId="3DB14D96" w14:textId="77777777" w:rsidTr="00187204">
        <w:tc>
          <w:tcPr>
            <w:tcW w:w="297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399F43" w14:textId="77777777" w:rsidR="00422732" w:rsidRDefault="00422732"/>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4202307C" w14:textId="5E82932B" w:rsidR="0EDB2EA1" w:rsidRDefault="0EDB2EA1" w:rsidP="0EDB2EA1">
            <w:pPr>
              <w:jc w:val="center"/>
            </w:pPr>
            <w:r w:rsidRPr="0EDB2EA1">
              <w:rPr>
                <w:rFonts w:ascii="Calibri" w:eastAsia="Calibri" w:hAnsi="Calibri" w:cs="Calibri"/>
                <w:b/>
                <w:bCs/>
                <w:color w:val="FFFFFF" w:themeColor="background1"/>
                <w:sz w:val="20"/>
                <w:szCs w:val="20"/>
              </w:rPr>
              <w:t>2021</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0E6D2F8B" w14:textId="705A23DC" w:rsidR="0EDB2EA1" w:rsidRDefault="0EDB2EA1" w:rsidP="0EDB2EA1">
            <w:pPr>
              <w:jc w:val="center"/>
            </w:pPr>
            <w:r w:rsidRPr="0EDB2EA1">
              <w:rPr>
                <w:rFonts w:ascii="Calibri" w:eastAsia="Calibri" w:hAnsi="Calibri" w:cs="Calibri"/>
                <w:b/>
                <w:bCs/>
                <w:color w:val="FFFFFF" w:themeColor="background1"/>
                <w:sz w:val="20"/>
                <w:szCs w:val="20"/>
              </w:rPr>
              <w:t>2022</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F175E3E" w14:textId="3856268D" w:rsidR="0EDB2EA1" w:rsidRDefault="0EDB2EA1" w:rsidP="0EDB2EA1">
            <w:pPr>
              <w:jc w:val="center"/>
            </w:pPr>
            <w:r w:rsidRPr="0EDB2EA1">
              <w:rPr>
                <w:rFonts w:ascii="Calibri" w:eastAsia="Calibri" w:hAnsi="Calibri" w:cs="Calibri"/>
                <w:b/>
                <w:bCs/>
                <w:color w:val="FFFFFF" w:themeColor="background1"/>
                <w:sz w:val="20"/>
                <w:szCs w:val="20"/>
              </w:rPr>
              <w:t>2023</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60B015AC" w14:textId="6D0F2F9C" w:rsidR="0EDB2EA1" w:rsidRDefault="0EDB2EA1" w:rsidP="0EDB2EA1">
            <w:pPr>
              <w:jc w:val="center"/>
            </w:pPr>
            <w:r w:rsidRPr="0EDB2EA1">
              <w:rPr>
                <w:rFonts w:ascii="Calibri" w:eastAsia="Calibri" w:hAnsi="Calibri" w:cs="Calibri"/>
                <w:b/>
                <w:bCs/>
                <w:color w:val="FFFFFF" w:themeColor="background1"/>
                <w:sz w:val="20"/>
                <w:szCs w:val="20"/>
              </w:rPr>
              <w:t>2024</w:t>
            </w:r>
          </w:p>
        </w:tc>
        <w:tc>
          <w:tcPr>
            <w:tcW w:w="11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CF81E9" w14:textId="77777777" w:rsidR="00422732" w:rsidRDefault="00422732"/>
        </w:tc>
      </w:tr>
      <w:tr w:rsidR="0EDB2EA1" w14:paraId="29D264E8" w14:textId="77777777" w:rsidTr="00187204">
        <w:tc>
          <w:tcPr>
            <w:tcW w:w="2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FABE2C" w14:textId="29F9C22C" w:rsidR="0EDB2EA1" w:rsidRDefault="0EDB2EA1">
            <w:r w:rsidRPr="0EDB2EA1">
              <w:rPr>
                <w:rFonts w:ascii="Calibri" w:eastAsia="Calibri" w:hAnsi="Calibri" w:cs="Calibri"/>
                <w:b/>
                <w:bCs/>
                <w:sz w:val="18"/>
                <w:szCs w:val="18"/>
              </w:rPr>
              <w:t>Estimativa de Dividendos e JCP</w:t>
            </w:r>
            <w:r w:rsidRPr="0EDB2EA1">
              <w:rPr>
                <w:rFonts w:ascii="Calibri" w:eastAsia="Calibri" w:hAnsi="Calibri" w:cs="Calibri"/>
                <w:b/>
                <w:bCs/>
                <w:sz w:val="18"/>
                <w:szCs w:val="18"/>
                <w:vertAlign w:val="superscript"/>
              </w:rPr>
              <w:t xml:space="preserve"> </w:t>
            </w:r>
            <w:proofErr w:type="gramStart"/>
            <w:r w:rsidRPr="0EDB2EA1">
              <w:rPr>
                <w:rFonts w:ascii="Calibri" w:eastAsia="Calibri" w:hAnsi="Calibri" w:cs="Calibri"/>
                <w:b/>
                <w:bCs/>
                <w:sz w:val="18"/>
                <w:szCs w:val="18"/>
                <w:vertAlign w:val="superscript"/>
              </w:rPr>
              <w:t>1</w:t>
            </w:r>
            <w:proofErr w:type="gramEnd"/>
            <w:r w:rsidRPr="0EDB2EA1">
              <w:rPr>
                <w:rFonts w:ascii="Calibri" w:eastAsia="Calibri" w:hAnsi="Calibri" w:cs="Calibri"/>
                <w:b/>
                <w:bCs/>
                <w:sz w:val="18"/>
                <w:szCs w:val="18"/>
                <w:vertAlign w:val="superscript"/>
              </w:rPr>
              <w:t xml:space="preserve"> </w:t>
            </w:r>
            <w:r w:rsidRPr="0EDB2EA1">
              <w:rPr>
                <w:rFonts w:ascii="Calibri" w:eastAsia="Calibri" w:hAnsi="Calibri" w:cs="Calibri"/>
                <w:b/>
                <w:bCs/>
                <w:sz w:val="18"/>
                <w:szCs w:val="18"/>
              </w:rPr>
              <w:t>(a)</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2CCA75" w14:textId="2437B5B9" w:rsidR="0EDB2EA1" w:rsidRDefault="0050113C" w:rsidP="001E39E1">
            <w:pPr>
              <w:jc w:val="center"/>
            </w:pPr>
            <w:r w:rsidRPr="0050113C">
              <w:rPr>
                <w:rFonts w:ascii="Calibri" w:eastAsia="Calibri" w:hAnsi="Calibri" w:cs="Calibri"/>
                <w:sz w:val="18"/>
                <w:szCs w:val="18"/>
              </w:rPr>
              <w:t>15.912,2</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21A6CA" w14:textId="080EF5D1" w:rsidR="0EDB2EA1" w:rsidRDefault="0050113C" w:rsidP="001E39E1">
            <w:pPr>
              <w:jc w:val="center"/>
            </w:pPr>
            <w:r w:rsidRPr="0050113C">
              <w:rPr>
                <w:rFonts w:ascii="Calibri" w:eastAsia="Calibri" w:hAnsi="Calibri" w:cs="Calibri"/>
                <w:sz w:val="18"/>
                <w:szCs w:val="18"/>
              </w:rPr>
              <w:t>13.130,6</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6B5023" w14:textId="461210F0" w:rsidR="0EDB2EA1" w:rsidRDefault="0050113C" w:rsidP="001E39E1">
            <w:pPr>
              <w:jc w:val="center"/>
            </w:pPr>
            <w:r w:rsidRPr="0050113C">
              <w:rPr>
                <w:rFonts w:ascii="Calibri" w:eastAsia="Calibri" w:hAnsi="Calibri" w:cs="Calibri"/>
                <w:sz w:val="18"/>
                <w:szCs w:val="18"/>
              </w:rPr>
              <w:t>12.767,4</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C7A78B" w14:textId="58BF8AFC" w:rsidR="0EDB2EA1" w:rsidRDefault="0050113C" w:rsidP="001E39E1">
            <w:pPr>
              <w:jc w:val="center"/>
            </w:pPr>
            <w:r w:rsidRPr="0050113C">
              <w:rPr>
                <w:rFonts w:ascii="Calibri" w:eastAsia="Calibri" w:hAnsi="Calibri" w:cs="Calibri"/>
                <w:sz w:val="18"/>
                <w:szCs w:val="18"/>
              </w:rPr>
              <w:t>13.435,4</w:t>
            </w:r>
          </w:p>
        </w:tc>
        <w:tc>
          <w:tcPr>
            <w:tcW w:w="11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08963B" w14:textId="6E80629C" w:rsidR="0EDB2EA1" w:rsidRDefault="0EDB2EA1" w:rsidP="0EDB2EA1">
            <w:pPr>
              <w:jc w:val="center"/>
            </w:pPr>
            <w:r w:rsidRPr="0EDB2EA1">
              <w:rPr>
                <w:rFonts w:ascii="Calibri" w:eastAsia="Calibri" w:hAnsi="Calibri" w:cs="Calibri"/>
                <w:sz w:val="18"/>
                <w:szCs w:val="18"/>
              </w:rPr>
              <w:t>F e P</w:t>
            </w:r>
          </w:p>
        </w:tc>
      </w:tr>
      <w:tr w:rsidR="0EDB2EA1" w14:paraId="22B4F56E" w14:textId="77777777" w:rsidTr="00187204">
        <w:tc>
          <w:tcPr>
            <w:tcW w:w="2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A5087A" w14:textId="1CF1DFE8" w:rsidR="0EDB2EA1" w:rsidRDefault="0EDB2EA1">
            <w:r w:rsidRPr="0EDB2EA1">
              <w:rPr>
                <w:rFonts w:ascii="Calibri" w:eastAsia="Calibri" w:hAnsi="Calibri" w:cs="Calibri"/>
                <w:b/>
                <w:bCs/>
                <w:sz w:val="18"/>
                <w:szCs w:val="18"/>
              </w:rPr>
              <w:t>Risco 1 - Frustração da Receita de Dividendos e JCP (b)</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C69E50" w14:textId="3BADDC1A" w:rsidR="0EDB2EA1" w:rsidRDefault="0EDB2EA1" w:rsidP="001E39E1">
            <w:pPr>
              <w:jc w:val="center"/>
            </w:pP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5320CF" w14:textId="17E1AF09" w:rsidR="0EDB2EA1" w:rsidRDefault="0EDB2EA1" w:rsidP="0EDB2EA1">
            <w:pPr>
              <w:jc w:val="center"/>
            </w:pP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69E7F5" w14:textId="48049ABA" w:rsidR="0EDB2EA1" w:rsidRDefault="0EDB2EA1" w:rsidP="0EDB2EA1">
            <w:pPr>
              <w:jc w:val="center"/>
            </w:pP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C7A69" w14:textId="73B09CB8" w:rsidR="0EDB2EA1" w:rsidRDefault="0EDB2EA1" w:rsidP="0EDB2EA1">
            <w:pPr>
              <w:jc w:val="center"/>
            </w:pPr>
          </w:p>
        </w:tc>
        <w:tc>
          <w:tcPr>
            <w:tcW w:w="11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427B0D" w14:textId="77777777" w:rsidR="00422732" w:rsidRDefault="00422732" w:rsidP="001E39E1">
            <w:pPr>
              <w:jc w:val="center"/>
            </w:pPr>
          </w:p>
        </w:tc>
      </w:tr>
      <w:tr w:rsidR="0EDB2EA1" w14:paraId="39B98266" w14:textId="77777777" w:rsidTr="00187204">
        <w:tc>
          <w:tcPr>
            <w:tcW w:w="2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D8E5D9" w14:textId="594E2768" w:rsidR="0EDB2EA1" w:rsidRDefault="0EDB2EA1">
            <w:r w:rsidRPr="0EDB2EA1">
              <w:rPr>
                <w:rFonts w:ascii="Calibri" w:eastAsia="Calibri" w:hAnsi="Calibri" w:cs="Calibri"/>
                <w:b/>
                <w:bCs/>
                <w:sz w:val="18"/>
                <w:szCs w:val="18"/>
              </w:rPr>
              <w:t>Reestimativa (c) = (a) + (b)</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E503FD" w14:textId="0FCEE9BD" w:rsidR="0EDB2EA1" w:rsidRDefault="00893F75" w:rsidP="001E39E1">
            <w:pPr>
              <w:jc w:val="center"/>
            </w:pPr>
            <w:r w:rsidRPr="0050113C">
              <w:rPr>
                <w:rFonts w:ascii="Calibri" w:eastAsia="Calibri" w:hAnsi="Calibri" w:cs="Calibri"/>
                <w:sz w:val="18"/>
                <w:szCs w:val="18"/>
              </w:rPr>
              <w:t>15.912,2</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E05AC1" w14:textId="7D23244B" w:rsidR="0EDB2EA1" w:rsidRDefault="00893F75" w:rsidP="001E39E1">
            <w:pPr>
              <w:jc w:val="center"/>
            </w:pPr>
            <w:r w:rsidRPr="0050113C">
              <w:rPr>
                <w:rFonts w:ascii="Calibri" w:eastAsia="Calibri" w:hAnsi="Calibri" w:cs="Calibri"/>
                <w:sz w:val="18"/>
                <w:szCs w:val="18"/>
              </w:rPr>
              <w:t>13.130,6</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80540BE" w14:textId="06ADA2A7" w:rsidR="0EDB2EA1" w:rsidRDefault="00893F75" w:rsidP="001E39E1">
            <w:pPr>
              <w:jc w:val="center"/>
            </w:pPr>
            <w:r w:rsidRPr="0050113C">
              <w:rPr>
                <w:rFonts w:ascii="Calibri" w:eastAsia="Calibri" w:hAnsi="Calibri" w:cs="Calibri"/>
                <w:sz w:val="18"/>
                <w:szCs w:val="18"/>
              </w:rPr>
              <w:t>12.767,4</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E4F4CC0" w14:textId="749E5C4F" w:rsidR="0EDB2EA1" w:rsidRDefault="00893F75" w:rsidP="001E39E1">
            <w:pPr>
              <w:jc w:val="center"/>
            </w:pPr>
            <w:r w:rsidRPr="0050113C">
              <w:rPr>
                <w:rFonts w:ascii="Calibri" w:eastAsia="Calibri" w:hAnsi="Calibri" w:cs="Calibri"/>
                <w:sz w:val="18"/>
                <w:szCs w:val="18"/>
              </w:rPr>
              <w:t>13.435,4</w:t>
            </w:r>
          </w:p>
        </w:tc>
        <w:tc>
          <w:tcPr>
            <w:tcW w:w="11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5C968B" w14:textId="77777777" w:rsidR="00422732" w:rsidRDefault="00422732" w:rsidP="001E39E1">
            <w:pPr>
              <w:jc w:val="center"/>
            </w:pPr>
          </w:p>
        </w:tc>
      </w:tr>
      <w:tr w:rsidR="0EDB2EA1" w14:paraId="5D51AA8C" w14:textId="77777777" w:rsidTr="00187204">
        <w:tc>
          <w:tcPr>
            <w:tcW w:w="2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302BC0" w14:textId="477A99E3" w:rsidR="0EDB2EA1" w:rsidRDefault="0EDB2EA1">
            <w:r w:rsidRPr="0EDB2EA1">
              <w:rPr>
                <w:rFonts w:ascii="Calibri" w:eastAsia="Calibri" w:hAnsi="Calibri" w:cs="Calibri"/>
                <w:b/>
                <w:bCs/>
                <w:sz w:val="18"/>
                <w:szCs w:val="18"/>
              </w:rPr>
              <w:t>Estimativa de Transferência para Aumento de Capital</w:t>
            </w:r>
            <w:r w:rsidRPr="0EDB2EA1">
              <w:rPr>
                <w:rFonts w:ascii="Calibri" w:eastAsia="Calibri" w:hAnsi="Calibri" w:cs="Calibri"/>
                <w:b/>
                <w:bCs/>
                <w:sz w:val="18"/>
                <w:szCs w:val="18"/>
                <w:vertAlign w:val="superscript"/>
              </w:rPr>
              <w:t xml:space="preserve"> </w:t>
            </w:r>
            <w:proofErr w:type="gramStart"/>
            <w:r w:rsidRPr="0EDB2EA1">
              <w:rPr>
                <w:rFonts w:ascii="Calibri" w:eastAsia="Calibri" w:hAnsi="Calibri" w:cs="Calibri"/>
                <w:b/>
                <w:bCs/>
                <w:sz w:val="18"/>
                <w:szCs w:val="18"/>
                <w:vertAlign w:val="superscript"/>
              </w:rPr>
              <w:t>2</w:t>
            </w:r>
            <w:proofErr w:type="gramEnd"/>
            <w:r w:rsidRPr="0EDB2EA1">
              <w:rPr>
                <w:rFonts w:ascii="Calibri" w:eastAsia="Calibri" w:hAnsi="Calibri" w:cs="Calibri"/>
                <w:b/>
                <w:bCs/>
                <w:sz w:val="18"/>
                <w:szCs w:val="18"/>
              </w:rPr>
              <w:t xml:space="preserve"> (d)</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70AD23" w14:textId="500F8EAB" w:rsidR="0EDB2EA1" w:rsidRDefault="0EDB2EA1" w:rsidP="001E39E1">
            <w:pPr>
              <w:jc w:val="center"/>
            </w:pPr>
            <w:r w:rsidRPr="0EDB2EA1">
              <w:rPr>
                <w:rFonts w:ascii="Calibri" w:eastAsia="Calibri" w:hAnsi="Calibri" w:cs="Calibri"/>
                <w:sz w:val="18"/>
                <w:szCs w:val="18"/>
              </w:rPr>
              <w:t>2.433,3</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C3E56D" w14:textId="587E39E2" w:rsidR="0EDB2EA1" w:rsidRDefault="0EDB2EA1" w:rsidP="0EDB2EA1">
            <w:pPr>
              <w:jc w:val="center"/>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BEF488" w14:textId="22569D86" w:rsidR="0EDB2EA1" w:rsidRDefault="0EDB2EA1" w:rsidP="0EDB2EA1">
            <w:pPr>
              <w:jc w:val="center"/>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E51EBA" w14:textId="7FC7E0B5" w:rsidR="0EDB2EA1" w:rsidRDefault="0EDB2EA1" w:rsidP="0EDB2EA1">
            <w:pPr>
              <w:jc w:val="center"/>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11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477629" w14:textId="07270D50" w:rsidR="0EDB2EA1" w:rsidRDefault="0EDB2EA1" w:rsidP="0EDB2EA1">
            <w:pPr>
              <w:jc w:val="center"/>
            </w:pPr>
            <w:r w:rsidRPr="0EDB2EA1">
              <w:rPr>
                <w:rFonts w:ascii="Calibri" w:eastAsia="Calibri" w:hAnsi="Calibri" w:cs="Calibri"/>
                <w:sz w:val="18"/>
                <w:szCs w:val="18"/>
              </w:rPr>
              <w:t>F e P</w:t>
            </w:r>
          </w:p>
        </w:tc>
      </w:tr>
      <w:tr w:rsidR="0EDB2EA1" w14:paraId="69126B1C" w14:textId="77777777" w:rsidTr="00187204">
        <w:tc>
          <w:tcPr>
            <w:tcW w:w="2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D1474C" w14:textId="27B4960F" w:rsidR="0EDB2EA1" w:rsidRDefault="0EDB2EA1">
            <w:r w:rsidRPr="0EDB2EA1">
              <w:rPr>
                <w:rFonts w:ascii="Calibri" w:eastAsia="Calibri" w:hAnsi="Calibri" w:cs="Calibri"/>
                <w:b/>
                <w:bCs/>
                <w:sz w:val="18"/>
                <w:szCs w:val="18"/>
              </w:rPr>
              <w:t>Risco 2 - Aporte Emergencial (e)</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F3E011" w14:textId="4F08306F" w:rsidR="0EDB2EA1" w:rsidRDefault="0EDB2EA1" w:rsidP="001E39E1">
            <w:pPr>
              <w:jc w:val="center"/>
            </w:pPr>
            <w:r w:rsidRPr="0EDB2EA1">
              <w:rPr>
                <w:rFonts w:ascii="Calibri" w:eastAsia="Calibri" w:hAnsi="Calibri" w:cs="Calibri"/>
                <w:sz w:val="18"/>
                <w:szCs w:val="18"/>
              </w:rPr>
              <w:t>-</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3FD202" w14:textId="24B0F105" w:rsidR="0EDB2EA1" w:rsidRDefault="0EDB2EA1" w:rsidP="0EDB2EA1">
            <w:pPr>
              <w:jc w:val="center"/>
            </w:pPr>
            <w:r w:rsidRPr="0EDB2EA1">
              <w:rPr>
                <w:rFonts w:ascii="Calibri" w:eastAsia="Calibri" w:hAnsi="Calibri" w:cs="Calibri"/>
                <w:sz w:val="18"/>
                <w:szCs w:val="18"/>
              </w:rPr>
              <w:t>-</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0A7338" w14:textId="25FE9076" w:rsidR="0EDB2EA1" w:rsidRDefault="0EDB2EA1" w:rsidP="0EDB2EA1">
            <w:pPr>
              <w:jc w:val="center"/>
            </w:pPr>
            <w:r w:rsidRPr="0EDB2EA1">
              <w:rPr>
                <w:rFonts w:ascii="Calibri" w:eastAsia="Calibri" w:hAnsi="Calibri" w:cs="Calibri"/>
                <w:sz w:val="18"/>
                <w:szCs w:val="18"/>
              </w:rPr>
              <w:t>-</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0D2F7A" w14:textId="689E0B1B" w:rsidR="0EDB2EA1" w:rsidRDefault="0EDB2EA1" w:rsidP="0EDB2EA1">
            <w:pPr>
              <w:jc w:val="center"/>
            </w:pPr>
            <w:r w:rsidRPr="0EDB2EA1">
              <w:rPr>
                <w:rFonts w:ascii="Calibri" w:eastAsia="Calibri" w:hAnsi="Calibri" w:cs="Calibri"/>
                <w:sz w:val="18"/>
                <w:szCs w:val="18"/>
              </w:rPr>
              <w:t>-</w:t>
            </w:r>
          </w:p>
        </w:tc>
        <w:tc>
          <w:tcPr>
            <w:tcW w:w="11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3659F1" w14:textId="77777777" w:rsidR="00422732" w:rsidRDefault="00422732" w:rsidP="001E39E1">
            <w:pPr>
              <w:jc w:val="center"/>
            </w:pPr>
          </w:p>
        </w:tc>
      </w:tr>
      <w:tr w:rsidR="0EDB2EA1" w14:paraId="01E7DC6C" w14:textId="77777777" w:rsidTr="00187204">
        <w:tc>
          <w:tcPr>
            <w:tcW w:w="2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D809AF" w14:textId="464FD9F5" w:rsidR="0EDB2EA1" w:rsidRDefault="0EDB2EA1">
            <w:r w:rsidRPr="0EDB2EA1">
              <w:rPr>
                <w:rFonts w:ascii="Calibri" w:eastAsia="Calibri" w:hAnsi="Calibri" w:cs="Calibri"/>
                <w:b/>
                <w:bCs/>
                <w:sz w:val="18"/>
                <w:szCs w:val="18"/>
              </w:rPr>
              <w:t>Reestimativa (f) = (d) + (e)</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A47333" w14:textId="054DD591" w:rsidR="0EDB2EA1" w:rsidRDefault="0EDB2EA1" w:rsidP="001E39E1">
            <w:pPr>
              <w:jc w:val="center"/>
            </w:pPr>
            <w:r w:rsidRPr="0EDB2EA1">
              <w:rPr>
                <w:rFonts w:ascii="Calibri" w:eastAsia="Calibri" w:hAnsi="Calibri" w:cs="Calibri"/>
                <w:sz w:val="18"/>
                <w:szCs w:val="18"/>
              </w:rPr>
              <w:t>2.433,3</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590ABF" w14:textId="5F74C89E" w:rsidR="0EDB2EA1" w:rsidRDefault="0EDB2EA1" w:rsidP="0EDB2EA1">
            <w:pPr>
              <w:jc w:val="center"/>
            </w:pPr>
            <w:r w:rsidRPr="0EDB2EA1">
              <w:rPr>
                <w:rFonts w:ascii="Calibri" w:eastAsia="Calibri" w:hAnsi="Calibri" w:cs="Calibri"/>
                <w:sz w:val="18"/>
                <w:szCs w:val="18"/>
              </w:rPr>
              <w:t>-</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D04E20" w14:textId="31A18D45" w:rsidR="0EDB2EA1" w:rsidRDefault="0EDB2EA1" w:rsidP="0EDB2EA1">
            <w:pPr>
              <w:jc w:val="center"/>
            </w:pPr>
            <w:r w:rsidRPr="0EDB2EA1">
              <w:rPr>
                <w:rFonts w:ascii="Calibri" w:eastAsia="Calibri" w:hAnsi="Calibri" w:cs="Calibri"/>
                <w:sz w:val="18"/>
                <w:szCs w:val="18"/>
              </w:rPr>
              <w:t>-</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5945AB" w14:textId="729177A8" w:rsidR="0EDB2EA1" w:rsidRDefault="0EDB2EA1" w:rsidP="0EDB2EA1">
            <w:pPr>
              <w:jc w:val="center"/>
            </w:pPr>
            <w:r w:rsidRPr="0EDB2EA1">
              <w:rPr>
                <w:rFonts w:ascii="Calibri" w:eastAsia="Calibri" w:hAnsi="Calibri" w:cs="Calibri"/>
                <w:sz w:val="18"/>
                <w:szCs w:val="18"/>
              </w:rPr>
              <w:t>-</w:t>
            </w:r>
          </w:p>
        </w:tc>
        <w:tc>
          <w:tcPr>
            <w:tcW w:w="114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160D18" w14:textId="77777777" w:rsidR="00422732" w:rsidRDefault="00422732" w:rsidP="001E39E1">
            <w:pPr>
              <w:jc w:val="center"/>
            </w:pPr>
          </w:p>
        </w:tc>
      </w:tr>
      <w:tr w:rsidR="0EDB2EA1" w14:paraId="40D3AC50" w14:textId="77777777" w:rsidTr="00187204">
        <w:tc>
          <w:tcPr>
            <w:tcW w:w="2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E8DA53" w14:textId="326D9F25" w:rsidR="0EDB2EA1" w:rsidRDefault="0EDB2EA1">
            <w:r w:rsidRPr="0EDB2EA1">
              <w:rPr>
                <w:rFonts w:ascii="Calibri" w:eastAsia="Calibri" w:hAnsi="Calibri" w:cs="Calibri"/>
                <w:b/>
                <w:bCs/>
                <w:sz w:val="18"/>
                <w:szCs w:val="18"/>
              </w:rPr>
              <w:t>Estimativa de Resultado Primário das Estatais (g)</w:t>
            </w:r>
            <w:proofErr w:type="gramStart"/>
            <w:r w:rsidR="004162A5" w:rsidRPr="001E39E1">
              <w:rPr>
                <w:rFonts w:ascii="Calibri" w:eastAsia="Calibri" w:hAnsi="Calibri" w:cs="Calibri"/>
                <w:b/>
                <w:sz w:val="18"/>
                <w:szCs w:val="18"/>
                <w:vertAlign w:val="superscript"/>
              </w:rPr>
              <w:t>3</w:t>
            </w:r>
            <w:proofErr w:type="gramEnd"/>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88C45B" w14:textId="3504F686" w:rsidR="0EDB2EA1" w:rsidRDefault="00AB7A53" w:rsidP="001E39E1">
            <w:pPr>
              <w:jc w:val="center"/>
            </w:pPr>
            <w:r w:rsidRPr="00AB7A53">
              <w:rPr>
                <w:rFonts w:ascii="Calibri" w:eastAsia="Calibri" w:hAnsi="Calibri" w:cs="Calibri"/>
                <w:sz w:val="18"/>
                <w:szCs w:val="18"/>
              </w:rPr>
              <w:t>-3.184,9</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0635CF" w14:textId="24411303" w:rsidR="0EDB2EA1" w:rsidRDefault="00AB7A53" w:rsidP="001E39E1">
            <w:pPr>
              <w:jc w:val="center"/>
            </w:pPr>
            <w:r w:rsidRPr="00AB7A53">
              <w:rPr>
                <w:rFonts w:ascii="Calibri" w:eastAsia="Calibri" w:hAnsi="Calibri" w:cs="Calibri"/>
                <w:sz w:val="18"/>
                <w:szCs w:val="18"/>
              </w:rPr>
              <w:t>-4.417,5</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05D2AB" w14:textId="71ED7D78" w:rsidR="0EDB2EA1" w:rsidRDefault="00AB7A53" w:rsidP="001E39E1">
            <w:pPr>
              <w:jc w:val="center"/>
            </w:pPr>
            <w:r w:rsidRPr="00AB7A53">
              <w:rPr>
                <w:rFonts w:ascii="Calibri" w:eastAsia="Calibri" w:hAnsi="Calibri" w:cs="Calibri"/>
                <w:sz w:val="18"/>
                <w:szCs w:val="18"/>
              </w:rPr>
              <w:t>-4.747,9</w:t>
            </w:r>
          </w:p>
        </w:tc>
        <w:tc>
          <w:tcPr>
            <w:tcW w:w="14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5306CB" w14:textId="4743FFDE" w:rsidR="0EDB2EA1" w:rsidRDefault="00AB7A53" w:rsidP="0EDB2EA1">
            <w:pPr>
              <w:jc w:val="center"/>
            </w:pPr>
            <w:r w:rsidRPr="00AB7A53">
              <w:rPr>
                <w:rFonts w:ascii="Calibri" w:eastAsia="Calibri" w:hAnsi="Calibri" w:cs="Calibri"/>
                <w:sz w:val="18"/>
                <w:szCs w:val="18"/>
              </w:rPr>
              <w:t>-5.075,2</w:t>
            </w:r>
          </w:p>
        </w:tc>
        <w:tc>
          <w:tcPr>
            <w:tcW w:w="114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53F6712B" w14:textId="109027D6" w:rsidR="0EDB2EA1" w:rsidRDefault="0EDB2EA1" w:rsidP="0EDB2EA1">
            <w:pPr>
              <w:jc w:val="center"/>
            </w:pPr>
            <w:r w:rsidRPr="0EDB2EA1">
              <w:rPr>
                <w:rFonts w:ascii="Calibri" w:eastAsia="Calibri" w:hAnsi="Calibri" w:cs="Calibri"/>
                <w:sz w:val="18"/>
                <w:szCs w:val="18"/>
              </w:rPr>
              <w:t>P</w:t>
            </w:r>
          </w:p>
        </w:tc>
      </w:tr>
      <w:tr w:rsidR="0EDB2EA1" w14:paraId="3152C1E1" w14:textId="77777777" w:rsidTr="00187204">
        <w:tc>
          <w:tcPr>
            <w:tcW w:w="2970" w:type="dxa"/>
            <w:tcBorders>
              <w:top w:val="single" w:sz="4"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7EFA51C" w14:textId="327F0ECE" w:rsidR="0EDB2EA1" w:rsidRDefault="0EDB2EA1">
            <w:r w:rsidRPr="0EDB2EA1">
              <w:rPr>
                <w:rFonts w:ascii="Calibri" w:eastAsia="Calibri" w:hAnsi="Calibri" w:cs="Calibri"/>
                <w:b/>
                <w:bCs/>
                <w:sz w:val="18"/>
                <w:szCs w:val="18"/>
              </w:rPr>
              <w:t>Reestimativa SEST (h)</w:t>
            </w:r>
            <w:proofErr w:type="gramStart"/>
            <w:r w:rsidR="004162A5" w:rsidRPr="001E39E1">
              <w:rPr>
                <w:rFonts w:ascii="Calibri" w:eastAsia="Calibri" w:hAnsi="Calibri" w:cs="Calibri"/>
                <w:b/>
                <w:sz w:val="18"/>
                <w:szCs w:val="18"/>
                <w:vertAlign w:val="superscript"/>
              </w:rPr>
              <w:t>4</w:t>
            </w:r>
            <w:proofErr w:type="gramEnd"/>
          </w:p>
        </w:tc>
        <w:tc>
          <w:tcPr>
            <w:tcW w:w="1335" w:type="dxa"/>
            <w:tcBorders>
              <w:top w:val="single" w:sz="4"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45A9981" w14:textId="4F2DAE37" w:rsidR="0EDB2EA1" w:rsidRDefault="00AB7A53" w:rsidP="001E39E1">
            <w:pPr>
              <w:jc w:val="center"/>
            </w:pPr>
            <w:r w:rsidRPr="00AB7A53">
              <w:rPr>
                <w:rFonts w:ascii="Calibri" w:eastAsia="Calibri" w:hAnsi="Calibri" w:cs="Calibri"/>
                <w:sz w:val="18"/>
                <w:szCs w:val="18"/>
              </w:rPr>
              <w:t>-2.175,9</w:t>
            </w:r>
          </w:p>
        </w:tc>
        <w:tc>
          <w:tcPr>
            <w:tcW w:w="1485" w:type="dxa"/>
            <w:tcBorders>
              <w:top w:val="single" w:sz="4"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0AECB7E" w14:textId="2F06AB0D" w:rsidR="0EDB2EA1" w:rsidRDefault="0EDB2EA1" w:rsidP="0EDB2EA1">
            <w:pPr>
              <w:jc w:val="center"/>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1485" w:type="dxa"/>
            <w:tcBorders>
              <w:top w:val="single" w:sz="4"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5F8A909" w14:textId="1BFA292D" w:rsidR="0EDB2EA1" w:rsidRDefault="0EDB2EA1" w:rsidP="0EDB2EA1">
            <w:pPr>
              <w:jc w:val="center"/>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1485" w:type="dxa"/>
            <w:tcBorders>
              <w:top w:val="single" w:sz="4"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B42194E" w14:textId="7DDFC18F" w:rsidR="0EDB2EA1" w:rsidRDefault="0EDB2EA1" w:rsidP="0EDB2EA1">
            <w:pPr>
              <w:jc w:val="center"/>
            </w:pPr>
            <w:proofErr w:type="spellStart"/>
            <w:proofErr w:type="gramStart"/>
            <w:r w:rsidRPr="0EDB2EA1">
              <w:rPr>
                <w:rFonts w:ascii="Calibri" w:eastAsia="Calibri" w:hAnsi="Calibri" w:cs="Calibri"/>
                <w:sz w:val="18"/>
                <w:szCs w:val="18"/>
              </w:rPr>
              <w:t>n.d</w:t>
            </w:r>
            <w:proofErr w:type="spellEnd"/>
            <w:r w:rsidRPr="0EDB2EA1">
              <w:rPr>
                <w:rFonts w:ascii="Calibri" w:eastAsia="Calibri" w:hAnsi="Calibri" w:cs="Calibri"/>
                <w:sz w:val="18"/>
                <w:szCs w:val="18"/>
              </w:rPr>
              <w:t>.</w:t>
            </w:r>
            <w:proofErr w:type="gramEnd"/>
          </w:p>
        </w:tc>
        <w:tc>
          <w:tcPr>
            <w:tcW w:w="1140" w:type="dxa"/>
            <w:vMerge/>
            <w:tcBorders>
              <w:top w:val="single" w:sz="4" w:space="0" w:color="BFBFBF" w:themeColor="background1" w:themeShade="BF"/>
              <w:right w:val="single" w:sz="4" w:space="0" w:color="BFBFBF" w:themeColor="background1" w:themeShade="BF"/>
            </w:tcBorders>
            <w:vAlign w:val="center"/>
          </w:tcPr>
          <w:p w14:paraId="60E9F063" w14:textId="77777777" w:rsidR="00422732" w:rsidRDefault="00422732"/>
        </w:tc>
      </w:tr>
      <w:tr w:rsidR="0EDB2EA1" w14:paraId="5B92EC54" w14:textId="77777777" w:rsidTr="00187204">
        <w:tc>
          <w:tcPr>
            <w:tcW w:w="29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BDB8D3C" w14:textId="23B0B70A" w:rsidR="0EDB2EA1" w:rsidRDefault="0EDB2EA1">
            <w:r w:rsidRPr="0EDB2EA1">
              <w:rPr>
                <w:rFonts w:ascii="Calibri" w:eastAsia="Calibri" w:hAnsi="Calibri" w:cs="Calibri"/>
                <w:b/>
                <w:bCs/>
                <w:sz w:val="18"/>
                <w:szCs w:val="18"/>
              </w:rPr>
              <w:t>Risco 3 - Esforço Fiscal Adicional (compensação) (i) = (h) - (g)</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28E239F" w14:textId="177D42E5" w:rsidR="0EDB2EA1" w:rsidRDefault="006629E2" w:rsidP="001E39E1">
            <w:pPr>
              <w:jc w:val="center"/>
            </w:pPr>
            <w:r w:rsidRPr="006629E2">
              <w:rPr>
                <w:rFonts w:ascii="Calibri" w:eastAsia="Calibri" w:hAnsi="Calibri" w:cs="Calibri"/>
                <w:sz w:val="18"/>
                <w:szCs w:val="18"/>
              </w:rPr>
              <w:t>1.009,</w:t>
            </w:r>
            <w:r w:rsidR="0EDB2EA1" w:rsidRPr="0EDB2EA1">
              <w:rPr>
                <w:rFonts w:ascii="Calibri" w:eastAsia="Calibri" w:hAnsi="Calibri" w:cs="Calibri"/>
                <w:sz w:val="18"/>
                <w:szCs w:val="18"/>
              </w:rPr>
              <w:t>0</w:t>
            </w:r>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6ECB1B6" w14:textId="232A1ED1" w:rsidR="0EDB2EA1" w:rsidRDefault="0EDB2EA1" w:rsidP="0EDB2EA1">
            <w:pPr>
              <w:jc w:val="center"/>
            </w:pPr>
            <w:r w:rsidRPr="0EDB2EA1">
              <w:rPr>
                <w:rFonts w:ascii="Calibri" w:eastAsia="Calibri" w:hAnsi="Calibri" w:cs="Calibri"/>
                <w:sz w:val="18"/>
                <w:szCs w:val="18"/>
              </w:rPr>
              <w:t>-</w:t>
            </w:r>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C91C76E" w14:textId="2A810965" w:rsidR="0EDB2EA1" w:rsidRDefault="0EDB2EA1" w:rsidP="0EDB2EA1">
            <w:pPr>
              <w:jc w:val="center"/>
            </w:pPr>
            <w:r w:rsidRPr="0EDB2EA1">
              <w:rPr>
                <w:rFonts w:ascii="Calibri" w:eastAsia="Calibri" w:hAnsi="Calibri" w:cs="Calibri"/>
                <w:sz w:val="18"/>
                <w:szCs w:val="18"/>
              </w:rPr>
              <w:t>-</w:t>
            </w:r>
          </w:p>
        </w:tc>
        <w:tc>
          <w:tcPr>
            <w:tcW w:w="14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5F0D2C" w14:textId="05CED290" w:rsidR="0EDB2EA1" w:rsidRDefault="0EDB2EA1" w:rsidP="0EDB2EA1">
            <w:pPr>
              <w:jc w:val="center"/>
            </w:pPr>
            <w:r w:rsidRPr="0EDB2EA1">
              <w:rPr>
                <w:rFonts w:ascii="Calibri" w:eastAsia="Calibri" w:hAnsi="Calibri" w:cs="Calibri"/>
                <w:sz w:val="18"/>
                <w:szCs w:val="18"/>
              </w:rPr>
              <w:t>-</w:t>
            </w:r>
          </w:p>
        </w:tc>
        <w:tc>
          <w:tcPr>
            <w:tcW w:w="1140" w:type="dxa"/>
            <w:vMerge/>
            <w:tcBorders>
              <w:right w:val="single" w:sz="4" w:space="0" w:color="BFBFBF" w:themeColor="background1" w:themeShade="BF"/>
            </w:tcBorders>
            <w:vAlign w:val="center"/>
          </w:tcPr>
          <w:p w14:paraId="526FBDD5" w14:textId="77777777" w:rsidR="00422732" w:rsidRDefault="00422732"/>
        </w:tc>
      </w:tr>
      <w:tr w:rsidR="0EDB2EA1" w14:paraId="32149DB2" w14:textId="77777777" w:rsidTr="0EDB2EA1">
        <w:tc>
          <w:tcPr>
            <w:tcW w:w="9900" w:type="dxa"/>
            <w:gridSpan w:val="6"/>
            <w:tcBorders>
              <w:top w:val="single" w:sz="8" w:space="0" w:color="BFBFBF" w:themeColor="background1" w:themeShade="BF"/>
              <w:left w:val="nil"/>
              <w:bottom w:val="nil"/>
              <w:right w:val="nil"/>
            </w:tcBorders>
            <w:vAlign w:val="center"/>
          </w:tcPr>
          <w:p w14:paraId="1B159590" w14:textId="40EA9A78" w:rsidR="0EDB2EA1" w:rsidRPr="001E39E1" w:rsidRDefault="0EDB2EA1">
            <w:pPr>
              <w:rPr>
                <w:sz w:val="20"/>
                <w:szCs w:val="20"/>
              </w:rPr>
            </w:pPr>
            <w:proofErr w:type="gramStart"/>
            <w:r w:rsidRPr="001E39E1">
              <w:rPr>
                <w:rFonts w:ascii="Calibri" w:eastAsia="Calibri" w:hAnsi="Calibri" w:cs="Calibri"/>
                <w:i/>
                <w:iCs/>
                <w:sz w:val="20"/>
                <w:szCs w:val="20"/>
                <w:vertAlign w:val="superscript"/>
              </w:rPr>
              <w:t>1</w:t>
            </w:r>
            <w:proofErr w:type="gramEnd"/>
            <w:r w:rsidRPr="001E39E1">
              <w:rPr>
                <w:rFonts w:ascii="Calibri" w:eastAsia="Calibri" w:hAnsi="Calibri" w:cs="Calibri"/>
                <w:i/>
                <w:iCs/>
                <w:sz w:val="20"/>
                <w:szCs w:val="20"/>
                <w:vertAlign w:val="superscript"/>
              </w:rPr>
              <w:t xml:space="preserve"> </w:t>
            </w:r>
            <w:r w:rsidRPr="001E39E1">
              <w:rPr>
                <w:rFonts w:ascii="Calibri" w:eastAsia="Calibri" w:hAnsi="Calibri" w:cs="Calibri"/>
                <w:i/>
                <w:iCs/>
                <w:sz w:val="20"/>
                <w:szCs w:val="20"/>
              </w:rPr>
              <w:t xml:space="preserve">Dividendos= </w:t>
            </w:r>
            <w:r w:rsidR="004162A5">
              <w:rPr>
                <w:rFonts w:ascii="Calibri" w:eastAsia="Calibri" w:hAnsi="Calibri" w:cs="Calibri"/>
                <w:i/>
                <w:iCs/>
                <w:sz w:val="20"/>
                <w:szCs w:val="20"/>
              </w:rPr>
              <w:t xml:space="preserve">previsão </w:t>
            </w:r>
            <w:r w:rsidRPr="001E39E1">
              <w:rPr>
                <w:rFonts w:ascii="Calibri" w:eastAsia="Calibri" w:hAnsi="Calibri" w:cs="Calibri"/>
                <w:i/>
                <w:iCs/>
                <w:sz w:val="20"/>
                <w:szCs w:val="20"/>
              </w:rPr>
              <w:t>PL</w:t>
            </w:r>
            <w:r w:rsidR="004162A5">
              <w:rPr>
                <w:rFonts w:ascii="Calibri" w:eastAsia="Calibri" w:hAnsi="Calibri" w:cs="Calibri"/>
                <w:i/>
                <w:iCs/>
                <w:sz w:val="20"/>
                <w:szCs w:val="20"/>
              </w:rPr>
              <w:t>DO</w:t>
            </w:r>
            <w:r w:rsidRPr="001E39E1">
              <w:rPr>
                <w:rFonts w:ascii="Calibri" w:eastAsia="Calibri" w:hAnsi="Calibri" w:cs="Calibri"/>
                <w:i/>
                <w:iCs/>
                <w:sz w:val="20"/>
                <w:szCs w:val="20"/>
              </w:rPr>
              <w:t xml:space="preserve"> 202</w:t>
            </w:r>
            <w:r w:rsidR="004162A5">
              <w:rPr>
                <w:rFonts w:ascii="Calibri" w:eastAsia="Calibri" w:hAnsi="Calibri" w:cs="Calibri"/>
                <w:i/>
                <w:iCs/>
                <w:sz w:val="20"/>
                <w:szCs w:val="20"/>
              </w:rPr>
              <w:t>2</w:t>
            </w:r>
          </w:p>
          <w:p w14:paraId="1235EC24" w14:textId="5E85EE19" w:rsidR="0EDB2EA1" w:rsidRDefault="0EDB2EA1" w:rsidP="0EDB2EA1">
            <w:pPr>
              <w:jc w:val="both"/>
              <w:rPr>
                <w:rFonts w:ascii="Calibri" w:eastAsia="Calibri" w:hAnsi="Calibri" w:cs="Calibri"/>
                <w:i/>
                <w:sz w:val="20"/>
                <w:szCs w:val="20"/>
              </w:rPr>
            </w:pPr>
            <w:proofErr w:type="gramStart"/>
            <w:r w:rsidRPr="001E39E1">
              <w:rPr>
                <w:rFonts w:ascii="Calibri" w:eastAsia="Calibri" w:hAnsi="Calibri" w:cs="Calibri"/>
                <w:i/>
                <w:sz w:val="20"/>
                <w:szCs w:val="20"/>
                <w:vertAlign w:val="superscript"/>
              </w:rPr>
              <w:t>2</w:t>
            </w:r>
            <w:proofErr w:type="gramEnd"/>
            <w:r w:rsidRPr="001E39E1">
              <w:rPr>
                <w:rFonts w:ascii="Calibri" w:eastAsia="Calibri" w:hAnsi="Calibri" w:cs="Calibri"/>
                <w:i/>
                <w:sz w:val="20"/>
                <w:szCs w:val="20"/>
                <w:vertAlign w:val="superscript"/>
              </w:rPr>
              <w:t xml:space="preserve"> </w:t>
            </w:r>
            <w:r w:rsidRPr="001E39E1">
              <w:rPr>
                <w:rFonts w:ascii="Calibri" w:eastAsia="Calibri" w:hAnsi="Calibri" w:cs="Calibri"/>
                <w:i/>
                <w:sz w:val="20"/>
                <w:szCs w:val="20"/>
              </w:rPr>
              <w:t>Transferências para aumento de capital = PLOA 2021 – Anexo III + restos a pagar inscritos</w:t>
            </w:r>
          </w:p>
          <w:p w14:paraId="5C9BB294" w14:textId="4F0A7776" w:rsidR="004162A5" w:rsidRDefault="004162A5" w:rsidP="0EDB2EA1">
            <w:pPr>
              <w:jc w:val="both"/>
              <w:rPr>
                <w:rFonts w:ascii="Calibri" w:eastAsia="Calibri" w:hAnsi="Calibri" w:cs="Calibri"/>
                <w:i/>
                <w:iCs/>
                <w:sz w:val="20"/>
                <w:szCs w:val="20"/>
              </w:rPr>
            </w:pPr>
            <w:proofErr w:type="gramStart"/>
            <w:r w:rsidRPr="001E39E1">
              <w:rPr>
                <w:rFonts w:ascii="Calibri" w:eastAsia="Calibri" w:hAnsi="Calibri" w:cs="Calibri"/>
                <w:i/>
                <w:sz w:val="20"/>
                <w:szCs w:val="20"/>
                <w:vertAlign w:val="superscript"/>
              </w:rPr>
              <w:t>3</w:t>
            </w:r>
            <w:proofErr w:type="gramEnd"/>
            <w:r w:rsidR="00CA63F3">
              <w:rPr>
                <w:rFonts w:ascii="Calibri" w:eastAsia="Calibri" w:hAnsi="Calibri" w:cs="Calibri"/>
                <w:i/>
                <w:iCs/>
                <w:sz w:val="20"/>
                <w:szCs w:val="20"/>
                <w:vertAlign w:val="superscript"/>
              </w:rPr>
              <w:t xml:space="preserve"> </w:t>
            </w:r>
            <w:r w:rsidR="00CA63F3" w:rsidRPr="001E39E1">
              <w:rPr>
                <w:rFonts w:ascii="Calibri" w:eastAsia="Calibri" w:hAnsi="Calibri" w:cs="Calibri"/>
                <w:i/>
                <w:sz w:val="20"/>
                <w:szCs w:val="20"/>
              </w:rPr>
              <w:t>Resultado Primário previsto PLDO 2022</w:t>
            </w:r>
          </w:p>
          <w:p w14:paraId="0E70B4B7" w14:textId="0C8FE11A" w:rsidR="00CA63F3" w:rsidRPr="001E39E1" w:rsidRDefault="00CA63F3" w:rsidP="0EDB2EA1">
            <w:pPr>
              <w:jc w:val="both"/>
              <w:rPr>
                <w:sz w:val="20"/>
                <w:szCs w:val="20"/>
              </w:rPr>
            </w:pPr>
            <w:proofErr w:type="gramStart"/>
            <w:r w:rsidRPr="001E39E1">
              <w:rPr>
                <w:sz w:val="20"/>
                <w:szCs w:val="20"/>
                <w:vertAlign w:val="superscript"/>
              </w:rPr>
              <w:t>4</w:t>
            </w:r>
            <w:proofErr w:type="gramEnd"/>
            <w:r>
              <w:rPr>
                <w:sz w:val="20"/>
                <w:szCs w:val="20"/>
              </w:rPr>
              <w:t xml:space="preserve"> </w:t>
            </w:r>
            <w:r w:rsidR="004D2567" w:rsidRPr="001E39E1">
              <w:rPr>
                <w:i/>
                <w:sz w:val="20"/>
                <w:szCs w:val="20"/>
              </w:rPr>
              <w:t>Previsão SEST em 01/2021</w:t>
            </w:r>
          </w:p>
          <w:p w14:paraId="62D51FBC" w14:textId="07C3BDE5" w:rsidR="0EDB2EA1" w:rsidRPr="001E39E1" w:rsidRDefault="0EDB2EA1">
            <w:pPr>
              <w:rPr>
                <w:sz w:val="20"/>
                <w:szCs w:val="20"/>
              </w:rPr>
            </w:pPr>
            <w:r w:rsidRPr="001E39E1">
              <w:rPr>
                <w:rFonts w:ascii="Calibri" w:eastAsia="Calibri" w:hAnsi="Calibri" w:cs="Calibri"/>
                <w:b/>
                <w:i/>
                <w:sz w:val="20"/>
                <w:szCs w:val="20"/>
              </w:rPr>
              <w:t>Fonte</w:t>
            </w:r>
            <w:r w:rsidRPr="001E39E1">
              <w:rPr>
                <w:rFonts w:ascii="Calibri" w:eastAsia="Calibri" w:hAnsi="Calibri" w:cs="Calibri"/>
                <w:i/>
                <w:sz w:val="20"/>
                <w:szCs w:val="20"/>
              </w:rPr>
              <w:t>: dividendos, STN; resultado primário, SEST; e transferências para aumento de capital, SEST e STN.</w:t>
            </w:r>
          </w:p>
          <w:p w14:paraId="60FC1D93" w14:textId="175CD236" w:rsidR="0EDB2EA1" w:rsidRDefault="0EDB2EA1">
            <w:r w:rsidRPr="001E39E1">
              <w:rPr>
                <w:rFonts w:ascii="Calibri" w:eastAsia="Calibri" w:hAnsi="Calibri" w:cs="Calibri"/>
                <w:b/>
                <w:i/>
                <w:sz w:val="20"/>
                <w:szCs w:val="20"/>
              </w:rPr>
              <w:t>Elaboração</w:t>
            </w:r>
            <w:r w:rsidRPr="001E39E1">
              <w:rPr>
                <w:rFonts w:ascii="Calibri" w:eastAsia="Calibri" w:hAnsi="Calibri" w:cs="Calibri"/>
                <w:i/>
                <w:sz w:val="20"/>
                <w:szCs w:val="20"/>
              </w:rPr>
              <w:t>: STN/ME.</w:t>
            </w:r>
          </w:p>
        </w:tc>
      </w:tr>
    </w:tbl>
    <w:p w14:paraId="0DA95D6D" w14:textId="647C0229" w:rsidR="00A21F07" w:rsidRDefault="523B8B10" w:rsidP="0EDB2EA1">
      <w:pPr>
        <w:spacing w:after="120" w:line="257" w:lineRule="exact"/>
        <w:jc w:val="both"/>
      </w:pPr>
      <w:r w:rsidRPr="0EDB2EA1">
        <w:rPr>
          <w:rFonts w:ascii="Calibri" w:eastAsia="Calibri" w:hAnsi="Calibri" w:cs="Calibri"/>
          <w:color w:val="00B050"/>
          <w:sz w:val="24"/>
          <w:szCs w:val="24"/>
        </w:rPr>
        <w:t xml:space="preserve"> </w:t>
      </w:r>
    </w:p>
    <w:p w14:paraId="27ECE5FD" w14:textId="26CD3D71" w:rsidR="00A21F07" w:rsidRPr="0010336B" w:rsidRDefault="523B8B10" w:rsidP="0010336B">
      <w:pPr>
        <w:pStyle w:val="Ttulo4"/>
        <w:keepLines/>
        <w:numPr>
          <w:ilvl w:val="3"/>
          <w:numId w:val="36"/>
        </w:numPr>
        <w:spacing w:before="240" w:after="120"/>
        <w:ind w:left="862" w:hanging="862"/>
        <w:jc w:val="left"/>
        <w:rPr>
          <w:rFonts w:asciiTheme="minorHAnsi" w:hAnsiTheme="minorHAnsi"/>
        </w:rPr>
      </w:pPr>
      <w:r w:rsidRPr="0010336B">
        <w:rPr>
          <w:rFonts w:asciiTheme="minorHAnsi" w:eastAsia="Calibri" w:hAnsiTheme="minorHAnsi"/>
        </w:rPr>
        <w:t>Análise e classificação dos riscos</w:t>
      </w:r>
    </w:p>
    <w:p w14:paraId="61989EE4" w14:textId="368761DF"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u w:val="single"/>
        </w:rPr>
        <w:t>Risco 1 - frustração da receita de dividendos e JCP</w:t>
      </w:r>
    </w:p>
    <w:p w14:paraId="67562D51" w14:textId="61AA0DA5" w:rsidR="00A21F07" w:rsidRDefault="523B8B10" w:rsidP="00187204">
      <w:pPr>
        <w:spacing w:after="120" w:line="240" w:lineRule="auto"/>
        <w:ind w:firstLine="1418"/>
        <w:jc w:val="both"/>
      </w:pPr>
      <w:r w:rsidRPr="0EDB2EA1">
        <w:rPr>
          <w:rFonts w:ascii="Calibri" w:eastAsia="Calibri" w:hAnsi="Calibri" w:cs="Calibri"/>
          <w:color w:val="000000" w:themeColor="text1"/>
          <w:sz w:val="24"/>
          <w:szCs w:val="24"/>
        </w:rPr>
        <w:t xml:space="preserve">Para 2021, estão previstas receitas de dividendos/JCP da ordem de R$ 9,7 bilhões, de acordo com o </w:t>
      </w:r>
      <w:r w:rsidR="00DE0661">
        <w:rPr>
          <w:rFonts w:ascii="Calibri" w:eastAsia="Calibri" w:hAnsi="Calibri" w:cs="Calibri"/>
          <w:color w:val="000000" w:themeColor="text1"/>
          <w:sz w:val="24"/>
          <w:szCs w:val="24"/>
        </w:rPr>
        <w:t>PLOA</w:t>
      </w:r>
      <w:r w:rsidRPr="0EDB2EA1">
        <w:rPr>
          <w:rFonts w:ascii="Calibri" w:eastAsia="Calibri" w:hAnsi="Calibri" w:cs="Calibri"/>
          <w:color w:val="000000" w:themeColor="text1"/>
          <w:sz w:val="24"/>
          <w:szCs w:val="24"/>
        </w:rPr>
        <w:t xml:space="preserve"> 2021. Porém, em função do aumento do percentual de dividendos/JCP, de 25% para 35,29%, a serem distribuídos pelo BB (Fato relevante de 25/01/2021), </w:t>
      </w:r>
      <w:r w:rsidR="002D6AB5" w:rsidRPr="002D6AB5">
        <w:rPr>
          <w:rFonts w:ascii="Calibri" w:eastAsia="Calibri" w:hAnsi="Calibri" w:cs="Calibri"/>
          <w:color w:val="000000" w:themeColor="text1"/>
          <w:sz w:val="24"/>
          <w:szCs w:val="24"/>
        </w:rPr>
        <w:t>da obtenção pelo BNDES de lucro em 2020 (R$20,</w:t>
      </w:r>
      <w:r w:rsidR="000C12A5">
        <w:rPr>
          <w:rFonts w:ascii="Calibri" w:eastAsia="Calibri" w:hAnsi="Calibri" w:cs="Calibri"/>
          <w:color w:val="000000" w:themeColor="text1"/>
          <w:sz w:val="24"/>
          <w:szCs w:val="24"/>
        </w:rPr>
        <w:t>6</w:t>
      </w:r>
      <w:r w:rsidR="002D6AB5" w:rsidRPr="002D6AB5">
        <w:rPr>
          <w:rFonts w:ascii="Calibri" w:eastAsia="Calibri" w:hAnsi="Calibri" w:cs="Calibri"/>
          <w:color w:val="000000" w:themeColor="text1"/>
          <w:sz w:val="24"/>
          <w:szCs w:val="24"/>
        </w:rPr>
        <w:t xml:space="preserve"> bilhões) bem acima do previsto (R$5,8 bilhões</w:t>
      </w:r>
      <w:proofErr w:type="gramStart"/>
      <w:r w:rsidR="002D6AB5" w:rsidRPr="002D6AB5">
        <w:rPr>
          <w:rFonts w:ascii="Calibri" w:eastAsia="Calibri" w:hAnsi="Calibri" w:cs="Calibri"/>
          <w:color w:val="000000" w:themeColor="text1"/>
          <w:sz w:val="24"/>
          <w:szCs w:val="24"/>
        </w:rPr>
        <w:t>),</w:t>
      </w:r>
      <w:proofErr w:type="gramEnd"/>
      <w:r w:rsidRPr="0EDB2EA1">
        <w:rPr>
          <w:rFonts w:ascii="Calibri" w:eastAsia="Calibri" w:hAnsi="Calibri" w:cs="Calibri"/>
          <w:color w:val="000000" w:themeColor="text1"/>
          <w:sz w:val="24"/>
          <w:szCs w:val="24"/>
        </w:rPr>
        <w:t>assim como o pagamento de R$1,4 bilhão pela Petrobras (Fato relevante de 24/02/2021), e de R$</w:t>
      </w:r>
      <w:r w:rsidR="00227098">
        <w:rPr>
          <w:rFonts w:ascii="Calibri" w:eastAsia="Calibri" w:hAnsi="Calibri" w:cs="Calibri"/>
          <w:color w:val="000000" w:themeColor="text1"/>
          <w:sz w:val="24"/>
          <w:szCs w:val="24"/>
        </w:rPr>
        <w:t xml:space="preserve"> </w:t>
      </w:r>
      <w:r w:rsidRPr="0EDB2EA1">
        <w:rPr>
          <w:rFonts w:ascii="Calibri" w:eastAsia="Calibri" w:hAnsi="Calibri" w:cs="Calibri"/>
          <w:color w:val="000000" w:themeColor="text1"/>
          <w:sz w:val="24"/>
          <w:szCs w:val="24"/>
        </w:rPr>
        <w:t xml:space="preserve">961 milhões de dividendos intermediários pela </w:t>
      </w:r>
      <w:proofErr w:type="spellStart"/>
      <w:r w:rsidRPr="0EDB2EA1">
        <w:rPr>
          <w:rFonts w:ascii="Calibri" w:eastAsia="Calibri" w:hAnsi="Calibri" w:cs="Calibri"/>
          <w:color w:val="000000" w:themeColor="text1"/>
          <w:sz w:val="24"/>
          <w:szCs w:val="24"/>
        </w:rPr>
        <w:t>Eletrobras</w:t>
      </w:r>
      <w:proofErr w:type="spellEnd"/>
      <w:r w:rsidRPr="0EDB2EA1">
        <w:rPr>
          <w:rFonts w:ascii="Calibri" w:eastAsia="Calibri" w:hAnsi="Calibri" w:cs="Calibri"/>
          <w:color w:val="000000" w:themeColor="text1"/>
          <w:sz w:val="24"/>
          <w:szCs w:val="24"/>
        </w:rPr>
        <w:t xml:space="preserve"> (Aviso aos acionistas </w:t>
      </w:r>
      <w:r w:rsidRPr="0EDB2EA1">
        <w:rPr>
          <w:rFonts w:ascii="Calibri" w:eastAsia="Calibri" w:hAnsi="Calibri" w:cs="Calibri"/>
          <w:color w:val="000000" w:themeColor="text1"/>
        </w:rPr>
        <w:t>de 20/01/2021),</w:t>
      </w:r>
      <w:r w:rsidRPr="0EDB2EA1">
        <w:rPr>
          <w:rFonts w:ascii="Calibri" w:eastAsia="Calibri" w:hAnsi="Calibri" w:cs="Calibri"/>
          <w:color w:val="000000" w:themeColor="text1"/>
          <w:sz w:val="24"/>
          <w:szCs w:val="24"/>
        </w:rPr>
        <w:t xml:space="preserve"> a projeção é que os dividendos de 2021 fiquem em torno de R$1</w:t>
      </w:r>
      <w:r w:rsidR="00373D6E">
        <w:rPr>
          <w:rFonts w:ascii="Calibri" w:eastAsia="Calibri" w:hAnsi="Calibri" w:cs="Calibri"/>
          <w:color w:val="000000" w:themeColor="text1"/>
          <w:sz w:val="24"/>
          <w:szCs w:val="24"/>
        </w:rPr>
        <w:t>5</w:t>
      </w:r>
      <w:r w:rsidRPr="0EDB2EA1">
        <w:rPr>
          <w:rFonts w:ascii="Calibri" w:eastAsia="Calibri" w:hAnsi="Calibri" w:cs="Calibri"/>
          <w:color w:val="000000" w:themeColor="text1"/>
          <w:sz w:val="24"/>
          <w:szCs w:val="24"/>
        </w:rPr>
        <w:t>,</w:t>
      </w:r>
      <w:r w:rsidR="00373D6E">
        <w:rPr>
          <w:rFonts w:ascii="Calibri" w:eastAsia="Calibri" w:hAnsi="Calibri" w:cs="Calibri"/>
          <w:color w:val="000000" w:themeColor="text1"/>
          <w:sz w:val="24"/>
          <w:szCs w:val="24"/>
        </w:rPr>
        <w:t>91</w:t>
      </w:r>
      <w:r w:rsidRPr="0EDB2EA1">
        <w:rPr>
          <w:rFonts w:ascii="Calibri" w:eastAsia="Calibri" w:hAnsi="Calibri" w:cs="Calibri"/>
          <w:color w:val="000000" w:themeColor="text1"/>
          <w:sz w:val="24"/>
          <w:szCs w:val="24"/>
        </w:rPr>
        <w:t xml:space="preserve"> bilhões. A </w:t>
      </w:r>
      <w:r w:rsidR="00187204" w:rsidRPr="00187204">
        <w:rPr>
          <w:rFonts w:ascii="Calibri" w:eastAsia="Calibri" w:hAnsi="Calibri" w:cs="Calibri"/>
          <w:color w:val="000000" w:themeColor="text1"/>
          <w:sz w:val="24"/>
          <w:szCs w:val="24"/>
        </w:rPr>
        <w:fldChar w:fldCharType="begin"/>
      </w:r>
      <w:r w:rsidR="00187204" w:rsidRPr="00187204">
        <w:rPr>
          <w:rFonts w:ascii="Calibri" w:eastAsia="Calibri" w:hAnsi="Calibri" w:cs="Calibri"/>
          <w:color w:val="000000" w:themeColor="text1"/>
          <w:sz w:val="24"/>
          <w:szCs w:val="24"/>
        </w:rPr>
        <w:instrText xml:space="preserve"> REF _Ref68016474 \h  \* MERGEFORMAT </w:instrText>
      </w:r>
      <w:r w:rsidR="00187204" w:rsidRPr="00187204">
        <w:rPr>
          <w:rFonts w:ascii="Calibri" w:eastAsia="Calibri" w:hAnsi="Calibri" w:cs="Calibri"/>
          <w:color w:val="000000" w:themeColor="text1"/>
          <w:sz w:val="24"/>
          <w:szCs w:val="24"/>
        </w:rPr>
      </w:r>
      <w:r w:rsidR="00187204" w:rsidRPr="00187204">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62</w:t>
      </w:r>
      <w:r w:rsidR="00187204" w:rsidRPr="00187204">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xml:space="preserve"> a seguir apresenta as projeções de dividendos/JCP para os próximos exercícios</w:t>
      </w:r>
    </w:p>
    <w:p w14:paraId="315F9B3F" w14:textId="559972A3" w:rsidR="00A21F07" w:rsidRPr="00187204" w:rsidRDefault="523B8B10" w:rsidP="00187204">
      <w:pPr>
        <w:pStyle w:val="Legenda"/>
        <w:jc w:val="center"/>
        <w:rPr>
          <w:rFonts w:asciiTheme="minorHAnsi" w:hAnsiTheme="minorHAnsi" w:cstheme="minorHAnsi"/>
          <w:i w:val="0"/>
          <w:color w:val="auto"/>
          <w:sz w:val="22"/>
          <w:szCs w:val="22"/>
        </w:rPr>
      </w:pPr>
      <w:bookmarkStart w:id="425" w:name="_Ref68016474"/>
      <w:bookmarkStart w:id="426" w:name="_Toc69121408"/>
      <w:r w:rsidRPr="00187204">
        <w:rPr>
          <w:rFonts w:asciiTheme="minorHAnsi" w:eastAsia="Calibri" w:hAnsiTheme="minorHAnsi" w:cstheme="minorHAnsi"/>
          <w:i w:val="0"/>
          <w:color w:val="auto"/>
          <w:sz w:val="22"/>
          <w:szCs w:val="22"/>
        </w:rPr>
        <w:t xml:space="preserve">Tabela </w:t>
      </w:r>
      <w:r w:rsidR="00187204" w:rsidRPr="00187204">
        <w:rPr>
          <w:rFonts w:asciiTheme="minorHAnsi" w:hAnsiTheme="minorHAnsi" w:cstheme="minorHAnsi"/>
          <w:i w:val="0"/>
          <w:color w:val="auto"/>
          <w:sz w:val="22"/>
          <w:szCs w:val="22"/>
        </w:rPr>
        <w:fldChar w:fldCharType="begin"/>
      </w:r>
      <w:r w:rsidR="00187204" w:rsidRPr="00187204">
        <w:rPr>
          <w:rFonts w:asciiTheme="minorHAnsi" w:hAnsiTheme="minorHAnsi" w:cstheme="minorHAnsi"/>
          <w:i w:val="0"/>
          <w:color w:val="auto"/>
          <w:sz w:val="22"/>
          <w:szCs w:val="22"/>
        </w:rPr>
        <w:instrText xml:space="preserve"> SEQ Tabela \* ARABIC </w:instrText>
      </w:r>
      <w:r w:rsidR="00187204" w:rsidRPr="00187204">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62</w:t>
      </w:r>
      <w:r w:rsidR="00187204" w:rsidRPr="00187204">
        <w:rPr>
          <w:rFonts w:asciiTheme="minorHAnsi" w:hAnsiTheme="minorHAnsi" w:cstheme="minorHAnsi"/>
          <w:i w:val="0"/>
          <w:color w:val="auto"/>
          <w:sz w:val="22"/>
          <w:szCs w:val="22"/>
        </w:rPr>
        <w:fldChar w:fldCharType="end"/>
      </w:r>
      <w:bookmarkEnd w:id="425"/>
      <w:r w:rsidRPr="00187204">
        <w:rPr>
          <w:rFonts w:asciiTheme="minorHAnsi" w:eastAsia="Calibri" w:hAnsiTheme="minorHAnsi" w:cstheme="minorHAnsi"/>
          <w:i w:val="0"/>
          <w:color w:val="auto"/>
          <w:sz w:val="22"/>
          <w:szCs w:val="22"/>
        </w:rPr>
        <w:t xml:space="preserve"> - Projeção de dividendos/JCP</w:t>
      </w:r>
      <w:bookmarkEnd w:id="426"/>
    </w:p>
    <w:tbl>
      <w:tblPr>
        <w:tblStyle w:val="Tabelacomgrade"/>
        <w:tblW w:w="0" w:type="auto"/>
        <w:tblLayout w:type="fixed"/>
        <w:tblLook w:val="06A0" w:firstRow="1" w:lastRow="0" w:firstColumn="1" w:lastColumn="0" w:noHBand="1" w:noVBand="1"/>
      </w:tblPr>
      <w:tblGrid>
        <w:gridCol w:w="3072"/>
        <w:gridCol w:w="1648"/>
        <w:gridCol w:w="1648"/>
        <w:gridCol w:w="1648"/>
        <w:gridCol w:w="1898"/>
      </w:tblGrid>
      <w:tr w:rsidR="0EDB2EA1" w14:paraId="6A49F6E5" w14:textId="77777777" w:rsidTr="0EDB2EA1">
        <w:trPr>
          <w:trHeight w:val="15"/>
        </w:trPr>
        <w:tc>
          <w:tcPr>
            <w:tcW w:w="9914" w:type="dxa"/>
            <w:gridSpan w:val="5"/>
            <w:tcBorders>
              <w:top w:val="nil"/>
              <w:left w:val="nil"/>
              <w:bottom w:val="single" w:sz="8" w:space="0" w:color="BFBFBF" w:themeColor="background1" w:themeShade="BF"/>
              <w:right w:val="nil"/>
            </w:tcBorders>
            <w:vAlign w:val="center"/>
          </w:tcPr>
          <w:p w14:paraId="0D76531D" w14:textId="1F0B45F7" w:rsidR="0EDB2EA1" w:rsidRDefault="0EDB2EA1" w:rsidP="0EDB2EA1">
            <w:pPr>
              <w:jc w:val="right"/>
            </w:pPr>
            <w:r w:rsidRPr="0EDB2EA1">
              <w:rPr>
                <w:rFonts w:ascii="Calibri" w:eastAsia="Calibri" w:hAnsi="Calibri" w:cs="Calibri"/>
                <w:i/>
                <w:iCs/>
                <w:sz w:val="16"/>
                <w:szCs w:val="16"/>
              </w:rPr>
              <w:t>Em R$ milhões</w:t>
            </w:r>
          </w:p>
        </w:tc>
      </w:tr>
      <w:tr w:rsidR="0EDB2EA1" w14:paraId="2FA21E76" w14:textId="77777777" w:rsidTr="0EDB2EA1">
        <w:trPr>
          <w:trHeight w:val="15"/>
        </w:trPr>
        <w:tc>
          <w:tcPr>
            <w:tcW w:w="3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0218D68" w14:textId="3AC0059E" w:rsidR="0EDB2EA1" w:rsidRDefault="0EDB2EA1" w:rsidP="0EDB2EA1">
            <w:pPr>
              <w:jc w:val="center"/>
            </w:pPr>
            <w:r w:rsidRPr="0EDB2EA1">
              <w:rPr>
                <w:rFonts w:ascii="Calibri" w:eastAsia="Calibri" w:hAnsi="Calibri" w:cs="Calibri"/>
                <w:color w:val="FFFFFF" w:themeColor="background1"/>
                <w:sz w:val="20"/>
                <w:szCs w:val="20"/>
              </w:rPr>
              <w:t>Empresas</w:t>
            </w:r>
          </w:p>
        </w:tc>
        <w:tc>
          <w:tcPr>
            <w:tcW w:w="16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43462B0F" w14:textId="1D32C5C0" w:rsidR="0EDB2EA1" w:rsidRDefault="0EDB2EA1" w:rsidP="0EDB2EA1">
            <w:pPr>
              <w:jc w:val="center"/>
            </w:pPr>
            <w:r w:rsidRPr="0EDB2EA1">
              <w:rPr>
                <w:rFonts w:ascii="Calibri" w:eastAsia="Calibri" w:hAnsi="Calibri" w:cs="Calibri"/>
                <w:color w:val="FFFFFF" w:themeColor="background1"/>
                <w:sz w:val="20"/>
                <w:szCs w:val="20"/>
              </w:rPr>
              <w:t>2021</w:t>
            </w:r>
          </w:p>
        </w:tc>
        <w:tc>
          <w:tcPr>
            <w:tcW w:w="16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14C05B0" w14:textId="40D5A8F4" w:rsidR="0EDB2EA1" w:rsidRDefault="0EDB2EA1" w:rsidP="0EDB2EA1">
            <w:pPr>
              <w:jc w:val="center"/>
            </w:pPr>
            <w:r w:rsidRPr="0EDB2EA1">
              <w:rPr>
                <w:rFonts w:ascii="Calibri" w:eastAsia="Calibri" w:hAnsi="Calibri" w:cs="Calibri"/>
                <w:color w:val="FFFFFF" w:themeColor="background1"/>
                <w:sz w:val="20"/>
                <w:szCs w:val="20"/>
              </w:rPr>
              <w:t>2022</w:t>
            </w:r>
          </w:p>
        </w:tc>
        <w:tc>
          <w:tcPr>
            <w:tcW w:w="16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80C518B" w14:textId="4F0C3BB2" w:rsidR="0EDB2EA1" w:rsidRDefault="0EDB2EA1" w:rsidP="0EDB2EA1">
            <w:pPr>
              <w:jc w:val="center"/>
            </w:pPr>
            <w:r w:rsidRPr="0EDB2EA1">
              <w:rPr>
                <w:rFonts w:ascii="Calibri" w:eastAsia="Calibri" w:hAnsi="Calibri" w:cs="Calibri"/>
                <w:color w:val="FFFFFF" w:themeColor="background1"/>
                <w:sz w:val="20"/>
                <w:szCs w:val="20"/>
              </w:rPr>
              <w:t>2023</w:t>
            </w:r>
          </w:p>
        </w:tc>
        <w:tc>
          <w:tcPr>
            <w:tcW w:w="189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15853F93" w14:textId="1BED41F0" w:rsidR="0EDB2EA1" w:rsidRDefault="0EDB2EA1" w:rsidP="0EDB2EA1">
            <w:pPr>
              <w:jc w:val="center"/>
            </w:pPr>
            <w:r w:rsidRPr="0EDB2EA1">
              <w:rPr>
                <w:rFonts w:ascii="Calibri" w:eastAsia="Calibri" w:hAnsi="Calibri" w:cs="Calibri"/>
                <w:color w:val="FFFFFF" w:themeColor="background1"/>
                <w:sz w:val="20"/>
                <w:szCs w:val="20"/>
              </w:rPr>
              <w:t>2024</w:t>
            </w:r>
          </w:p>
        </w:tc>
      </w:tr>
      <w:tr w:rsidR="0EDB2EA1" w14:paraId="59DA0238" w14:textId="77777777" w:rsidTr="001E39E1">
        <w:trPr>
          <w:trHeight w:val="15"/>
        </w:trPr>
        <w:tc>
          <w:tcPr>
            <w:tcW w:w="3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40489C8" w14:textId="212D188C" w:rsidR="0EDB2EA1" w:rsidRDefault="0EDB2EA1" w:rsidP="0EDB2EA1">
            <w:pPr>
              <w:jc w:val="both"/>
            </w:pPr>
            <w:r w:rsidRPr="0EDB2EA1">
              <w:rPr>
                <w:rFonts w:ascii="Calibri" w:eastAsia="Calibri" w:hAnsi="Calibri" w:cs="Calibri"/>
                <w:sz w:val="18"/>
                <w:szCs w:val="18"/>
              </w:rPr>
              <w:t>BB</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5302B9F" w14:textId="1614A06C" w:rsidR="0EDB2EA1" w:rsidRDefault="00A643F7" w:rsidP="001E39E1">
            <w:pPr>
              <w:jc w:val="center"/>
            </w:pPr>
            <w:r w:rsidRPr="00A643F7">
              <w:rPr>
                <w:rFonts w:ascii="Calibri" w:eastAsia="Calibri" w:hAnsi="Calibri" w:cs="Calibri"/>
                <w:sz w:val="18"/>
                <w:szCs w:val="18"/>
              </w:rPr>
              <w:t>3.207,4</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C4AF4" w14:textId="736DBE47" w:rsidR="0EDB2EA1" w:rsidRDefault="0006526C" w:rsidP="001E39E1">
            <w:pPr>
              <w:jc w:val="center"/>
            </w:pPr>
            <w:r w:rsidRPr="0006526C">
              <w:rPr>
                <w:rFonts w:ascii="Calibri" w:eastAsia="Calibri" w:hAnsi="Calibri" w:cs="Calibri"/>
                <w:sz w:val="18"/>
                <w:szCs w:val="18"/>
              </w:rPr>
              <w:t>3.656,7</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1F3A72E" w14:textId="401E3DF8" w:rsidR="0EDB2EA1" w:rsidRDefault="00235835" w:rsidP="001E39E1">
            <w:pPr>
              <w:jc w:val="center"/>
            </w:pPr>
            <w:r w:rsidRPr="00235835">
              <w:rPr>
                <w:rFonts w:ascii="Calibri" w:eastAsia="Calibri" w:hAnsi="Calibri" w:cs="Calibri"/>
                <w:sz w:val="18"/>
                <w:szCs w:val="18"/>
              </w:rPr>
              <w:t>3.946,1</w:t>
            </w:r>
          </w:p>
        </w:tc>
        <w:tc>
          <w:tcPr>
            <w:tcW w:w="1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18DD979" w14:textId="57144098" w:rsidR="0EDB2EA1" w:rsidRDefault="00AC2A71" w:rsidP="001E39E1">
            <w:pPr>
              <w:jc w:val="center"/>
            </w:pPr>
            <w:r w:rsidRPr="00AC2A71">
              <w:rPr>
                <w:rFonts w:ascii="Calibri" w:eastAsia="Calibri" w:hAnsi="Calibri" w:cs="Calibri"/>
                <w:sz w:val="18"/>
                <w:szCs w:val="18"/>
              </w:rPr>
              <w:t>4.116,</w:t>
            </w:r>
            <w:r w:rsidR="0EDB2EA1" w:rsidRPr="0EDB2EA1">
              <w:rPr>
                <w:rFonts w:ascii="Calibri" w:eastAsia="Calibri" w:hAnsi="Calibri" w:cs="Calibri"/>
                <w:sz w:val="18"/>
                <w:szCs w:val="18"/>
              </w:rPr>
              <w:t>6</w:t>
            </w:r>
          </w:p>
        </w:tc>
      </w:tr>
      <w:tr w:rsidR="0EDB2EA1" w14:paraId="0DE97EF8" w14:textId="77777777" w:rsidTr="001E39E1">
        <w:trPr>
          <w:trHeight w:val="15"/>
        </w:trPr>
        <w:tc>
          <w:tcPr>
            <w:tcW w:w="3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E8CFB74" w14:textId="26188798" w:rsidR="0EDB2EA1" w:rsidRDefault="0EDB2EA1" w:rsidP="0EDB2EA1">
            <w:pPr>
              <w:jc w:val="both"/>
            </w:pPr>
            <w:r w:rsidRPr="0EDB2EA1">
              <w:rPr>
                <w:rFonts w:ascii="Calibri" w:eastAsia="Calibri" w:hAnsi="Calibri" w:cs="Calibri"/>
                <w:sz w:val="18"/>
                <w:szCs w:val="18"/>
              </w:rPr>
              <w:t>CEF</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7D6B9A" w14:textId="64DBF4B3" w:rsidR="0EDB2EA1" w:rsidRDefault="0EDB2EA1" w:rsidP="000026E9">
            <w:pPr>
              <w:jc w:val="center"/>
            </w:pPr>
            <w:r w:rsidRPr="0EDB2EA1">
              <w:rPr>
                <w:rFonts w:ascii="Calibri" w:eastAsia="Calibri" w:hAnsi="Calibri" w:cs="Calibri"/>
                <w:sz w:val="18"/>
                <w:szCs w:val="18"/>
              </w:rPr>
              <w:t>2.814,4</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0C1513" w14:textId="714CF9B2" w:rsidR="0EDB2EA1" w:rsidRDefault="006959E5" w:rsidP="000026E9">
            <w:pPr>
              <w:jc w:val="center"/>
            </w:pPr>
            <w:r w:rsidRPr="006959E5">
              <w:rPr>
                <w:rFonts w:ascii="Calibri" w:eastAsia="Calibri" w:hAnsi="Calibri" w:cs="Calibri"/>
                <w:sz w:val="18"/>
                <w:szCs w:val="18"/>
              </w:rPr>
              <w:t>2.137,5</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683D65" w14:textId="1795CAD1" w:rsidR="0EDB2EA1" w:rsidRDefault="006B2BA2" w:rsidP="000026E9">
            <w:pPr>
              <w:jc w:val="center"/>
            </w:pPr>
            <w:r w:rsidRPr="006B2BA2">
              <w:rPr>
                <w:rFonts w:ascii="Calibri" w:eastAsia="Calibri" w:hAnsi="Calibri" w:cs="Calibri"/>
                <w:sz w:val="18"/>
                <w:szCs w:val="18"/>
              </w:rPr>
              <w:t>2.718,8</w:t>
            </w:r>
          </w:p>
        </w:tc>
        <w:tc>
          <w:tcPr>
            <w:tcW w:w="1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1B0717" w14:textId="5F0FB095" w:rsidR="0EDB2EA1" w:rsidRDefault="007D563B" w:rsidP="000026E9">
            <w:pPr>
              <w:jc w:val="center"/>
            </w:pPr>
            <w:r w:rsidRPr="007D563B">
              <w:rPr>
                <w:rFonts w:ascii="Calibri" w:eastAsia="Calibri" w:hAnsi="Calibri" w:cs="Calibri"/>
                <w:sz w:val="18"/>
                <w:szCs w:val="18"/>
              </w:rPr>
              <w:t>3.300,0</w:t>
            </w:r>
          </w:p>
        </w:tc>
      </w:tr>
      <w:tr w:rsidR="0EDB2EA1" w14:paraId="00A29DAA" w14:textId="77777777" w:rsidTr="001E39E1">
        <w:trPr>
          <w:trHeight w:val="15"/>
        </w:trPr>
        <w:tc>
          <w:tcPr>
            <w:tcW w:w="3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DACB80D" w14:textId="3ECF41B0" w:rsidR="0EDB2EA1" w:rsidRDefault="0EDB2EA1" w:rsidP="0EDB2EA1">
            <w:pPr>
              <w:jc w:val="both"/>
            </w:pPr>
            <w:r w:rsidRPr="0EDB2EA1">
              <w:rPr>
                <w:rFonts w:ascii="Calibri" w:eastAsia="Calibri" w:hAnsi="Calibri" w:cs="Calibri"/>
                <w:sz w:val="18"/>
                <w:szCs w:val="18"/>
              </w:rPr>
              <w:t>BNDES</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093AAD8" w14:textId="7B03C01D" w:rsidR="0EDB2EA1" w:rsidRDefault="00A643F7" w:rsidP="000026E9">
            <w:pPr>
              <w:jc w:val="center"/>
            </w:pPr>
            <w:r w:rsidRPr="00A643F7">
              <w:rPr>
                <w:rFonts w:ascii="Calibri" w:eastAsia="Calibri" w:hAnsi="Calibri" w:cs="Calibri"/>
                <w:sz w:val="18"/>
                <w:szCs w:val="18"/>
              </w:rPr>
              <w:t>4.911,9</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5F9B444" w14:textId="2A46BF8E" w:rsidR="0EDB2EA1" w:rsidRDefault="0EDB2EA1" w:rsidP="000026E9">
            <w:pPr>
              <w:jc w:val="center"/>
            </w:pPr>
            <w:r w:rsidRPr="0EDB2EA1">
              <w:rPr>
                <w:rFonts w:ascii="Calibri" w:eastAsia="Calibri" w:hAnsi="Calibri" w:cs="Calibri"/>
                <w:sz w:val="18"/>
                <w:szCs w:val="18"/>
              </w:rPr>
              <w:t>5.177,5</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32B2432" w14:textId="7C17B3B6" w:rsidR="0EDB2EA1" w:rsidRDefault="0EDB2EA1" w:rsidP="000026E9">
            <w:pPr>
              <w:jc w:val="center"/>
            </w:pPr>
            <w:r w:rsidRPr="0EDB2EA1">
              <w:rPr>
                <w:rFonts w:ascii="Calibri" w:eastAsia="Calibri" w:hAnsi="Calibri" w:cs="Calibri"/>
                <w:sz w:val="18"/>
                <w:szCs w:val="18"/>
              </w:rPr>
              <w:t>3.372,5</w:t>
            </w:r>
          </w:p>
        </w:tc>
        <w:tc>
          <w:tcPr>
            <w:tcW w:w="1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4108A63" w14:textId="4F6A324F" w:rsidR="0EDB2EA1" w:rsidRDefault="0EDB2EA1" w:rsidP="000026E9">
            <w:pPr>
              <w:jc w:val="center"/>
            </w:pPr>
            <w:r w:rsidRPr="0EDB2EA1">
              <w:rPr>
                <w:rFonts w:ascii="Calibri" w:eastAsia="Calibri" w:hAnsi="Calibri" w:cs="Calibri"/>
                <w:sz w:val="18"/>
                <w:szCs w:val="18"/>
              </w:rPr>
              <w:t>4.132,5</w:t>
            </w:r>
          </w:p>
        </w:tc>
      </w:tr>
      <w:tr w:rsidR="0EDB2EA1" w14:paraId="268CDA58" w14:textId="77777777" w:rsidTr="001E39E1">
        <w:trPr>
          <w:trHeight w:val="15"/>
        </w:trPr>
        <w:tc>
          <w:tcPr>
            <w:tcW w:w="3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E07970" w14:textId="4715521E" w:rsidR="0EDB2EA1" w:rsidRDefault="0EDB2EA1" w:rsidP="0EDB2EA1">
            <w:pPr>
              <w:jc w:val="both"/>
            </w:pPr>
            <w:r w:rsidRPr="0EDB2EA1">
              <w:rPr>
                <w:rFonts w:ascii="Calibri" w:eastAsia="Calibri" w:hAnsi="Calibri" w:cs="Calibri"/>
                <w:sz w:val="18"/>
                <w:szCs w:val="18"/>
              </w:rPr>
              <w:t>PETROBRAS</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4E9AC8" w14:textId="4980E586" w:rsidR="0EDB2EA1" w:rsidRDefault="0EDB2EA1" w:rsidP="000026E9">
            <w:pPr>
              <w:jc w:val="center"/>
            </w:pPr>
            <w:r w:rsidRPr="0EDB2EA1">
              <w:rPr>
                <w:rFonts w:ascii="Calibri" w:eastAsia="Calibri" w:hAnsi="Calibri" w:cs="Calibri"/>
                <w:sz w:val="18"/>
                <w:szCs w:val="18"/>
              </w:rPr>
              <w:t>3.629,1</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F51134" w14:textId="4236EEF0" w:rsidR="0EDB2EA1" w:rsidRDefault="00512C82" w:rsidP="000026E9">
            <w:pPr>
              <w:jc w:val="center"/>
            </w:pPr>
            <w:r w:rsidRPr="00512C82">
              <w:rPr>
                <w:rFonts w:ascii="Calibri" w:eastAsia="Calibri" w:hAnsi="Calibri" w:cs="Calibri"/>
                <w:sz w:val="18"/>
                <w:szCs w:val="18"/>
              </w:rPr>
              <w:t>1.753,3</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D09679" w14:textId="10E5942B" w:rsidR="0EDB2EA1" w:rsidRDefault="002207DE" w:rsidP="000026E9">
            <w:pPr>
              <w:jc w:val="center"/>
            </w:pPr>
            <w:r w:rsidRPr="002207DE">
              <w:rPr>
                <w:rFonts w:ascii="Calibri" w:eastAsia="Calibri" w:hAnsi="Calibri" w:cs="Calibri"/>
                <w:sz w:val="18"/>
                <w:szCs w:val="18"/>
              </w:rPr>
              <w:t>2.311,3</w:t>
            </w:r>
          </w:p>
        </w:tc>
        <w:tc>
          <w:tcPr>
            <w:tcW w:w="1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F0AFD8" w14:textId="314DB58B" w:rsidR="0EDB2EA1" w:rsidRDefault="00DC0982" w:rsidP="000026E9">
            <w:pPr>
              <w:jc w:val="center"/>
            </w:pPr>
            <w:r w:rsidRPr="00DC0982">
              <w:rPr>
                <w:rFonts w:ascii="Calibri" w:eastAsia="Calibri" w:hAnsi="Calibri" w:cs="Calibri"/>
                <w:sz w:val="18"/>
                <w:szCs w:val="18"/>
              </w:rPr>
              <w:t>1.454,0</w:t>
            </w:r>
          </w:p>
        </w:tc>
      </w:tr>
      <w:tr w:rsidR="0EDB2EA1" w14:paraId="1FA24373" w14:textId="77777777" w:rsidTr="001E39E1">
        <w:trPr>
          <w:trHeight w:val="15"/>
        </w:trPr>
        <w:tc>
          <w:tcPr>
            <w:tcW w:w="3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5B8AF6E" w14:textId="10ADFB98" w:rsidR="0EDB2EA1" w:rsidRDefault="0EDB2EA1" w:rsidP="0EDB2EA1">
            <w:pPr>
              <w:jc w:val="both"/>
            </w:pPr>
            <w:r w:rsidRPr="0EDB2EA1">
              <w:rPr>
                <w:rFonts w:ascii="Calibri" w:eastAsia="Calibri" w:hAnsi="Calibri" w:cs="Calibri"/>
                <w:sz w:val="18"/>
                <w:szCs w:val="18"/>
              </w:rPr>
              <w:t>Demais Participações</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8812BCA" w14:textId="208FFD85" w:rsidR="0EDB2EA1" w:rsidRDefault="0EDB2EA1" w:rsidP="000026E9">
            <w:pPr>
              <w:jc w:val="center"/>
            </w:pPr>
            <w:r w:rsidRPr="0EDB2EA1">
              <w:rPr>
                <w:rFonts w:ascii="Calibri" w:eastAsia="Calibri" w:hAnsi="Calibri" w:cs="Calibri"/>
                <w:sz w:val="18"/>
                <w:szCs w:val="18"/>
              </w:rPr>
              <w:t>1.349,</w:t>
            </w:r>
            <w:r w:rsidR="00CD579E">
              <w:rPr>
                <w:rFonts w:ascii="Calibri" w:eastAsia="Calibri" w:hAnsi="Calibri" w:cs="Calibri"/>
                <w:sz w:val="18"/>
                <w:szCs w:val="18"/>
              </w:rPr>
              <w:t>5</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EDFBBBE" w14:textId="0AF49FEC" w:rsidR="0EDB2EA1" w:rsidRDefault="00DC0982" w:rsidP="000026E9">
            <w:pPr>
              <w:jc w:val="center"/>
            </w:pPr>
            <w:r w:rsidRPr="00DC0982">
              <w:rPr>
                <w:rFonts w:ascii="Calibri" w:eastAsia="Calibri" w:hAnsi="Calibri" w:cs="Calibri"/>
                <w:sz w:val="18"/>
                <w:szCs w:val="18"/>
              </w:rPr>
              <w:t>405,5</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02A01E1" w14:textId="26C97758" w:rsidR="0EDB2EA1" w:rsidRDefault="00CC7902" w:rsidP="000026E9">
            <w:pPr>
              <w:jc w:val="center"/>
            </w:pPr>
            <w:r w:rsidRPr="00CC7902">
              <w:rPr>
                <w:rFonts w:ascii="Calibri" w:eastAsia="Calibri" w:hAnsi="Calibri" w:cs="Calibri"/>
                <w:sz w:val="18"/>
                <w:szCs w:val="18"/>
              </w:rPr>
              <w:t>418,7</w:t>
            </w:r>
          </w:p>
        </w:tc>
        <w:tc>
          <w:tcPr>
            <w:tcW w:w="1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4BFAB50" w14:textId="51CD7D90" w:rsidR="0EDB2EA1" w:rsidRDefault="00BE71CF" w:rsidP="000026E9">
            <w:pPr>
              <w:jc w:val="center"/>
            </w:pPr>
            <w:r w:rsidRPr="00BE71CF">
              <w:rPr>
                <w:rFonts w:ascii="Calibri" w:eastAsia="Calibri" w:hAnsi="Calibri" w:cs="Calibri"/>
                <w:sz w:val="18"/>
                <w:szCs w:val="18"/>
              </w:rPr>
              <w:t>432,3</w:t>
            </w:r>
          </w:p>
        </w:tc>
      </w:tr>
      <w:tr w:rsidR="0EDB2EA1" w14:paraId="4C3688EA" w14:textId="77777777" w:rsidTr="001E39E1">
        <w:trPr>
          <w:trHeight w:val="15"/>
        </w:trPr>
        <w:tc>
          <w:tcPr>
            <w:tcW w:w="3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72BCCE7D" w14:textId="05506429" w:rsidR="0EDB2EA1" w:rsidRDefault="0EDB2EA1" w:rsidP="0EDB2EA1">
            <w:pPr>
              <w:jc w:val="both"/>
            </w:pPr>
            <w:r w:rsidRPr="0EDB2EA1">
              <w:rPr>
                <w:rFonts w:ascii="Calibri" w:eastAsia="Calibri" w:hAnsi="Calibri" w:cs="Calibri"/>
                <w:color w:val="FFFFFF" w:themeColor="background1"/>
                <w:sz w:val="18"/>
                <w:szCs w:val="18"/>
              </w:rPr>
              <w:t>Total</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3C7D4984" w14:textId="1F917F54" w:rsidR="0EDB2EA1" w:rsidRDefault="00A643F7" w:rsidP="000026E9">
            <w:pPr>
              <w:jc w:val="center"/>
            </w:pPr>
            <w:r w:rsidRPr="00A643F7">
              <w:rPr>
                <w:rFonts w:ascii="Calibri" w:eastAsia="Calibri" w:hAnsi="Calibri" w:cs="Calibri"/>
                <w:color w:val="FFFFFF" w:themeColor="background1"/>
                <w:sz w:val="18"/>
                <w:szCs w:val="18"/>
              </w:rPr>
              <w:t>15.912,2</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0EE801B9" w14:textId="1C7BBCCF" w:rsidR="0EDB2EA1" w:rsidRDefault="00B241EE" w:rsidP="000026E9">
            <w:pPr>
              <w:jc w:val="center"/>
            </w:pPr>
            <w:r w:rsidRPr="00B241EE">
              <w:rPr>
                <w:rFonts w:ascii="Calibri" w:eastAsia="Calibri" w:hAnsi="Calibri" w:cs="Calibri"/>
                <w:color w:val="FFFFFF" w:themeColor="background1"/>
                <w:sz w:val="18"/>
                <w:szCs w:val="18"/>
              </w:rPr>
              <w:t>13.130,6</w:t>
            </w:r>
          </w:p>
        </w:tc>
        <w:tc>
          <w:tcPr>
            <w:tcW w:w="16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1EDEB092" w14:textId="6C4E6F7A" w:rsidR="0EDB2EA1" w:rsidRDefault="00B241EE" w:rsidP="000026E9">
            <w:pPr>
              <w:jc w:val="center"/>
            </w:pPr>
            <w:r w:rsidRPr="00B241EE">
              <w:rPr>
                <w:rFonts w:ascii="Calibri" w:eastAsia="Calibri" w:hAnsi="Calibri" w:cs="Calibri"/>
                <w:color w:val="FFFFFF" w:themeColor="background1"/>
                <w:sz w:val="18"/>
                <w:szCs w:val="18"/>
              </w:rPr>
              <w:t>12.767,4</w:t>
            </w:r>
          </w:p>
        </w:tc>
        <w:tc>
          <w:tcPr>
            <w:tcW w:w="1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vAlign w:val="center"/>
          </w:tcPr>
          <w:p w14:paraId="6516F120" w14:textId="02BAC424" w:rsidR="0EDB2EA1" w:rsidRDefault="00B241EE" w:rsidP="000026E9">
            <w:pPr>
              <w:jc w:val="center"/>
            </w:pPr>
            <w:r w:rsidRPr="00B241EE">
              <w:rPr>
                <w:rFonts w:ascii="Calibri" w:eastAsia="Calibri" w:hAnsi="Calibri" w:cs="Calibri"/>
                <w:color w:val="FFFFFF" w:themeColor="background1"/>
                <w:sz w:val="18"/>
                <w:szCs w:val="18"/>
              </w:rPr>
              <w:t>13.435,</w:t>
            </w:r>
            <w:r w:rsidR="0EDB2EA1" w:rsidRPr="0EDB2EA1">
              <w:rPr>
                <w:rFonts w:ascii="Calibri" w:eastAsia="Calibri" w:hAnsi="Calibri" w:cs="Calibri"/>
                <w:color w:val="FFFFFF" w:themeColor="background1"/>
                <w:sz w:val="18"/>
                <w:szCs w:val="18"/>
              </w:rPr>
              <w:t>4</w:t>
            </w:r>
          </w:p>
        </w:tc>
      </w:tr>
      <w:tr w:rsidR="0EDB2EA1" w14:paraId="11131985" w14:textId="77777777" w:rsidTr="0EDB2EA1">
        <w:trPr>
          <w:trHeight w:val="15"/>
        </w:trPr>
        <w:tc>
          <w:tcPr>
            <w:tcW w:w="9914" w:type="dxa"/>
            <w:gridSpan w:val="5"/>
            <w:tcBorders>
              <w:top w:val="single" w:sz="8" w:space="0" w:color="BFBFBF" w:themeColor="background1" w:themeShade="BF"/>
              <w:left w:val="nil"/>
              <w:bottom w:val="nil"/>
              <w:right w:val="nil"/>
            </w:tcBorders>
          </w:tcPr>
          <w:p w14:paraId="4767B8DF" w14:textId="42FFA4CE" w:rsidR="0EDB2EA1" w:rsidRDefault="0EDB2EA1">
            <w:r w:rsidRPr="0EDB2EA1">
              <w:rPr>
                <w:rFonts w:ascii="Calibri" w:eastAsia="Calibri" w:hAnsi="Calibri" w:cs="Calibri"/>
                <w:b/>
                <w:bCs/>
                <w:i/>
                <w:iCs/>
                <w:sz w:val="16"/>
                <w:szCs w:val="16"/>
              </w:rPr>
              <w:t>Fonte e elaboração</w:t>
            </w:r>
            <w:r w:rsidRPr="0EDB2EA1">
              <w:rPr>
                <w:rFonts w:ascii="Calibri" w:eastAsia="Calibri" w:hAnsi="Calibri" w:cs="Calibri"/>
                <w:i/>
                <w:iCs/>
                <w:sz w:val="16"/>
                <w:szCs w:val="16"/>
              </w:rPr>
              <w:t>: STN/ME.</w:t>
            </w:r>
          </w:p>
          <w:p w14:paraId="03A00545" w14:textId="50520BBA" w:rsidR="0EDB2EA1" w:rsidRDefault="0EDB2EA1">
            <w:proofErr w:type="spellStart"/>
            <w:r w:rsidRPr="0EDB2EA1">
              <w:rPr>
                <w:rFonts w:ascii="Calibri" w:eastAsia="Calibri" w:hAnsi="Calibri" w:cs="Calibri"/>
                <w:i/>
                <w:iCs/>
                <w:sz w:val="16"/>
                <w:szCs w:val="16"/>
              </w:rPr>
              <w:t>Obs</w:t>
            </w:r>
            <w:proofErr w:type="spellEnd"/>
            <w:r w:rsidRPr="0EDB2EA1">
              <w:rPr>
                <w:rFonts w:ascii="Calibri" w:eastAsia="Calibri" w:hAnsi="Calibri" w:cs="Calibri"/>
                <w:i/>
                <w:iCs/>
                <w:sz w:val="16"/>
                <w:szCs w:val="16"/>
              </w:rPr>
              <w:t>: Previsão de dividendos do PLOA 2021 é de R$9,7 bilhões.</w:t>
            </w:r>
          </w:p>
        </w:tc>
      </w:tr>
    </w:tbl>
    <w:p w14:paraId="64CE2A8D" w14:textId="5CAA8095" w:rsidR="00A21F07" w:rsidRDefault="523B8B10" w:rsidP="0EDB2EA1">
      <w:pPr>
        <w:spacing w:after="120" w:line="257" w:lineRule="exact"/>
        <w:jc w:val="both"/>
      </w:pPr>
      <w:r w:rsidRPr="0EDB2EA1">
        <w:rPr>
          <w:rFonts w:ascii="Calibri" w:eastAsia="Calibri" w:hAnsi="Calibri" w:cs="Calibri"/>
          <w:color w:val="00B050"/>
          <w:sz w:val="24"/>
          <w:szCs w:val="24"/>
        </w:rPr>
        <w:t xml:space="preserve"> </w:t>
      </w:r>
    </w:p>
    <w:p w14:paraId="0F77C2B0" w14:textId="4CFAEAF4"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Em relação à estimativa anual da receita de dividendos e JCP, a exposição ao risco, de acordo com a metodologia descrita na seção anterior, seria nos quadrantes </w:t>
      </w:r>
      <w:proofErr w:type="gramStart"/>
      <w:r w:rsidRPr="0EDB2EA1">
        <w:rPr>
          <w:rFonts w:ascii="Calibri" w:eastAsia="Calibri" w:hAnsi="Calibri" w:cs="Calibri"/>
          <w:color w:val="000000" w:themeColor="text1"/>
          <w:sz w:val="24"/>
          <w:szCs w:val="24"/>
        </w:rPr>
        <w:t>1</w:t>
      </w:r>
      <w:proofErr w:type="gramEnd"/>
      <w:r w:rsidRPr="0EDB2EA1">
        <w:rPr>
          <w:rFonts w:ascii="Calibri" w:eastAsia="Calibri" w:hAnsi="Calibri" w:cs="Calibri"/>
          <w:color w:val="000000" w:themeColor="text1"/>
          <w:sz w:val="24"/>
          <w:szCs w:val="24"/>
        </w:rPr>
        <w:t xml:space="preserve"> e 4 da </w:t>
      </w:r>
      <w:r w:rsidR="00227098" w:rsidRPr="00227098">
        <w:rPr>
          <w:rFonts w:ascii="Calibri" w:eastAsia="Calibri" w:hAnsi="Calibri" w:cs="Calibri"/>
          <w:color w:val="000000" w:themeColor="text1"/>
          <w:sz w:val="24"/>
          <w:szCs w:val="24"/>
        </w:rPr>
        <w:fldChar w:fldCharType="begin"/>
      </w:r>
      <w:r w:rsidR="00227098" w:rsidRPr="00227098">
        <w:rPr>
          <w:rFonts w:ascii="Calibri" w:eastAsia="Calibri" w:hAnsi="Calibri" w:cs="Calibri"/>
          <w:color w:val="000000" w:themeColor="text1"/>
          <w:sz w:val="24"/>
          <w:szCs w:val="24"/>
        </w:rPr>
        <w:instrText xml:space="preserve"> REF _Ref68015845 \h  \* MERGEFORMAT </w:instrText>
      </w:r>
      <w:r w:rsidR="00227098" w:rsidRPr="00227098">
        <w:rPr>
          <w:rFonts w:ascii="Calibri" w:eastAsia="Calibri" w:hAnsi="Calibri" w:cs="Calibri"/>
          <w:color w:val="000000" w:themeColor="text1"/>
          <w:sz w:val="24"/>
          <w:szCs w:val="24"/>
        </w:rPr>
      </w:r>
      <w:r w:rsidR="00227098" w:rsidRPr="00227098">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Figura </w:t>
      </w:r>
      <w:r w:rsidR="00304F5F" w:rsidRPr="00304F5F">
        <w:rPr>
          <w:rFonts w:cstheme="minorHAnsi"/>
          <w:noProof/>
          <w:sz w:val="24"/>
          <w:szCs w:val="24"/>
        </w:rPr>
        <w:t>18</w:t>
      </w:r>
      <w:r w:rsidR="00227098" w:rsidRPr="00227098">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xml:space="preserve"> </w:t>
      </w:r>
      <w:r w:rsidR="00227098">
        <w:rPr>
          <w:rFonts w:ascii="Calibri" w:eastAsia="Calibri" w:hAnsi="Calibri" w:cs="Calibri"/>
          <w:color w:val="000000" w:themeColor="text1"/>
          <w:sz w:val="24"/>
          <w:szCs w:val="24"/>
        </w:rPr>
        <w:t>-</w:t>
      </w:r>
      <w:r w:rsidRPr="0EDB2EA1">
        <w:rPr>
          <w:rFonts w:ascii="Calibri" w:eastAsia="Calibri" w:hAnsi="Calibri" w:cs="Calibri"/>
          <w:color w:val="000000" w:themeColor="text1"/>
          <w:sz w:val="24"/>
          <w:szCs w:val="24"/>
        </w:rPr>
        <w:t xml:space="preserve"> </w:t>
      </w:r>
      <w:r w:rsidRPr="0EDB2EA1">
        <w:rPr>
          <w:rFonts w:ascii="Calibri" w:eastAsia="Calibri" w:hAnsi="Calibri" w:cs="Calibri"/>
          <w:color w:val="000000" w:themeColor="text1"/>
          <w:sz w:val="24"/>
          <w:szCs w:val="24"/>
        </w:rPr>
        <w:lastRenderedPageBreak/>
        <w:t xml:space="preserve">Matriz de Risco A (muito baixa e baixa exposição). Tal configuração deve-se ao fato de que as previsões de valores acima do parâmetro de R$1 bilhão (maior impacto) tiveram como parâmetro a distribuição de 25% do lucro líquido (que corresponde ao mínimo obrigatório) para CEF e BNDES (quadrante </w:t>
      </w:r>
      <w:proofErr w:type="gramStart"/>
      <w:r w:rsidRPr="0EDB2EA1">
        <w:rPr>
          <w:rFonts w:ascii="Calibri" w:eastAsia="Calibri" w:hAnsi="Calibri" w:cs="Calibri"/>
          <w:color w:val="000000" w:themeColor="text1"/>
          <w:sz w:val="24"/>
          <w:szCs w:val="24"/>
        </w:rPr>
        <w:t>4</w:t>
      </w:r>
      <w:proofErr w:type="gramEnd"/>
      <w:r w:rsidRPr="0EDB2EA1">
        <w:rPr>
          <w:rFonts w:ascii="Calibri" w:eastAsia="Calibri" w:hAnsi="Calibri" w:cs="Calibri"/>
          <w:color w:val="000000" w:themeColor="text1"/>
          <w:sz w:val="24"/>
          <w:szCs w:val="24"/>
        </w:rPr>
        <w:t>), ou valor acima do mínimo, mas dentro da política de dividendos corrente e regular para BB (35,3%).</w:t>
      </w:r>
    </w:p>
    <w:p w14:paraId="60686435" w14:textId="073C568B"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A política de dividendos é normalmente divulgada até o ano anterior, de acordo com a legislação vigente (Lei nº 13.303</w:t>
      </w:r>
      <w:r w:rsidR="003004CD">
        <w:rPr>
          <w:rFonts w:ascii="Calibri" w:eastAsia="Calibri" w:hAnsi="Calibri" w:cs="Calibri"/>
          <w:color w:val="000000" w:themeColor="text1"/>
          <w:sz w:val="24"/>
          <w:szCs w:val="24"/>
        </w:rPr>
        <w:t xml:space="preserve"> de </w:t>
      </w:r>
      <w:r w:rsidR="0053516A">
        <w:rPr>
          <w:rFonts w:ascii="Calibri" w:eastAsia="Calibri" w:hAnsi="Calibri" w:cs="Calibri"/>
          <w:color w:val="000000" w:themeColor="text1"/>
          <w:sz w:val="24"/>
          <w:szCs w:val="24"/>
        </w:rPr>
        <w:t xml:space="preserve">30 de junho de </w:t>
      </w:r>
      <w:r w:rsidRPr="0EDB2EA1">
        <w:rPr>
          <w:rFonts w:ascii="Calibri" w:eastAsia="Calibri" w:hAnsi="Calibri" w:cs="Calibri"/>
          <w:color w:val="000000" w:themeColor="text1"/>
          <w:sz w:val="24"/>
          <w:szCs w:val="24"/>
        </w:rPr>
        <w:t>2016), não se constituindo, assim, como um elemento de risco relevante. A premissa para a arrecadação de dividendos para os exercícios incluídos na LDO é da distribuição do percentual mínimo obrigatório do lucro líquido ajustado, ou seja, de 25%, exceto no caso do Banco do Brasil cujo percentual divulgado é dentro do intervalo de 30 a 40%.</w:t>
      </w:r>
    </w:p>
    <w:p w14:paraId="0507D2A4" w14:textId="67EA4FDD"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A </w:t>
      </w:r>
      <w:r w:rsidR="00227098" w:rsidRPr="00227098">
        <w:rPr>
          <w:rFonts w:ascii="Calibri" w:eastAsia="Calibri" w:hAnsi="Calibri" w:cs="Calibri"/>
          <w:color w:val="000000" w:themeColor="text1"/>
          <w:sz w:val="24"/>
          <w:szCs w:val="24"/>
        </w:rPr>
        <w:fldChar w:fldCharType="begin"/>
      </w:r>
      <w:r w:rsidR="00227098" w:rsidRPr="00227098">
        <w:rPr>
          <w:rFonts w:ascii="Calibri" w:eastAsia="Calibri" w:hAnsi="Calibri" w:cs="Calibri"/>
          <w:color w:val="000000" w:themeColor="text1"/>
          <w:sz w:val="24"/>
          <w:szCs w:val="24"/>
        </w:rPr>
        <w:instrText xml:space="preserve"> REF _Ref68016669 \h  \* MERGEFORMAT </w:instrText>
      </w:r>
      <w:r w:rsidR="00227098" w:rsidRPr="00227098">
        <w:rPr>
          <w:rFonts w:ascii="Calibri" w:eastAsia="Calibri" w:hAnsi="Calibri" w:cs="Calibri"/>
          <w:color w:val="000000" w:themeColor="text1"/>
          <w:sz w:val="24"/>
          <w:szCs w:val="24"/>
        </w:rPr>
      </w:r>
      <w:r w:rsidR="00227098" w:rsidRPr="00227098">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63</w:t>
      </w:r>
      <w:r w:rsidR="00227098" w:rsidRPr="00227098">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xml:space="preserve"> apresenta os índices das </w:t>
      </w:r>
      <w:proofErr w:type="spellStart"/>
      <w:r w:rsidRPr="0EDB2EA1">
        <w:rPr>
          <w:rFonts w:ascii="Calibri" w:eastAsia="Calibri" w:hAnsi="Calibri" w:cs="Calibri"/>
          <w:color w:val="000000" w:themeColor="text1"/>
          <w:sz w:val="24"/>
          <w:szCs w:val="24"/>
        </w:rPr>
        <w:t>IFFs</w:t>
      </w:r>
      <w:proofErr w:type="spellEnd"/>
      <w:r w:rsidRPr="0EDB2EA1">
        <w:rPr>
          <w:rFonts w:ascii="Calibri" w:eastAsia="Calibri" w:hAnsi="Calibri" w:cs="Calibri"/>
          <w:color w:val="000000" w:themeColor="text1"/>
          <w:sz w:val="24"/>
          <w:szCs w:val="24"/>
        </w:rPr>
        <w:t xml:space="preserve"> referente ao 3º trimestre de 2020 comparado com o índice mínimo regulatório dos três indicadores de capital de Basileia III vigentes (incluídos os adicionais de capital principal de conservação e sistêmico, e não incluído o adicional </w:t>
      </w:r>
      <w:proofErr w:type="spellStart"/>
      <w:r w:rsidRPr="0EDB2EA1">
        <w:rPr>
          <w:rFonts w:ascii="Calibri" w:eastAsia="Calibri" w:hAnsi="Calibri" w:cs="Calibri"/>
          <w:color w:val="000000" w:themeColor="text1"/>
          <w:sz w:val="24"/>
          <w:szCs w:val="24"/>
        </w:rPr>
        <w:t>contracíclico</w:t>
      </w:r>
      <w:proofErr w:type="spellEnd"/>
      <w:r w:rsidRPr="0EDB2EA1">
        <w:rPr>
          <w:rFonts w:ascii="Calibri" w:eastAsia="Calibri" w:hAnsi="Calibri" w:cs="Calibri"/>
          <w:color w:val="000000" w:themeColor="text1"/>
          <w:sz w:val="24"/>
          <w:szCs w:val="24"/>
        </w:rPr>
        <w:t xml:space="preserve">). Os índices de requerimento mínimo do BB e da CEF são maiores porque incluem o adicional de capital principal de risco sistêmico (de </w:t>
      </w:r>
      <w:proofErr w:type="gramStart"/>
      <w:r w:rsidRPr="0EDB2EA1">
        <w:rPr>
          <w:rFonts w:ascii="Calibri" w:eastAsia="Calibri" w:hAnsi="Calibri" w:cs="Calibri"/>
          <w:color w:val="000000" w:themeColor="text1"/>
          <w:sz w:val="24"/>
          <w:szCs w:val="24"/>
        </w:rPr>
        <w:t>1</w:t>
      </w:r>
      <w:proofErr w:type="gramEnd"/>
      <w:r w:rsidRPr="0EDB2EA1">
        <w:rPr>
          <w:rFonts w:ascii="Calibri" w:eastAsia="Calibri" w:hAnsi="Calibri" w:cs="Calibri"/>
          <w:color w:val="000000" w:themeColor="text1"/>
          <w:sz w:val="24"/>
          <w:szCs w:val="24"/>
        </w:rPr>
        <w:t xml:space="preserve"> ponto percentual), aplicável apenas para instituições cuja exposição total é superior a 10% do PIB.</w:t>
      </w:r>
    </w:p>
    <w:p w14:paraId="5ACC7FE4" w14:textId="3F2D250B" w:rsidR="00A21F07" w:rsidRPr="00227098" w:rsidRDefault="00227098" w:rsidP="00227098">
      <w:pPr>
        <w:pStyle w:val="Legenda"/>
        <w:jc w:val="center"/>
        <w:rPr>
          <w:rFonts w:asciiTheme="minorHAnsi" w:hAnsiTheme="minorHAnsi" w:cstheme="minorHAnsi"/>
          <w:i w:val="0"/>
          <w:color w:val="auto"/>
          <w:sz w:val="22"/>
          <w:szCs w:val="22"/>
        </w:rPr>
      </w:pPr>
      <w:bookmarkStart w:id="427" w:name="_Ref68016669"/>
      <w:bookmarkStart w:id="428" w:name="_Toc69121409"/>
      <w:r w:rsidRPr="00227098">
        <w:rPr>
          <w:rFonts w:asciiTheme="minorHAnsi" w:hAnsiTheme="minorHAnsi" w:cstheme="minorHAnsi"/>
          <w:i w:val="0"/>
          <w:color w:val="auto"/>
          <w:sz w:val="22"/>
          <w:szCs w:val="22"/>
        </w:rPr>
        <w:t xml:space="preserve">Tabela </w:t>
      </w:r>
      <w:r w:rsidRPr="00227098">
        <w:rPr>
          <w:rFonts w:asciiTheme="minorHAnsi" w:hAnsiTheme="minorHAnsi" w:cstheme="minorHAnsi"/>
          <w:i w:val="0"/>
          <w:color w:val="auto"/>
          <w:sz w:val="22"/>
          <w:szCs w:val="22"/>
        </w:rPr>
        <w:fldChar w:fldCharType="begin"/>
      </w:r>
      <w:r w:rsidRPr="00227098">
        <w:rPr>
          <w:rFonts w:asciiTheme="minorHAnsi" w:hAnsiTheme="minorHAnsi" w:cstheme="minorHAnsi"/>
          <w:i w:val="0"/>
          <w:color w:val="auto"/>
          <w:sz w:val="22"/>
          <w:szCs w:val="22"/>
        </w:rPr>
        <w:instrText xml:space="preserve"> SEQ Tabela \* ARABIC </w:instrText>
      </w:r>
      <w:r w:rsidRPr="00227098">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63</w:t>
      </w:r>
      <w:r w:rsidRPr="00227098">
        <w:rPr>
          <w:rFonts w:asciiTheme="minorHAnsi" w:hAnsiTheme="minorHAnsi" w:cstheme="minorHAnsi"/>
          <w:i w:val="0"/>
          <w:color w:val="auto"/>
          <w:sz w:val="22"/>
          <w:szCs w:val="22"/>
        </w:rPr>
        <w:fldChar w:fldCharType="end"/>
      </w:r>
      <w:bookmarkEnd w:id="427"/>
      <w:r w:rsidRPr="00227098">
        <w:rPr>
          <w:rFonts w:asciiTheme="minorHAnsi" w:hAnsiTheme="minorHAnsi" w:cstheme="minorHAnsi"/>
          <w:i w:val="0"/>
          <w:color w:val="auto"/>
          <w:sz w:val="22"/>
          <w:szCs w:val="22"/>
        </w:rPr>
        <w:t xml:space="preserve"> - </w:t>
      </w:r>
      <w:r w:rsidRPr="00227098">
        <w:rPr>
          <w:rFonts w:asciiTheme="minorHAnsi" w:eastAsia="Calibri" w:hAnsiTheme="minorHAnsi" w:cstheme="minorHAnsi"/>
          <w:i w:val="0"/>
          <w:color w:val="auto"/>
          <w:sz w:val="22"/>
          <w:szCs w:val="22"/>
        </w:rPr>
        <w:t>Projeção de dividendos/JCP</w:t>
      </w:r>
      <w:bookmarkEnd w:id="428"/>
    </w:p>
    <w:tbl>
      <w:tblPr>
        <w:tblW w:w="0" w:type="auto"/>
        <w:tblLayout w:type="fixed"/>
        <w:tblLook w:val="06A0" w:firstRow="1" w:lastRow="0" w:firstColumn="1" w:lastColumn="0" w:noHBand="1" w:noVBand="1"/>
      </w:tblPr>
      <w:tblGrid>
        <w:gridCol w:w="2479"/>
        <w:gridCol w:w="2479"/>
        <w:gridCol w:w="2479"/>
        <w:gridCol w:w="2479"/>
      </w:tblGrid>
      <w:tr w:rsidR="0EDB2EA1" w14:paraId="5C93A851"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540E6B7F" w14:textId="552F05EB" w:rsidR="0EDB2EA1" w:rsidRDefault="0EDB2EA1" w:rsidP="00227098">
            <w:pPr>
              <w:spacing w:after="0"/>
              <w:jc w:val="center"/>
              <w:rPr>
                <w:rFonts w:ascii="Calibri" w:eastAsia="Calibri" w:hAnsi="Calibri" w:cs="Calibri"/>
                <w:color w:val="FFFFFF" w:themeColor="background1"/>
                <w:sz w:val="20"/>
                <w:szCs w:val="20"/>
              </w:rPr>
            </w:pPr>
            <w:proofErr w:type="gramStart"/>
            <w:r w:rsidRPr="0EDB2EA1">
              <w:rPr>
                <w:rFonts w:ascii="Calibri" w:eastAsia="Calibri" w:hAnsi="Calibri" w:cs="Calibri"/>
                <w:color w:val="FFFFFF" w:themeColor="background1"/>
                <w:sz w:val="20"/>
                <w:szCs w:val="20"/>
              </w:rPr>
              <w:t>3T20</w:t>
            </w:r>
            <w:r w:rsidR="58F64C0F" w:rsidRPr="0EDB2EA1">
              <w:rPr>
                <w:rFonts w:ascii="Calibri" w:eastAsia="Calibri" w:hAnsi="Calibri" w:cs="Calibri"/>
                <w:color w:val="FFFFFF" w:themeColor="background1"/>
                <w:sz w:val="20"/>
                <w:szCs w:val="20"/>
              </w:rPr>
              <w:t>20</w:t>
            </w:r>
            <w:proofErr w:type="gramEnd"/>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7A52C2F5" w14:textId="6B4B801C" w:rsidR="0EDB2EA1" w:rsidRDefault="0EDB2EA1" w:rsidP="00227098">
            <w:pPr>
              <w:spacing w:after="0"/>
              <w:jc w:val="center"/>
            </w:pPr>
            <w:r w:rsidRPr="0EDB2EA1">
              <w:rPr>
                <w:rFonts w:ascii="Calibri" w:eastAsia="Calibri" w:hAnsi="Calibri" w:cs="Calibri"/>
                <w:color w:val="FFFFFF" w:themeColor="background1"/>
                <w:sz w:val="20"/>
                <w:szCs w:val="20"/>
              </w:rPr>
              <w:t>Capital Principal</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49F25A95" w14:textId="187EC6EC" w:rsidR="0EDB2EA1" w:rsidRDefault="0EDB2EA1" w:rsidP="00227098">
            <w:pPr>
              <w:spacing w:after="0"/>
              <w:jc w:val="center"/>
            </w:pPr>
            <w:r w:rsidRPr="0EDB2EA1">
              <w:rPr>
                <w:rFonts w:ascii="Calibri" w:eastAsia="Calibri" w:hAnsi="Calibri" w:cs="Calibri"/>
                <w:color w:val="FFFFFF" w:themeColor="background1"/>
                <w:sz w:val="20"/>
                <w:szCs w:val="20"/>
              </w:rPr>
              <w:t>Capital Nível I</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5665CCE7" w14:textId="391EE15E" w:rsidR="0EDB2EA1" w:rsidRDefault="0EDB2EA1" w:rsidP="00227098">
            <w:pPr>
              <w:spacing w:after="0"/>
              <w:jc w:val="center"/>
            </w:pPr>
            <w:r w:rsidRPr="0EDB2EA1">
              <w:rPr>
                <w:rFonts w:ascii="Calibri" w:eastAsia="Calibri" w:hAnsi="Calibri" w:cs="Calibri"/>
                <w:color w:val="FFFFFF" w:themeColor="background1"/>
                <w:sz w:val="20"/>
                <w:szCs w:val="20"/>
              </w:rPr>
              <w:t>Basileia</w:t>
            </w:r>
          </w:p>
        </w:tc>
      </w:tr>
      <w:tr w:rsidR="0EDB2EA1" w14:paraId="2D9DA881"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6591BA4" w14:textId="1BA38650" w:rsidR="0EDB2EA1" w:rsidRDefault="0EDB2EA1" w:rsidP="00227098">
            <w:pPr>
              <w:spacing w:after="0"/>
            </w:pPr>
            <w:r w:rsidRPr="0EDB2EA1">
              <w:rPr>
                <w:rFonts w:ascii="Calibri" w:eastAsia="Calibri" w:hAnsi="Calibri" w:cs="Calibri"/>
                <w:sz w:val="18"/>
                <w:szCs w:val="18"/>
              </w:rPr>
              <w:t>BB</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4A51395" w14:textId="0542C7A4" w:rsidR="0EDB2EA1" w:rsidRDefault="0EDB2EA1" w:rsidP="00227098">
            <w:pPr>
              <w:spacing w:after="0"/>
              <w:jc w:val="right"/>
            </w:pPr>
            <w:r w:rsidRPr="0EDB2EA1">
              <w:rPr>
                <w:rFonts w:ascii="Calibri" w:eastAsia="Calibri" w:hAnsi="Calibri" w:cs="Calibri"/>
                <w:sz w:val="18"/>
                <w:szCs w:val="18"/>
              </w:rPr>
              <w:t>13,11%</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3EB1163" w14:textId="7B872E49" w:rsidR="0EDB2EA1" w:rsidRDefault="0EDB2EA1" w:rsidP="00227098">
            <w:pPr>
              <w:spacing w:after="0"/>
              <w:jc w:val="right"/>
            </w:pPr>
            <w:r w:rsidRPr="0EDB2EA1">
              <w:rPr>
                <w:rFonts w:ascii="Calibri" w:eastAsia="Calibri" w:hAnsi="Calibri" w:cs="Calibri"/>
                <w:sz w:val="18"/>
                <w:szCs w:val="18"/>
              </w:rPr>
              <w:t>17,34%</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344C03D" w14:textId="34F25A4F" w:rsidR="0EDB2EA1" w:rsidRDefault="0EDB2EA1" w:rsidP="00227098">
            <w:pPr>
              <w:spacing w:after="0"/>
              <w:jc w:val="right"/>
            </w:pPr>
            <w:r w:rsidRPr="0EDB2EA1">
              <w:rPr>
                <w:rFonts w:ascii="Calibri" w:eastAsia="Calibri" w:hAnsi="Calibri" w:cs="Calibri"/>
                <w:sz w:val="18"/>
                <w:szCs w:val="18"/>
              </w:rPr>
              <w:t>21,21%</w:t>
            </w:r>
          </w:p>
        </w:tc>
      </w:tr>
      <w:tr w:rsidR="0EDB2EA1" w14:paraId="6BEB4035"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3BA4844" w14:textId="7F48E976" w:rsidR="0EDB2EA1" w:rsidRDefault="0EDB2EA1" w:rsidP="00227098">
            <w:pPr>
              <w:spacing w:after="0"/>
            </w:pPr>
            <w:r w:rsidRPr="0EDB2EA1">
              <w:rPr>
                <w:rFonts w:ascii="Calibri" w:eastAsia="Calibri" w:hAnsi="Calibri" w:cs="Calibri"/>
                <w:sz w:val="18"/>
                <w:szCs w:val="18"/>
              </w:rPr>
              <w:t>CEF</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07520D4" w14:textId="0EE46F2C" w:rsidR="0EDB2EA1" w:rsidRDefault="0EDB2EA1" w:rsidP="00227098">
            <w:pPr>
              <w:spacing w:after="0"/>
              <w:jc w:val="right"/>
            </w:pPr>
            <w:r w:rsidRPr="0EDB2EA1">
              <w:rPr>
                <w:rFonts w:ascii="Calibri" w:eastAsia="Calibri" w:hAnsi="Calibri" w:cs="Calibri"/>
                <w:sz w:val="18"/>
                <w:szCs w:val="18"/>
              </w:rPr>
              <w:t>12,30%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AC0ABC5" w14:textId="18E7EC7F" w:rsidR="0EDB2EA1" w:rsidRDefault="0EDB2EA1" w:rsidP="00227098">
            <w:pPr>
              <w:spacing w:after="0"/>
              <w:jc w:val="right"/>
            </w:pPr>
            <w:r w:rsidRPr="0EDB2EA1">
              <w:rPr>
                <w:rFonts w:ascii="Calibri" w:eastAsia="Calibri" w:hAnsi="Calibri" w:cs="Calibri"/>
                <w:sz w:val="18"/>
                <w:szCs w:val="18"/>
              </w:rPr>
              <w:t>12,60%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5EBC2A4" w14:textId="2FCDE3BE" w:rsidR="0EDB2EA1" w:rsidRDefault="0EDB2EA1" w:rsidP="00227098">
            <w:pPr>
              <w:spacing w:after="0"/>
              <w:jc w:val="right"/>
            </w:pPr>
            <w:r w:rsidRPr="0EDB2EA1">
              <w:rPr>
                <w:rFonts w:ascii="Calibri" w:eastAsia="Calibri" w:hAnsi="Calibri" w:cs="Calibri"/>
                <w:sz w:val="18"/>
                <w:szCs w:val="18"/>
              </w:rPr>
              <w:t>17,81%</w:t>
            </w:r>
          </w:p>
        </w:tc>
      </w:tr>
      <w:tr w:rsidR="0EDB2EA1" w14:paraId="7000E66D"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1BD2EF0F" w14:textId="031F6FFF" w:rsidR="0EDB2EA1" w:rsidRDefault="0EDB2EA1" w:rsidP="00227098">
            <w:pPr>
              <w:spacing w:after="0"/>
            </w:pPr>
            <w:r w:rsidRPr="0EDB2EA1">
              <w:rPr>
                <w:rFonts w:ascii="Calibri" w:eastAsia="Calibri" w:hAnsi="Calibri" w:cs="Calibri"/>
                <w:color w:val="FFFFFF" w:themeColor="background1"/>
                <w:sz w:val="18"/>
                <w:szCs w:val="18"/>
              </w:rPr>
              <w:t>Requerimento Mínimo</w:t>
            </w:r>
            <w:r w:rsidRPr="0EDB2EA1">
              <w:rPr>
                <w:rFonts w:ascii="Calibri" w:eastAsia="Calibri" w:hAnsi="Calibri" w:cs="Calibri"/>
                <w:color w:val="FFFFFF" w:themeColor="background1"/>
                <w:sz w:val="18"/>
                <w:szCs w:val="18"/>
                <w:vertAlign w:val="superscript"/>
              </w:rPr>
              <w:t xml:space="preserve"> </w:t>
            </w:r>
            <w:proofErr w:type="gramStart"/>
            <w:r w:rsidRPr="0EDB2EA1">
              <w:rPr>
                <w:rFonts w:ascii="Calibri" w:eastAsia="Calibri" w:hAnsi="Calibri" w:cs="Calibri"/>
                <w:color w:val="FFFFFF" w:themeColor="background1"/>
                <w:sz w:val="18"/>
                <w:szCs w:val="18"/>
                <w:vertAlign w:val="superscript"/>
              </w:rPr>
              <w:t>1</w:t>
            </w:r>
            <w:proofErr w:type="gramEnd"/>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6F1A5FEC" w14:textId="3C0C2C51" w:rsidR="0EDB2EA1" w:rsidRDefault="0EDB2EA1" w:rsidP="00227098">
            <w:pPr>
              <w:spacing w:after="0"/>
              <w:jc w:val="right"/>
            </w:pPr>
            <w:r w:rsidRPr="0EDB2EA1">
              <w:rPr>
                <w:rFonts w:ascii="Calibri" w:eastAsia="Calibri" w:hAnsi="Calibri" w:cs="Calibri"/>
                <w:color w:val="FFFFFF" w:themeColor="background1"/>
                <w:sz w:val="18"/>
                <w:szCs w:val="18"/>
              </w:rPr>
              <w:t>8,00%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191E9979" w14:textId="59343CC2" w:rsidR="0EDB2EA1" w:rsidRDefault="0EDB2EA1" w:rsidP="00227098">
            <w:pPr>
              <w:spacing w:after="0"/>
              <w:jc w:val="right"/>
            </w:pPr>
            <w:r w:rsidRPr="0EDB2EA1">
              <w:rPr>
                <w:rFonts w:ascii="Calibri" w:eastAsia="Calibri" w:hAnsi="Calibri" w:cs="Calibri"/>
                <w:color w:val="FFFFFF" w:themeColor="background1"/>
                <w:sz w:val="18"/>
                <w:szCs w:val="18"/>
              </w:rPr>
              <w:t>9,50%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088363C9" w14:textId="2B98478F" w:rsidR="0EDB2EA1" w:rsidRDefault="0EDB2EA1" w:rsidP="00227098">
            <w:pPr>
              <w:spacing w:after="0"/>
              <w:jc w:val="right"/>
            </w:pPr>
            <w:r w:rsidRPr="0EDB2EA1">
              <w:rPr>
                <w:rFonts w:ascii="Calibri" w:eastAsia="Calibri" w:hAnsi="Calibri" w:cs="Calibri"/>
                <w:color w:val="FFFFFF" w:themeColor="background1"/>
                <w:sz w:val="18"/>
                <w:szCs w:val="18"/>
              </w:rPr>
              <w:t>11,50%</w:t>
            </w:r>
          </w:p>
        </w:tc>
      </w:tr>
      <w:tr w:rsidR="0EDB2EA1" w14:paraId="730EAED1"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08CE8CA9" w14:textId="61DCE864" w:rsidR="0EDB2EA1" w:rsidRDefault="0EDB2EA1" w:rsidP="00227098">
            <w:pPr>
              <w:spacing w:after="0"/>
              <w:jc w:val="center"/>
              <w:rPr>
                <w:rFonts w:ascii="Calibri" w:eastAsia="Calibri" w:hAnsi="Calibri" w:cs="Calibri"/>
                <w:color w:val="FFFFFF" w:themeColor="background1"/>
                <w:sz w:val="20"/>
                <w:szCs w:val="20"/>
              </w:rPr>
            </w:pPr>
            <w:proofErr w:type="gramStart"/>
            <w:r w:rsidRPr="0EDB2EA1">
              <w:rPr>
                <w:rFonts w:ascii="Calibri" w:eastAsia="Calibri" w:hAnsi="Calibri" w:cs="Calibri"/>
                <w:color w:val="FFFFFF" w:themeColor="background1"/>
                <w:sz w:val="20"/>
                <w:szCs w:val="20"/>
              </w:rPr>
              <w:t>3T20</w:t>
            </w:r>
            <w:r w:rsidR="021BBDDE" w:rsidRPr="0EDB2EA1">
              <w:rPr>
                <w:rFonts w:ascii="Calibri" w:eastAsia="Calibri" w:hAnsi="Calibri" w:cs="Calibri"/>
                <w:color w:val="FFFFFF" w:themeColor="background1"/>
                <w:sz w:val="20"/>
                <w:szCs w:val="20"/>
              </w:rPr>
              <w:t>20</w:t>
            </w:r>
            <w:proofErr w:type="gramEnd"/>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4258C233" w14:textId="7ECF9688" w:rsidR="0EDB2EA1" w:rsidRDefault="0EDB2EA1" w:rsidP="00227098">
            <w:pPr>
              <w:spacing w:after="0"/>
              <w:jc w:val="center"/>
            </w:pPr>
            <w:r w:rsidRPr="0EDB2EA1">
              <w:rPr>
                <w:rFonts w:ascii="Calibri" w:eastAsia="Calibri" w:hAnsi="Calibri" w:cs="Calibri"/>
                <w:color w:val="FFFFFF" w:themeColor="background1"/>
                <w:sz w:val="20"/>
                <w:szCs w:val="20"/>
              </w:rPr>
              <w:t>Capital Principal</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2C483DF5" w14:textId="5E83C024" w:rsidR="0EDB2EA1" w:rsidRDefault="0EDB2EA1" w:rsidP="00227098">
            <w:pPr>
              <w:spacing w:after="0"/>
              <w:jc w:val="center"/>
            </w:pPr>
            <w:r w:rsidRPr="0EDB2EA1">
              <w:rPr>
                <w:rFonts w:ascii="Calibri" w:eastAsia="Calibri" w:hAnsi="Calibri" w:cs="Calibri"/>
                <w:color w:val="FFFFFF" w:themeColor="background1"/>
                <w:sz w:val="20"/>
                <w:szCs w:val="20"/>
              </w:rPr>
              <w:t>Capital Nível I</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bottom"/>
          </w:tcPr>
          <w:p w14:paraId="7025A00A" w14:textId="702B2AFA" w:rsidR="0EDB2EA1" w:rsidRDefault="0EDB2EA1" w:rsidP="00227098">
            <w:pPr>
              <w:spacing w:after="0"/>
              <w:jc w:val="center"/>
            </w:pPr>
            <w:r w:rsidRPr="0EDB2EA1">
              <w:rPr>
                <w:rFonts w:ascii="Calibri" w:eastAsia="Calibri" w:hAnsi="Calibri" w:cs="Calibri"/>
                <w:color w:val="FFFFFF" w:themeColor="background1"/>
                <w:sz w:val="20"/>
                <w:szCs w:val="20"/>
              </w:rPr>
              <w:t>Basileia</w:t>
            </w:r>
          </w:p>
        </w:tc>
      </w:tr>
      <w:tr w:rsidR="0EDB2EA1" w14:paraId="69091DD4"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CECB63E" w14:textId="718C6102" w:rsidR="0EDB2EA1" w:rsidRDefault="0EDB2EA1" w:rsidP="00227098">
            <w:pPr>
              <w:spacing w:after="0"/>
            </w:pPr>
            <w:r w:rsidRPr="0EDB2EA1">
              <w:rPr>
                <w:rFonts w:ascii="Calibri" w:eastAsia="Calibri" w:hAnsi="Calibri" w:cs="Calibri"/>
                <w:sz w:val="18"/>
                <w:szCs w:val="18"/>
              </w:rPr>
              <w:t>BNDES</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B7550EE" w14:textId="41055F24" w:rsidR="0EDB2EA1" w:rsidRDefault="0EDB2EA1" w:rsidP="00227098">
            <w:pPr>
              <w:spacing w:after="0"/>
              <w:jc w:val="right"/>
            </w:pPr>
            <w:r w:rsidRPr="0EDB2EA1">
              <w:rPr>
                <w:rFonts w:ascii="Calibri" w:eastAsia="Calibri" w:hAnsi="Calibri" w:cs="Calibri"/>
                <w:sz w:val="18"/>
                <w:szCs w:val="18"/>
              </w:rPr>
              <w:t>29,85%</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56999AEF" w14:textId="0F0BF305" w:rsidR="0EDB2EA1" w:rsidRDefault="0EDB2EA1" w:rsidP="00227098">
            <w:pPr>
              <w:spacing w:after="0"/>
              <w:jc w:val="right"/>
            </w:pPr>
            <w:r w:rsidRPr="0EDB2EA1">
              <w:rPr>
                <w:rFonts w:ascii="Calibri" w:eastAsia="Calibri" w:hAnsi="Calibri" w:cs="Calibri"/>
                <w:sz w:val="18"/>
                <w:szCs w:val="18"/>
              </w:rPr>
              <w:t>29,85%</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0A4FFBB9" w14:textId="1B827B0D" w:rsidR="0EDB2EA1" w:rsidRDefault="0EDB2EA1" w:rsidP="00227098">
            <w:pPr>
              <w:spacing w:after="0"/>
              <w:jc w:val="right"/>
            </w:pPr>
            <w:r w:rsidRPr="0EDB2EA1">
              <w:rPr>
                <w:rFonts w:ascii="Calibri" w:eastAsia="Calibri" w:hAnsi="Calibri" w:cs="Calibri"/>
                <w:sz w:val="18"/>
                <w:szCs w:val="18"/>
              </w:rPr>
              <w:t>40,06%</w:t>
            </w:r>
          </w:p>
        </w:tc>
      </w:tr>
      <w:tr w:rsidR="0EDB2EA1" w14:paraId="0BADAB24"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0D5481" w14:textId="4B2BDCD7" w:rsidR="0EDB2EA1" w:rsidRDefault="0EDB2EA1" w:rsidP="00227098">
            <w:pPr>
              <w:spacing w:after="0"/>
            </w:pPr>
            <w:r w:rsidRPr="0EDB2EA1">
              <w:rPr>
                <w:rFonts w:ascii="Calibri" w:eastAsia="Calibri" w:hAnsi="Calibri" w:cs="Calibri"/>
                <w:sz w:val="18"/>
                <w:szCs w:val="18"/>
              </w:rPr>
              <w:t>BASA</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D3F2997" w14:textId="24E40403" w:rsidR="0EDB2EA1" w:rsidRDefault="0EDB2EA1" w:rsidP="00227098">
            <w:pPr>
              <w:spacing w:after="0"/>
              <w:jc w:val="right"/>
            </w:pPr>
            <w:r w:rsidRPr="0EDB2EA1">
              <w:rPr>
                <w:rFonts w:ascii="Calibri" w:eastAsia="Calibri" w:hAnsi="Calibri" w:cs="Calibri"/>
                <w:sz w:val="18"/>
                <w:szCs w:val="18"/>
              </w:rPr>
              <w:t>11,40%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7C8E5D6" w14:textId="12964F8E" w:rsidR="0EDB2EA1" w:rsidRDefault="0EDB2EA1" w:rsidP="00227098">
            <w:pPr>
              <w:spacing w:after="0"/>
              <w:jc w:val="right"/>
            </w:pPr>
            <w:r w:rsidRPr="0EDB2EA1">
              <w:rPr>
                <w:rFonts w:ascii="Calibri" w:eastAsia="Calibri" w:hAnsi="Calibri" w:cs="Calibri"/>
                <w:sz w:val="18"/>
                <w:szCs w:val="18"/>
              </w:rPr>
              <w:t>11,40%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735F375" w14:textId="1854DA33" w:rsidR="0EDB2EA1" w:rsidRDefault="0EDB2EA1" w:rsidP="00227098">
            <w:pPr>
              <w:spacing w:after="0"/>
              <w:jc w:val="right"/>
            </w:pPr>
            <w:r w:rsidRPr="0EDB2EA1">
              <w:rPr>
                <w:rFonts w:ascii="Calibri" w:eastAsia="Calibri" w:hAnsi="Calibri" w:cs="Calibri"/>
                <w:sz w:val="18"/>
                <w:szCs w:val="18"/>
              </w:rPr>
              <w:t>11,40%</w:t>
            </w:r>
          </w:p>
        </w:tc>
      </w:tr>
      <w:tr w:rsidR="0EDB2EA1" w14:paraId="1BCE9AF3"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5B6E1A37" w14:textId="035A48F8" w:rsidR="0EDB2EA1" w:rsidRDefault="0EDB2EA1" w:rsidP="00227098">
            <w:pPr>
              <w:spacing w:after="0"/>
            </w:pPr>
            <w:r w:rsidRPr="0EDB2EA1">
              <w:rPr>
                <w:rFonts w:ascii="Calibri" w:eastAsia="Calibri" w:hAnsi="Calibri" w:cs="Calibri"/>
                <w:sz w:val="18"/>
                <w:szCs w:val="18"/>
              </w:rPr>
              <w:t>BNB</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4B8DCD8" w14:textId="27496FB4" w:rsidR="0EDB2EA1" w:rsidRDefault="0EDB2EA1" w:rsidP="00227098">
            <w:pPr>
              <w:spacing w:after="0"/>
              <w:jc w:val="right"/>
            </w:pPr>
            <w:r w:rsidRPr="0EDB2EA1">
              <w:rPr>
                <w:rFonts w:ascii="Calibri" w:eastAsia="Calibri" w:hAnsi="Calibri" w:cs="Calibri"/>
                <w:sz w:val="18"/>
                <w:szCs w:val="18"/>
              </w:rPr>
              <w:t>9,41%</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2374C81" w14:textId="7C7A62CC" w:rsidR="0EDB2EA1" w:rsidRDefault="0EDB2EA1" w:rsidP="00227098">
            <w:pPr>
              <w:spacing w:after="0"/>
              <w:jc w:val="right"/>
            </w:pPr>
            <w:r w:rsidRPr="0EDB2EA1">
              <w:rPr>
                <w:rFonts w:ascii="Calibri" w:eastAsia="Calibri" w:hAnsi="Calibri" w:cs="Calibri"/>
                <w:sz w:val="18"/>
                <w:szCs w:val="18"/>
              </w:rPr>
              <w:t>10,65%</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71D872ED" w14:textId="5553D400" w:rsidR="0EDB2EA1" w:rsidRDefault="0EDB2EA1" w:rsidP="00227098">
            <w:pPr>
              <w:spacing w:after="0"/>
              <w:jc w:val="right"/>
            </w:pPr>
            <w:r w:rsidRPr="0EDB2EA1">
              <w:rPr>
                <w:rFonts w:ascii="Calibri" w:eastAsia="Calibri" w:hAnsi="Calibri" w:cs="Calibri"/>
                <w:sz w:val="18"/>
                <w:szCs w:val="18"/>
              </w:rPr>
              <w:t>13,83%</w:t>
            </w:r>
          </w:p>
        </w:tc>
      </w:tr>
      <w:tr w:rsidR="0EDB2EA1" w14:paraId="24C49B6A" w14:textId="77777777" w:rsidTr="0EDB2EA1">
        <w:trPr>
          <w:trHeight w:val="15"/>
        </w:trPr>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17510551" w14:textId="13035E79" w:rsidR="0EDB2EA1" w:rsidRDefault="0EDB2EA1" w:rsidP="00227098">
            <w:pPr>
              <w:spacing w:after="0"/>
            </w:pPr>
            <w:r w:rsidRPr="0EDB2EA1">
              <w:rPr>
                <w:rFonts w:ascii="Calibri" w:eastAsia="Calibri" w:hAnsi="Calibri" w:cs="Calibri"/>
                <w:color w:val="FFFFFF" w:themeColor="background1"/>
                <w:sz w:val="20"/>
                <w:szCs w:val="20"/>
              </w:rPr>
              <w:t>Requerimento Mínimo</w:t>
            </w:r>
            <w:r w:rsidRPr="0EDB2EA1">
              <w:rPr>
                <w:rFonts w:ascii="Calibri" w:eastAsia="Calibri" w:hAnsi="Calibri" w:cs="Calibri"/>
                <w:color w:val="FFFFFF" w:themeColor="background1"/>
                <w:sz w:val="20"/>
                <w:szCs w:val="20"/>
                <w:vertAlign w:val="superscript"/>
              </w:rPr>
              <w:t xml:space="preserve"> </w:t>
            </w:r>
            <w:proofErr w:type="gramStart"/>
            <w:r w:rsidRPr="0EDB2EA1">
              <w:rPr>
                <w:rFonts w:ascii="Calibri" w:eastAsia="Calibri" w:hAnsi="Calibri" w:cs="Calibri"/>
                <w:color w:val="FFFFFF" w:themeColor="background1"/>
                <w:sz w:val="20"/>
                <w:szCs w:val="20"/>
                <w:vertAlign w:val="superscript"/>
              </w:rPr>
              <w:t>2</w:t>
            </w:r>
            <w:proofErr w:type="gramEnd"/>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7E0308C6" w14:textId="6D905919" w:rsidR="0EDB2EA1" w:rsidRDefault="0EDB2EA1" w:rsidP="00227098">
            <w:pPr>
              <w:spacing w:after="0"/>
              <w:jc w:val="right"/>
            </w:pPr>
            <w:r w:rsidRPr="0EDB2EA1">
              <w:rPr>
                <w:rFonts w:ascii="Calibri" w:eastAsia="Calibri" w:hAnsi="Calibri" w:cs="Calibri"/>
                <w:color w:val="FFFFFF" w:themeColor="background1"/>
                <w:sz w:val="18"/>
                <w:szCs w:val="18"/>
              </w:rPr>
              <w:t>7,00%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6A3B4F85" w14:textId="6B2B172D" w:rsidR="0EDB2EA1" w:rsidRDefault="0EDB2EA1" w:rsidP="00227098">
            <w:pPr>
              <w:spacing w:after="0"/>
              <w:jc w:val="right"/>
            </w:pPr>
            <w:r w:rsidRPr="0EDB2EA1">
              <w:rPr>
                <w:rFonts w:ascii="Calibri" w:eastAsia="Calibri" w:hAnsi="Calibri" w:cs="Calibri"/>
                <w:color w:val="FFFFFF" w:themeColor="background1"/>
                <w:sz w:val="18"/>
                <w:szCs w:val="18"/>
              </w:rPr>
              <w:t>8,50%</w:t>
            </w:r>
          </w:p>
        </w:tc>
        <w:tc>
          <w:tcPr>
            <w:tcW w:w="24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F7F7F" w:themeFill="text1" w:themeFillTint="80"/>
          </w:tcPr>
          <w:p w14:paraId="16AA20A5" w14:textId="060FCC8A" w:rsidR="0EDB2EA1" w:rsidRDefault="0EDB2EA1" w:rsidP="00227098">
            <w:pPr>
              <w:spacing w:after="0"/>
              <w:jc w:val="right"/>
            </w:pPr>
            <w:r w:rsidRPr="0EDB2EA1">
              <w:rPr>
                <w:rFonts w:ascii="Calibri" w:eastAsia="Calibri" w:hAnsi="Calibri" w:cs="Calibri"/>
                <w:color w:val="FFFFFF" w:themeColor="background1"/>
                <w:sz w:val="18"/>
                <w:szCs w:val="18"/>
              </w:rPr>
              <w:t>10,50%</w:t>
            </w:r>
          </w:p>
        </w:tc>
      </w:tr>
      <w:tr w:rsidR="0EDB2EA1" w14:paraId="1BA5174A" w14:textId="77777777" w:rsidTr="0EDB2EA1">
        <w:trPr>
          <w:trHeight w:val="15"/>
        </w:trPr>
        <w:tc>
          <w:tcPr>
            <w:tcW w:w="9916" w:type="dxa"/>
            <w:gridSpan w:val="4"/>
            <w:tcBorders>
              <w:top w:val="single" w:sz="8" w:space="0" w:color="BFBFBF" w:themeColor="background1" w:themeShade="BF"/>
              <w:left w:val="nil"/>
              <w:bottom w:val="nil"/>
              <w:right w:val="nil"/>
            </w:tcBorders>
          </w:tcPr>
          <w:p w14:paraId="268717F3" w14:textId="081CB663" w:rsidR="0EDB2EA1" w:rsidRDefault="0EDB2EA1" w:rsidP="008961BA">
            <w:pPr>
              <w:spacing w:after="0"/>
            </w:pPr>
            <w:proofErr w:type="gramStart"/>
            <w:r w:rsidRPr="0EDB2EA1">
              <w:rPr>
                <w:rFonts w:ascii="Calibri" w:eastAsia="Calibri" w:hAnsi="Calibri" w:cs="Calibri"/>
                <w:i/>
                <w:iCs/>
                <w:sz w:val="16"/>
                <w:szCs w:val="16"/>
                <w:vertAlign w:val="superscript"/>
              </w:rPr>
              <w:t>1</w:t>
            </w:r>
            <w:proofErr w:type="gramEnd"/>
            <w:r w:rsidRPr="0EDB2EA1">
              <w:rPr>
                <w:rFonts w:ascii="Calibri" w:eastAsia="Calibri" w:hAnsi="Calibri" w:cs="Calibri"/>
                <w:i/>
                <w:iCs/>
                <w:sz w:val="16"/>
                <w:szCs w:val="16"/>
                <w:vertAlign w:val="superscript"/>
              </w:rPr>
              <w:t xml:space="preserve"> </w:t>
            </w:r>
            <w:r w:rsidRPr="0EDB2EA1">
              <w:rPr>
                <w:rFonts w:ascii="Calibri" w:eastAsia="Calibri" w:hAnsi="Calibri" w:cs="Calibri"/>
                <w:i/>
                <w:iCs/>
                <w:sz w:val="16"/>
                <w:szCs w:val="16"/>
              </w:rPr>
              <w:t>Inclui ACP conservação e ACP sistêmico.</w:t>
            </w:r>
          </w:p>
          <w:p w14:paraId="0E5E0B42" w14:textId="5CC06BFC" w:rsidR="0EDB2EA1" w:rsidRDefault="0EDB2EA1" w:rsidP="008961BA">
            <w:pPr>
              <w:spacing w:after="0"/>
            </w:pPr>
            <w:proofErr w:type="gramStart"/>
            <w:r w:rsidRPr="0EDB2EA1">
              <w:rPr>
                <w:rFonts w:ascii="Calibri" w:eastAsia="Calibri" w:hAnsi="Calibri" w:cs="Calibri"/>
                <w:i/>
                <w:iCs/>
                <w:sz w:val="16"/>
                <w:szCs w:val="16"/>
                <w:vertAlign w:val="superscript"/>
              </w:rPr>
              <w:t>2</w:t>
            </w:r>
            <w:proofErr w:type="gramEnd"/>
            <w:r w:rsidRPr="0EDB2EA1">
              <w:rPr>
                <w:rFonts w:ascii="Calibri" w:eastAsia="Calibri" w:hAnsi="Calibri" w:cs="Calibri"/>
                <w:i/>
                <w:iCs/>
                <w:sz w:val="16"/>
                <w:szCs w:val="16"/>
                <w:vertAlign w:val="superscript"/>
              </w:rPr>
              <w:t xml:space="preserve"> </w:t>
            </w:r>
            <w:r w:rsidRPr="0EDB2EA1">
              <w:rPr>
                <w:rFonts w:ascii="Calibri" w:eastAsia="Calibri" w:hAnsi="Calibri" w:cs="Calibri"/>
                <w:i/>
                <w:iCs/>
                <w:sz w:val="16"/>
                <w:szCs w:val="16"/>
              </w:rPr>
              <w:t>Inclui ACP conservação.</w:t>
            </w:r>
          </w:p>
          <w:p w14:paraId="50D5B361" w14:textId="3E7581BF" w:rsidR="0EDB2EA1" w:rsidRDefault="0EDB2EA1" w:rsidP="008961BA">
            <w:pPr>
              <w:spacing w:after="0"/>
            </w:pPr>
            <w:r w:rsidRPr="0EDB2EA1">
              <w:rPr>
                <w:rFonts w:ascii="Calibri" w:eastAsia="Calibri" w:hAnsi="Calibri" w:cs="Calibri"/>
                <w:b/>
                <w:bCs/>
                <w:i/>
                <w:iCs/>
                <w:sz w:val="16"/>
                <w:szCs w:val="16"/>
              </w:rPr>
              <w:t>Fonte</w:t>
            </w:r>
            <w:r w:rsidRPr="0EDB2EA1">
              <w:rPr>
                <w:rFonts w:ascii="Calibri" w:eastAsia="Calibri" w:hAnsi="Calibri" w:cs="Calibri"/>
                <w:i/>
                <w:iCs/>
                <w:sz w:val="16"/>
                <w:szCs w:val="16"/>
              </w:rPr>
              <w:t>: Informações Trimestrais (ITR) - 3º Trimestre 2020; Resolução CMN nº 4.193; e regulamentações.</w:t>
            </w:r>
          </w:p>
          <w:p w14:paraId="11452C64" w14:textId="532E88BF" w:rsidR="0EDB2EA1" w:rsidRDefault="0EDB2EA1" w:rsidP="008961BA">
            <w:pPr>
              <w:spacing w:after="0"/>
            </w:pPr>
            <w:r w:rsidRPr="0EDB2EA1">
              <w:rPr>
                <w:rFonts w:ascii="Calibri" w:eastAsia="Calibri" w:hAnsi="Calibri" w:cs="Calibri"/>
                <w:b/>
                <w:bCs/>
                <w:i/>
                <w:iCs/>
                <w:sz w:val="16"/>
                <w:szCs w:val="16"/>
              </w:rPr>
              <w:t>Elaboração</w:t>
            </w:r>
            <w:r w:rsidRPr="0EDB2EA1">
              <w:rPr>
                <w:rFonts w:ascii="Calibri" w:eastAsia="Calibri" w:hAnsi="Calibri" w:cs="Calibri"/>
                <w:i/>
                <w:iCs/>
                <w:sz w:val="16"/>
                <w:szCs w:val="16"/>
              </w:rPr>
              <w:t>: STN/ME.</w:t>
            </w:r>
          </w:p>
        </w:tc>
      </w:tr>
    </w:tbl>
    <w:p w14:paraId="3DC07168" w14:textId="06A04F3F" w:rsidR="00A21F07" w:rsidRDefault="523B8B10" w:rsidP="0EDB2EA1">
      <w:pPr>
        <w:spacing w:after="120" w:line="257" w:lineRule="exact"/>
        <w:jc w:val="both"/>
      </w:pPr>
      <w:r w:rsidRPr="0EDB2EA1">
        <w:rPr>
          <w:rFonts w:ascii="Calibri" w:eastAsia="Calibri" w:hAnsi="Calibri" w:cs="Calibri"/>
          <w:color w:val="00B050"/>
          <w:sz w:val="24"/>
          <w:szCs w:val="24"/>
        </w:rPr>
        <w:t xml:space="preserve"> </w:t>
      </w:r>
    </w:p>
    <w:p w14:paraId="2CB556D5" w14:textId="3E343328"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 xml:space="preserve">Ressalta-se que todas as instituições apresentavam, no encerramento do 3º trimestre de 2020, todos os índices de capital acima dos mínimos regulatórios em pelo menos </w:t>
      </w:r>
      <w:proofErr w:type="gramStart"/>
      <w:r w:rsidRPr="0EDB2EA1">
        <w:rPr>
          <w:rFonts w:ascii="Calibri" w:eastAsia="Calibri" w:hAnsi="Calibri" w:cs="Calibri"/>
          <w:color w:val="000000" w:themeColor="text1"/>
          <w:sz w:val="24"/>
          <w:szCs w:val="24"/>
        </w:rPr>
        <w:t>1,0 ponto</w:t>
      </w:r>
      <w:proofErr w:type="gramEnd"/>
      <w:r w:rsidRPr="0EDB2EA1">
        <w:rPr>
          <w:rFonts w:ascii="Calibri" w:eastAsia="Calibri" w:hAnsi="Calibri" w:cs="Calibri"/>
          <w:color w:val="000000" w:themeColor="text1"/>
          <w:sz w:val="24"/>
          <w:szCs w:val="24"/>
        </w:rPr>
        <w:t xml:space="preserve"> percentual, o que pode ser considerada uma margem razoável. É importante ressaltar que as instituições devem manter uma margem de segurança de forma a mitigar eventuais choques ao longo do ano. Destaque apenas para o índice de Basileia do Banco da Amazônia que vem se mantendo em torno de 12% ao longo dos últimos trimestres, bastante inferior a seus pares. Embora tal situação não represente risco significativo para a União em termos de perda de arrecadação de dividendos, uma vez que se trata da instituição de menor porte, a trajetória desse indicador deve despertar atenção por parte da administração daquela instituição inclusive quanto à adoção de medidas mitigadoras de forma a evitar o descumprimento da regulação.</w:t>
      </w:r>
    </w:p>
    <w:p w14:paraId="76F8DA6A" w14:textId="20AAB051"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Dessa forma, o risco de que a União venha a sofrer perda na arrecadação de receita de dividendos/JCP, inclusive por parte das instituições financeiras, para que possam cumprir, com segurança, os seus limites operacionais, pode ser considerado risco remoto.</w:t>
      </w:r>
    </w:p>
    <w:p w14:paraId="2AED24F0" w14:textId="2851283E"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 xml:space="preserve">Em relação às demais empresas (não dependentes), a única empresa com previsão de receita de dividendos/JCP em valor relevante é a Petrobras, cuja previsão no PLOA 2021 era de não pagamento de dividendos em razão da estimativa inicial de prejuízo em 2020. O valor dos dividendos </w:t>
      </w:r>
      <w:r w:rsidRPr="0EDB2EA1">
        <w:rPr>
          <w:rFonts w:ascii="Calibri" w:eastAsia="Calibri" w:hAnsi="Calibri" w:cs="Calibri"/>
          <w:color w:val="000000" w:themeColor="text1"/>
          <w:sz w:val="24"/>
          <w:szCs w:val="24"/>
        </w:rPr>
        <w:lastRenderedPageBreak/>
        <w:t>da Petrobras, contudo, foi inserido após a divulgação de fato relevante, que teve por base o</w:t>
      </w:r>
      <w:r w:rsidRPr="0EDB2EA1">
        <w:rPr>
          <w:rFonts w:ascii="Calibri" w:eastAsia="Calibri" w:hAnsi="Calibri" w:cs="Calibri"/>
          <w:color w:val="000000" w:themeColor="text1"/>
        </w:rPr>
        <w:t xml:space="preserve"> </w:t>
      </w:r>
      <w:r w:rsidRPr="0EDB2EA1">
        <w:rPr>
          <w:rFonts w:ascii="Calibri" w:eastAsia="Calibri" w:hAnsi="Calibri" w:cs="Calibri"/>
          <w:color w:val="000000" w:themeColor="text1"/>
          <w:sz w:val="24"/>
          <w:szCs w:val="24"/>
        </w:rPr>
        <w:t xml:space="preserve">equivalente a 5% do capital social, aplicado tanto às ações preferenciais quanto ordinárias, sendo do valor a ser pago, R$ 5,7 bilhões referentes à destinação do resultado do exercício de 2020 e R$ 4,6 bilhões oriundos da reversão da conta de reserva de retenção de lucros. A </w:t>
      </w:r>
      <w:proofErr w:type="spellStart"/>
      <w:r w:rsidRPr="0EDB2EA1">
        <w:rPr>
          <w:rFonts w:ascii="Calibri" w:eastAsia="Calibri" w:hAnsi="Calibri" w:cs="Calibri"/>
          <w:color w:val="000000" w:themeColor="text1"/>
          <w:sz w:val="24"/>
          <w:szCs w:val="24"/>
        </w:rPr>
        <w:t>Eletrobras</w:t>
      </w:r>
      <w:proofErr w:type="spellEnd"/>
      <w:r w:rsidRPr="0EDB2EA1">
        <w:rPr>
          <w:rFonts w:ascii="Calibri" w:eastAsia="Calibri" w:hAnsi="Calibri" w:cs="Calibri"/>
          <w:color w:val="000000" w:themeColor="text1"/>
          <w:sz w:val="24"/>
          <w:szCs w:val="24"/>
        </w:rPr>
        <w:t xml:space="preserve"> não teve uma estimativa de dividendos inserida no PLOA 2021 por estar em processo de privatização. Porém, a empresa divulgou em Aviso aos Acionistas de 20/01/2021 o pagamento de R$961 milhões em dividendos intermediários baseados em reversão de reserva especial.</w:t>
      </w:r>
    </w:p>
    <w:p w14:paraId="394F0571" w14:textId="6E5C0AD3"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 xml:space="preserve">Um fator de risco incidente sobre a expectativa de resultados futuros das empresas estatais decorre dos efeitos econômicos da Pandemia da COVID-19, que ainda são de difícil aferição, mas sendo continuamente monitorado pelas empresas, e que afeta de maneira muito diversa cada uma das corporações e cada um dos setores envolvidos. Os resultados que serviram de base para a estimativa dos dividendos das principais empresas originam-se de avaliações de mercado atualizadas (no caso das companhias abertas) ou das próprias empresas (no caso das empresas públicas), o que tende a capturar, no momento, as eventuais expectativas futuras. Os efeitos econômicos da Pandemia da COVID-19 concentram-se na capacidade de manutenção do nível de atividades da empresa, na valoração a preços de mercado de seus ativos e na classificação de risco de crédito de seus clientes, assim como em possíveis provisionamentos por perdas. As instituições financeiras federais participaram de diversos programas de ampliação do crédito ao setor público e ao setor privado no âmbito das políticas </w:t>
      </w:r>
      <w:proofErr w:type="gramStart"/>
      <w:r w:rsidRPr="0EDB2EA1">
        <w:rPr>
          <w:rFonts w:ascii="Calibri" w:eastAsia="Calibri" w:hAnsi="Calibri" w:cs="Calibri"/>
          <w:color w:val="000000" w:themeColor="text1"/>
          <w:sz w:val="24"/>
          <w:szCs w:val="24"/>
        </w:rPr>
        <w:t>implementas</w:t>
      </w:r>
      <w:proofErr w:type="gramEnd"/>
      <w:r w:rsidRPr="0EDB2EA1">
        <w:rPr>
          <w:rFonts w:ascii="Calibri" w:eastAsia="Calibri" w:hAnsi="Calibri" w:cs="Calibri"/>
          <w:color w:val="000000" w:themeColor="text1"/>
          <w:sz w:val="24"/>
          <w:szCs w:val="24"/>
        </w:rPr>
        <w:t xml:space="preserve"> pelo Governo Federal, visando reduzir os impactos na economia decorrentes da queda de atividade econômica. A Petrobras foi </w:t>
      </w:r>
      <w:proofErr w:type="gramStart"/>
      <w:r w:rsidRPr="0EDB2EA1">
        <w:rPr>
          <w:rFonts w:ascii="Calibri" w:eastAsia="Calibri" w:hAnsi="Calibri" w:cs="Calibri"/>
          <w:color w:val="000000" w:themeColor="text1"/>
          <w:sz w:val="24"/>
          <w:szCs w:val="24"/>
        </w:rPr>
        <w:t>a</w:t>
      </w:r>
      <w:proofErr w:type="gramEnd"/>
      <w:r w:rsidRPr="0EDB2EA1">
        <w:rPr>
          <w:rFonts w:ascii="Calibri" w:eastAsia="Calibri" w:hAnsi="Calibri" w:cs="Calibri"/>
          <w:color w:val="000000" w:themeColor="text1"/>
          <w:sz w:val="24"/>
          <w:szCs w:val="24"/>
        </w:rPr>
        <w:t xml:space="preserve"> empresa mais afetada dentre as estatais responsáveis pelo pagamento de dividendos em razão da queda dos preços do petróleo, da redução do nível da atividade econômica no país e no exterior e precificação de seus</w:t>
      </w:r>
      <w:r w:rsidRPr="0EDB2EA1">
        <w:rPr>
          <w:rFonts w:ascii="Calibri" w:eastAsia="Calibri" w:hAnsi="Calibri" w:cs="Calibri"/>
          <w:color w:val="000000" w:themeColor="text1"/>
        </w:rPr>
        <w:t xml:space="preserve"> ativos.</w:t>
      </w:r>
    </w:p>
    <w:p w14:paraId="2CCD493C" w14:textId="57F9D0D3"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Tanto o BNDES como a Caixa Econômica Federal não apresentaram uma estimativa atualizada de seus resultados para os próximos anos. Porém, as informações obtidas nos resultados parciais de 2020 não indicam resultados piores do que aqueles constantes das previsões já consideradas.</w:t>
      </w:r>
    </w:p>
    <w:p w14:paraId="1FFA9BD1" w14:textId="0844F96A"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Assim, considera-se risco remoto uma eventual frustração dessa receita para os próximos anos.</w:t>
      </w:r>
    </w:p>
    <w:p w14:paraId="520E21C5" w14:textId="5FD507F8"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 </w:t>
      </w:r>
    </w:p>
    <w:p w14:paraId="701BF30C" w14:textId="4928B7ED"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u w:val="single"/>
        </w:rPr>
        <w:t>Risco 2 - aporte emergencial</w:t>
      </w:r>
    </w:p>
    <w:p w14:paraId="32DCCD33" w14:textId="718F66E7"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 xml:space="preserve">Em relação às instituições financeiras federais, a mesma análise em relação ao risco de frustração de dividendos se aplica ao risco de aumento de capital, de forma que esse risco é evidentemente remoto para este grupo de empresas estatais. O risco já relatado de que o BNB possa se desenquadrar no índice de capital Nível I, em decorrência do ressarcimento ao FNE determinado pelo Acórdão </w:t>
      </w:r>
      <w:r w:rsidR="002C7734">
        <w:rPr>
          <w:rFonts w:ascii="Calibri" w:eastAsia="Calibri" w:hAnsi="Calibri" w:cs="Calibri"/>
          <w:color w:val="000000" w:themeColor="text1"/>
          <w:sz w:val="24"/>
          <w:szCs w:val="24"/>
        </w:rPr>
        <w:t>nº 1325/2020-TCU</w:t>
      </w:r>
      <w:r w:rsidR="0003507B">
        <w:rPr>
          <w:rFonts w:ascii="Calibri" w:eastAsia="Calibri" w:hAnsi="Calibri" w:cs="Calibri"/>
          <w:color w:val="000000" w:themeColor="text1"/>
          <w:sz w:val="24"/>
          <w:szCs w:val="24"/>
        </w:rPr>
        <w:t>-Plenário</w:t>
      </w:r>
      <w:r w:rsidRPr="0EDB2EA1">
        <w:rPr>
          <w:rFonts w:ascii="Calibri" w:eastAsia="Calibri" w:hAnsi="Calibri" w:cs="Calibri"/>
          <w:color w:val="000000" w:themeColor="text1"/>
          <w:sz w:val="24"/>
          <w:szCs w:val="24"/>
        </w:rPr>
        <w:t>, pode ser compensado com retenção de lucros (dividendos) ou outras medidas de ajuste ou gerenciamento dos impactos, caso venha a se materializar.</w:t>
      </w:r>
    </w:p>
    <w:p w14:paraId="5959B2AC" w14:textId="0BBCB234"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 xml:space="preserve">Porém, em relação às empresas estatais não financeiras, permanece a expectativa de que algumas enfrentem dificuldades de caixa para 2021, com destaque para Infraero, </w:t>
      </w:r>
      <w:proofErr w:type="spellStart"/>
      <w:r w:rsidRPr="0EDB2EA1">
        <w:rPr>
          <w:rFonts w:ascii="Calibri" w:eastAsia="Calibri" w:hAnsi="Calibri" w:cs="Calibri"/>
          <w:color w:val="000000" w:themeColor="text1"/>
          <w:sz w:val="24"/>
          <w:szCs w:val="24"/>
        </w:rPr>
        <w:t>Emgea</w:t>
      </w:r>
      <w:proofErr w:type="spellEnd"/>
      <w:r w:rsidRPr="0EDB2EA1">
        <w:rPr>
          <w:rFonts w:ascii="Calibri" w:eastAsia="Calibri" w:hAnsi="Calibri" w:cs="Calibri"/>
          <w:color w:val="000000" w:themeColor="text1"/>
          <w:sz w:val="24"/>
          <w:szCs w:val="24"/>
        </w:rPr>
        <w:t xml:space="preserve">, Correios, Casa da Moeda e Companhias Docas (CDC, CDP, </w:t>
      </w:r>
      <w:proofErr w:type="spellStart"/>
      <w:r w:rsidRPr="0EDB2EA1">
        <w:rPr>
          <w:rFonts w:ascii="Calibri" w:eastAsia="Calibri" w:hAnsi="Calibri" w:cs="Calibri"/>
          <w:color w:val="000000" w:themeColor="text1"/>
          <w:sz w:val="24"/>
          <w:szCs w:val="24"/>
        </w:rPr>
        <w:t>Codeba</w:t>
      </w:r>
      <w:proofErr w:type="spellEnd"/>
      <w:r w:rsidRPr="0EDB2EA1">
        <w:rPr>
          <w:rFonts w:ascii="Calibri" w:eastAsia="Calibri" w:hAnsi="Calibri" w:cs="Calibri"/>
          <w:color w:val="000000" w:themeColor="text1"/>
          <w:sz w:val="24"/>
          <w:szCs w:val="24"/>
        </w:rPr>
        <w:t xml:space="preserve">, CDRJ, </w:t>
      </w:r>
      <w:proofErr w:type="spellStart"/>
      <w:r w:rsidRPr="0EDB2EA1">
        <w:rPr>
          <w:rFonts w:ascii="Calibri" w:eastAsia="Calibri" w:hAnsi="Calibri" w:cs="Calibri"/>
          <w:color w:val="000000" w:themeColor="text1"/>
          <w:sz w:val="24"/>
          <w:szCs w:val="24"/>
        </w:rPr>
        <w:t>Codesa</w:t>
      </w:r>
      <w:proofErr w:type="spellEnd"/>
      <w:r w:rsidRPr="0EDB2EA1">
        <w:rPr>
          <w:rFonts w:ascii="Calibri" w:eastAsia="Calibri" w:hAnsi="Calibri" w:cs="Calibri"/>
          <w:color w:val="000000" w:themeColor="text1"/>
          <w:sz w:val="24"/>
          <w:szCs w:val="24"/>
        </w:rPr>
        <w:t xml:space="preserve">, </w:t>
      </w:r>
      <w:proofErr w:type="spellStart"/>
      <w:r w:rsidRPr="0EDB2EA1">
        <w:rPr>
          <w:rFonts w:ascii="Calibri" w:eastAsia="Calibri" w:hAnsi="Calibri" w:cs="Calibri"/>
          <w:color w:val="000000" w:themeColor="text1"/>
          <w:sz w:val="24"/>
          <w:szCs w:val="24"/>
        </w:rPr>
        <w:t>Codern</w:t>
      </w:r>
      <w:proofErr w:type="spellEnd"/>
      <w:r w:rsidRPr="0EDB2EA1">
        <w:rPr>
          <w:rFonts w:ascii="Calibri" w:eastAsia="Calibri" w:hAnsi="Calibri" w:cs="Calibri"/>
          <w:color w:val="000000" w:themeColor="text1"/>
          <w:sz w:val="24"/>
          <w:szCs w:val="24"/>
        </w:rPr>
        <w:t>, SPA-Codesp</w:t>
      </w:r>
      <w:r w:rsidRPr="0EDB2EA1">
        <w:rPr>
          <w:rFonts w:ascii="Calibri" w:eastAsia="Calibri" w:hAnsi="Calibri" w:cs="Calibri"/>
          <w:b/>
          <w:bCs/>
          <w:color w:val="000000" w:themeColor="text1"/>
          <w:sz w:val="24"/>
          <w:szCs w:val="24"/>
        </w:rPr>
        <w:t>)</w:t>
      </w:r>
      <w:r w:rsidRPr="0EDB2EA1">
        <w:rPr>
          <w:rFonts w:ascii="Calibri" w:eastAsia="Calibri" w:hAnsi="Calibri" w:cs="Calibri"/>
          <w:color w:val="000000" w:themeColor="text1"/>
          <w:sz w:val="24"/>
          <w:szCs w:val="24"/>
        </w:rPr>
        <w:t xml:space="preserve">. Estas empresas vêm adotando medidas de saneamento de seus planos de previdência complementar, reestruturação de planos de saúde, programas de demissão voluntária, reestruturações societárias, dentre outros. As demonstrações financeiras intermediárias de 2020 apresentaram tendências de melhorias em algumas empresas, mas possível agravamento da situação </w:t>
      </w:r>
      <w:r w:rsidRPr="0EDB2EA1">
        <w:rPr>
          <w:rFonts w:ascii="Calibri" w:eastAsia="Calibri" w:hAnsi="Calibri" w:cs="Calibri"/>
          <w:color w:val="000000" w:themeColor="text1"/>
          <w:sz w:val="24"/>
          <w:szCs w:val="24"/>
        </w:rPr>
        <w:lastRenderedPageBreak/>
        <w:t xml:space="preserve">financeira em outras, o que eleva a expectativa em relação ao desempenho de 2021 e 2022, sujeito a fatores econômicos, de mercado, de legislação, entre outros. Um possível fator agravante desse quadro foi </w:t>
      </w:r>
      <w:proofErr w:type="gramStart"/>
      <w:r w:rsidRPr="0EDB2EA1">
        <w:rPr>
          <w:rFonts w:ascii="Calibri" w:eastAsia="Calibri" w:hAnsi="Calibri" w:cs="Calibri"/>
          <w:color w:val="000000" w:themeColor="text1"/>
          <w:sz w:val="24"/>
          <w:szCs w:val="24"/>
        </w:rPr>
        <w:t>a</w:t>
      </w:r>
      <w:proofErr w:type="gramEnd"/>
      <w:r w:rsidRPr="0EDB2EA1">
        <w:rPr>
          <w:rFonts w:ascii="Calibri" w:eastAsia="Calibri" w:hAnsi="Calibri" w:cs="Calibri"/>
          <w:color w:val="000000" w:themeColor="text1"/>
          <w:sz w:val="24"/>
          <w:szCs w:val="24"/>
        </w:rPr>
        <w:t xml:space="preserve"> ocorrência da Pandemia da COVID-19, que desencadeou um processo de queda acentuada das atividades econômicas, cujos efeitos sobre essas empresas pode se estender além de 2020, afetando o seu desempenho em 2021, principalmente. As empresas vêm realizando um monitoramento em relação a esses riscos, não tendo sido reportado em suas demonstrações financeiras, até o momento, um impacto relevante ou quantificável para ser incorporado a este relatório.</w:t>
      </w:r>
    </w:p>
    <w:p w14:paraId="01D79E67" w14:textId="771D698A"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A previsão para essa despesa na PLOA 2021 é de apenas R$ 292 milhões, além de R$ 2.343 milhões inscritos em restos a pagar, o que representa, com exceção de 2020, um valor anual aquém do histórico recente observado dessa despesa. Por isso, o risco da demanda de aporte de capital não previsto em 2021 em alguma daquelas estatais pode ser considerado possível. Todavia, não há meios de se obter uma mensuração do risco com suficiente segurança.</w:t>
      </w:r>
    </w:p>
    <w:p w14:paraId="4DFAE78C" w14:textId="09668CC0" w:rsidR="00A21F07" w:rsidRDefault="523B8B10" w:rsidP="00BB3FC2">
      <w:pPr>
        <w:spacing w:after="120" w:line="240" w:lineRule="auto"/>
        <w:ind w:firstLine="1418"/>
        <w:jc w:val="both"/>
        <w:rPr>
          <w:rFonts w:ascii="Calibri" w:eastAsia="Calibri" w:hAnsi="Calibri" w:cs="Calibri"/>
          <w:color w:val="000000" w:themeColor="text1"/>
          <w:sz w:val="24"/>
          <w:szCs w:val="24"/>
        </w:rPr>
      </w:pPr>
      <w:r w:rsidRPr="0EDB2EA1">
        <w:rPr>
          <w:rFonts w:ascii="Calibri" w:eastAsia="Calibri" w:hAnsi="Calibri" w:cs="Calibri"/>
          <w:color w:val="000000" w:themeColor="text1"/>
          <w:sz w:val="24"/>
          <w:szCs w:val="24"/>
        </w:rPr>
        <w:t xml:space="preserve">Um fator importante para avaliar o risco de aporte de capital nas empresas estatais não financeiras é a </w:t>
      </w:r>
      <w:r w:rsidR="00F23974">
        <w:rPr>
          <w:rFonts w:ascii="Calibri" w:eastAsia="Calibri" w:hAnsi="Calibri" w:cs="Calibri"/>
          <w:color w:val="000000" w:themeColor="text1"/>
          <w:sz w:val="24"/>
          <w:szCs w:val="24"/>
        </w:rPr>
        <w:t>política do</w:t>
      </w:r>
      <w:r w:rsidRPr="0EDB2EA1">
        <w:rPr>
          <w:rFonts w:ascii="Calibri" w:eastAsia="Calibri" w:hAnsi="Calibri" w:cs="Calibri"/>
          <w:color w:val="000000" w:themeColor="text1"/>
          <w:sz w:val="24"/>
          <w:szCs w:val="24"/>
        </w:rPr>
        <w:t xml:space="preserve"> Governo Federal </w:t>
      </w:r>
      <w:r w:rsidR="00E03855">
        <w:rPr>
          <w:rFonts w:ascii="Calibri" w:eastAsia="Calibri" w:hAnsi="Calibri" w:cs="Calibri"/>
          <w:color w:val="000000" w:themeColor="text1"/>
          <w:sz w:val="24"/>
          <w:szCs w:val="24"/>
        </w:rPr>
        <w:t xml:space="preserve">em adotar </w:t>
      </w:r>
      <w:r w:rsidRPr="0EDB2EA1">
        <w:rPr>
          <w:rFonts w:ascii="Calibri" w:eastAsia="Calibri" w:hAnsi="Calibri" w:cs="Calibri"/>
          <w:color w:val="000000" w:themeColor="text1"/>
          <w:sz w:val="24"/>
          <w:szCs w:val="24"/>
        </w:rPr>
        <w:t>um amplo processo de privatização e de parcerias com o setor privado, que poderá contribuir para reduzir a pressão por recursos de investimento ou mesmo de custeio dessas empresas.</w:t>
      </w:r>
    </w:p>
    <w:p w14:paraId="3E3267F5" w14:textId="72C15F67" w:rsidR="00DD6BA9" w:rsidRPr="00DD6BA9" w:rsidRDefault="00DD6BA9" w:rsidP="00BB3FC2">
      <w:pPr>
        <w:spacing w:after="120" w:line="240" w:lineRule="auto"/>
        <w:ind w:firstLine="1418"/>
        <w:jc w:val="both"/>
        <w:rPr>
          <w:rFonts w:ascii="Calibri" w:eastAsia="Calibri" w:hAnsi="Calibri" w:cs="Calibri"/>
          <w:color w:val="000000" w:themeColor="text1"/>
          <w:sz w:val="24"/>
          <w:szCs w:val="24"/>
        </w:rPr>
      </w:pPr>
      <w:r w:rsidRPr="00DD6BA9">
        <w:rPr>
          <w:rFonts w:ascii="Calibri" w:eastAsia="Calibri" w:hAnsi="Calibri" w:cs="Calibri"/>
          <w:color w:val="000000" w:themeColor="text1"/>
          <w:sz w:val="24"/>
          <w:szCs w:val="24"/>
        </w:rPr>
        <w:t xml:space="preserve">A </w:t>
      </w:r>
      <w:r w:rsidRPr="00DD6BA9">
        <w:rPr>
          <w:rFonts w:ascii="Calibri" w:eastAsia="Calibri" w:hAnsi="Calibri" w:cs="Calibri"/>
          <w:color w:val="000000" w:themeColor="text1"/>
          <w:sz w:val="24"/>
          <w:szCs w:val="24"/>
        </w:rPr>
        <w:fldChar w:fldCharType="begin"/>
      </w:r>
      <w:r w:rsidRPr="00DD6BA9">
        <w:rPr>
          <w:rFonts w:ascii="Calibri" w:eastAsia="Calibri" w:hAnsi="Calibri" w:cs="Calibri"/>
          <w:color w:val="000000" w:themeColor="text1"/>
          <w:sz w:val="24"/>
          <w:szCs w:val="24"/>
        </w:rPr>
        <w:instrText xml:space="preserve"> REF _Ref68085208 \h  \* MERGEFORMAT </w:instrText>
      </w:r>
      <w:r w:rsidRPr="00DD6BA9">
        <w:rPr>
          <w:rFonts w:ascii="Calibri" w:eastAsia="Calibri" w:hAnsi="Calibri" w:cs="Calibri"/>
          <w:color w:val="000000" w:themeColor="text1"/>
          <w:sz w:val="24"/>
          <w:szCs w:val="24"/>
        </w:rPr>
      </w:r>
      <w:r w:rsidRPr="00DD6BA9">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64</w:t>
      </w:r>
      <w:r w:rsidRPr="00DD6BA9">
        <w:rPr>
          <w:rFonts w:ascii="Calibri" w:eastAsia="Calibri" w:hAnsi="Calibri" w:cs="Calibri"/>
          <w:color w:val="000000" w:themeColor="text1"/>
          <w:sz w:val="24"/>
          <w:szCs w:val="24"/>
        </w:rPr>
        <w:fldChar w:fldCharType="end"/>
      </w:r>
      <w:r w:rsidRPr="00DD6BA9">
        <w:rPr>
          <w:rFonts w:ascii="Calibri" w:eastAsia="Calibri" w:hAnsi="Calibri" w:cs="Calibri"/>
          <w:color w:val="000000" w:themeColor="text1"/>
          <w:sz w:val="24"/>
          <w:szCs w:val="24"/>
        </w:rPr>
        <w:t xml:space="preserve"> apresenta c</w:t>
      </w:r>
      <w:r w:rsidRPr="00DD6BA9">
        <w:rPr>
          <w:rFonts w:eastAsia="Calibri" w:cstheme="minorHAnsi"/>
          <w:sz w:val="24"/>
          <w:szCs w:val="24"/>
        </w:rPr>
        <w:t>ontexto dos aportes emergenciais em empresas não dependentes não financeiras</w:t>
      </w:r>
      <w:r w:rsidR="00444E32">
        <w:rPr>
          <w:rFonts w:eastAsia="Calibri" w:cstheme="minorHAnsi"/>
          <w:sz w:val="24"/>
          <w:szCs w:val="24"/>
        </w:rPr>
        <w:t>.</w:t>
      </w:r>
    </w:p>
    <w:p w14:paraId="6A0E4AB7" w14:textId="77777777" w:rsidR="00BD35DE" w:rsidRDefault="00BD35DE" w:rsidP="0EDB2EA1">
      <w:pPr>
        <w:spacing w:after="120" w:line="257" w:lineRule="exact"/>
        <w:ind w:firstLine="1418"/>
        <w:jc w:val="both"/>
      </w:pPr>
    </w:p>
    <w:p w14:paraId="217AA412" w14:textId="19E89F73" w:rsidR="00A21F07" w:rsidRPr="009C33EE" w:rsidRDefault="523B8B10" w:rsidP="009C33EE">
      <w:pPr>
        <w:pStyle w:val="Legenda"/>
        <w:keepNext/>
        <w:jc w:val="center"/>
        <w:rPr>
          <w:color w:val="auto"/>
        </w:rPr>
      </w:pPr>
      <w:bookmarkStart w:id="429" w:name="_Ref68085208"/>
      <w:bookmarkStart w:id="430" w:name="_Toc69121410"/>
      <w:r w:rsidRPr="009C33EE">
        <w:rPr>
          <w:rFonts w:asciiTheme="minorHAnsi" w:eastAsia="Calibri" w:hAnsiTheme="minorHAnsi" w:cstheme="minorHAnsi"/>
          <w:i w:val="0"/>
          <w:color w:val="auto"/>
          <w:sz w:val="22"/>
          <w:szCs w:val="22"/>
        </w:rPr>
        <w:t xml:space="preserve">Tabela </w:t>
      </w:r>
      <w:r w:rsidR="009C33EE" w:rsidRPr="009C33EE">
        <w:rPr>
          <w:rFonts w:asciiTheme="minorHAnsi" w:hAnsiTheme="minorHAnsi" w:cstheme="minorHAnsi"/>
          <w:i w:val="0"/>
          <w:color w:val="auto"/>
          <w:sz w:val="22"/>
          <w:szCs w:val="22"/>
        </w:rPr>
        <w:fldChar w:fldCharType="begin"/>
      </w:r>
      <w:r w:rsidR="009C33EE" w:rsidRPr="009C33EE">
        <w:rPr>
          <w:rFonts w:asciiTheme="minorHAnsi" w:hAnsiTheme="minorHAnsi" w:cstheme="minorHAnsi"/>
          <w:i w:val="0"/>
          <w:color w:val="auto"/>
          <w:sz w:val="22"/>
          <w:szCs w:val="22"/>
        </w:rPr>
        <w:instrText xml:space="preserve"> SEQ Tabela \* ARABIC </w:instrText>
      </w:r>
      <w:r w:rsidR="009C33EE" w:rsidRPr="009C33EE">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64</w:t>
      </w:r>
      <w:r w:rsidR="009C33EE" w:rsidRPr="009C33EE">
        <w:rPr>
          <w:rFonts w:asciiTheme="minorHAnsi" w:hAnsiTheme="minorHAnsi" w:cstheme="minorHAnsi"/>
          <w:i w:val="0"/>
          <w:color w:val="auto"/>
          <w:sz w:val="22"/>
          <w:szCs w:val="22"/>
        </w:rPr>
        <w:fldChar w:fldCharType="end"/>
      </w:r>
      <w:bookmarkEnd w:id="429"/>
      <w:r w:rsidR="009C33EE" w:rsidRPr="009C33EE">
        <w:rPr>
          <w:rFonts w:asciiTheme="minorHAnsi" w:hAnsiTheme="minorHAnsi" w:cstheme="minorHAnsi"/>
          <w:i w:val="0"/>
          <w:color w:val="auto"/>
          <w:sz w:val="22"/>
          <w:szCs w:val="22"/>
        </w:rPr>
        <w:t xml:space="preserve"> </w:t>
      </w:r>
      <w:r w:rsidR="00016452">
        <w:rPr>
          <w:rFonts w:asciiTheme="minorHAnsi" w:hAnsiTheme="minorHAnsi" w:cstheme="minorHAnsi"/>
          <w:i w:val="0"/>
          <w:color w:val="auto"/>
          <w:sz w:val="22"/>
          <w:szCs w:val="22"/>
        </w:rPr>
        <w:t>–</w:t>
      </w:r>
      <w:r w:rsidR="009C33EE" w:rsidRPr="009C33EE">
        <w:rPr>
          <w:rFonts w:asciiTheme="minorHAnsi" w:hAnsiTheme="minorHAnsi" w:cstheme="minorHAnsi"/>
          <w:i w:val="0"/>
          <w:color w:val="auto"/>
          <w:sz w:val="22"/>
          <w:szCs w:val="22"/>
        </w:rPr>
        <w:t xml:space="preserve"> </w:t>
      </w:r>
      <w:r w:rsidR="00016452">
        <w:rPr>
          <w:rFonts w:asciiTheme="minorHAnsi" w:eastAsia="Calibri" w:hAnsiTheme="minorHAnsi" w:cstheme="minorHAnsi"/>
          <w:i w:val="0"/>
          <w:color w:val="auto"/>
          <w:sz w:val="22"/>
          <w:szCs w:val="22"/>
        </w:rPr>
        <w:t>Contexto dos a</w:t>
      </w:r>
      <w:r w:rsidRPr="009C33EE">
        <w:rPr>
          <w:rFonts w:asciiTheme="minorHAnsi" w:eastAsia="Calibri" w:hAnsiTheme="minorHAnsi" w:cstheme="minorHAnsi"/>
          <w:i w:val="0"/>
          <w:color w:val="auto"/>
          <w:sz w:val="22"/>
          <w:szCs w:val="22"/>
        </w:rPr>
        <w:t>portes emergenciais em empresas não dependentes não financeiras</w:t>
      </w:r>
      <w:bookmarkEnd w:id="430"/>
    </w:p>
    <w:tbl>
      <w:tblPr>
        <w:tblW w:w="0" w:type="auto"/>
        <w:tblLayout w:type="fixed"/>
        <w:tblLook w:val="06A0" w:firstRow="1" w:lastRow="0" w:firstColumn="1" w:lastColumn="0" w:noHBand="1" w:noVBand="1"/>
      </w:tblPr>
      <w:tblGrid>
        <w:gridCol w:w="1425"/>
        <w:gridCol w:w="1410"/>
        <w:gridCol w:w="1560"/>
        <w:gridCol w:w="1275"/>
        <w:gridCol w:w="1410"/>
        <w:gridCol w:w="990"/>
        <w:gridCol w:w="1845"/>
      </w:tblGrid>
      <w:tr w:rsidR="0EDB2EA1" w14:paraId="03331B6C" w14:textId="77777777" w:rsidTr="008A5918">
        <w:trPr>
          <w:trHeight w:val="15"/>
          <w:tblHeader/>
        </w:trPr>
        <w:tc>
          <w:tcPr>
            <w:tcW w:w="14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C16D1B4" w14:textId="704B4B86" w:rsidR="0EDB2EA1" w:rsidRDefault="0EDB2EA1" w:rsidP="0EDB2EA1">
            <w:pPr>
              <w:jc w:val="center"/>
            </w:pPr>
            <w:r w:rsidRPr="0EDB2EA1">
              <w:rPr>
                <w:rFonts w:ascii="Calibri" w:eastAsia="Calibri" w:hAnsi="Calibri" w:cs="Calibri"/>
                <w:color w:val="FFFFFF" w:themeColor="background1"/>
                <w:sz w:val="20"/>
                <w:szCs w:val="20"/>
              </w:rPr>
              <w:t>Empresa</w:t>
            </w:r>
            <w:r w:rsidRPr="0EDB2EA1">
              <w:rPr>
                <w:rFonts w:ascii="Calibri" w:eastAsia="Calibri" w:hAnsi="Calibri" w:cs="Calibri"/>
                <w:color w:val="FFFFFF" w:themeColor="background1"/>
                <w:sz w:val="20"/>
                <w:szCs w:val="20"/>
                <w:vertAlign w:val="superscript"/>
              </w:rPr>
              <w:t xml:space="preserve"> </w:t>
            </w:r>
            <w:proofErr w:type="gramStart"/>
            <w:r w:rsidRPr="0EDB2EA1">
              <w:rPr>
                <w:rFonts w:ascii="Calibri" w:eastAsia="Calibri" w:hAnsi="Calibri" w:cs="Calibri"/>
                <w:color w:val="FFFFFF" w:themeColor="background1"/>
                <w:sz w:val="20"/>
                <w:szCs w:val="20"/>
                <w:vertAlign w:val="superscript"/>
              </w:rPr>
              <w:t>1</w:t>
            </w:r>
            <w:proofErr w:type="gram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A6B6DF3" w14:textId="2398B3B9" w:rsidR="0EDB2EA1" w:rsidRDefault="0EDB2EA1" w:rsidP="0EDB2EA1">
            <w:pPr>
              <w:jc w:val="center"/>
            </w:pPr>
            <w:r w:rsidRPr="0EDB2EA1">
              <w:rPr>
                <w:rFonts w:ascii="Calibri" w:eastAsia="Calibri" w:hAnsi="Calibri" w:cs="Calibri"/>
                <w:color w:val="FFFFFF" w:themeColor="background1"/>
                <w:sz w:val="20"/>
                <w:szCs w:val="20"/>
              </w:rPr>
              <w:t>Contexto</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49019D4" w14:textId="282FF409" w:rsidR="0EDB2EA1" w:rsidRDefault="0EDB2EA1" w:rsidP="0EDB2EA1">
            <w:pPr>
              <w:jc w:val="center"/>
            </w:pPr>
            <w:r w:rsidRPr="0EDB2EA1">
              <w:rPr>
                <w:rFonts w:ascii="Calibri" w:eastAsia="Calibri" w:hAnsi="Calibri" w:cs="Calibri"/>
                <w:color w:val="FFFFFF" w:themeColor="background1"/>
                <w:sz w:val="20"/>
                <w:szCs w:val="20"/>
              </w:rPr>
              <w:t>Principais Causas</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15487F7" w14:textId="745C8833" w:rsidR="0EDB2EA1" w:rsidRDefault="0EDB2EA1" w:rsidP="0EDB2EA1">
            <w:pPr>
              <w:jc w:val="center"/>
            </w:pPr>
            <w:r w:rsidRPr="0EDB2EA1">
              <w:rPr>
                <w:rFonts w:ascii="Calibri" w:eastAsia="Calibri" w:hAnsi="Calibri" w:cs="Calibri"/>
                <w:color w:val="FFFFFF" w:themeColor="background1"/>
                <w:sz w:val="20"/>
                <w:szCs w:val="20"/>
              </w:rPr>
              <w:t>Indicadores</w:t>
            </w:r>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A6B7B92" w14:textId="07C8CF58" w:rsidR="0EDB2EA1" w:rsidRDefault="0EDB2EA1" w:rsidP="0EDB2EA1">
            <w:pPr>
              <w:jc w:val="center"/>
            </w:pPr>
            <w:r w:rsidRPr="0EDB2EA1">
              <w:rPr>
                <w:rFonts w:ascii="Calibri" w:eastAsia="Calibri" w:hAnsi="Calibri" w:cs="Calibri"/>
                <w:color w:val="FFFFFF" w:themeColor="background1"/>
                <w:sz w:val="20"/>
                <w:szCs w:val="20"/>
              </w:rPr>
              <w:t>Ações Mitigadoras</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2A82F50" w14:textId="0ED954AD" w:rsidR="0EDB2EA1" w:rsidRDefault="000E560B" w:rsidP="0EDB2EA1">
            <w:pPr>
              <w:jc w:val="center"/>
            </w:pPr>
            <w:r>
              <w:rPr>
                <w:rFonts w:ascii="Calibri" w:eastAsia="Calibri" w:hAnsi="Calibri" w:cs="Calibri"/>
                <w:color w:val="FFFFFF" w:themeColor="background1"/>
                <w:sz w:val="20"/>
                <w:szCs w:val="20"/>
              </w:rPr>
              <w:t xml:space="preserve">Incluso no </w:t>
            </w:r>
            <w:r w:rsidR="0EDB2EA1" w:rsidRPr="0EDB2EA1">
              <w:rPr>
                <w:rFonts w:ascii="Calibri" w:eastAsia="Calibri" w:hAnsi="Calibri" w:cs="Calibri"/>
                <w:color w:val="FFFFFF" w:themeColor="background1"/>
                <w:sz w:val="20"/>
                <w:szCs w:val="20"/>
              </w:rPr>
              <w:t>PND</w:t>
            </w:r>
          </w:p>
        </w:tc>
        <w:tc>
          <w:tcPr>
            <w:tcW w:w="18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4396C902" w14:textId="1175C6EF" w:rsidR="0EDB2EA1" w:rsidRDefault="0EDB2EA1" w:rsidP="0EDB2EA1">
            <w:pPr>
              <w:jc w:val="center"/>
            </w:pPr>
            <w:r w:rsidRPr="0EDB2EA1">
              <w:rPr>
                <w:rFonts w:ascii="Calibri" w:eastAsia="Calibri" w:hAnsi="Calibri" w:cs="Calibri"/>
                <w:color w:val="FFFFFF" w:themeColor="background1"/>
                <w:sz w:val="20"/>
                <w:szCs w:val="20"/>
              </w:rPr>
              <w:t>Modelo de Desestatização</w:t>
            </w:r>
          </w:p>
        </w:tc>
      </w:tr>
      <w:tr w:rsidR="0EDB2EA1" w14:paraId="68F7B704" w14:textId="77777777" w:rsidTr="0EDB2EA1">
        <w:trPr>
          <w:trHeight w:val="15"/>
        </w:trPr>
        <w:tc>
          <w:tcPr>
            <w:tcW w:w="14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AEDDFD6" w14:textId="688C7E80" w:rsidR="0EDB2EA1" w:rsidRDefault="0EDB2EA1">
            <w:r w:rsidRPr="0EDB2EA1">
              <w:rPr>
                <w:rFonts w:ascii="Calibri" w:eastAsia="Calibri" w:hAnsi="Calibri" w:cs="Calibri"/>
                <w:b/>
                <w:bCs/>
                <w:sz w:val="18"/>
                <w:szCs w:val="18"/>
              </w:rPr>
              <w:t>Correios</w:t>
            </w:r>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1F293BB" w14:textId="57D52EAA" w:rsidR="0EDB2EA1" w:rsidRDefault="0EDB2EA1">
            <w:r w:rsidRPr="0EDB2EA1">
              <w:rPr>
                <w:rFonts w:ascii="Calibri" w:eastAsia="Calibri" w:hAnsi="Calibri" w:cs="Calibri"/>
                <w:sz w:val="18"/>
                <w:szCs w:val="18"/>
              </w:rPr>
              <w:t>Capacidade operacional e solvência</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A9CF0E4" w14:textId="497D65CB" w:rsidR="0EDB2EA1" w:rsidRDefault="0EDB2EA1">
            <w:r w:rsidRPr="0EDB2EA1">
              <w:rPr>
                <w:rFonts w:ascii="Calibri" w:eastAsia="Calibri" w:hAnsi="Calibri" w:cs="Calibri"/>
                <w:sz w:val="18"/>
                <w:szCs w:val="18"/>
              </w:rPr>
              <w:t xml:space="preserve">Queda de receita/demanda, inserção mercadológica e </w:t>
            </w:r>
            <w:proofErr w:type="gramStart"/>
            <w:r w:rsidRPr="0EDB2EA1">
              <w:rPr>
                <w:rFonts w:ascii="Calibri" w:eastAsia="Calibri" w:hAnsi="Calibri" w:cs="Calibri"/>
                <w:sz w:val="18"/>
                <w:szCs w:val="18"/>
              </w:rPr>
              <w:t>estratégica</w:t>
            </w:r>
            <w:proofErr w:type="gramEnd"/>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E95D81B" w14:textId="33871DFA" w:rsidR="0EDB2EA1" w:rsidRDefault="0EDB2EA1">
            <w:r w:rsidRPr="0EDB2EA1">
              <w:rPr>
                <w:rFonts w:ascii="Calibri" w:eastAsia="Calibri" w:hAnsi="Calibri" w:cs="Calibri"/>
                <w:sz w:val="18"/>
                <w:szCs w:val="18"/>
              </w:rPr>
              <w:t xml:space="preserve">Receita Líquida, resultado operacional, resultado do exercício, despesas operacionais, obrigações </w:t>
            </w:r>
            <w:proofErr w:type="gramStart"/>
            <w:r w:rsidRPr="0EDB2EA1">
              <w:rPr>
                <w:rFonts w:ascii="Calibri" w:eastAsia="Calibri" w:hAnsi="Calibri" w:cs="Calibri"/>
                <w:sz w:val="18"/>
                <w:szCs w:val="18"/>
              </w:rPr>
              <w:t>atuariais</w:t>
            </w:r>
            <w:proofErr w:type="gram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1342E33" w14:textId="577A1B18" w:rsidR="0EDB2EA1" w:rsidRDefault="0EDB2EA1">
            <w:r w:rsidRPr="0EDB2EA1">
              <w:rPr>
                <w:rFonts w:ascii="Calibri" w:eastAsia="Calibri" w:hAnsi="Calibri" w:cs="Calibri"/>
                <w:sz w:val="18"/>
                <w:szCs w:val="18"/>
              </w:rPr>
              <w:t xml:space="preserve">Plano Estratégico 2017-2022: Melhoria da gestão, redução de custos, desligamento voluntário, melhoria de processos, racionalização da estrutura, inclusão </w:t>
            </w:r>
            <w:proofErr w:type="gramStart"/>
            <w:r w:rsidRPr="0EDB2EA1">
              <w:rPr>
                <w:rFonts w:ascii="Calibri" w:eastAsia="Calibri" w:hAnsi="Calibri" w:cs="Calibri"/>
                <w:sz w:val="18"/>
                <w:szCs w:val="18"/>
              </w:rPr>
              <w:t>PPI</w:t>
            </w:r>
            <w:proofErr w:type="gramEnd"/>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C341809" w14:textId="3E68EE97" w:rsidR="0EDB2EA1" w:rsidRDefault="0EDB2EA1">
            <w:r w:rsidRPr="0EDB2EA1">
              <w:rPr>
                <w:rFonts w:ascii="Calibri" w:eastAsia="Calibri" w:hAnsi="Calibri" w:cs="Calibri"/>
                <w:sz w:val="18"/>
                <w:szCs w:val="18"/>
              </w:rPr>
              <w:t>Não</w:t>
            </w:r>
          </w:p>
        </w:tc>
        <w:tc>
          <w:tcPr>
            <w:tcW w:w="18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C0DD8E" w14:textId="03A922EC" w:rsidR="0EDB2EA1" w:rsidRDefault="0EDB2EA1">
            <w:r w:rsidRPr="0EDB2EA1">
              <w:rPr>
                <w:rFonts w:ascii="Calibri" w:eastAsia="Calibri" w:hAnsi="Calibri" w:cs="Calibri"/>
                <w:sz w:val="18"/>
                <w:szCs w:val="18"/>
              </w:rPr>
              <w:t>Resolução CPPI nº 68/2019 - “estudos”.  Decreto nº 10.066/2019 – acompanhamento. Projeto de Lei nº 591/2021 (em tramitação no Congresso Nacional) – permite execução dos serviços postais pela iniciativa privada</w:t>
            </w:r>
          </w:p>
        </w:tc>
      </w:tr>
      <w:tr w:rsidR="0EDB2EA1" w14:paraId="797F5525" w14:textId="77777777" w:rsidTr="0EDB2EA1">
        <w:trPr>
          <w:trHeight w:val="15"/>
        </w:trPr>
        <w:tc>
          <w:tcPr>
            <w:tcW w:w="14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1EA298" w14:textId="32F470E9" w:rsidR="0EDB2EA1" w:rsidRDefault="0EDB2EA1">
            <w:proofErr w:type="spellStart"/>
            <w:r w:rsidRPr="0EDB2EA1">
              <w:rPr>
                <w:rFonts w:ascii="Calibri" w:eastAsia="Calibri" w:hAnsi="Calibri" w:cs="Calibri"/>
                <w:b/>
                <w:bCs/>
                <w:sz w:val="18"/>
                <w:szCs w:val="18"/>
              </w:rPr>
              <w:t>Emgea</w:t>
            </w:r>
            <w:proofErr w:type="spell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DA94B4" w14:textId="1E34F41B" w:rsidR="0EDB2EA1" w:rsidRDefault="0EDB2EA1">
            <w:r w:rsidRPr="0EDB2EA1">
              <w:rPr>
                <w:rFonts w:ascii="Calibri" w:eastAsia="Calibri" w:hAnsi="Calibri" w:cs="Calibri"/>
                <w:sz w:val="18"/>
                <w:szCs w:val="18"/>
              </w:rPr>
              <w:t>Fluxo de caixa</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4537DB" w14:textId="406FA080" w:rsidR="0EDB2EA1" w:rsidRDefault="0EDB2EA1">
            <w:r w:rsidRPr="0EDB2EA1">
              <w:rPr>
                <w:rFonts w:ascii="Calibri" w:eastAsia="Calibri" w:hAnsi="Calibri" w:cs="Calibri"/>
                <w:sz w:val="18"/>
                <w:szCs w:val="18"/>
              </w:rPr>
              <w:t>Dificuldade de realização de ativos (novação de créditos FCVS) para pagamento de obrigações (principalmente com o FGTS)</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8F3DFD" w14:textId="037D9A06" w:rsidR="0EDB2EA1" w:rsidRDefault="0EDB2EA1">
            <w:r w:rsidRPr="0EDB2EA1">
              <w:rPr>
                <w:rFonts w:ascii="Calibri" w:eastAsia="Calibri" w:hAnsi="Calibri" w:cs="Calibri"/>
                <w:sz w:val="18"/>
                <w:szCs w:val="18"/>
              </w:rPr>
              <w:t xml:space="preserve">Fluxo de caixa, resultado operacional, resultado do </w:t>
            </w:r>
            <w:proofErr w:type="gramStart"/>
            <w:r w:rsidRPr="0EDB2EA1">
              <w:rPr>
                <w:rFonts w:ascii="Calibri" w:eastAsia="Calibri" w:hAnsi="Calibri" w:cs="Calibri"/>
                <w:sz w:val="18"/>
                <w:szCs w:val="18"/>
              </w:rPr>
              <w:t>exercício</w:t>
            </w:r>
            <w:proofErr w:type="gram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FD812F" w14:textId="54CFF47E" w:rsidR="0EDB2EA1" w:rsidRDefault="0EDB2EA1">
            <w:r w:rsidRPr="0EDB2EA1">
              <w:rPr>
                <w:rFonts w:ascii="Calibri" w:eastAsia="Calibri" w:hAnsi="Calibri" w:cs="Calibri"/>
                <w:sz w:val="18"/>
                <w:szCs w:val="18"/>
              </w:rPr>
              <w:t>Renegociação de dívidas para compatibilização de fluxos</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C68EF7" w14:textId="39D9002A" w:rsidR="0EDB2EA1" w:rsidRDefault="0EDB2EA1">
            <w:r w:rsidRPr="0EDB2EA1">
              <w:rPr>
                <w:rFonts w:ascii="Calibri" w:eastAsia="Calibri" w:hAnsi="Calibri" w:cs="Calibri"/>
                <w:sz w:val="18"/>
                <w:szCs w:val="18"/>
              </w:rPr>
              <w:t>Sim</w:t>
            </w:r>
          </w:p>
        </w:tc>
        <w:tc>
          <w:tcPr>
            <w:tcW w:w="18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76432D" w14:textId="40AA57C4" w:rsidR="0EDB2EA1" w:rsidRDefault="0EDB2EA1">
            <w:r w:rsidRPr="0EDB2EA1">
              <w:rPr>
                <w:rFonts w:ascii="Calibri" w:eastAsia="Calibri" w:hAnsi="Calibri" w:cs="Calibri"/>
                <w:sz w:val="18"/>
                <w:szCs w:val="18"/>
              </w:rPr>
              <w:t>Ainda não definido. Inclusão no PND (Res. CPPI nº 65/2019 e Decreto nº 10.008/2019</w:t>
            </w:r>
            <w:proofErr w:type="gramStart"/>
            <w:r w:rsidRPr="0EDB2EA1">
              <w:rPr>
                <w:rFonts w:ascii="Calibri" w:eastAsia="Calibri" w:hAnsi="Calibri" w:cs="Calibri"/>
                <w:sz w:val="18"/>
                <w:szCs w:val="18"/>
              </w:rPr>
              <w:t>)</w:t>
            </w:r>
            <w:proofErr w:type="gramEnd"/>
          </w:p>
        </w:tc>
      </w:tr>
      <w:tr w:rsidR="0EDB2EA1" w14:paraId="0371DB26" w14:textId="77777777" w:rsidTr="0EDB2EA1">
        <w:trPr>
          <w:trHeight w:val="15"/>
        </w:trPr>
        <w:tc>
          <w:tcPr>
            <w:tcW w:w="14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BA9F32E" w14:textId="08A0499F" w:rsidR="0EDB2EA1" w:rsidRDefault="0EDB2EA1">
            <w:r w:rsidRPr="0EDB2EA1">
              <w:rPr>
                <w:rFonts w:ascii="Calibri" w:eastAsia="Calibri" w:hAnsi="Calibri" w:cs="Calibri"/>
                <w:b/>
                <w:bCs/>
                <w:sz w:val="18"/>
                <w:szCs w:val="18"/>
              </w:rPr>
              <w:t>Casa da Moeda</w:t>
            </w:r>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45672BF" w14:textId="0B84C446" w:rsidR="0EDB2EA1" w:rsidRDefault="0EDB2EA1">
            <w:r w:rsidRPr="0EDB2EA1">
              <w:rPr>
                <w:rFonts w:ascii="Calibri" w:eastAsia="Calibri" w:hAnsi="Calibri" w:cs="Calibri"/>
                <w:sz w:val="18"/>
                <w:szCs w:val="18"/>
              </w:rPr>
              <w:t>Capacidade operacional e solvência</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3DE23A0" w14:textId="465D6D3A" w:rsidR="0EDB2EA1" w:rsidRDefault="0EDB2EA1">
            <w:r w:rsidRPr="0EDB2EA1">
              <w:rPr>
                <w:rFonts w:ascii="Calibri" w:eastAsia="Calibri" w:hAnsi="Calibri" w:cs="Calibri"/>
                <w:sz w:val="18"/>
                <w:szCs w:val="18"/>
              </w:rPr>
              <w:t xml:space="preserve">Queda de receita, inserção mercadológica e </w:t>
            </w:r>
            <w:proofErr w:type="gramStart"/>
            <w:r w:rsidRPr="0EDB2EA1">
              <w:rPr>
                <w:rFonts w:ascii="Calibri" w:eastAsia="Calibri" w:hAnsi="Calibri" w:cs="Calibri"/>
                <w:sz w:val="18"/>
                <w:szCs w:val="18"/>
              </w:rPr>
              <w:lastRenderedPageBreak/>
              <w:t>estratégica</w:t>
            </w:r>
            <w:proofErr w:type="gramEnd"/>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6B04B48" w14:textId="047EBAF1" w:rsidR="0EDB2EA1" w:rsidRDefault="0EDB2EA1">
            <w:r w:rsidRPr="0EDB2EA1">
              <w:rPr>
                <w:rFonts w:ascii="Calibri" w:eastAsia="Calibri" w:hAnsi="Calibri" w:cs="Calibri"/>
                <w:sz w:val="18"/>
                <w:szCs w:val="18"/>
              </w:rPr>
              <w:lastRenderedPageBreak/>
              <w:t xml:space="preserve">Receita líquida, resultado operacional e </w:t>
            </w:r>
            <w:r w:rsidRPr="0EDB2EA1">
              <w:rPr>
                <w:rFonts w:ascii="Calibri" w:eastAsia="Calibri" w:hAnsi="Calibri" w:cs="Calibri"/>
                <w:sz w:val="18"/>
                <w:szCs w:val="18"/>
              </w:rPr>
              <w:lastRenderedPageBreak/>
              <w:t xml:space="preserve">resultado do </w:t>
            </w:r>
            <w:proofErr w:type="gramStart"/>
            <w:r w:rsidRPr="0EDB2EA1">
              <w:rPr>
                <w:rFonts w:ascii="Calibri" w:eastAsia="Calibri" w:hAnsi="Calibri" w:cs="Calibri"/>
                <w:sz w:val="18"/>
                <w:szCs w:val="18"/>
              </w:rPr>
              <w:t>exercício</w:t>
            </w:r>
            <w:proofErr w:type="gram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949E073" w14:textId="7F1FA699" w:rsidR="0EDB2EA1" w:rsidRDefault="0EDB2EA1">
            <w:r w:rsidRPr="0EDB2EA1">
              <w:rPr>
                <w:rFonts w:ascii="Calibri" w:eastAsia="Calibri" w:hAnsi="Calibri" w:cs="Calibri"/>
                <w:sz w:val="18"/>
                <w:szCs w:val="18"/>
              </w:rPr>
              <w:lastRenderedPageBreak/>
              <w:t xml:space="preserve">Redução de despesas, desligamento voluntário, </w:t>
            </w:r>
            <w:r w:rsidRPr="0EDB2EA1">
              <w:rPr>
                <w:rFonts w:ascii="Calibri" w:eastAsia="Calibri" w:hAnsi="Calibri" w:cs="Calibri"/>
                <w:sz w:val="18"/>
                <w:szCs w:val="18"/>
              </w:rPr>
              <w:lastRenderedPageBreak/>
              <w:t xml:space="preserve">inclusão </w:t>
            </w:r>
            <w:proofErr w:type="gramStart"/>
            <w:r w:rsidRPr="0EDB2EA1">
              <w:rPr>
                <w:rFonts w:ascii="Calibri" w:eastAsia="Calibri" w:hAnsi="Calibri" w:cs="Calibri"/>
                <w:sz w:val="18"/>
                <w:szCs w:val="18"/>
              </w:rPr>
              <w:t>PND</w:t>
            </w:r>
            <w:proofErr w:type="gramEnd"/>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C9DF701" w14:textId="7B442D3B" w:rsidR="0EDB2EA1" w:rsidRDefault="0EDB2EA1">
            <w:r w:rsidRPr="0EDB2EA1">
              <w:rPr>
                <w:rFonts w:ascii="Calibri" w:eastAsia="Calibri" w:hAnsi="Calibri" w:cs="Calibri"/>
                <w:sz w:val="18"/>
                <w:szCs w:val="18"/>
              </w:rPr>
              <w:lastRenderedPageBreak/>
              <w:t>Sim</w:t>
            </w:r>
          </w:p>
        </w:tc>
        <w:tc>
          <w:tcPr>
            <w:tcW w:w="18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5B5C390" w14:textId="4B92ABFF" w:rsidR="0EDB2EA1" w:rsidRDefault="0EDB2EA1">
            <w:r w:rsidRPr="0EDB2EA1">
              <w:rPr>
                <w:rFonts w:ascii="Calibri" w:eastAsia="Calibri" w:hAnsi="Calibri" w:cs="Calibri"/>
                <w:sz w:val="18"/>
                <w:szCs w:val="18"/>
              </w:rPr>
              <w:t xml:space="preserve">Ainda não definido. Resolução CPPI nº 17/2017 e Decreto nº 10.054/2019. MP nº </w:t>
            </w:r>
            <w:r w:rsidRPr="0EDB2EA1">
              <w:rPr>
                <w:rFonts w:ascii="Calibri" w:eastAsia="Calibri" w:hAnsi="Calibri" w:cs="Calibri"/>
                <w:sz w:val="18"/>
                <w:szCs w:val="18"/>
              </w:rPr>
              <w:lastRenderedPageBreak/>
              <w:t>902/2019 limita exclusividade da Casa da Moeda até 31/12/2023</w:t>
            </w:r>
          </w:p>
        </w:tc>
      </w:tr>
      <w:tr w:rsidR="0EDB2EA1" w14:paraId="1D9614CF" w14:textId="77777777" w:rsidTr="0EDB2EA1">
        <w:trPr>
          <w:trHeight w:val="15"/>
        </w:trPr>
        <w:tc>
          <w:tcPr>
            <w:tcW w:w="14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EC669F" w14:textId="21AE40AE" w:rsidR="0EDB2EA1" w:rsidRDefault="0EDB2EA1">
            <w:r w:rsidRPr="0EDB2EA1">
              <w:rPr>
                <w:rFonts w:ascii="Calibri" w:eastAsia="Calibri" w:hAnsi="Calibri" w:cs="Calibri"/>
                <w:b/>
                <w:bCs/>
                <w:sz w:val="18"/>
                <w:szCs w:val="18"/>
              </w:rPr>
              <w:lastRenderedPageBreak/>
              <w:t xml:space="preserve">Companhias Docas (CDC, CDP, </w:t>
            </w:r>
            <w:proofErr w:type="spellStart"/>
            <w:r w:rsidRPr="0EDB2EA1">
              <w:rPr>
                <w:rFonts w:ascii="Calibri" w:eastAsia="Calibri" w:hAnsi="Calibri" w:cs="Calibri"/>
                <w:b/>
                <w:bCs/>
                <w:sz w:val="18"/>
                <w:szCs w:val="18"/>
              </w:rPr>
              <w:t>Codeba</w:t>
            </w:r>
            <w:proofErr w:type="spellEnd"/>
            <w:r w:rsidRPr="0EDB2EA1">
              <w:rPr>
                <w:rFonts w:ascii="Calibri" w:eastAsia="Calibri" w:hAnsi="Calibri" w:cs="Calibri"/>
                <w:b/>
                <w:bCs/>
                <w:sz w:val="18"/>
                <w:szCs w:val="18"/>
              </w:rPr>
              <w:t xml:space="preserve">, CDRJ, </w:t>
            </w:r>
            <w:proofErr w:type="spellStart"/>
            <w:r w:rsidRPr="0EDB2EA1">
              <w:rPr>
                <w:rFonts w:ascii="Calibri" w:eastAsia="Calibri" w:hAnsi="Calibri" w:cs="Calibri"/>
                <w:b/>
                <w:bCs/>
                <w:sz w:val="18"/>
                <w:szCs w:val="18"/>
              </w:rPr>
              <w:t>Codesa</w:t>
            </w:r>
            <w:proofErr w:type="spellEnd"/>
            <w:r w:rsidRPr="0EDB2EA1">
              <w:rPr>
                <w:rFonts w:ascii="Calibri" w:eastAsia="Calibri" w:hAnsi="Calibri" w:cs="Calibri"/>
                <w:b/>
                <w:bCs/>
                <w:sz w:val="18"/>
                <w:szCs w:val="18"/>
              </w:rPr>
              <w:t xml:space="preserve">, </w:t>
            </w:r>
            <w:proofErr w:type="spellStart"/>
            <w:r w:rsidRPr="0EDB2EA1">
              <w:rPr>
                <w:rFonts w:ascii="Calibri" w:eastAsia="Calibri" w:hAnsi="Calibri" w:cs="Calibri"/>
                <w:b/>
                <w:bCs/>
                <w:sz w:val="18"/>
                <w:szCs w:val="18"/>
              </w:rPr>
              <w:t>Codern</w:t>
            </w:r>
            <w:proofErr w:type="spellEnd"/>
            <w:r w:rsidRPr="0EDB2EA1">
              <w:rPr>
                <w:rFonts w:ascii="Calibri" w:eastAsia="Calibri" w:hAnsi="Calibri" w:cs="Calibri"/>
                <w:b/>
                <w:bCs/>
                <w:sz w:val="18"/>
                <w:szCs w:val="18"/>
              </w:rPr>
              <w:t>, SPA-Codesp</w:t>
            </w:r>
            <w:proofErr w:type="gramStart"/>
            <w:r w:rsidRPr="0EDB2EA1">
              <w:rPr>
                <w:rFonts w:ascii="Calibri" w:eastAsia="Calibri" w:hAnsi="Calibri" w:cs="Calibri"/>
                <w:b/>
                <w:bCs/>
                <w:sz w:val="18"/>
                <w:szCs w:val="18"/>
              </w:rPr>
              <w:t>)</w:t>
            </w:r>
            <w:proofErr w:type="gram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6FC16C" w14:textId="185FEE3F" w:rsidR="0EDB2EA1" w:rsidRDefault="0EDB2EA1">
            <w:r w:rsidRPr="0EDB2EA1">
              <w:rPr>
                <w:rFonts w:ascii="Calibri" w:eastAsia="Calibri" w:hAnsi="Calibri" w:cs="Calibri"/>
                <w:sz w:val="18"/>
                <w:szCs w:val="18"/>
              </w:rPr>
              <w:t>Fluxo de caixa</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621A37" w14:textId="21CE1561" w:rsidR="0EDB2EA1" w:rsidRDefault="0EDB2EA1">
            <w:r w:rsidRPr="0EDB2EA1">
              <w:rPr>
                <w:rFonts w:ascii="Calibri" w:eastAsia="Calibri" w:hAnsi="Calibri" w:cs="Calibri"/>
                <w:sz w:val="18"/>
                <w:szCs w:val="18"/>
              </w:rPr>
              <w:t>Passivos de previdência complementar</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6EF732" w14:textId="5DAFEEFA" w:rsidR="0EDB2EA1" w:rsidRDefault="0EDB2EA1">
            <w:r w:rsidRPr="0EDB2EA1">
              <w:rPr>
                <w:rFonts w:ascii="Calibri" w:eastAsia="Calibri" w:hAnsi="Calibri" w:cs="Calibri"/>
                <w:sz w:val="18"/>
                <w:szCs w:val="18"/>
              </w:rPr>
              <w:t xml:space="preserve">Resultado operacional, resultado do exercício, fluxo de caixa, obrigações </w:t>
            </w:r>
            <w:proofErr w:type="gramStart"/>
            <w:r w:rsidRPr="0EDB2EA1">
              <w:rPr>
                <w:rFonts w:ascii="Calibri" w:eastAsia="Calibri" w:hAnsi="Calibri" w:cs="Calibri"/>
                <w:sz w:val="18"/>
                <w:szCs w:val="18"/>
              </w:rPr>
              <w:t>atuariais</w:t>
            </w:r>
            <w:proofErr w:type="gram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206259" w14:textId="74FAA218" w:rsidR="0EDB2EA1" w:rsidRDefault="0EDB2EA1">
            <w:r w:rsidRPr="0EDB2EA1">
              <w:rPr>
                <w:rFonts w:ascii="Calibri" w:eastAsia="Calibri" w:hAnsi="Calibri" w:cs="Calibri"/>
                <w:sz w:val="18"/>
                <w:szCs w:val="18"/>
              </w:rPr>
              <w:t xml:space="preserve">Defesa judicial, monitoramento dos </w:t>
            </w:r>
            <w:proofErr w:type="gramStart"/>
            <w:r w:rsidRPr="0EDB2EA1">
              <w:rPr>
                <w:rFonts w:ascii="Calibri" w:eastAsia="Calibri" w:hAnsi="Calibri" w:cs="Calibri"/>
                <w:sz w:val="18"/>
                <w:szCs w:val="18"/>
              </w:rPr>
              <w:t>riscos</w:t>
            </w:r>
            <w:proofErr w:type="gramEnd"/>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817E41" w14:textId="3E3ACA45" w:rsidR="0EDB2EA1" w:rsidRDefault="0EDB2EA1">
            <w:r w:rsidRPr="0EDB2EA1">
              <w:rPr>
                <w:rFonts w:ascii="Calibri" w:eastAsia="Calibri" w:hAnsi="Calibri" w:cs="Calibri"/>
                <w:sz w:val="18"/>
                <w:szCs w:val="18"/>
              </w:rPr>
              <w:t xml:space="preserve">Sim </w:t>
            </w:r>
            <w:r w:rsidR="00B940E5">
              <w:rPr>
                <w:rFonts w:ascii="Calibri" w:eastAsia="Calibri" w:hAnsi="Calibri" w:cs="Calibri"/>
                <w:sz w:val="18"/>
                <w:szCs w:val="18"/>
              </w:rPr>
              <w:t xml:space="preserve">para a </w:t>
            </w:r>
            <w:proofErr w:type="spellStart"/>
            <w:r w:rsidRPr="0EDB2EA1">
              <w:rPr>
                <w:rFonts w:ascii="Calibri" w:eastAsia="Calibri" w:hAnsi="Calibri" w:cs="Calibri"/>
                <w:sz w:val="18"/>
                <w:szCs w:val="18"/>
              </w:rPr>
              <w:t>Codesa</w:t>
            </w:r>
            <w:proofErr w:type="spellEnd"/>
            <w:r w:rsidRPr="0EDB2EA1">
              <w:rPr>
                <w:rFonts w:ascii="Calibri" w:eastAsia="Calibri" w:hAnsi="Calibri" w:cs="Calibri"/>
                <w:sz w:val="18"/>
                <w:szCs w:val="18"/>
              </w:rPr>
              <w:t xml:space="preserve"> e </w:t>
            </w:r>
            <w:r w:rsidR="00B940E5">
              <w:rPr>
                <w:rFonts w:ascii="Calibri" w:eastAsia="Calibri" w:hAnsi="Calibri" w:cs="Calibri"/>
                <w:sz w:val="18"/>
                <w:szCs w:val="18"/>
              </w:rPr>
              <w:t>a</w:t>
            </w:r>
            <w:r w:rsidRPr="0EDB2EA1">
              <w:rPr>
                <w:rFonts w:ascii="Calibri" w:eastAsia="Calibri" w:hAnsi="Calibri" w:cs="Calibri"/>
                <w:sz w:val="18"/>
                <w:szCs w:val="18"/>
              </w:rPr>
              <w:t xml:space="preserve"> Codesp e não </w:t>
            </w:r>
            <w:r w:rsidR="00B940E5">
              <w:rPr>
                <w:rFonts w:ascii="Calibri" w:eastAsia="Calibri" w:hAnsi="Calibri" w:cs="Calibri"/>
                <w:sz w:val="18"/>
                <w:szCs w:val="18"/>
              </w:rPr>
              <w:t>para as</w:t>
            </w:r>
            <w:r w:rsidRPr="0EDB2EA1">
              <w:rPr>
                <w:rFonts w:ascii="Calibri" w:eastAsia="Calibri" w:hAnsi="Calibri" w:cs="Calibri"/>
                <w:sz w:val="18"/>
                <w:szCs w:val="18"/>
              </w:rPr>
              <w:t xml:space="preserve"> demais</w:t>
            </w:r>
          </w:p>
        </w:tc>
        <w:tc>
          <w:tcPr>
            <w:tcW w:w="18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DE9302" w14:textId="316095DE" w:rsidR="0EDB2EA1" w:rsidRDefault="0EDB2EA1">
            <w:proofErr w:type="spellStart"/>
            <w:r w:rsidRPr="0EDB2EA1">
              <w:rPr>
                <w:rFonts w:ascii="Calibri" w:eastAsia="Calibri" w:hAnsi="Calibri" w:cs="Calibri"/>
                <w:sz w:val="18"/>
                <w:szCs w:val="18"/>
              </w:rPr>
              <w:t>Codesa</w:t>
            </w:r>
            <w:proofErr w:type="spellEnd"/>
            <w:r w:rsidRPr="0EDB2EA1">
              <w:rPr>
                <w:rFonts w:ascii="Calibri" w:eastAsia="Calibri" w:hAnsi="Calibri" w:cs="Calibri"/>
                <w:sz w:val="18"/>
                <w:szCs w:val="18"/>
              </w:rPr>
              <w:t xml:space="preserve"> e Codesp – modelo não definido. Resolução CPPI nº 14/2017 e Decreto nº 9.852/2019 e CPPI nº 69/2019 e Decreto nº 10.138/2019, </w:t>
            </w:r>
            <w:proofErr w:type="gramStart"/>
            <w:r w:rsidRPr="0EDB2EA1">
              <w:rPr>
                <w:rFonts w:ascii="Calibri" w:eastAsia="Calibri" w:hAnsi="Calibri" w:cs="Calibri"/>
                <w:sz w:val="18"/>
                <w:szCs w:val="18"/>
              </w:rPr>
              <w:t>respectivamente</w:t>
            </w:r>
            <w:proofErr w:type="gramEnd"/>
          </w:p>
        </w:tc>
      </w:tr>
      <w:tr w:rsidR="0EDB2EA1" w14:paraId="5E9BB381" w14:textId="77777777" w:rsidTr="0EDB2EA1">
        <w:trPr>
          <w:trHeight w:val="15"/>
        </w:trPr>
        <w:tc>
          <w:tcPr>
            <w:tcW w:w="14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4A3DAB" w14:textId="5784BB35" w:rsidR="0EDB2EA1" w:rsidRDefault="0EDB2EA1">
            <w:r w:rsidRPr="0EDB2EA1">
              <w:rPr>
                <w:rFonts w:ascii="Calibri" w:eastAsia="Calibri" w:hAnsi="Calibri" w:cs="Calibri"/>
                <w:b/>
                <w:bCs/>
                <w:sz w:val="18"/>
                <w:szCs w:val="18"/>
              </w:rPr>
              <w:t>Infraero</w:t>
            </w:r>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D135BC" w14:textId="00B5A3D9" w:rsidR="0EDB2EA1" w:rsidRDefault="0EDB2EA1">
            <w:r w:rsidRPr="0EDB2EA1">
              <w:rPr>
                <w:rFonts w:ascii="Calibri" w:eastAsia="Calibri" w:hAnsi="Calibri" w:cs="Calibri"/>
                <w:sz w:val="18"/>
                <w:szCs w:val="18"/>
              </w:rPr>
              <w:t>Capacidade operacional e solvência</w:t>
            </w:r>
          </w:p>
        </w:tc>
        <w:tc>
          <w:tcPr>
            <w:tcW w:w="15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ABD609" w14:textId="3064033A" w:rsidR="0EDB2EA1" w:rsidRDefault="0EDB2EA1">
            <w:r w:rsidRPr="0EDB2EA1">
              <w:rPr>
                <w:rFonts w:ascii="Calibri" w:eastAsia="Calibri" w:hAnsi="Calibri" w:cs="Calibri"/>
                <w:sz w:val="18"/>
                <w:szCs w:val="18"/>
              </w:rPr>
              <w:t>Queda de receita inserção estratégica insatisfatória necessidade de aportes para inversões financeiras</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794BDB" w14:textId="2842F37A" w:rsidR="0EDB2EA1" w:rsidRDefault="0EDB2EA1">
            <w:r w:rsidRPr="0EDB2EA1">
              <w:rPr>
                <w:rFonts w:ascii="Calibri" w:eastAsia="Calibri" w:hAnsi="Calibri" w:cs="Calibri"/>
                <w:sz w:val="18"/>
                <w:szCs w:val="18"/>
              </w:rPr>
              <w:t xml:space="preserve">Receita Líquida, resultado operacional, resultado do exercício, inversões financeiras, retorno de </w:t>
            </w:r>
            <w:proofErr w:type="gramStart"/>
            <w:r w:rsidRPr="0EDB2EA1">
              <w:rPr>
                <w:rFonts w:ascii="Calibri" w:eastAsia="Calibri" w:hAnsi="Calibri" w:cs="Calibri"/>
                <w:sz w:val="18"/>
                <w:szCs w:val="18"/>
              </w:rPr>
              <w:t>participações</w:t>
            </w:r>
            <w:proofErr w:type="gramEnd"/>
          </w:p>
        </w:tc>
        <w:tc>
          <w:tcPr>
            <w:tcW w:w="14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1F231E" w14:textId="7543760D" w:rsidR="0EDB2EA1" w:rsidRDefault="0EDB2EA1">
            <w:r w:rsidRPr="0EDB2EA1">
              <w:rPr>
                <w:rFonts w:ascii="Calibri" w:eastAsia="Calibri" w:hAnsi="Calibri" w:cs="Calibri"/>
                <w:sz w:val="18"/>
                <w:szCs w:val="18"/>
              </w:rPr>
              <w:t xml:space="preserve">Revisão estratégica, redução de </w:t>
            </w:r>
            <w:proofErr w:type="gramStart"/>
            <w:r w:rsidRPr="0EDB2EA1">
              <w:rPr>
                <w:rFonts w:ascii="Calibri" w:eastAsia="Calibri" w:hAnsi="Calibri" w:cs="Calibri"/>
                <w:sz w:val="18"/>
                <w:szCs w:val="18"/>
              </w:rPr>
              <w:t>despesas</w:t>
            </w:r>
            <w:proofErr w:type="gramEnd"/>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64BDCB" w14:textId="5FD014A9" w:rsidR="0EDB2EA1" w:rsidRDefault="0EDB2EA1">
            <w:r w:rsidRPr="0EDB2EA1">
              <w:rPr>
                <w:rFonts w:ascii="Calibri" w:eastAsia="Calibri" w:hAnsi="Calibri" w:cs="Calibri"/>
                <w:sz w:val="18"/>
                <w:szCs w:val="18"/>
              </w:rPr>
              <w:t>Sim</w:t>
            </w:r>
          </w:p>
        </w:tc>
        <w:tc>
          <w:tcPr>
            <w:tcW w:w="18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0ABA97" w14:textId="40244974" w:rsidR="0EDB2EA1" w:rsidRDefault="0EDB2EA1">
            <w:r w:rsidRPr="0EDB2EA1">
              <w:rPr>
                <w:rFonts w:ascii="Calibri" w:eastAsia="Calibri" w:hAnsi="Calibri" w:cs="Calibri"/>
                <w:sz w:val="18"/>
                <w:szCs w:val="18"/>
              </w:rPr>
              <w:t>Implantada a concessão dos principais aeroportos. Participação minoritária em consórcios</w:t>
            </w:r>
          </w:p>
        </w:tc>
      </w:tr>
      <w:tr w:rsidR="0EDB2EA1" w14:paraId="2A96F3D3" w14:textId="77777777" w:rsidTr="0EDB2EA1">
        <w:trPr>
          <w:trHeight w:val="15"/>
        </w:trPr>
        <w:tc>
          <w:tcPr>
            <w:tcW w:w="9915" w:type="dxa"/>
            <w:gridSpan w:val="7"/>
            <w:tcBorders>
              <w:top w:val="single" w:sz="8" w:space="0" w:color="BFBFBF" w:themeColor="background1" w:themeShade="BF"/>
              <w:left w:val="nil"/>
              <w:bottom w:val="nil"/>
              <w:right w:val="nil"/>
            </w:tcBorders>
          </w:tcPr>
          <w:p w14:paraId="149C2605" w14:textId="7AD9D5F9" w:rsidR="0EDB2EA1" w:rsidRDefault="0EDB2EA1">
            <w:r w:rsidRPr="0EDB2EA1">
              <w:rPr>
                <w:rFonts w:ascii="Calibri" w:eastAsia="Calibri" w:hAnsi="Calibri" w:cs="Calibri"/>
                <w:b/>
                <w:bCs/>
                <w:i/>
                <w:iCs/>
                <w:sz w:val="16"/>
                <w:szCs w:val="16"/>
              </w:rPr>
              <w:t>Fonte e elaboração</w:t>
            </w:r>
            <w:r w:rsidRPr="0EDB2EA1">
              <w:rPr>
                <w:rFonts w:ascii="Calibri" w:eastAsia="Calibri" w:hAnsi="Calibri" w:cs="Calibri"/>
                <w:i/>
                <w:iCs/>
                <w:sz w:val="16"/>
                <w:szCs w:val="16"/>
              </w:rPr>
              <w:t>: STN/ME.</w:t>
            </w:r>
          </w:p>
        </w:tc>
      </w:tr>
    </w:tbl>
    <w:p w14:paraId="331FBBC0" w14:textId="4C3506BF" w:rsidR="00A21F07" w:rsidRDefault="523B8B10" w:rsidP="0EDB2EA1">
      <w:pPr>
        <w:spacing w:after="120" w:line="257" w:lineRule="exact"/>
        <w:jc w:val="both"/>
      </w:pPr>
      <w:r w:rsidRPr="0EDB2EA1">
        <w:rPr>
          <w:rFonts w:ascii="Calibri" w:eastAsia="Calibri" w:hAnsi="Calibri" w:cs="Calibri"/>
          <w:color w:val="00B050"/>
          <w:sz w:val="24"/>
          <w:szCs w:val="24"/>
        </w:rPr>
        <w:t xml:space="preserve"> </w:t>
      </w:r>
    </w:p>
    <w:p w14:paraId="54090025" w14:textId="51F8CDE4" w:rsidR="00A21F07" w:rsidRDefault="523B8B10" w:rsidP="00BD35DE">
      <w:pPr>
        <w:pStyle w:val="TabelaARF"/>
        <w:jc w:val="center"/>
      </w:pPr>
      <w:r w:rsidRPr="0EDB2EA1">
        <w:rPr>
          <w:rFonts w:eastAsia="Calibri"/>
        </w:rPr>
        <w:t>Tabela 67 - Estimativa de materialização do risco de aportes emergenciais</w:t>
      </w:r>
    </w:p>
    <w:tbl>
      <w:tblPr>
        <w:tblStyle w:val="Tabelacomgrade"/>
        <w:tblW w:w="9915" w:type="dxa"/>
        <w:tblLayout w:type="fixed"/>
        <w:tblLook w:val="06A0" w:firstRow="1" w:lastRow="0" w:firstColumn="1" w:lastColumn="0" w:noHBand="1" w:noVBand="1"/>
      </w:tblPr>
      <w:tblGrid>
        <w:gridCol w:w="4810"/>
        <w:gridCol w:w="1276"/>
        <w:gridCol w:w="1275"/>
        <w:gridCol w:w="1276"/>
        <w:gridCol w:w="1278"/>
      </w:tblGrid>
      <w:tr w:rsidR="0EDB2EA1" w14:paraId="2D621D0F" w14:textId="77777777" w:rsidTr="008A5918">
        <w:tc>
          <w:tcPr>
            <w:tcW w:w="481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69C49948" w14:textId="72761E5C" w:rsidR="0EDB2EA1" w:rsidRDefault="0EDB2EA1" w:rsidP="0EDB2EA1">
            <w:pPr>
              <w:jc w:val="center"/>
            </w:pPr>
            <w:r w:rsidRPr="0EDB2EA1">
              <w:rPr>
                <w:rFonts w:ascii="Calibri" w:eastAsia="Calibri" w:hAnsi="Calibri" w:cs="Calibri"/>
                <w:color w:val="FFFFFF" w:themeColor="background1"/>
                <w:sz w:val="20"/>
                <w:szCs w:val="20"/>
              </w:rPr>
              <w:t>Empresa</w:t>
            </w:r>
            <w:r w:rsidRPr="0EDB2EA1">
              <w:rPr>
                <w:rFonts w:ascii="Calibri" w:eastAsia="Calibri" w:hAnsi="Calibri" w:cs="Calibri"/>
                <w:color w:val="FFFFFF" w:themeColor="background1"/>
                <w:sz w:val="20"/>
                <w:szCs w:val="20"/>
                <w:vertAlign w:val="superscript"/>
              </w:rPr>
              <w:t xml:space="preserve"> </w:t>
            </w:r>
            <w:proofErr w:type="gramStart"/>
            <w:r w:rsidRPr="0EDB2EA1">
              <w:rPr>
                <w:rFonts w:ascii="Calibri" w:eastAsia="Calibri" w:hAnsi="Calibri" w:cs="Calibri"/>
                <w:color w:val="FFFFFF" w:themeColor="background1"/>
                <w:sz w:val="20"/>
                <w:szCs w:val="20"/>
                <w:vertAlign w:val="superscript"/>
              </w:rPr>
              <w:t>1</w:t>
            </w:r>
            <w:proofErr w:type="gramEnd"/>
          </w:p>
        </w:tc>
        <w:tc>
          <w:tcPr>
            <w:tcW w:w="5105"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6B694335" w14:textId="3C785B0F" w:rsidR="0EDB2EA1" w:rsidRDefault="0EDB2EA1" w:rsidP="0EDB2EA1">
            <w:pPr>
              <w:jc w:val="center"/>
            </w:pPr>
            <w:r w:rsidRPr="0EDB2EA1">
              <w:rPr>
                <w:rFonts w:ascii="Calibri" w:eastAsia="Calibri" w:hAnsi="Calibri" w:cs="Calibri"/>
                <w:color w:val="FFFFFF" w:themeColor="background1"/>
                <w:sz w:val="20"/>
                <w:szCs w:val="20"/>
              </w:rPr>
              <w:t>Materialização do Risco</w:t>
            </w:r>
          </w:p>
        </w:tc>
      </w:tr>
      <w:tr w:rsidR="0EDB2EA1" w14:paraId="7E736B05" w14:textId="77777777" w:rsidTr="00F72898">
        <w:tc>
          <w:tcPr>
            <w:tcW w:w="4810" w:type="dxa"/>
            <w:vMerge/>
            <w:tcBorders>
              <w:left w:val="single" w:sz="0" w:space="0" w:color="BFBFBF" w:themeColor="background1" w:themeShade="BF"/>
              <w:bottom w:val="single" w:sz="0" w:space="0" w:color="BFBFBF" w:themeColor="background1" w:themeShade="BF"/>
              <w:right w:val="single" w:sz="0" w:space="0" w:color="BFBFBF" w:themeColor="background1" w:themeShade="BF"/>
            </w:tcBorders>
            <w:vAlign w:val="center"/>
          </w:tcPr>
          <w:p w14:paraId="00B99A32" w14:textId="77777777" w:rsidR="00422732" w:rsidRDefault="00422732"/>
        </w:tc>
        <w:tc>
          <w:tcPr>
            <w:tcW w:w="1276"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4B73AF76" w14:textId="25E7FA4D" w:rsidR="0EDB2EA1" w:rsidRDefault="0EDB2EA1" w:rsidP="0EDB2EA1">
            <w:pPr>
              <w:jc w:val="center"/>
            </w:pPr>
            <w:r w:rsidRPr="0EDB2EA1">
              <w:rPr>
                <w:rFonts w:ascii="Calibri" w:eastAsia="Calibri" w:hAnsi="Calibri" w:cs="Calibri"/>
                <w:color w:val="FFFFFF" w:themeColor="background1"/>
                <w:sz w:val="20"/>
                <w:szCs w:val="20"/>
              </w:rPr>
              <w:t>2021</w:t>
            </w:r>
          </w:p>
        </w:tc>
        <w:tc>
          <w:tcPr>
            <w:tcW w:w="127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45DD236" w14:textId="41A2BE0A" w:rsidR="0EDB2EA1" w:rsidRDefault="0EDB2EA1" w:rsidP="0EDB2EA1">
            <w:pPr>
              <w:jc w:val="center"/>
            </w:pPr>
            <w:r w:rsidRPr="0EDB2EA1">
              <w:rPr>
                <w:rFonts w:ascii="Calibri" w:eastAsia="Calibri" w:hAnsi="Calibri" w:cs="Calibri"/>
                <w:color w:val="FFFFFF" w:themeColor="background1"/>
                <w:sz w:val="20"/>
                <w:szCs w:val="20"/>
              </w:rPr>
              <w:t>2022</w:t>
            </w:r>
          </w:p>
        </w:tc>
        <w:tc>
          <w:tcPr>
            <w:tcW w:w="12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25C9A7F" w14:textId="7FA17113" w:rsidR="0EDB2EA1" w:rsidRDefault="0EDB2EA1" w:rsidP="0EDB2EA1">
            <w:pPr>
              <w:jc w:val="center"/>
            </w:pPr>
            <w:r w:rsidRPr="0EDB2EA1">
              <w:rPr>
                <w:rFonts w:ascii="Calibri" w:eastAsia="Calibri" w:hAnsi="Calibri" w:cs="Calibri"/>
                <w:color w:val="FFFFFF" w:themeColor="background1"/>
                <w:sz w:val="20"/>
                <w:szCs w:val="20"/>
              </w:rPr>
              <w:t>2023</w:t>
            </w:r>
          </w:p>
        </w:tc>
        <w:tc>
          <w:tcPr>
            <w:tcW w:w="127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79083C4" w14:textId="2F75D333" w:rsidR="0EDB2EA1" w:rsidRDefault="0EDB2EA1" w:rsidP="0EDB2EA1">
            <w:pPr>
              <w:jc w:val="center"/>
            </w:pPr>
            <w:r w:rsidRPr="0EDB2EA1">
              <w:rPr>
                <w:rFonts w:ascii="Calibri" w:eastAsia="Calibri" w:hAnsi="Calibri" w:cs="Calibri"/>
                <w:color w:val="FFFFFF" w:themeColor="background1"/>
                <w:sz w:val="20"/>
                <w:szCs w:val="20"/>
              </w:rPr>
              <w:t>2024</w:t>
            </w:r>
          </w:p>
        </w:tc>
      </w:tr>
      <w:tr w:rsidR="0EDB2EA1" w14:paraId="2C9B71FF" w14:textId="77777777" w:rsidTr="008A5918">
        <w:tc>
          <w:tcPr>
            <w:tcW w:w="481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E308932" w14:textId="024D10CB" w:rsidR="0EDB2EA1" w:rsidRDefault="0EDB2EA1" w:rsidP="0EDB2EA1">
            <w:pPr>
              <w:jc w:val="both"/>
            </w:pPr>
            <w:r w:rsidRPr="0EDB2EA1">
              <w:rPr>
                <w:rFonts w:ascii="Calibri" w:eastAsia="Calibri" w:hAnsi="Calibri" w:cs="Calibri"/>
                <w:sz w:val="18"/>
                <w:szCs w:val="18"/>
              </w:rPr>
              <w:t>Correios</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AD833CC" w14:textId="15A50105" w:rsidR="0EDB2EA1" w:rsidRDefault="0EDB2EA1" w:rsidP="0EDB2EA1">
            <w:pPr>
              <w:jc w:val="center"/>
            </w:pPr>
            <w:r w:rsidRPr="0EDB2EA1">
              <w:rPr>
                <w:rFonts w:ascii="Calibri" w:eastAsia="Calibri" w:hAnsi="Calibri" w:cs="Calibri"/>
                <w:sz w:val="18"/>
                <w:szCs w:val="18"/>
              </w:rPr>
              <w:t>Possível</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54D5528" w14:textId="0FA67030" w:rsidR="0EDB2EA1" w:rsidRDefault="0EDB2EA1" w:rsidP="0EDB2EA1">
            <w:pPr>
              <w:jc w:val="center"/>
            </w:pPr>
            <w:r w:rsidRPr="0EDB2EA1">
              <w:rPr>
                <w:rFonts w:ascii="Calibri" w:eastAsia="Calibri" w:hAnsi="Calibri" w:cs="Calibri"/>
                <w:sz w:val="18"/>
                <w:szCs w:val="18"/>
              </w:rPr>
              <w:t>Possível</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1BB0487" w14:textId="07CA1F08" w:rsidR="0EDB2EA1" w:rsidRDefault="0EDB2EA1" w:rsidP="0EDB2EA1">
            <w:pPr>
              <w:jc w:val="center"/>
            </w:pPr>
            <w:r w:rsidRPr="0EDB2EA1">
              <w:rPr>
                <w:rFonts w:ascii="Calibri" w:eastAsia="Calibri" w:hAnsi="Calibri" w:cs="Calibri"/>
                <w:sz w:val="18"/>
                <w:szCs w:val="18"/>
              </w:rPr>
              <w:t>Possível</w:t>
            </w:r>
          </w:p>
        </w:tc>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8911FFC" w14:textId="1812C5BB" w:rsidR="0EDB2EA1" w:rsidRDefault="0EDB2EA1" w:rsidP="0EDB2EA1">
            <w:pPr>
              <w:jc w:val="center"/>
            </w:pPr>
            <w:r w:rsidRPr="0EDB2EA1">
              <w:rPr>
                <w:rFonts w:ascii="Calibri" w:eastAsia="Calibri" w:hAnsi="Calibri" w:cs="Calibri"/>
                <w:sz w:val="18"/>
                <w:szCs w:val="18"/>
              </w:rPr>
              <w:t>Possível</w:t>
            </w:r>
          </w:p>
        </w:tc>
      </w:tr>
      <w:tr w:rsidR="0EDB2EA1" w14:paraId="55FB770E" w14:textId="77777777" w:rsidTr="008A5918">
        <w:tc>
          <w:tcPr>
            <w:tcW w:w="48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228FCB" w14:textId="1761A19B" w:rsidR="0EDB2EA1" w:rsidRDefault="0EDB2EA1" w:rsidP="0EDB2EA1">
            <w:pPr>
              <w:jc w:val="both"/>
            </w:pPr>
            <w:proofErr w:type="spellStart"/>
            <w:r w:rsidRPr="0EDB2EA1">
              <w:rPr>
                <w:rFonts w:ascii="Calibri" w:eastAsia="Calibri" w:hAnsi="Calibri" w:cs="Calibri"/>
                <w:sz w:val="18"/>
                <w:szCs w:val="18"/>
              </w:rPr>
              <w:t>Emgea</w:t>
            </w:r>
            <w:proofErr w:type="spellEnd"/>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1D8843" w14:textId="3DD8349C" w:rsidR="0EDB2EA1" w:rsidRDefault="0EDB2EA1" w:rsidP="0EDB2EA1">
            <w:pPr>
              <w:jc w:val="center"/>
            </w:pPr>
            <w:r w:rsidRPr="0EDB2EA1">
              <w:rPr>
                <w:rFonts w:ascii="Calibri" w:eastAsia="Calibri" w:hAnsi="Calibri" w:cs="Calibri"/>
                <w:sz w:val="18"/>
                <w:szCs w:val="18"/>
              </w:rPr>
              <w:t>Remoto</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4036C9" w14:textId="3C0B44CB" w:rsidR="0EDB2EA1" w:rsidRDefault="0EDB2EA1" w:rsidP="0EDB2EA1">
            <w:pPr>
              <w:jc w:val="center"/>
            </w:pPr>
            <w:r w:rsidRPr="0EDB2EA1">
              <w:rPr>
                <w:rFonts w:ascii="Calibri" w:eastAsia="Calibri" w:hAnsi="Calibri" w:cs="Calibri"/>
                <w:sz w:val="18"/>
                <w:szCs w:val="18"/>
              </w:rPr>
              <w:t>Remoto</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049DEE" w14:textId="19E3AD4A" w:rsidR="0EDB2EA1" w:rsidRDefault="0EDB2EA1" w:rsidP="0EDB2EA1">
            <w:pPr>
              <w:jc w:val="center"/>
            </w:pPr>
            <w:r w:rsidRPr="0EDB2EA1">
              <w:rPr>
                <w:rFonts w:ascii="Calibri" w:eastAsia="Calibri" w:hAnsi="Calibri" w:cs="Calibri"/>
                <w:sz w:val="18"/>
                <w:szCs w:val="18"/>
              </w:rPr>
              <w:t>Remoto</w:t>
            </w:r>
          </w:p>
        </w:tc>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BCD700" w14:textId="5B6A31C3" w:rsidR="0EDB2EA1" w:rsidRDefault="0EDB2EA1" w:rsidP="0EDB2EA1">
            <w:pPr>
              <w:jc w:val="center"/>
            </w:pPr>
            <w:r w:rsidRPr="0EDB2EA1">
              <w:rPr>
                <w:rFonts w:ascii="Calibri" w:eastAsia="Calibri" w:hAnsi="Calibri" w:cs="Calibri"/>
                <w:sz w:val="18"/>
                <w:szCs w:val="18"/>
              </w:rPr>
              <w:t>Remoto</w:t>
            </w:r>
          </w:p>
        </w:tc>
      </w:tr>
      <w:tr w:rsidR="0EDB2EA1" w14:paraId="5D37EB48" w14:textId="77777777" w:rsidTr="008A5918">
        <w:tc>
          <w:tcPr>
            <w:tcW w:w="48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BB249AB" w14:textId="305FB8A0" w:rsidR="0EDB2EA1" w:rsidRDefault="0EDB2EA1" w:rsidP="0EDB2EA1">
            <w:pPr>
              <w:jc w:val="both"/>
            </w:pPr>
            <w:r w:rsidRPr="0EDB2EA1">
              <w:rPr>
                <w:rFonts w:ascii="Calibri" w:eastAsia="Calibri" w:hAnsi="Calibri" w:cs="Calibri"/>
                <w:sz w:val="18"/>
                <w:szCs w:val="18"/>
              </w:rPr>
              <w:t>Casa da Moeda</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6ADD532" w14:textId="7BA6326A" w:rsidR="0EDB2EA1" w:rsidRDefault="0EDB2EA1" w:rsidP="0EDB2EA1">
            <w:pPr>
              <w:jc w:val="center"/>
            </w:pPr>
            <w:r w:rsidRPr="0EDB2EA1">
              <w:rPr>
                <w:rFonts w:ascii="Calibri" w:eastAsia="Calibri" w:hAnsi="Calibri" w:cs="Calibri"/>
                <w:sz w:val="18"/>
                <w:szCs w:val="18"/>
              </w:rPr>
              <w:t>Possível</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9B5C3C9" w14:textId="1364C80D" w:rsidR="0EDB2EA1" w:rsidRDefault="0EDB2EA1" w:rsidP="0EDB2EA1">
            <w:pPr>
              <w:jc w:val="center"/>
            </w:pPr>
            <w:r w:rsidRPr="0EDB2EA1">
              <w:rPr>
                <w:rFonts w:ascii="Calibri" w:eastAsia="Calibri" w:hAnsi="Calibri" w:cs="Calibri"/>
                <w:sz w:val="18"/>
                <w:szCs w:val="18"/>
              </w:rPr>
              <w:t>Possível</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E5E7522" w14:textId="0835F355" w:rsidR="0EDB2EA1" w:rsidRDefault="0EDB2EA1" w:rsidP="0EDB2EA1">
            <w:pPr>
              <w:jc w:val="center"/>
            </w:pPr>
            <w:r w:rsidRPr="0EDB2EA1">
              <w:rPr>
                <w:rFonts w:ascii="Calibri" w:eastAsia="Calibri" w:hAnsi="Calibri" w:cs="Calibri"/>
                <w:sz w:val="18"/>
                <w:szCs w:val="18"/>
              </w:rPr>
              <w:t>Possível</w:t>
            </w:r>
          </w:p>
        </w:tc>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D24E41F" w14:textId="24452D44" w:rsidR="0EDB2EA1" w:rsidRDefault="0EDB2EA1" w:rsidP="0EDB2EA1">
            <w:pPr>
              <w:jc w:val="center"/>
            </w:pPr>
            <w:r w:rsidRPr="0EDB2EA1">
              <w:rPr>
                <w:rFonts w:ascii="Calibri" w:eastAsia="Calibri" w:hAnsi="Calibri" w:cs="Calibri"/>
                <w:sz w:val="18"/>
                <w:szCs w:val="18"/>
              </w:rPr>
              <w:t>Possível</w:t>
            </w:r>
          </w:p>
        </w:tc>
      </w:tr>
      <w:tr w:rsidR="0EDB2EA1" w14:paraId="1D0B7D2C" w14:textId="77777777" w:rsidTr="008A5918">
        <w:tc>
          <w:tcPr>
            <w:tcW w:w="48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128507" w14:textId="49DF52FC" w:rsidR="0EDB2EA1" w:rsidRDefault="0EDB2EA1">
            <w:r w:rsidRPr="0EDB2EA1">
              <w:rPr>
                <w:rFonts w:ascii="Calibri" w:eastAsia="Calibri" w:hAnsi="Calibri" w:cs="Calibri"/>
                <w:sz w:val="18"/>
                <w:szCs w:val="18"/>
              </w:rPr>
              <w:t>Companhias Docas</w:t>
            </w:r>
          </w:p>
          <w:p w14:paraId="21377E0E" w14:textId="2A801966" w:rsidR="0EDB2EA1" w:rsidRDefault="0EDB2EA1" w:rsidP="0EDB2EA1">
            <w:pPr>
              <w:jc w:val="both"/>
            </w:pPr>
            <w:r w:rsidRPr="0EDB2EA1">
              <w:rPr>
                <w:rFonts w:ascii="Calibri" w:eastAsia="Calibri" w:hAnsi="Calibri" w:cs="Calibri"/>
                <w:sz w:val="18"/>
                <w:szCs w:val="18"/>
              </w:rPr>
              <w:t xml:space="preserve">(CDC, CDP, </w:t>
            </w:r>
            <w:proofErr w:type="spellStart"/>
            <w:r w:rsidRPr="0EDB2EA1">
              <w:rPr>
                <w:rFonts w:ascii="Calibri" w:eastAsia="Calibri" w:hAnsi="Calibri" w:cs="Calibri"/>
                <w:sz w:val="18"/>
                <w:szCs w:val="18"/>
              </w:rPr>
              <w:t>Codeba</w:t>
            </w:r>
            <w:proofErr w:type="spellEnd"/>
            <w:r w:rsidRPr="0EDB2EA1">
              <w:rPr>
                <w:rFonts w:ascii="Calibri" w:eastAsia="Calibri" w:hAnsi="Calibri" w:cs="Calibri"/>
                <w:sz w:val="18"/>
                <w:szCs w:val="18"/>
              </w:rPr>
              <w:t xml:space="preserve">, CDRJ, </w:t>
            </w:r>
            <w:proofErr w:type="spellStart"/>
            <w:r w:rsidRPr="0EDB2EA1">
              <w:rPr>
                <w:rFonts w:ascii="Calibri" w:eastAsia="Calibri" w:hAnsi="Calibri" w:cs="Calibri"/>
                <w:sz w:val="18"/>
                <w:szCs w:val="18"/>
              </w:rPr>
              <w:t>Codesa</w:t>
            </w:r>
            <w:proofErr w:type="spellEnd"/>
            <w:r w:rsidRPr="0EDB2EA1">
              <w:rPr>
                <w:rFonts w:ascii="Calibri" w:eastAsia="Calibri" w:hAnsi="Calibri" w:cs="Calibri"/>
                <w:sz w:val="18"/>
                <w:szCs w:val="18"/>
              </w:rPr>
              <w:t xml:space="preserve">, </w:t>
            </w:r>
            <w:proofErr w:type="spellStart"/>
            <w:r w:rsidRPr="0EDB2EA1">
              <w:rPr>
                <w:rFonts w:ascii="Calibri" w:eastAsia="Calibri" w:hAnsi="Calibri" w:cs="Calibri"/>
                <w:sz w:val="18"/>
                <w:szCs w:val="18"/>
              </w:rPr>
              <w:t>Codern</w:t>
            </w:r>
            <w:proofErr w:type="spellEnd"/>
            <w:r w:rsidRPr="0EDB2EA1">
              <w:rPr>
                <w:rFonts w:ascii="Calibri" w:eastAsia="Calibri" w:hAnsi="Calibri" w:cs="Calibri"/>
                <w:sz w:val="18"/>
                <w:szCs w:val="18"/>
              </w:rPr>
              <w:t>, SPA-Codesp</w:t>
            </w:r>
            <w:proofErr w:type="gramStart"/>
            <w:r w:rsidRPr="0EDB2EA1">
              <w:rPr>
                <w:rFonts w:ascii="Calibri" w:eastAsia="Calibri" w:hAnsi="Calibri" w:cs="Calibri"/>
                <w:sz w:val="18"/>
                <w:szCs w:val="18"/>
              </w:rPr>
              <w:t>)</w:t>
            </w:r>
            <w:proofErr w:type="gramEnd"/>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A68500" w14:textId="3312EDF4" w:rsidR="0EDB2EA1" w:rsidRDefault="0EDB2EA1" w:rsidP="0EDB2EA1">
            <w:pPr>
              <w:jc w:val="center"/>
            </w:pPr>
            <w:r w:rsidRPr="0EDB2EA1">
              <w:rPr>
                <w:rFonts w:ascii="Calibri" w:eastAsia="Calibri" w:hAnsi="Calibri" w:cs="Calibri"/>
                <w:sz w:val="18"/>
                <w:szCs w:val="18"/>
              </w:rPr>
              <w:t>Remoto</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C51A0A" w14:textId="73ABBE03" w:rsidR="0EDB2EA1" w:rsidRDefault="0EDB2EA1" w:rsidP="0EDB2EA1">
            <w:pPr>
              <w:jc w:val="center"/>
            </w:pPr>
            <w:r w:rsidRPr="0EDB2EA1">
              <w:rPr>
                <w:rFonts w:ascii="Calibri" w:eastAsia="Calibri" w:hAnsi="Calibri" w:cs="Calibri"/>
                <w:sz w:val="18"/>
                <w:szCs w:val="18"/>
              </w:rPr>
              <w:t>Remoto</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C53FB8" w14:textId="118C58D6" w:rsidR="0EDB2EA1" w:rsidRDefault="0EDB2EA1" w:rsidP="0EDB2EA1">
            <w:pPr>
              <w:jc w:val="center"/>
            </w:pPr>
            <w:r w:rsidRPr="0EDB2EA1">
              <w:rPr>
                <w:rFonts w:ascii="Calibri" w:eastAsia="Calibri" w:hAnsi="Calibri" w:cs="Calibri"/>
                <w:sz w:val="18"/>
                <w:szCs w:val="18"/>
              </w:rPr>
              <w:t>Remoto</w:t>
            </w:r>
          </w:p>
        </w:tc>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A7A4FA" w14:textId="0B4124B0" w:rsidR="0EDB2EA1" w:rsidRDefault="0EDB2EA1" w:rsidP="0EDB2EA1">
            <w:pPr>
              <w:jc w:val="center"/>
            </w:pPr>
            <w:r w:rsidRPr="0EDB2EA1">
              <w:rPr>
                <w:rFonts w:ascii="Calibri" w:eastAsia="Calibri" w:hAnsi="Calibri" w:cs="Calibri"/>
                <w:sz w:val="18"/>
                <w:szCs w:val="18"/>
              </w:rPr>
              <w:t>Remoto</w:t>
            </w:r>
          </w:p>
        </w:tc>
      </w:tr>
      <w:tr w:rsidR="0EDB2EA1" w14:paraId="68D51352" w14:textId="77777777" w:rsidTr="008A5918">
        <w:tc>
          <w:tcPr>
            <w:tcW w:w="48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32E1120" w14:textId="3C846AEE" w:rsidR="0EDB2EA1" w:rsidRDefault="0EDB2EA1" w:rsidP="0EDB2EA1">
            <w:pPr>
              <w:jc w:val="both"/>
            </w:pPr>
            <w:r w:rsidRPr="0EDB2EA1">
              <w:rPr>
                <w:rFonts w:ascii="Calibri" w:eastAsia="Calibri" w:hAnsi="Calibri" w:cs="Calibri"/>
                <w:sz w:val="18"/>
                <w:szCs w:val="18"/>
              </w:rPr>
              <w:t>Infraero</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6917C29" w14:textId="4FE80905" w:rsidR="0EDB2EA1" w:rsidRDefault="0EDB2EA1" w:rsidP="0EDB2EA1">
            <w:pPr>
              <w:jc w:val="center"/>
            </w:pPr>
            <w:r w:rsidRPr="0EDB2EA1">
              <w:rPr>
                <w:rFonts w:ascii="Calibri" w:eastAsia="Calibri" w:hAnsi="Calibri" w:cs="Calibri"/>
                <w:sz w:val="18"/>
                <w:szCs w:val="18"/>
              </w:rPr>
              <w:t>Possível</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1A58529" w14:textId="02CF329A" w:rsidR="0EDB2EA1" w:rsidRDefault="0EDB2EA1" w:rsidP="0EDB2EA1">
            <w:pPr>
              <w:jc w:val="center"/>
            </w:pPr>
            <w:r w:rsidRPr="0EDB2EA1">
              <w:rPr>
                <w:rFonts w:ascii="Calibri" w:eastAsia="Calibri" w:hAnsi="Calibri" w:cs="Calibri"/>
                <w:sz w:val="18"/>
                <w:szCs w:val="18"/>
              </w:rPr>
              <w:t>Possível</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8861A85" w14:textId="37CE99E9" w:rsidR="0EDB2EA1" w:rsidRDefault="0EDB2EA1" w:rsidP="0EDB2EA1">
            <w:pPr>
              <w:jc w:val="center"/>
            </w:pPr>
            <w:r w:rsidRPr="0EDB2EA1">
              <w:rPr>
                <w:rFonts w:ascii="Calibri" w:eastAsia="Calibri" w:hAnsi="Calibri" w:cs="Calibri"/>
                <w:sz w:val="18"/>
                <w:szCs w:val="18"/>
              </w:rPr>
              <w:t>Possível</w:t>
            </w:r>
          </w:p>
        </w:tc>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18EA23B" w14:textId="1667E3DF" w:rsidR="0EDB2EA1" w:rsidRDefault="0EDB2EA1" w:rsidP="0EDB2EA1">
            <w:pPr>
              <w:jc w:val="center"/>
            </w:pPr>
            <w:r w:rsidRPr="0EDB2EA1">
              <w:rPr>
                <w:rFonts w:ascii="Calibri" w:eastAsia="Calibri" w:hAnsi="Calibri" w:cs="Calibri"/>
                <w:sz w:val="18"/>
                <w:szCs w:val="18"/>
              </w:rPr>
              <w:t>Possível</w:t>
            </w:r>
          </w:p>
        </w:tc>
      </w:tr>
      <w:tr w:rsidR="0EDB2EA1" w14:paraId="74E43502" w14:textId="77777777" w:rsidTr="008A5918">
        <w:tc>
          <w:tcPr>
            <w:tcW w:w="9915" w:type="dxa"/>
            <w:gridSpan w:val="5"/>
            <w:tcBorders>
              <w:top w:val="single" w:sz="8" w:space="0" w:color="BFBFBF" w:themeColor="background1" w:themeShade="BF"/>
              <w:left w:val="nil"/>
              <w:bottom w:val="nil"/>
              <w:right w:val="nil"/>
            </w:tcBorders>
          </w:tcPr>
          <w:p w14:paraId="5954FE61" w14:textId="3EE5A956" w:rsidR="0EDB2EA1" w:rsidRDefault="0EDB2EA1">
            <w:proofErr w:type="gramStart"/>
            <w:r w:rsidRPr="0EDB2EA1">
              <w:rPr>
                <w:rFonts w:ascii="Calibri" w:eastAsia="Calibri" w:hAnsi="Calibri" w:cs="Calibri"/>
                <w:i/>
                <w:iCs/>
                <w:sz w:val="16"/>
                <w:szCs w:val="16"/>
                <w:vertAlign w:val="superscript"/>
              </w:rPr>
              <w:t>1</w:t>
            </w:r>
            <w:r w:rsidRPr="0EDB2EA1">
              <w:rPr>
                <w:rFonts w:ascii="Calibri" w:eastAsia="Calibri" w:hAnsi="Calibri" w:cs="Calibri"/>
                <w:i/>
                <w:iCs/>
                <w:sz w:val="16"/>
                <w:szCs w:val="16"/>
              </w:rPr>
              <w:t>As</w:t>
            </w:r>
            <w:proofErr w:type="gramEnd"/>
            <w:r w:rsidRPr="0EDB2EA1">
              <w:rPr>
                <w:rFonts w:ascii="Calibri" w:eastAsia="Calibri" w:hAnsi="Calibri" w:cs="Calibri"/>
                <w:i/>
                <w:iCs/>
                <w:sz w:val="16"/>
                <w:szCs w:val="16"/>
              </w:rPr>
              <w:t xml:space="preserve"> empresas são mantidas em risco até a existência de um cronograma formal de privatização.</w:t>
            </w:r>
          </w:p>
          <w:p w14:paraId="5F234F3A" w14:textId="7C721E31" w:rsidR="0EDB2EA1" w:rsidRDefault="0EDB2EA1" w:rsidP="0EDB2EA1">
            <w:pPr>
              <w:jc w:val="both"/>
            </w:pPr>
            <w:r w:rsidRPr="0EDB2EA1">
              <w:rPr>
                <w:rFonts w:ascii="Calibri" w:eastAsia="Calibri" w:hAnsi="Calibri" w:cs="Calibri"/>
                <w:b/>
                <w:bCs/>
                <w:i/>
                <w:iCs/>
                <w:sz w:val="16"/>
                <w:szCs w:val="16"/>
              </w:rPr>
              <w:t>Fonte e elaboração</w:t>
            </w:r>
            <w:r w:rsidRPr="0EDB2EA1">
              <w:rPr>
                <w:rFonts w:ascii="Calibri" w:eastAsia="Calibri" w:hAnsi="Calibri" w:cs="Calibri"/>
                <w:i/>
                <w:iCs/>
                <w:sz w:val="16"/>
                <w:szCs w:val="16"/>
              </w:rPr>
              <w:t>: STN/ME.</w:t>
            </w:r>
          </w:p>
        </w:tc>
      </w:tr>
    </w:tbl>
    <w:p w14:paraId="550BF7CD" w14:textId="7C0036F3" w:rsidR="00A21F07" w:rsidRDefault="523B8B10" w:rsidP="0EDB2EA1">
      <w:pPr>
        <w:spacing w:after="120"/>
        <w:jc w:val="both"/>
      </w:pPr>
      <w:r w:rsidRPr="0EDB2EA1">
        <w:rPr>
          <w:rFonts w:ascii="Calibri" w:eastAsia="Calibri" w:hAnsi="Calibri" w:cs="Calibri"/>
          <w:color w:val="00B050"/>
          <w:sz w:val="24"/>
          <w:szCs w:val="24"/>
        </w:rPr>
        <w:t xml:space="preserve"> </w:t>
      </w:r>
    </w:p>
    <w:p w14:paraId="28A7D13F" w14:textId="126F0C58"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u w:val="single"/>
        </w:rPr>
        <w:t>Risco 3 - esforço fiscal adicional (compensação de primário)</w:t>
      </w:r>
    </w:p>
    <w:p w14:paraId="0C690188" w14:textId="784D53D1" w:rsidR="00A21F07" w:rsidRDefault="523B8B10" w:rsidP="0EDB2EA1">
      <w:pPr>
        <w:spacing w:after="120" w:line="257" w:lineRule="exact"/>
        <w:ind w:firstLine="1418"/>
        <w:jc w:val="both"/>
      </w:pPr>
      <w:r w:rsidRPr="0EDB2EA1">
        <w:rPr>
          <w:rFonts w:ascii="Calibri" w:eastAsia="Calibri" w:hAnsi="Calibri" w:cs="Calibri"/>
          <w:color w:val="000000" w:themeColor="text1"/>
          <w:sz w:val="24"/>
          <w:szCs w:val="24"/>
        </w:rPr>
        <w:t xml:space="preserve">A </w:t>
      </w:r>
      <w:r w:rsidR="008C28F2" w:rsidRPr="008C28F2">
        <w:rPr>
          <w:rFonts w:ascii="Calibri" w:eastAsia="Calibri" w:hAnsi="Calibri" w:cs="Calibri"/>
          <w:color w:val="000000" w:themeColor="text1"/>
          <w:sz w:val="24"/>
          <w:szCs w:val="24"/>
        </w:rPr>
        <w:fldChar w:fldCharType="begin"/>
      </w:r>
      <w:r w:rsidR="008C28F2" w:rsidRPr="008C28F2">
        <w:rPr>
          <w:rFonts w:ascii="Calibri" w:eastAsia="Calibri" w:hAnsi="Calibri" w:cs="Calibri"/>
          <w:color w:val="000000" w:themeColor="text1"/>
          <w:sz w:val="24"/>
          <w:szCs w:val="24"/>
        </w:rPr>
        <w:instrText xml:space="preserve"> REF _Ref68083738 \h  \* MERGEFORMAT </w:instrText>
      </w:r>
      <w:r w:rsidR="008C28F2" w:rsidRPr="008C28F2">
        <w:rPr>
          <w:rFonts w:ascii="Calibri" w:eastAsia="Calibri" w:hAnsi="Calibri" w:cs="Calibri"/>
          <w:color w:val="000000" w:themeColor="text1"/>
          <w:sz w:val="24"/>
          <w:szCs w:val="24"/>
        </w:rPr>
      </w:r>
      <w:r w:rsidR="008C28F2" w:rsidRPr="008C28F2">
        <w:rPr>
          <w:rFonts w:ascii="Calibri" w:eastAsia="Calibri" w:hAnsi="Calibri" w:cs="Calibri"/>
          <w:color w:val="000000" w:themeColor="text1"/>
          <w:sz w:val="24"/>
          <w:szCs w:val="24"/>
        </w:rPr>
        <w:fldChar w:fldCharType="separate"/>
      </w:r>
      <w:r w:rsidR="00304F5F" w:rsidRPr="00304F5F">
        <w:rPr>
          <w:rFonts w:cstheme="minorHAnsi"/>
          <w:sz w:val="24"/>
          <w:szCs w:val="24"/>
        </w:rPr>
        <w:t xml:space="preserve">Tabela </w:t>
      </w:r>
      <w:r w:rsidR="00304F5F" w:rsidRPr="00304F5F">
        <w:rPr>
          <w:rFonts w:cstheme="minorHAnsi"/>
          <w:noProof/>
          <w:sz w:val="24"/>
          <w:szCs w:val="24"/>
        </w:rPr>
        <w:t>65</w:t>
      </w:r>
      <w:r w:rsidR="008C28F2" w:rsidRPr="008C28F2">
        <w:rPr>
          <w:rFonts w:ascii="Calibri" w:eastAsia="Calibri" w:hAnsi="Calibri" w:cs="Calibri"/>
          <w:color w:val="000000" w:themeColor="text1"/>
          <w:sz w:val="24"/>
          <w:szCs w:val="24"/>
        </w:rPr>
        <w:fldChar w:fldCharType="end"/>
      </w:r>
      <w:r w:rsidRPr="0EDB2EA1">
        <w:rPr>
          <w:rFonts w:ascii="Calibri" w:eastAsia="Calibri" w:hAnsi="Calibri" w:cs="Calibri"/>
          <w:color w:val="000000" w:themeColor="text1"/>
          <w:sz w:val="24"/>
          <w:szCs w:val="24"/>
        </w:rPr>
        <w:t xml:space="preserve"> apresenta as metas de resultado primário referente ao agregado das empresas estatais federais definidas na LDO 2021.</w:t>
      </w:r>
    </w:p>
    <w:p w14:paraId="215E77E8" w14:textId="46170281" w:rsidR="00A21F07" w:rsidRPr="008C28F2" w:rsidRDefault="523B8B10" w:rsidP="008C28F2">
      <w:pPr>
        <w:pStyle w:val="Legenda"/>
        <w:keepNext/>
        <w:jc w:val="center"/>
        <w:rPr>
          <w:rFonts w:asciiTheme="minorHAnsi" w:hAnsiTheme="minorHAnsi" w:cstheme="minorHAnsi"/>
          <w:i w:val="0"/>
          <w:color w:val="auto"/>
          <w:sz w:val="22"/>
          <w:szCs w:val="22"/>
        </w:rPr>
      </w:pPr>
      <w:bookmarkStart w:id="431" w:name="_Ref68083738"/>
      <w:bookmarkStart w:id="432" w:name="_Toc69121411"/>
      <w:r w:rsidRPr="008C28F2">
        <w:rPr>
          <w:rFonts w:asciiTheme="minorHAnsi" w:eastAsia="Calibri" w:hAnsiTheme="minorHAnsi" w:cstheme="minorHAnsi"/>
          <w:i w:val="0"/>
          <w:color w:val="auto"/>
          <w:sz w:val="22"/>
          <w:szCs w:val="22"/>
        </w:rPr>
        <w:t xml:space="preserve">Tabela </w:t>
      </w:r>
      <w:r w:rsidR="008C28F2" w:rsidRPr="008C28F2">
        <w:rPr>
          <w:rFonts w:asciiTheme="minorHAnsi" w:hAnsiTheme="minorHAnsi" w:cstheme="minorHAnsi"/>
          <w:i w:val="0"/>
          <w:color w:val="auto"/>
          <w:sz w:val="22"/>
          <w:szCs w:val="22"/>
        </w:rPr>
        <w:fldChar w:fldCharType="begin"/>
      </w:r>
      <w:r w:rsidR="008C28F2" w:rsidRPr="008C28F2">
        <w:rPr>
          <w:rFonts w:asciiTheme="minorHAnsi" w:hAnsiTheme="minorHAnsi" w:cstheme="minorHAnsi"/>
          <w:i w:val="0"/>
          <w:color w:val="auto"/>
          <w:sz w:val="22"/>
          <w:szCs w:val="22"/>
        </w:rPr>
        <w:instrText xml:space="preserve"> SEQ Tabela \* ARABIC </w:instrText>
      </w:r>
      <w:r w:rsidR="008C28F2" w:rsidRPr="008C28F2">
        <w:rPr>
          <w:rFonts w:asciiTheme="minorHAnsi" w:hAnsiTheme="minorHAnsi" w:cstheme="minorHAnsi"/>
          <w:i w:val="0"/>
          <w:color w:val="auto"/>
          <w:sz w:val="22"/>
          <w:szCs w:val="22"/>
        </w:rPr>
        <w:fldChar w:fldCharType="separate"/>
      </w:r>
      <w:r w:rsidR="00304F5F">
        <w:rPr>
          <w:rFonts w:asciiTheme="minorHAnsi" w:hAnsiTheme="minorHAnsi" w:cstheme="minorHAnsi"/>
          <w:i w:val="0"/>
          <w:noProof/>
          <w:color w:val="auto"/>
          <w:sz w:val="22"/>
          <w:szCs w:val="22"/>
        </w:rPr>
        <w:t>65</w:t>
      </w:r>
      <w:r w:rsidR="008C28F2" w:rsidRPr="008C28F2">
        <w:rPr>
          <w:rFonts w:asciiTheme="minorHAnsi" w:hAnsiTheme="minorHAnsi" w:cstheme="minorHAnsi"/>
          <w:i w:val="0"/>
          <w:color w:val="auto"/>
          <w:sz w:val="22"/>
          <w:szCs w:val="22"/>
        </w:rPr>
        <w:fldChar w:fldCharType="end"/>
      </w:r>
      <w:bookmarkEnd w:id="431"/>
      <w:r w:rsidRPr="008C28F2">
        <w:rPr>
          <w:rFonts w:asciiTheme="minorHAnsi" w:eastAsia="Calibri" w:hAnsiTheme="minorHAnsi" w:cstheme="minorHAnsi"/>
          <w:i w:val="0"/>
          <w:color w:val="auto"/>
          <w:sz w:val="22"/>
          <w:szCs w:val="22"/>
        </w:rPr>
        <w:t xml:space="preserve"> - Meta e estimativa do resultado primário das estatais federais</w:t>
      </w:r>
      <w:bookmarkEnd w:id="432"/>
    </w:p>
    <w:tbl>
      <w:tblPr>
        <w:tblStyle w:val="Tabelacomgrade"/>
        <w:tblW w:w="0" w:type="auto"/>
        <w:tblLayout w:type="fixed"/>
        <w:tblLook w:val="06A0" w:firstRow="1" w:lastRow="0" w:firstColumn="1" w:lastColumn="0" w:noHBand="1" w:noVBand="1"/>
      </w:tblPr>
      <w:tblGrid>
        <w:gridCol w:w="1983"/>
        <w:gridCol w:w="1983"/>
        <w:gridCol w:w="1983"/>
        <w:gridCol w:w="1983"/>
        <w:gridCol w:w="1983"/>
      </w:tblGrid>
      <w:tr w:rsidR="0EDB2EA1" w14:paraId="41EEB64C" w14:textId="77777777" w:rsidTr="0EDB2EA1">
        <w:tc>
          <w:tcPr>
            <w:tcW w:w="9915" w:type="dxa"/>
            <w:gridSpan w:val="5"/>
            <w:tcBorders>
              <w:top w:val="nil"/>
              <w:left w:val="nil"/>
              <w:bottom w:val="single" w:sz="8" w:space="0" w:color="BFBFBF" w:themeColor="background1" w:themeShade="BF"/>
              <w:right w:val="nil"/>
            </w:tcBorders>
            <w:vAlign w:val="center"/>
          </w:tcPr>
          <w:p w14:paraId="27F967BC" w14:textId="57329BD3" w:rsidR="0EDB2EA1" w:rsidRDefault="0EDB2EA1" w:rsidP="0EDB2EA1">
            <w:pPr>
              <w:jc w:val="right"/>
            </w:pPr>
            <w:r w:rsidRPr="0EDB2EA1">
              <w:rPr>
                <w:rFonts w:ascii="Calibri" w:eastAsia="Calibri" w:hAnsi="Calibri" w:cs="Calibri"/>
                <w:i/>
                <w:iCs/>
                <w:sz w:val="16"/>
                <w:szCs w:val="16"/>
              </w:rPr>
              <w:t>Em R$ milhões</w:t>
            </w:r>
          </w:p>
        </w:tc>
      </w:tr>
      <w:tr w:rsidR="0EDB2EA1" w14:paraId="1440F9D7" w14:textId="77777777" w:rsidTr="0EDB2EA1">
        <w:tc>
          <w:tcPr>
            <w:tcW w:w="1983"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56908D0D" w14:textId="5C271A45" w:rsidR="0EDB2EA1" w:rsidRDefault="0EDB2EA1" w:rsidP="0EDB2EA1">
            <w:pPr>
              <w:jc w:val="center"/>
            </w:pPr>
            <w:r w:rsidRPr="0EDB2EA1">
              <w:rPr>
                <w:rFonts w:ascii="Calibri" w:eastAsia="Calibri" w:hAnsi="Calibri" w:cs="Calibri"/>
                <w:color w:val="FFFFFF" w:themeColor="background1"/>
                <w:sz w:val="20"/>
                <w:szCs w:val="20"/>
              </w:rPr>
              <w:t>Exercício</w:t>
            </w:r>
          </w:p>
        </w:tc>
        <w:tc>
          <w:tcPr>
            <w:tcW w:w="3966" w:type="dxa"/>
            <w:gridSpan w:val="2"/>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CFB88FA" w14:textId="0F6EEAED" w:rsidR="0EDB2EA1" w:rsidRDefault="0EDB2EA1" w:rsidP="0EDB2EA1">
            <w:pPr>
              <w:jc w:val="center"/>
            </w:pPr>
            <w:r w:rsidRPr="0EDB2EA1">
              <w:rPr>
                <w:rFonts w:ascii="Calibri" w:eastAsia="Calibri" w:hAnsi="Calibri" w:cs="Calibri"/>
                <w:color w:val="FFFFFF" w:themeColor="background1"/>
                <w:sz w:val="20"/>
                <w:szCs w:val="20"/>
              </w:rPr>
              <w:t>Meta LDO</w:t>
            </w:r>
          </w:p>
        </w:tc>
        <w:tc>
          <w:tcPr>
            <w:tcW w:w="3966" w:type="dxa"/>
            <w:gridSpan w:val="2"/>
            <w:tcBorders>
              <w:top w:val="nil"/>
              <w:left w:val="nil"/>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4FEA136A" w14:textId="29838EAC" w:rsidR="0EDB2EA1" w:rsidRDefault="0EDB2EA1" w:rsidP="0EDB2EA1">
            <w:pPr>
              <w:jc w:val="center"/>
            </w:pPr>
            <w:r w:rsidRPr="0EDB2EA1">
              <w:rPr>
                <w:rFonts w:ascii="Calibri" w:eastAsia="Calibri" w:hAnsi="Calibri" w:cs="Calibri"/>
                <w:color w:val="FFFFFF" w:themeColor="background1"/>
                <w:sz w:val="20"/>
                <w:szCs w:val="20"/>
              </w:rPr>
              <w:t>Resultado Estimado</w:t>
            </w:r>
          </w:p>
        </w:tc>
      </w:tr>
      <w:tr w:rsidR="0EDB2EA1" w14:paraId="2109E1EA" w14:textId="77777777" w:rsidTr="0EDB2EA1">
        <w:tc>
          <w:tcPr>
            <w:tcW w:w="1983" w:type="dxa"/>
            <w:vMerge/>
            <w:tcBorders>
              <w:left w:val="single" w:sz="0" w:space="0" w:color="BFBFBF" w:themeColor="background1" w:themeShade="BF"/>
              <w:bottom w:val="single" w:sz="0" w:space="0" w:color="BFBFBF" w:themeColor="background1" w:themeShade="BF"/>
              <w:right w:val="single" w:sz="0" w:space="0" w:color="BFBFBF" w:themeColor="background1" w:themeShade="BF"/>
            </w:tcBorders>
            <w:vAlign w:val="center"/>
          </w:tcPr>
          <w:p w14:paraId="19BCAEBF" w14:textId="77777777" w:rsidR="00422732" w:rsidRDefault="00422732"/>
        </w:tc>
        <w:tc>
          <w:tcPr>
            <w:tcW w:w="1983"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49C2B08D" w14:textId="698F2856" w:rsidR="0EDB2EA1" w:rsidRDefault="0EDB2EA1" w:rsidP="0EDB2EA1">
            <w:pPr>
              <w:jc w:val="center"/>
            </w:pPr>
            <w:r w:rsidRPr="0EDB2EA1">
              <w:rPr>
                <w:rFonts w:ascii="Calibri" w:eastAsia="Calibri" w:hAnsi="Calibri" w:cs="Calibri"/>
                <w:color w:val="FFFFFF" w:themeColor="background1"/>
                <w:sz w:val="20"/>
                <w:szCs w:val="20"/>
              </w:rPr>
              <w:t>R$ milhões</w:t>
            </w:r>
          </w:p>
        </w:tc>
        <w:tc>
          <w:tcPr>
            <w:tcW w:w="198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394EB3C4" w14:textId="10230942" w:rsidR="0EDB2EA1" w:rsidRDefault="0EDB2EA1" w:rsidP="0EDB2EA1">
            <w:pPr>
              <w:jc w:val="center"/>
            </w:pPr>
            <w:r w:rsidRPr="0EDB2EA1">
              <w:rPr>
                <w:rFonts w:ascii="Calibri" w:eastAsia="Calibri" w:hAnsi="Calibri" w:cs="Calibri"/>
                <w:color w:val="FFFFFF" w:themeColor="background1"/>
                <w:sz w:val="20"/>
                <w:szCs w:val="20"/>
              </w:rPr>
              <w:t>Porcentagem</w:t>
            </w:r>
          </w:p>
          <w:p w14:paraId="7ECA6BA9" w14:textId="6530F585" w:rsidR="0EDB2EA1" w:rsidRDefault="0EDB2EA1" w:rsidP="0EDB2EA1">
            <w:pPr>
              <w:jc w:val="center"/>
            </w:pPr>
            <w:proofErr w:type="gramStart"/>
            <w:r w:rsidRPr="0EDB2EA1">
              <w:rPr>
                <w:rFonts w:ascii="Calibri" w:eastAsia="Calibri" w:hAnsi="Calibri" w:cs="Calibri"/>
                <w:color w:val="FFFFFF" w:themeColor="background1"/>
                <w:sz w:val="20"/>
                <w:szCs w:val="20"/>
              </w:rPr>
              <w:t>do</w:t>
            </w:r>
            <w:proofErr w:type="gramEnd"/>
            <w:r w:rsidRPr="0EDB2EA1">
              <w:rPr>
                <w:rFonts w:ascii="Calibri" w:eastAsia="Calibri" w:hAnsi="Calibri" w:cs="Calibri"/>
                <w:color w:val="FFFFFF" w:themeColor="background1"/>
                <w:sz w:val="20"/>
                <w:szCs w:val="20"/>
              </w:rPr>
              <w:t xml:space="preserve"> PIB</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D306251" w14:textId="1351F63E" w:rsidR="0EDB2EA1" w:rsidRDefault="0EDB2EA1" w:rsidP="0EDB2EA1">
            <w:pPr>
              <w:jc w:val="center"/>
            </w:pPr>
            <w:r w:rsidRPr="0EDB2EA1">
              <w:rPr>
                <w:rFonts w:ascii="Calibri" w:eastAsia="Calibri" w:hAnsi="Calibri" w:cs="Calibri"/>
                <w:color w:val="FFFFFF" w:themeColor="background1"/>
                <w:sz w:val="20"/>
                <w:szCs w:val="20"/>
              </w:rPr>
              <w:t>R$ milhões</w:t>
            </w:r>
          </w:p>
        </w:tc>
        <w:tc>
          <w:tcPr>
            <w:tcW w:w="198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4040" w:themeFill="text1" w:themeFillTint="BF"/>
            <w:vAlign w:val="center"/>
          </w:tcPr>
          <w:p w14:paraId="2D07A2A6" w14:textId="3783B048" w:rsidR="0EDB2EA1" w:rsidRDefault="0EDB2EA1" w:rsidP="0EDB2EA1">
            <w:pPr>
              <w:jc w:val="center"/>
            </w:pPr>
            <w:r w:rsidRPr="0EDB2EA1">
              <w:rPr>
                <w:rFonts w:ascii="Calibri" w:eastAsia="Calibri" w:hAnsi="Calibri" w:cs="Calibri"/>
                <w:color w:val="FFFFFF" w:themeColor="background1"/>
                <w:sz w:val="20"/>
                <w:szCs w:val="20"/>
              </w:rPr>
              <w:t>Porcentagem</w:t>
            </w:r>
          </w:p>
          <w:p w14:paraId="4F2D3D94" w14:textId="397F4A16" w:rsidR="0EDB2EA1" w:rsidRDefault="0EDB2EA1" w:rsidP="0EDB2EA1">
            <w:pPr>
              <w:jc w:val="center"/>
            </w:pPr>
            <w:proofErr w:type="gramStart"/>
            <w:r w:rsidRPr="0EDB2EA1">
              <w:rPr>
                <w:rFonts w:ascii="Calibri" w:eastAsia="Calibri" w:hAnsi="Calibri" w:cs="Calibri"/>
                <w:color w:val="FFFFFF" w:themeColor="background1"/>
                <w:sz w:val="20"/>
                <w:szCs w:val="20"/>
              </w:rPr>
              <w:t>do</w:t>
            </w:r>
            <w:proofErr w:type="gramEnd"/>
            <w:r w:rsidRPr="0EDB2EA1">
              <w:rPr>
                <w:rFonts w:ascii="Calibri" w:eastAsia="Calibri" w:hAnsi="Calibri" w:cs="Calibri"/>
                <w:color w:val="FFFFFF" w:themeColor="background1"/>
                <w:sz w:val="20"/>
                <w:szCs w:val="20"/>
              </w:rPr>
              <w:t xml:space="preserve"> PIB</w:t>
            </w:r>
          </w:p>
        </w:tc>
      </w:tr>
      <w:tr w:rsidR="0EDB2EA1" w14:paraId="0D6B2B71" w14:textId="77777777" w:rsidTr="0EDB2EA1">
        <w:tc>
          <w:tcPr>
            <w:tcW w:w="198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0B11F7" w14:textId="0537C61B" w:rsidR="0EDB2EA1" w:rsidRDefault="0EDB2EA1" w:rsidP="0EDB2EA1">
            <w:pPr>
              <w:jc w:val="center"/>
            </w:pPr>
            <w:r w:rsidRPr="0EDB2EA1">
              <w:rPr>
                <w:rFonts w:ascii="Calibri" w:eastAsia="Calibri" w:hAnsi="Calibri" w:cs="Calibri"/>
                <w:sz w:val="18"/>
                <w:szCs w:val="18"/>
              </w:rPr>
              <w:t>2021</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B9B05C6" w14:textId="084964B7" w:rsidR="0EDB2EA1" w:rsidRDefault="0EDB2EA1" w:rsidP="0EDB2EA1">
            <w:pPr>
              <w:jc w:val="center"/>
            </w:pPr>
            <w:r w:rsidRPr="0EDB2EA1">
              <w:rPr>
                <w:rFonts w:ascii="Calibri" w:eastAsia="Calibri" w:hAnsi="Calibri" w:cs="Calibri"/>
                <w:sz w:val="18"/>
                <w:szCs w:val="18"/>
              </w:rPr>
              <w:t>-3.970</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A37BB0" w14:textId="1DAE8D2B" w:rsidR="0EDB2EA1" w:rsidRDefault="0EDB2EA1" w:rsidP="0EDB2EA1">
            <w:pPr>
              <w:jc w:val="center"/>
            </w:pPr>
            <w:r w:rsidRPr="0EDB2EA1">
              <w:rPr>
                <w:rFonts w:ascii="Calibri" w:eastAsia="Calibri" w:hAnsi="Calibri" w:cs="Calibri"/>
                <w:sz w:val="18"/>
                <w:szCs w:val="18"/>
              </w:rPr>
              <w:t>0,05%</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447305" w14:textId="3F8924EC" w:rsidR="0EDB2EA1" w:rsidRDefault="0EDB2EA1" w:rsidP="0EDB2EA1">
            <w:pPr>
              <w:jc w:val="center"/>
            </w:pPr>
            <w:r w:rsidRPr="0EDB2EA1">
              <w:rPr>
                <w:rFonts w:ascii="Calibri" w:eastAsia="Calibri" w:hAnsi="Calibri" w:cs="Calibri"/>
                <w:sz w:val="18"/>
                <w:szCs w:val="18"/>
              </w:rPr>
              <w:t>-2.455,0</w:t>
            </w:r>
            <w:r w:rsidRPr="0EDB2EA1">
              <w:rPr>
                <w:rFonts w:ascii="Calibri" w:eastAsia="Calibri" w:hAnsi="Calibri" w:cs="Calibri"/>
                <w:sz w:val="18"/>
                <w:szCs w:val="18"/>
                <w:vertAlign w:val="superscript"/>
              </w:rPr>
              <w:t xml:space="preserve"> 1</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977143" w14:textId="11B2A9F5" w:rsidR="0EDB2EA1" w:rsidRDefault="0EDB2EA1" w:rsidP="0EDB2EA1">
            <w:pPr>
              <w:jc w:val="center"/>
            </w:pPr>
            <w:r w:rsidRPr="0EDB2EA1">
              <w:rPr>
                <w:rFonts w:ascii="Calibri" w:eastAsia="Calibri" w:hAnsi="Calibri" w:cs="Calibri"/>
                <w:sz w:val="18"/>
                <w:szCs w:val="18"/>
              </w:rPr>
              <w:t>0,03%</w:t>
            </w:r>
          </w:p>
        </w:tc>
      </w:tr>
      <w:tr w:rsidR="0EDB2EA1" w14:paraId="086E5E49" w14:textId="77777777" w:rsidTr="0EDB2EA1">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74C145" w14:textId="16C45DA9" w:rsidR="0EDB2EA1" w:rsidRDefault="0EDB2EA1" w:rsidP="0EDB2EA1">
            <w:pPr>
              <w:jc w:val="center"/>
            </w:pPr>
            <w:r w:rsidRPr="0EDB2EA1">
              <w:rPr>
                <w:rFonts w:ascii="Calibri" w:eastAsia="Calibri" w:hAnsi="Calibri" w:cs="Calibri"/>
                <w:sz w:val="18"/>
                <w:szCs w:val="18"/>
              </w:rPr>
              <w:t>2022</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AC3D26D" w14:textId="21A7C9BC" w:rsidR="0EDB2EA1" w:rsidRDefault="0EDB2EA1" w:rsidP="0EDB2EA1">
            <w:pPr>
              <w:jc w:val="center"/>
            </w:pPr>
            <w:r w:rsidRPr="0EDB2EA1">
              <w:rPr>
                <w:rFonts w:ascii="Calibri" w:eastAsia="Calibri" w:hAnsi="Calibri" w:cs="Calibri"/>
                <w:sz w:val="18"/>
                <w:szCs w:val="18"/>
              </w:rPr>
              <w:t>-4.230</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1CF5E38" w14:textId="0383593F" w:rsidR="0EDB2EA1" w:rsidRDefault="0EDB2EA1" w:rsidP="0EDB2EA1">
            <w:pPr>
              <w:jc w:val="center"/>
            </w:pPr>
            <w:r w:rsidRPr="0EDB2EA1">
              <w:rPr>
                <w:rFonts w:ascii="Calibri" w:eastAsia="Calibri" w:hAnsi="Calibri" w:cs="Calibri"/>
                <w:sz w:val="18"/>
                <w:szCs w:val="18"/>
              </w:rPr>
              <w:t>0,05%</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765FDD1" w14:textId="1DC7E516" w:rsidR="0EDB2EA1" w:rsidRDefault="0EDB2EA1" w:rsidP="0EDB2EA1">
            <w:pPr>
              <w:jc w:val="center"/>
            </w:pPr>
            <w:r w:rsidRPr="0EDB2EA1">
              <w:rPr>
                <w:rFonts w:ascii="Calibri" w:eastAsia="Calibri" w:hAnsi="Calibri" w:cs="Calibri"/>
                <w:sz w:val="18"/>
                <w:szCs w:val="18"/>
              </w:rPr>
              <w:t>-4.230</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327B5C6" w14:textId="7A30E72B" w:rsidR="0EDB2EA1" w:rsidRDefault="0EDB2EA1" w:rsidP="0EDB2EA1">
            <w:pPr>
              <w:jc w:val="center"/>
            </w:pPr>
            <w:r w:rsidRPr="0EDB2EA1">
              <w:rPr>
                <w:rFonts w:ascii="Calibri" w:eastAsia="Calibri" w:hAnsi="Calibri" w:cs="Calibri"/>
                <w:sz w:val="18"/>
                <w:szCs w:val="18"/>
              </w:rPr>
              <w:t>0,05%</w:t>
            </w:r>
          </w:p>
        </w:tc>
      </w:tr>
      <w:tr w:rsidR="0EDB2EA1" w14:paraId="2241F94F" w14:textId="77777777" w:rsidTr="0EDB2EA1">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15853A" w14:textId="02066DCE" w:rsidR="0EDB2EA1" w:rsidRDefault="0EDB2EA1" w:rsidP="0EDB2EA1">
            <w:pPr>
              <w:jc w:val="center"/>
            </w:pPr>
            <w:r w:rsidRPr="0EDB2EA1">
              <w:rPr>
                <w:rFonts w:ascii="Calibri" w:eastAsia="Calibri" w:hAnsi="Calibri" w:cs="Calibri"/>
                <w:sz w:val="18"/>
                <w:szCs w:val="18"/>
              </w:rPr>
              <w:t>2023</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5599EEC" w14:textId="51DA86E7" w:rsidR="0EDB2EA1" w:rsidRDefault="0EDB2EA1" w:rsidP="0EDB2EA1">
            <w:pPr>
              <w:jc w:val="center"/>
            </w:pPr>
            <w:r w:rsidRPr="0EDB2EA1">
              <w:rPr>
                <w:rFonts w:ascii="Calibri" w:eastAsia="Calibri" w:hAnsi="Calibri" w:cs="Calibri"/>
                <w:sz w:val="18"/>
                <w:szCs w:val="18"/>
              </w:rPr>
              <w:t>-4.520</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4960065" w14:textId="10464782" w:rsidR="0EDB2EA1" w:rsidRDefault="0EDB2EA1" w:rsidP="0EDB2EA1">
            <w:pPr>
              <w:jc w:val="center"/>
            </w:pPr>
            <w:r w:rsidRPr="0EDB2EA1">
              <w:rPr>
                <w:rFonts w:ascii="Calibri" w:eastAsia="Calibri" w:hAnsi="Calibri" w:cs="Calibri"/>
                <w:sz w:val="18"/>
                <w:szCs w:val="18"/>
              </w:rPr>
              <w:t>0,05%</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E07B32D" w14:textId="4E172830" w:rsidR="0EDB2EA1" w:rsidRDefault="0EDB2EA1" w:rsidP="0EDB2EA1">
            <w:pPr>
              <w:jc w:val="center"/>
            </w:pPr>
            <w:r w:rsidRPr="0EDB2EA1">
              <w:rPr>
                <w:rFonts w:ascii="Calibri" w:eastAsia="Calibri" w:hAnsi="Calibri" w:cs="Calibri"/>
                <w:sz w:val="18"/>
                <w:szCs w:val="18"/>
              </w:rPr>
              <w:t>-4.520</w:t>
            </w:r>
          </w:p>
        </w:tc>
        <w:tc>
          <w:tcPr>
            <w:tcW w:w="19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D657FAB" w14:textId="38E27B6D" w:rsidR="0EDB2EA1" w:rsidRDefault="0EDB2EA1" w:rsidP="0EDB2EA1">
            <w:pPr>
              <w:jc w:val="center"/>
            </w:pPr>
            <w:r w:rsidRPr="0EDB2EA1">
              <w:rPr>
                <w:rFonts w:ascii="Calibri" w:eastAsia="Calibri" w:hAnsi="Calibri" w:cs="Calibri"/>
                <w:sz w:val="18"/>
                <w:szCs w:val="18"/>
              </w:rPr>
              <w:t>0,05%</w:t>
            </w:r>
          </w:p>
        </w:tc>
      </w:tr>
      <w:tr w:rsidR="0EDB2EA1" w14:paraId="03AFA753" w14:textId="77777777" w:rsidTr="0EDB2EA1">
        <w:tc>
          <w:tcPr>
            <w:tcW w:w="9915" w:type="dxa"/>
            <w:gridSpan w:val="5"/>
            <w:tcBorders>
              <w:top w:val="single" w:sz="8" w:space="0" w:color="BFBFBF" w:themeColor="background1" w:themeShade="BF"/>
              <w:left w:val="nil"/>
              <w:bottom w:val="nil"/>
              <w:right w:val="nil"/>
            </w:tcBorders>
            <w:vAlign w:val="center"/>
          </w:tcPr>
          <w:p w14:paraId="603E391D" w14:textId="0F9E1D29" w:rsidR="0EDB2EA1" w:rsidRPr="0002217C" w:rsidRDefault="0EDB2EA1">
            <w:pPr>
              <w:rPr>
                <w:sz w:val="16"/>
                <w:szCs w:val="16"/>
              </w:rPr>
            </w:pPr>
            <w:proofErr w:type="gramStart"/>
            <w:r w:rsidRPr="0002217C">
              <w:rPr>
                <w:rFonts w:ascii="Calibri" w:eastAsia="Calibri" w:hAnsi="Calibri" w:cs="Calibri"/>
                <w:i/>
                <w:sz w:val="16"/>
                <w:szCs w:val="16"/>
                <w:vertAlign w:val="superscript"/>
              </w:rPr>
              <w:t>1</w:t>
            </w:r>
            <w:proofErr w:type="gramEnd"/>
            <w:r w:rsidRPr="0002217C">
              <w:rPr>
                <w:rFonts w:ascii="Calibri" w:eastAsia="Calibri" w:hAnsi="Calibri" w:cs="Calibri"/>
                <w:i/>
                <w:sz w:val="16"/>
                <w:szCs w:val="16"/>
                <w:vertAlign w:val="superscript"/>
              </w:rPr>
              <w:t xml:space="preserve"> </w:t>
            </w:r>
            <w:r w:rsidRPr="0002217C">
              <w:rPr>
                <w:rFonts w:ascii="Calibri" w:eastAsia="Calibri" w:hAnsi="Calibri" w:cs="Calibri"/>
                <w:i/>
                <w:sz w:val="16"/>
                <w:szCs w:val="16"/>
              </w:rPr>
              <w:t>Previsão Inicial 2021 SEST.</w:t>
            </w:r>
          </w:p>
          <w:p w14:paraId="0CCAD4A6" w14:textId="7F467C6E" w:rsidR="0EDB2EA1" w:rsidRDefault="0EDB2EA1">
            <w:r w:rsidRPr="0002217C">
              <w:rPr>
                <w:rFonts w:ascii="Calibri" w:eastAsia="Calibri" w:hAnsi="Calibri" w:cs="Calibri"/>
                <w:b/>
                <w:i/>
                <w:sz w:val="16"/>
                <w:szCs w:val="16"/>
              </w:rPr>
              <w:t>Fonte</w:t>
            </w:r>
            <w:r w:rsidRPr="0002217C">
              <w:rPr>
                <w:rFonts w:ascii="Calibri" w:eastAsia="Calibri" w:hAnsi="Calibri" w:cs="Calibri"/>
                <w:i/>
                <w:sz w:val="16"/>
                <w:szCs w:val="16"/>
              </w:rPr>
              <w:t xml:space="preserve">: LDO 2022. </w:t>
            </w:r>
            <w:r w:rsidRPr="0002217C">
              <w:rPr>
                <w:rFonts w:ascii="Calibri" w:eastAsia="Calibri" w:hAnsi="Calibri" w:cs="Calibri"/>
                <w:b/>
                <w:i/>
                <w:sz w:val="16"/>
                <w:szCs w:val="16"/>
              </w:rPr>
              <w:t>Elaboração</w:t>
            </w:r>
            <w:r w:rsidRPr="0002217C">
              <w:rPr>
                <w:rFonts w:ascii="Calibri" w:eastAsia="Calibri" w:hAnsi="Calibri" w:cs="Calibri"/>
                <w:i/>
                <w:sz w:val="16"/>
                <w:szCs w:val="16"/>
              </w:rPr>
              <w:t>: STN/ME</w:t>
            </w:r>
          </w:p>
        </w:tc>
      </w:tr>
    </w:tbl>
    <w:p w14:paraId="7E4945B0" w14:textId="4F2A8EA8" w:rsidR="00A21F07" w:rsidRDefault="523B8B10" w:rsidP="0EDB2EA1">
      <w:pPr>
        <w:spacing w:after="120" w:line="257" w:lineRule="exact"/>
        <w:jc w:val="both"/>
      </w:pPr>
      <w:r w:rsidRPr="0EDB2EA1">
        <w:rPr>
          <w:rFonts w:ascii="Calibri" w:eastAsia="Calibri" w:hAnsi="Calibri" w:cs="Calibri"/>
          <w:color w:val="00B050"/>
          <w:sz w:val="24"/>
          <w:szCs w:val="24"/>
        </w:rPr>
        <w:lastRenderedPageBreak/>
        <w:t xml:space="preserve"> </w:t>
      </w:r>
    </w:p>
    <w:p w14:paraId="4057E166" w14:textId="7BFE39A9"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 xml:space="preserve">As empresas estatais dependem de sua </w:t>
      </w:r>
      <w:proofErr w:type="gramStart"/>
      <w:r w:rsidRPr="0EDB2EA1">
        <w:rPr>
          <w:rFonts w:ascii="Calibri" w:eastAsia="Calibri" w:hAnsi="Calibri" w:cs="Calibri"/>
          <w:color w:val="000000" w:themeColor="text1"/>
          <w:sz w:val="24"/>
          <w:szCs w:val="24"/>
        </w:rPr>
        <w:t>performance</w:t>
      </w:r>
      <w:proofErr w:type="gramEnd"/>
      <w:r w:rsidRPr="0EDB2EA1">
        <w:rPr>
          <w:rFonts w:ascii="Calibri" w:eastAsia="Calibri" w:hAnsi="Calibri" w:cs="Calibri"/>
          <w:color w:val="000000" w:themeColor="text1"/>
          <w:sz w:val="24"/>
          <w:szCs w:val="24"/>
        </w:rPr>
        <w:t xml:space="preserve"> para o atingimento das expectativas de resultado primário. Eventuais mudanças no cenário econômico, ao longo do exercício financeiro, podem alterar esse resultado pela conjugação de outras variáveis e suas estratégias de atuação. Em razão da diversidade das atividades econômicas envolvidas, não há meios de se obter uma mensuração do risco com suficiente segurança.</w:t>
      </w:r>
    </w:p>
    <w:p w14:paraId="253F1F92" w14:textId="2044DC72" w:rsidR="00A21F07" w:rsidRDefault="523B8B10" w:rsidP="00BB3FC2">
      <w:pPr>
        <w:spacing w:after="120" w:line="240" w:lineRule="auto"/>
        <w:ind w:firstLine="1418"/>
        <w:jc w:val="both"/>
      </w:pPr>
      <w:r w:rsidRPr="0EDB2EA1">
        <w:rPr>
          <w:rFonts w:ascii="Calibri" w:eastAsia="Calibri" w:hAnsi="Calibri" w:cs="Calibri"/>
          <w:color w:val="000000" w:themeColor="text1"/>
          <w:sz w:val="24"/>
          <w:szCs w:val="24"/>
        </w:rPr>
        <w:t xml:space="preserve">O resultado primário de 2021 das empresas estatais estará muito concentrado no desempenho da </w:t>
      </w:r>
      <w:proofErr w:type="gramStart"/>
      <w:r w:rsidRPr="0EDB2EA1">
        <w:rPr>
          <w:rFonts w:ascii="Calibri" w:eastAsia="Calibri" w:hAnsi="Calibri" w:cs="Calibri"/>
          <w:color w:val="000000" w:themeColor="text1"/>
          <w:sz w:val="24"/>
          <w:szCs w:val="24"/>
        </w:rPr>
        <w:t>implementação</w:t>
      </w:r>
      <w:proofErr w:type="gramEnd"/>
      <w:r w:rsidRPr="0EDB2EA1">
        <w:rPr>
          <w:rFonts w:ascii="Calibri" w:eastAsia="Calibri" w:hAnsi="Calibri" w:cs="Calibri"/>
          <w:color w:val="000000" w:themeColor="text1"/>
          <w:sz w:val="24"/>
          <w:szCs w:val="24"/>
        </w:rPr>
        <w:t xml:space="preserve"> do programa de construção de corvetas pela </w:t>
      </w:r>
      <w:proofErr w:type="spellStart"/>
      <w:r w:rsidRPr="0EDB2EA1">
        <w:rPr>
          <w:rFonts w:ascii="Calibri" w:eastAsia="Calibri" w:hAnsi="Calibri" w:cs="Calibri"/>
          <w:color w:val="000000" w:themeColor="text1"/>
          <w:sz w:val="24"/>
          <w:szCs w:val="24"/>
        </w:rPr>
        <w:t>Engeprom</w:t>
      </w:r>
      <w:proofErr w:type="spellEnd"/>
      <w:r w:rsidRPr="0EDB2EA1">
        <w:rPr>
          <w:rFonts w:ascii="Calibri" w:eastAsia="Calibri" w:hAnsi="Calibri" w:cs="Calibri"/>
          <w:color w:val="000000" w:themeColor="text1"/>
          <w:sz w:val="24"/>
          <w:szCs w:val="24"/>
        </w:rPr>
        <w:t xml:space="preserve"> e de alguns outros investimentos de outras empresas, assim como do desempenho das empresas estatais frente aos desafios econômicos gerados pela Pandemia da COVID-19, em especial a Infraero. </w:t>
      </w:r>
    </w:p>
    <w:p w14:paraId="017E9D9A" w14:textId="58EA635D" w:rsidR="00A21F07" w:rsidRDefault="523B8B10" w:rsidP="00BB3FC2">
      <w:pPr>
        <w:spacing w:after="120" w:line="240" w:lineRule="auto"/>
        <w:ind w:firstLine="1418"/>
        <w:jc w:val="both"/>
        <w:rPr>
          <w:rFonts w:ascii="Calibri" w:eastAsia="Calibri" w:hAnsi="Calibri" w:cs="Calibri"/>
          <w:color w:val="000000" w:themeColor="text1"/>
          <w:sz w:val="24"/>
          <w:szCs w:val="24"/>
        </w:rPr>
      </w:pPr>
      <w:r w:rsidRPr="0EDB2EA1">
        <w:rPr>
          <w:rFonts w:ascii="Calibri" w:eastAsia="Calibri" w:hAnsi="Calibri" w:cs="Calibri"/>
          <w:color w:val="000000" w:themeColor="text1"/>
          <w:sz w:val="24"/>
          <w:szCs w:val="24"/>
        </w:rPr>
        <w:t xml:space="preserve">Contudo, conforme previsão inicial constante do PDG, a compensação por parte do Governo Central pode ser </w:t>
      </w:r>
      <w:r w:rsidR="008C28F2" w:rsidRPr="0EDB2EA1">
        <w:rPr>
          <w:rFonts w:ascii="Calibri" w:eastAsia="Calibri" w:hAnsi="Calibri" w:cs="Calibri"/>
          <w:color w:val="000000" w:themeColor="text1"/>
          <w:sz w:val="24"/>
          <w:szCs w:val="24"/>
        </w:rPr>
        <w:t>considerada</w:t>
      </w:r>
      <w:r w:rsidRPr="0EDB2EA1">
        <w:rPr>
          <w:rFonts w:ascii="Calibri" w:eastAsia="Calibri" w:hAnsi="Calibri" w:cs="Calibri"/>
          <w:color w:val="000000" w:themeColor="text1"/>
          <w:sz w:val="24"/>
          <w:szCs w:val="24"/>
        </w:rPr>
        <w:t xml:space="preserve"> risco remoto.</w:t>
      </w:r>
    </w:p>
    <w:p w14:paraId="283A29E9" w14:textId="77777777" w:rsidR="00187826" w:rsidRDefault="00187826" w:rsidP="00BB3FC2">
      <w:pPr>
        <w:spacing w:after="120" w:line="240" w:lineRule="auto"/>
        <w:ind w:firstLine="1418"/>
        <w:jc w:val="both"/>
      </w:pPr>
    </w:p>
    <w:p w14:paraId="1371FA91" w14:textId="49C342B2" w:rsidR="000D17A6" w:rsidRPr="00467C03" w:rsidRDefault="000D17A6" w:rsidP="002E09EA">
      <w:pPr>
        <w:pStyle w:val="Ttulo3"/>
        <w:keepNext w:val="0"/>
        <w:numPr>
          <w:ilvl w:val="2"/>
          <w:numId w:val="36"/>
        </w:numPr>
        <w:spacing w:before="240" w:after="120"/>
        <w:ind w:left="720" w:hanging="720"/>
        <w:rPr>
          <w:rFonts w:asciiTheme="minorHAnsi" w:hAnsiTheme="minorHAnsi"/>
          <w:b/>
          <w:smallCaps w:val="0"/>
        </w:rPr>
      </w:pPr>
      <w:bookmarkStart w:id="433" w:name="_Toc5012256"/>
      <w:bookmarkStart w:id="434" w:name="_Toc5030502"/>
      <w:bookmarkStart w:id="435" w:name="_Toc5180298"/>
      <w:bookmarkStart w:id="436" w:name="_Toc67318010"/>
      <w:bookmarkStart w:id="437" w:name="_Toc67929664"/>
      <w:bookmarkStart w:id="438" w:name="_Toc69121243"/>
      <w:r w:rsidRPr="0EDB2EA1">
        <w:rPr>
          <w:rFonts w:asciiTheme="minorHAnsi" w:hAnsiTheme="minorHAnsi"/>
          <w:b/>
          <w:smallCaps w:val="0"/>
        </w:rPr>
        <w:t xml:space="preserve">Fundo </w:t>
      </w:r>
      <w:r w:rsidR="000A2090" w:rsidRPr="0EDB2EA1">
        <w:rPr>
          <w:rFonts w:asciiTheme="minorHAnsi" w:hAnsiTheme="minorHAnsi"/>
          <w:b/>
          <w:smallCaps w:val="0"/>
        </w:rPr>
        <w:t>d</w:t>
      </w:r>
      <w:r w:rsidRPr="0EDB2EA1">
        <w:rPr>
          <w:rFonts w:asciiTheme="minorHAnsi" w:hAnsiTheme="minorHAnsi"/>
          <w:b/>
          <w:smallCaps w:val="0"/>
        </w:rPr>
        <w:t xml:space="preserve">e Financiamento Estudantil </w:t>
      </w:r>
      <w:r w:rsidR="0095387A" w:rsidRPr="0EDB2EA1">
        <w:rPr>
          <w:rFonts w:asciiTheme="minorHAnsi" w:hAnsiTheme="minorHAnsi"/>
          <w:b/>
          <w:smallCaps w:val="0"/>
        </w:rPr>
        <w:t>(</w:t>
      </w:r>
      <w:r w:rsidRPr="0EDB2EA1">
        <w:rPr>
          <w:rFonts w:asciiTheme="minorHAnsi" w:hAnsiTheme="minorHAnsi"/>
          <w:b/>
          <w:smallCaps w:val="0"/>
        </w:rPr>
        <w:t>F</w:t>
      </w:r>
      <w:r w:rsidR="0095387A" w:rsidRPr="0EDB2EA1">
        <w:rPr>
          <w:rFonts w:asciiTheme="minorHAnsi" w:hAnsiTheme="minorHAnsi"/>
          <w:b/>
          <w:smallCaps w:val="0"/>
        </w:rPr>
        <w:t>ies</w:t>
      </w:r>
      <w:bookmarkEnd w:id="433"/>
      <w:bookmarkEnd w:id="434"/>
      <w:r w:rsidR="0095387A" w:rsidRPr="0EDB2EA1">
        <w:rPr>
          <w:rFonts w:asciiTheme="minorHAnsi" w:hAnsiTheme="minorHAnsi"/>
          <w:b/>
          <w:smallCaps w:val="0"/>
        </w:rPr>
        <w:t>)</w:t>
      </w:r>
      <w:bookmarkEnd w:id="435"/>
      <w:bookmarkEnd w:id="436"/>
      <w:bookmarkEnd w:id="437"/>
      <w:bookmarkEnd w:id="438"/>
    </w:p>
    <w:p w14:paraId="16A64C71" w14:textId="53BE83F7" w:rsidR="0061614E" w:rsidRPr="00353D69" w:rsidRDefault="00711A76" w:rsidP="68783CE5">
      <w:pPr>
        <w:spacing w:after="120" w:line="240" w:lineRule="auto"/>
        <w:ind w:firstLine="1418"/>
        <w:jc w:val="both"/>
        <w:rPr>
          <w:rFonts w:eastAsia="Times New Roman"/>
          <w:color w:val="000000" w:themeColor="text1"/>
          <w:sz w:val="24"/>
          <w:szCs w:val="24"/>
        </w:rPr>
      </w:pPr>
      <w:r w:rsidRPr="00353D69">
        <w:rPr>
          <w:rFonts w:eastAsia="Times New Roman"/>
          <w:color w:val="000000" w:themeColor="text1"/>
          <w:sz w:val="24"/>
          <w:szCs w:val="24"/>
        </w:rPr>
        <w:t>O Fundo de Financiamento Estudantil (Fies) tem como objetivo financiar a graduação de estudantes em instituições privadas de ensino superior e foi instituído pela Medida Provisória (MP) nº 1.827, de 27</w:t>
      </w:r>
      <w:r w:rsidR="2E04A991" w:rsidRPr="00353D69">
        <w:rPr>
          <w:rFonts w:eastAsia="Times New Roman"/>
          <w:color w:val="000000" w:themeColor="text1"/>
          <w:sz w:val="24"/>
          <w:szCs w:val="24"/>
        </w:rPr>
        <w:t xml:space="preserve"> de maio de </w:t>
      </w:r>
      <w:r w:rsidRPr="00353D69">
        <w:rPr>
          <w:rFonts w:eastAsia="Times New Roman"/>
          <w:color w:val="000000" w:themeColor="text1"/>
          <w:sz w:val="24"/>
          <w:szCs w:val="24"/>
        </w:rPr>
        <w:t>1999, transformada na Lei nº 10.260, de 12 de julho de 2001.</w:t>
      </w:r>
    </w:p>
    <w:p w14:paraId="04CF54A2" w14:textId="35D434F9" w:rsidR="00D948C1" w:rsidRPr="00353D69" w:rsidRDefault="00D948C1" w:rsidP="68783CE5">
      <w:pPr>
        <w:spacing w:after="120" w:line="240" w:lineRule="auto"/>
        <w:ind w:firstLine="1418"/>
        <w:jc w:val="both"/>
        <w:rPr>
          <w:rFonts w:eastAsia="Times New Roman"/>
          <w:color w:val="000000" w:themeColor="text1"/>
          <w:sz w:val="24"/>
          <w:szCs w:val="24"/>
        </w:rPr>
      </w:pPr>
      <w:r w:rsidRPr="00353D69">
        <w:rPr>
          <w:color w:val="000000" w:themeColor="text1"/>
          <w:sz w:val="24"/>
          <w:szCs w:val="24"/>
        </w:rPr>
        <w:t>Após passar por diversos aprimoramentos em seu desenho, a partir do ano de 2018</w:t>
      </w:r>
      <w:r w:rsidR="2E8C6890" w:rsidRPr="00353D69">
        <w:rPr>
          <w:color w:val="000000" w:themeColor="text1"/>
          <w:sz w:val="24"/>
          <w:szCs w:val="24"/>
        </w:rPr>
        <w:t>,</w:t>
      </w:r>
      <w:r w:rsidRPr="00353D69">
        <w:rPr>
          <w:color w:val="000000" w:themeColor="text1"/>
          <w:sz w:val="24"/>
          <w:szCs w:val="24"/>
        </w:rPr>
        <w:t xml:space="preserve"> </w:t>
      </w:r>
      <w:proofErr w:type="gramStart"/>
      <w:r w:rsidRPr="00353D69">
        <w:rPr>
          <w:color w:val="000000" w:themeColor="text1"/>
          <w:sz w:val="24"/>
          <w:szCs w:val="24"/>
        </w:rPr>
        <w:t>o novo FIES</w:t>
      </w:r>
      <w:proofErr w:type="gramEnd"/>
      <w:r w:rsidRPr="00353D69">
        <w:rPr>
          <w:rStyle w:val="Refdenotaderodap"/>
          <w:color w:val="000000" w:themeColor="text1"/>
          <w:sz w:val="24"/>
          <w:szCs w:val="24"/>
        </w:rPr>
        <w:footnoteReference w:id="25"/>
      </w:r>
      <w:r w:rsidRPr="00353D69">
        <w:rPr>
          <w:color w:val="000000" w:themeColor="text1"/>
          <w:sz w:val="24"/>
          <w:szCs w:val="24"/>
        </w:rPr>
        <w:t xml:space="preserve"> se caracteriza por ser um modelo de financiamento estudantil segmentado em diferentes modalidades e com uma escala de financiamentos que varia conforme a renda familiar do candidato. O novo programa traz melhorias na gestão do fundo, dando sustentabilidade financeira ao programa</w:t>
      </w:r>
      <w:r w:rsidR="0E181313" w:rsidRPr="00353D69">
        <w:rPr>
          <w:color w:val="000000" w:themeColor="text1"/>
          <w:sz w:val="24"/>
          <w:szCs w:val="24"/>
        </w:rPr>
        <w:t>,</w:t>
      </w:r>
      <w:r w:rsidRPr="00353D69">
        <w:rPr>
          <w:color w:val="000000" w:themeColor="text1"/>
          <w:sz w:val="24"/>
          <w:szCs w:val="24"/>
        </w:rPr>
        <w:t xml:space="preserve"> a fim de garantir seu avanço econômico e social e viabilizar um acesso mais amplo ao ensino superior.</w:t>
      </w:r>
    </w:p>
    <w:p w14:paraId="0B0E1701" w14:textId="2D074F89" w:rsidR="003A6F54" w:rsidRPr="00467C03" w:rsidRDefault="00E25DF0" w:rsidP="002E09EA">
      <w:pPr>
        <w:pStyle w:val="Ttulo4"/>
        <w:keepLines/>
        <w:numPr>
          <w:ilvl w:val="3"/>
          <w:numId w:val="36"/>
        </w:numPr>
        <w:spacing w:before="240" w:after="120"/>
        <w:ind w:left="862" w:hanging="862"/>
        <w:jc w:val="left"/>
        <w:rPr>
          <w:rFonts w:asciiTheme="minorHAnsi" w:hAnsiTheme="minorHAnsi"/>
        </w:rPr>
      </w:pPr>
      <w:r w:rsidRPr="0EDB2EA1">
        <w:rPr>
          <w:rFonts w:asciiTheme="minorHAnsi" w:hAnsiTheme="minorHAnsi"/>
        </w:rPr>
        <w:t xml:space="preserve">Evolução </w:t>
      </w:r>
      <w:r w:rsidR="00E2553C" w:rsidRPr="0EDB2EA1">
        <w:rPr>
          <w:rFonts w:asciiTheme="minorHAnsi" w:hAnsiTheme="minorHAnsi"/>
        </w:rPr>
        <w:t>dos financiamentos e sustentabilidade fiscal</w:t>
      </w:r>
    </w:p>
    <w:p w14:paraId="20EE8C91" w14:textId="0D61FE15" w:rsidR="0061614E" w:rsidRPr="00353D69" w:rsidRDefault="5204F1F0" w:rsidP="68783CE5">
      <w:pPr>
        <w:spacing w:after="120" w:line="240" w:lineRule="auto"/>
        <w:ind w:firstLine="1418"/>
        <w:jc w:val="both"/>
        <w:rPr>
          <w:rFonts w:eastAsia="Times New Roman"/>
          <w:color w:val="000000" w:themeColor="text1"/>
          <w:sz w:val="24"/>
          <w:szCs w:val="24"/>
        </w:rPr>
      </w:pPr>
      <w:r w:rsidRPr="00353D69">
        <w:rPr>
          <w:rFonts w:ascii="Calibri" w:eastAsia="Calibri" w:hAnsi="Calibri" w:cs="Calibri"/>
          <w:color w:val="000000" w:themeColor="text1"/>
          <w:sz w:val="24"/>
          <w:szCs w:val="24"/>
        </w:rPr>
        <w:t xml:space="preserve">O Programa, desde sua criação em </w:t>
      </w:r>
      <w:r w:rsidR="0061614E" w:rsidRPr="00353D69">
        <w:rPr>
          <w:rFonts w:ascii="Calibri" w:eastAsia="Calibri" w:hAnsi="Calibri" w:cs="Calibri"/>
          <w:color w:val="000000" w:themeColor="text1"/>
          <w:sz w:val="24"/>
          <w:szCs w:val="24"/>
        </w:rPr>
        <w:t xml:space="preserve">1999 </w:t>
      </w:r>
      <w:r w:rsidRPr="00353D69">
        <w:rPr>
          <w:rFonts w:ascii="Calibri" w:eastAsia="Calibri" w:hAnsi="Calibri" w:cs="Calibri"/>
          <w:color w:val="000000" w:themeColor="text1"/>
          <w:sz w:val="24"/>
          <w:szCs w:val="24"/>
        </w:rPr>
        <w:t xml:space="preserve">até </w:t>
      </w:r>
      <w:r w:rsidR="11CAA96E" w:rsidRPr="00353D69">
        <w:rPr>
          <w:rFonts w:ascii="Calibri" w:eastAsia="Calibri" w:hAnsi="Calibri" w:cs="Calibri"/>
          <w:color w:val="000000" w:themeColor="text1"/>
          <w:sz w:val="24"/>
          <w:szCs w:val="24"/>
        </w:rPr>
        <w:t xml:space="preserve">o ano de </w:t>
      </w:r>
      <w:r w:rsidRPr="00353D69">
        <w:rPr>
          <w:rFonts w:ascii="Calibri" w:eastAsia="Calibri" w:hAnsi="Calibri" w:cs="Calibri"/>
          <w:color w:val="000000" w:themeColor="text1"/>
          <w:sz w:val="24"/>
          <w:szCs w:val="24"/>
        </w:rPr>
        <w:t xml:space="preserve">2020, concedeu </w:t>
      </w:r>
      <w:r w:rsidR="0061614E" w:rsidRPr="00353D69">
        <w:rPr>
          <w:rFonts w:ascii="Calibri" w:eastAsia="Calibri" w:hAnsi="Calibri" w:cs="Calibri"/>
          <w:color w:val="000000" w:themeColor="text1"/>
          <w:sz w:val="24"/>
          <w:szCs w:val="24"/>
        </w:rPr>
        <w:t xml:space="preserve">aproximadamente </w:t>
      </w:r>
      <w:r w:rsidRPr="00353D69">
        <w:rPr>
          <w:rFonts w:ascii="Calibri" w:eastAsia="Calibri" w:hAnsi="Calibri" w:cs="Calibri"/>
          <w:color w:val="000000" w:themeColor="text1"/>
          <w:sz w:val="24"/>
          <w:szCs w:val="24"/>
        </w:rPr>
        <w:t xml:space="preserve">3,4 milhões de </w:t>
      </w:r>
      <w:r w:rsidR="0061614E" w:rsidRPr="00353D69">
        <w:rPr>
          <w:rFonts w:ascii="Calibri" w:eastAsia="Calibri" w:hAnsi="Calibri" w:cs="Calibri"/>
          <w:color w:val="000000" w:themeColor="text1"/>
          <w:sz w:val="24"/>
          <w:szCs w:val="24"/>
        </w:rPr>
        <w:t xml:space="preserve">financiamentos </w:t>
      </w:r>
      <w:r w:rsidRPr="00353D69">
        <w:rPr>
          <w:rFonts w:ascii="Calibri" w:eastAsia="Calibri" w:hAnsi="Calibri" w:cs="Calibri"/>
          <w:color w:val="000000" w:themeColor="text1"/>
          <w:sz w:val="24"/>
          <w:szCs w:val="24"/>
        </w:rPr>
        <w:t>em todo o Brasil, sendo que 2,7 milhões foram formalizados a partir d</w:t>
      </w:r>
      <w:r w:rsidR="5000C5F5" w:rsidRPr="00353D69">
        <w:rPr>
          <w:rFonts w:ascii="Calibri" w:eastAsia="Calibri" w:hAnsi="Calibri" w:cs="Calibri"/>
          <w:color w:val="000000" w:themeColor="text1"/>
          <w:sz w:val="24"/>
          <w:szCs w:val="24"/>
        </w:rPr>
        <w:t xml:space="preserve">o ano </w:t>
      </w:r>
      <w:r w:rsidRPr="00353D69">
        <w:rPr>
          <w:rFonts w:ascii="Calibri" w:eastAsia="Calibri" w:hAnsi="Calibri" w:cs="Calibri"/>
          <w:color w:val="000000" w:themeColor="text1"/>
          <w:sz w:val="24"/>
          <w:szCs w:val="24"/>
        </w:rPr>
        <w:t>de 2010</w:t>
      </w:r>
      <w:r w:rsidR="00E0140B" w:rsidRPr="00353D69">
        <w:rPr>
          <w:rFonts w:eastAsia="Times New Roman"/>
          <w:color w:val="000000" w:themeColor="text1"/>
          <w:sz w:val="24"/>
          <w:szCs w:val="24"/>
        </w:rPr>
        <w:t>. A</w:t>
      </w:r>
      <w:r w:rsidR="00923EBD" w:rsidRPr="00353D69">
        <w:rPr>
          <w:rFonts w:eastAsia="Times New Roman"/>
          <w:color w:val="000000" w:themeColor="text1"/>
          <w:sz w:val="24"/>
          <w:szCs w:val="24"/>
        </w:rPr>
        <w:t xml:space="preserve"> </w:t>
      </w:r>
      <w:r w:rsidR="00822666" w:rsidRPr="00822666">
        <w:rPr>
          <w:rFonts w:eastAsia="Times New Roman"/>
          <w:color w:val="000000" w:themeColor="text1"/>
          <w:sz w:val="24"/>
          <w:szCs w:val="24"/>
        </w:rPr>
        <w:fldChar w:fldCharType="begin"/>
      </w:r>
      <w:r w:rsidR="00822666" w:rsidRPr="00822666">
        <w:rPr>
          <w:rFonts w:eastAsia="Times New Roman"/>
          <w:color w:val="000000" w:themeColor="text1"/>
          <w:sz w:val="24"/>
          <w:szCs w:val="24"/>
        </w:rPr>
        <w:instrText xml:space="preserve"> REF _Ref35246993 \h  \* MERGEFORMAT </w:instrText>
      </w:r>
      <w:r w:rsidR="00822666" w:rsidRPr="00822666">
        <w:rPr>
          <w:rFonts w:eastAsia="Times New Roman"/>
          <w:color w:val="000000" w:themeColor="text1"/>
          <w:sz w:val="24"/>
          <w:szCs w:val="24"/>
        </w:rPr>
      </w:r>
      <w:r w:rsidR="00822666" w:rsidRPr="00822666">
        <w:rPr>
          <w:rFonts w:eastAsia="Times New Roman"/>
          <w:color w:val="000000" w:themeColor="text1"/>
          <w:sz w:val="24"/>
          <w:szCs w:val="24"/>
        </w:rPr>
        <w:fldChar w:fldCharType="separate"/>
      </w:r>
      <w:r w:rsidR="00304F5F" w:rsidRPr="00304F5F">
        <w:rPr>
          <w:sz w:val="24"/>
          <w:szCs w:val="24"/>
        </w:rPr>
        <w:t xml:space="preserve">Tabela </w:t>
      </w:r>
      <w:r w:rsidR="00304F5F" w:rsidRPr="00304F5F">
        <w:rPr>
          <w:noProof/>
          <w:sz w:val="24"/>
          <w:szCs w:val="24"/>
        </w:rPr>
        <w:t>66</w:t>
      </w:r>
      <w:r w:rsidR="00822666" w:rsidRPr="00822666">
        <w:rPr>
          <w:rFonts w:eastAsia="Times New Roman"/>
          <w:color w:val="000000" w:themeColor="text1"/>
          <w:sz w:val="24"/>
          <w:szCs w:val="24"/>
        </w:rPr>
        <w:fldChar w:fldCharType="end"/>
      </w:r>
      <w:r w:rsidR="00E0140B" w:rsidRPr="00353D69">
        <w:rPr>
          <w:rFonts w:eastAsia="Times New Roman"/>
          <w:color w:val="000000" w:themeColor="text1"/>
          <w:sz w:val="24"/>
          <w:szCs w:val="24"/>
        </w:rPr>
        <w:t xml:space="preserve"> apresenta a</w:t>
      </w:r>
      <w:r w:rsidR="00B4451D" w:rsidRPr="00353D69">
        <w:rPr>
          <w:rFonts w:eastAsia="Times New Roman"/>
          <w:color w:val="000000" w:themeColor="text1"/>
          <w:sz w:val="24"/>
          <w:szCs w:val="24"/>
        </w:rPr>
        <w:t xml:space="preserve"> evolução d</w:t>
      </w:r>
      <w:r w:rsidR="00DC5957" w:rsidRPr="00353D69">
        <w:rPr>
          <w:rFonts w:eastAsia="Times New Roman"/>
          <w:color w:val="000000" w:themeColor="text1"/>
          <w:sz w:val="24"/>
          <w:szCs w:val="24"/>
        </w:rPr>
        <w:t>a concessão de contratos</w:t>
      </w:r>
      <w:r w:rsidR="00923EBD" w:rsidRPr="00353D69">
        <w:rPr>
          <w:rFonts w:eastAsia="Times New Roman"/>
          <w:color w:val="000000" w:themeColor="text1"/>
          <w:sz w:val="24"/>
          <w:szCs w:val="24"/>
        </w:rPr>
        <w:t>.</w:t>
      </w:r>
    </w:p>
    <w:p w14:paraId="19B26C10" w14:textId="1B3D8715" w:rsidR="009B7A23" w:rsidRPr="0022645B" w:rsidRDefault="009B7A23" w:rsidP="00FC2D6C">
      <w:pPr>
        <w:pStyle w:val="Legenda"/>
        <w:spacing w:before="240" w:after="120"/>
        <w:jc w:val="center"/>
        <w:rPr>
          <w:rFonts w:asciiTheme="minorHAnsi" w:hAnsiTheme="minorHAnsi"/>
          <w:i w:val="0"/>
          <w:color w:val="auto"/>
          <w:sz w:val="22"/>
          <w:szCs w:val="22"/>
        </w:rPr>
      </w:pPr>
      <w:bookmarkStart w:id="439" w:name="_Ref35246993"/>
      <w:bookmarkStart w:id="440" w:name="_Toc69121412"/>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66</w:t>
      </w:r>
      <w:r w:rsidRPr="0022645B">
        <w:rPr>
          <w:rFonts w:asciiTheme="minorHAnsi" w:hAnsiTheme="minorHAnsi"/>
          <w:i w:val="0"/>
          <w:color w:val="auto"/>
          <w:sz w:val="22"/>
          <w:szCs w:val="22"/>
        </w:rPr>
        <w:fldChar w:fldCharType="end"/>
      </w:r>
      <w:bookmarkEnd w:id="439"/>
      <w:r>
        <w:rPr>
          <w:rFonts w:asciiTheme="minorHAnsi" w:hAnsiTheme="minorHAnsi"/>
          <w:i w:val="0"/>
          <w:color w:val="auto"/>
          <w:sz w:val="22"/>
          <w:szCs w:val="22"/>
        </w:rPr>
        <w:t xml:space="preserve"> </w:t>
      </w:r>
      <w:r w:rsidR="001016B2">
        <w:rPr>
          <w:rFonts w:asciiTheme="minorHAnsi" w:hAnsiTheme="minorHAnsi"/>
          <w:i w:val="0"/>
          <w:color w:val="auto"/>
          <w:sz w:val="22"/>
          <w:szCs w:val="22"/>
        </w:rPr>
        <w:t>-</w:t>
      </w:r>
      <w:r w:rsidRPr="0022645B">
        <w:rPr>
          <w:rFonts w:asciiTheme="minorHAnsi" w:hAnsiTheme="minorHAnsi"/>
          <w:i w:val="0"/>
          <w:color w:val="auto"/>
          <w:sz w:val="22"/>
          <w:szCs w:val="22"/>
        </w:rPr>
        <w:t xml:space="preserve"> </w:t>
      </w:r>
      <w:r w:rsidR="00306475">
        <w:rPr>
          <w:rFonts w:asciiTheme="minorHAnsi" w:hAnsiTheme="minorHAnsi"/>
          <w:i w:val="0"/>
          <w:color w:val="auto"/>
          <w:sz w:val="22"/>
          <w:szCs w:val="22"/>
        </w:rPr>
        <w:t>Evolução</w:t>
      </w:r>
      <w:r>
        <w:rPr>
          <w:rFonts w:asciiTheme="minorHAnsi" w:hAnsiTheme="minorHAnsi"/>
          <w:i w:val="0"/>
          <w:color w:val="auto"/>
          <w:sz w:val="22"/>
          <w:szCs w:val="22"/>
        </w:rPr>
        <w:t xml:space="preserve"> </w:t>
      </w:r>
      <w:r w:rsidR="00306475">
        <w:rPr>
          <w:rFonts w:asciiTheme="minorHAnsi" w:hAnsiTheme="minorHAnsi"/>
          <w:i w:val="0"/>
          <w:color w:val="auto"/>
          <w:sz w:val="22"/>
          <w:szCs w:val="22"/>
        </w:rPr>
        <w:t>d</w:t>
      </w:r>
      <w:r w:rsidR="00DC5957">
        <w:rPr>
          <w:rFonts w:asciiTheme="minorHAnsi" w:hAnsiTheme="minorHAnsi"/>
          <w:i w:val="0"/>
          <w:color w:val="auto"/>
          <w:sz w:val="22"/>
          <w:szCs w:val="22"/>
        </w:rPr>
        <w:t xml:space="preserve">a concessão </w:t>
      </w:r>
      <w:r>
        <w:rPr>
          <w:rFonts w:asciiTheme="minorHAnsi" w:hAnsiTheme="minorHAnsi"/>
          <w:i w:val="0"/>
          <w:color w:val="auto"/>
          <w:sz w:val="22"/>
          <w:szCs w:val="22"/>
        </w:rPr>
        <w:t xml:space="preserve">de </w:t>
      </w:r>
      <w:r w:rsidR="003A7FCB">
        <w:rPr>
          <w:rFonts w:asciiTheme="minorHAnsi" w:hAnsiTheme="minorHAnsi"/>
          <w:i w:val="0"/>
          <w:color w:val="auto"/>
          <w:sz w:val="22"/>
          <w:szCs w:val="22"/>
        </w:rPr>
        <w:t>c</w:t>
      </w:r>
      <w:r w:rsidRPr="00831E2E">
        <w:rPr>
          <w:rFonts w:asciiTheme="minorHAnsi" w:hAnsiTheme="minorHAnsi"/>
          <w:i w:val="0"/>
          <w:color w:val="auto"/>
          <w:sz w:val="22"/>
          <w:szCs w:val="22"/>
        </w:rPr>
        <w:t>ontratos</w:t>
      </w:r>
      <w:r w:rsidR="005F0A5A">
        <w:rPr>
          <w:rFonts w:asciiTheme="minorHAnsi" w:hAnsiTheme="minorHAnsi"/>
          <w:i w:val="0"/>
          <w:color w:val="auto"/>
          <w:sz w:val="22"/>
          <w:szCs w:val="22"/>
        </w:rPr>
        <w:t xml:space="preserve"> do Fies</w:t>
      </w:r>
      <w:bookmarkEnd w:id="440"/>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4"/>
        <w:gridCol w:w="2430"/>
      </w:tblGrid>
      <w:tr w:rsidR="00A645A7" w:rsidRPr="00E17B07" w14:paraId="3626A950" w14:textId="77777777" w:rsidTr="001E5583">
        <w:trPr>
          <w:trHeight w:val="20"/>
          <w:tblHeader/>
          <w:jc w:val="center"/>
        </w:trPr>
        <w:tc>
          <w:tcPr>
            <w:tcW w:w="0" w:type="auto"/>
            <w:shd w:val="clear" w:color="auto" w:fill="404040" w:themeFill="text1" w:themeFillTint="BF"/>
            <w:vAlign w:val="center"/>
          </w:tcPr>
          <w:p w14:paraId="4A2E104B" w14:textId="77777777" w:rsidR="009B7A23" w:rsidRPr="00E17B07" w:rsidRDefault="009B7A23" w:rsidP="00E17B07">
            <w:pPr>
              <w:spacing w:after="0" w:line="240" w:lineRule="auto"/>
              <w:jc w:val="center"/>
              <w:rPr>
                <w:rFonts w:eastAsia="Times New Roman" w:cs="Times New Roman"/>
                <w:b/>
                <w:bCs/>
                <w:color w:val="FFFFFF" w:themeColor="background1"/>
                <w:sz w:val="20"/>
                <w:szCs w:val="20"/>
                <w:lang w:eastAsia="pt-BR"/>
              </w:rPr>
            </w:pPr>
            <w:r w:rsidRPr="00E17B07">
              <w:rPr>
                <w:rFonts w:eastAsia="Times New Roman" w:cs="Times New Roman"/>
                <w:b/>
                <w:bCs/>
                <w:color w:val="FFFFFF" w:themeColor="background1"/>
                <w:sz w:val="20"/>
                <w:szCs w:val="20"/>
                <w:lang w:eastAsia="pt-BR"/>
              </w:rPr>
              <w:t>Ano</w:t>
            </w:r>
            <w:r w:rsidRPr="00E17B07">
              <w:rPr>
                <w:rFonts w:eastAsia="Times New Roman" w:cs="Times New Roman"/>
                <w:b/>
                <w:bCs/>
                <w:color w:val="FFFFFF" w:themeColor="background1"/>
                <w:sz w:val="20"/>
                <w:szCs w:val="20"/>
                <w:vertAlign w:val="superscript"/>
                <w:lang w:eastAsia="pt-BR"/>
              </w:rPr>
              <w:t>1</w:t>
            </w:r>
          </w:p>
        </w:tc>
        <w:tc>
          <w:tcPr>
            <w:tcW w:w="0" w:type="auto"/>
            <w:shd w:val="clear" w:color="auto" w:fill="404040" w:themeFill="text1" w:themeFillTint="BF"/>
            <w:vAlign w:val="center"/>
          </w:tcPr>
          <w:p w14:paraId="1D81E36B" w14:textId="4E512948" w:rsidR="00A36D6D" w:rsidRPr="00E17B07" w:rsidRDefault="00DC71CF" w:rsidP="00E17B07">
            <w:pPr>
              <w:spacing w:after="0" w:line="240" w:lineRule="auto"/>
              <w:jc w:val="center"/>
              <w:rPr>
                <w:rFonts w:eastAsia="Times New Roman" w:cs="Times New Roman"/>
                <w:b/>
                <w:bCs/>
                <w:color w:val="FFFFFF" w:themeColor="background1"/>
                <w:sz w:val="20"/>
                <w:szCs w:val="20"/>
                <w:lang w:eastAsia="pt-BR"/>
              </w:rPr>
            </w:pPr>
            <w:r w:rsidRPr="00E17B07">
              <w:rPr>
                <w:rFonts w:eastAsia="Times New Roman" w:cs="Times New Roman"/>
                <w:b/>
                <w:bCs/>
                <w:color w:val="FFFFFF" w:themeColor="background1"/>
                <w:sz w:val="20"/>
                <w:szCs w:val="20"/>
                <w:lang w:eastAsia="pt-BR"/>
              </w:rPr>
              <w:t>Quantidade</w:t>
            </w:r>
            <w:r w:rsidR="7CEC951B" w:rsidRPr="00E17B07">
              <w:rPr>
                <w:rFonts w:eastAsia="Times New Roman" w:cs="Times New Roman"/>
                <w:b/>
                <w:bCs/>
                <w:color w:val="FFFFFF" w:themeColor="background1"/>
                <w:sz w:val="20"/>
                <w:szCs w:val="20"/>
                <w:lang w:eastAsia="pt-BR"/>
              </w:rPr>
              <w:t xml:space="preserve"> </w:t>
            </w:r>
            <w:r w:rsidRPr="00E17B07">
              <w:rPr>
                <w:rFonts w:eastAsia="Times New Roman" w:cs="Times New Roman"/>
                <w:b/>
                <w:bCs/>
                <w:color w:val="FFFFFF" w:themeColor="background1"/>
                <w:sz w:val="20"/>
                <w:szCs w:val="20"/>
                <w:lang w:eastAsia="pt-BR"/>
              </w:rPr>
              <w:t xml:space="preserve">de </w:t>
            </w:r>
            <w:r w:rsidR="009B7A23" w:rsidRPr="00E17B07">
              <w:rPr>
                <w:rFonts w:eastAsia="Times New Roman" w:cs="Times New Roman"/>
                <w:b/>
                <w:bCs/>
                <w:color w:val="FFFFFF" w:themeColor="background1"/>
                <w:sz w:val="20"/>
                <w:szCs w:val="20"/>
                <w:lang w:eastAsia="pt-BR"/>
              </w:rPr>
              <w:t>Contratos</w:t>
            </w:r>
          </w:p>
          <w:p w14:paraId="6433E6B5" w14:textId="7855960C" w:rsidR="009B7A23" w:rsidRPr="00E17B07" w:rsidRDefault="002B5C89" w:rsidP="00E17B07">
            <w:pPr>
              <w:spacing w:after="0" w:line="240" w:lineRule="auto"/>
              <w:jc w:val="center"/>
              <w:rPr>
                <w:rFonts w:eastAsia="Times New Roman" w:cs="Times New Roman"/>
                <w:b/>
                <w:bCs/>
                <w:color w:val="FFFFFF" w:themeColor="background1"/>
                <w:sz w:val="20"/>
                <w:szCs w:val="20"/>
                <w:lang w:eastAsia="pt-BR"/>
              </w:rPr>
            </w:pPr>
            <w:r w:rsidRPr="00E17B07">
              <w:rPr>
                <w:rFonts w:eastAsia="Times New Roman" w:cs="Times New Roman"/>
                <w:b/>
                <w:bCs/>
                <w:color w:val="FFFFFF" w:themeColor="background1"/>
                <w:sz w:val="20"/>
                <w:szCs w:val="20"/>
                <w:lang w:eastAsia="pt-BR"/>
              </w:rPr>
              <w:t>Concedidos</w:t>
            </w:r>
            <w:r w:rsidR="00326EBE" w:rsidRPr="00E17B07">
              <w:rPr>
                <w:rFonts w:eastAsia="Times New Roman" w:cs="Times New Roman"/>
                <w:b/>
                <w:bCs/>
                <w:color w:val="FFFFFF" w:themeColor="background1"/>
                <w:sz w:val="20"/>
                <w:szCs w:val="20"/>
                <w:lang w:eastAsia="pt-BR"/>
              </w:rPr>
              <w:t xml:space="preserve"> </w:t>
            </w:r>
            <w:r w:rsidR="00B70757" w:rsidRPr="00E17B07">
              <w:rPr>
                <w:rFonts w:eastAsia="Times New Roman" w:cs="Times New Roman"/>
                <w:b/>
                <w:bCs/>
                <w:color w:val="FFFFFF" w:themeColor="background1"/>
                <w:sz w:val="20"/>
                <w:szCs w:val="20"/>
                <w:lang w:eastAsia="pt-BR"/>
              </w:rPr>
              <w:t>em cada ano</w:t>
            </w:r>
            <w:r w:rsidR="00326EBE" w:rsidRPr="00E17B07">
              <w:rPr>
                <w:rFonts w:eastAsia="Times New Roman" w:cs="Times New Roman"/>
                <w:b/>
                <w:bCs/>
                <w:color w:val="FFFFFF" w:themeColor="background1"/>
                <w:sz w:val="20"/>
                <w:szCs w:val="20"/>
                <w:vertAlign w:val="superscript"/>
                <w:lang w:eastAsia="pt-BR"/>
              </w:rPr>
              <w:t xml:space="preserve"> </w:t>
            </w:r>
            <w:proofErr w:type="gramStart"/>
            <w:r w:rsidR="00326EBE" w:rsidRPr="00E17B07">
              <w:rPr>
                <w:rFonts w:eastAsia="Times New Roman" w:cs="Times New Roman"/>
                <w:b/>
                <w:bCs/>
                <w:color w:val="FFFFFF" w:themeColor="background1"/>
                <w:sz w:val="20"/>
                <w:szCs w:val="20"/>
                <w:vertAlign w:val="superscript"/>
                <w:lang w:eastAsia="pt-BR"/>
              </w:rPr>
              <w:t>2</w:t>
            </w:r>
            <w:proofErr w:type="gramEnd"/>
          </w:p>
        </w:tc>
      </w:tr>
      <w:tr w:rsidR="009B7A23" w:rsidRPr="003D6FC6" w14:paraId="2D499CD1" w14:textId="77777777" w:rsidTr="001E5583">
        <w:trPr>
          <w:trHeight w:val="20"/>
          <w:jc w:val="center"/>
        </w:trPr>
        <w:tc>
          <w:tcPr>
            <w:tcW w:w="0" w:type="auto"/>
            <w:shd w:val="clear" w:color="auto" w:fill="F2F2F2" w:themeFill="background1" w:themeFillShade="F2"/>
            <w:vAlign w:val="center"/>
          </w:tcPr>
          <w:p w14:paraId="043A29B3"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2010</w:t>
            </w:r>
          </w:p>
        </w:tc>
        <w:tc>
          <w:tcPr>
            <w:tcW w:w="0" w:type="auto"/>
            <w:shd w:val="clear" w:color="auto" w:fill="F2F2F2" w:themeFill="background1" w:themeFillShade="F2"/>
            <w:vAlign w:val="center"/>
          </w:tcPr>
          <w:p w14:paraId="465E5E04"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76.030</w:t>
            </w:r>
          </w:p>
        </w:tc>
      </w:tr>
      <w:tr w:rsidR="009B7A23" w:rsidRPr="003D6FC6" w14:paraId="30338B99" w14:textId="77777777" w:rsidTr="001E5583">
        <w:trPr>
          <w:trHeight w:val="20"/>
          <w:jc w:val="center"/>
        </w:trPr>
        <w:tc>
          <w:tcPr>
            <w:tcW w:w="0" w:type="auto"/>
            <w:shd w:val="clear" w:color="auto" w:fill="auto"/>
            <w:vAlign w:val="center"/>
          </w:tcPr>
          <w:p w14:paraId="7C11BDD6"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2011</w:t>
            </w:r>
          </w:p>
        </w:tc>
        <w:tc>
          <w:tcPr>
            <w:tcW w:w="0" w:type="auto"/>
            <w:shd w:val="clear" w:color="auto" w:fill="auto"/>
            <w:vAlign w:val="center"/>
          </w:tcPr>
          <w:p w14:paraId="4FACB89F"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154.297</w:t>
            </w:r>
          </w:p>
        </w:tc>
      </w:tr>
      <w:tr w:rsidR="009B7A23" w:rsidRPr="003D6FC6" w14:paraId="655637D4" w14:textId="77777777" w:rsidTr="001E5583">
        <w:trPr>
          <w:trHeight w:val="20"/>
          <w:jc w:val="center"/>
        </w:trPr>
        <w:tc>
          <w:tcPr>
            <w:tcW w:w="0" w:type="auto"/>
            <w:shd w:val="clear" w:color="auto" w:fill="F2F2F2" w:themeFill="background1" w:themeFillShade="F2"/>
            <w:vAlign w:val="center"/>
          </w:tcPr>
          <w:p w14:paraId="447F2C45"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2012</w:t>
            </w:r>
          </w:p>
        </w:tc>
        <w:tc>
          <w:tcPr>
            <w:tcW w:w="0" w:type="auto"/>
            <w:shd w:val="clear" w:color="auto" w:fill="F2F2F2" w:themeFill="background1" w:themeFillShade="F2"/>
            <w:vAlign w:val="center"/>
          </w:tcPr>
          <w:p w14:paraId="5DD23C0A"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377.839</w:t>
            </w:r>
          </w:p>
        </w:tc>
      </w:tr>
      <w:tr w:rsidR="009B7A23" w:rsidRPr="003D6FC6" w14:paraId="54E640A4" w14:textId="77777777" w:rsidTr="001E5583">
        <w:trPr>
          <w:trHeight w:val="20"/>
          <w:jc w:val="center"/>
        </w:trPr>
        <w:tc>
          <w:tcPr>
            <w:tcW w:w="0" w:type="auto"/>
            <w:shd w:val="clear" w:color="auto" w:fill="auto"/>
            <w:vAlign w:val="center"/>
          </w:tcPr>
          <w:p w14:paraId="37A8A4F2"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2013</w:t>
            </w:r>
          </w:p>
        </w:tc>
        <w:tc>
          <w:tcPr>
            <w:tcW w:w="0" w:type="auto"/>
            <w:shd w:val="clear" w:color="auto" w:fill="auto"/>
            <w:vAlign w:val="center"/>
          </w:tcPr>
          <w:p w14:paraId="5BCCA517"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559.803</w:t>
            </w:r>
          </w:p>
        </w:tc>
      </w:tr>
      <w:tr w:rsidR="009B7A23" w:rsidRPr="003D6FC6" w14:paraId="3E67E6E8" w14:textId="77777777" w:rsidTr="001E5583">
        <w:trPr>
          <w:trHeight w:val="20"/>
          <w:jc w:val="center"/>
        </w:trPr>
        <w:tc>
          <w:tcPr>
            <w:tcW w:w="0" w:type="auto"/>
            <w:shd w:val="clear" w:color="auto" w:fill="F2F2F2" w:themeFill="background1" w:themeFillShade="F2"/>
            <w:vAlign w:val="center"/>
          </w:tcPr>
          <w:p w14:paraId="204AB2E4"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2014</w:t>
            </w:r>
          </w:p>
        </w:tc>
        <w:tc>
          <w:tcPr>
            <w:tcW w:w="0" w:type="auto"/>
            <w:shd w:val="clear" w:color="auto" w:fill="F2F2F2" w:themeFill="background1" w:themeFillShade="F2"/>
            <w:vAlign w:val="center"/>
          </w:tcPr>
          <w:p w14:paraId="6CBD8A1A"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732.647</w:t>
            </w:r>
          </w:p>
        </w:tc>
      </w:tr>
      <w:tr w:rsidR="009B7A23" w:rsidRPr="003D6FC6" w14:paraId="2548FD04" w14:textId="77777777" w:rsidTr="001E5583">
        <w:trPr>
          <w:trHeight w:val="20"/>
          <w:jc w:val="center"/>
        </w:trPr>
        <w:tc>
          <w:tcPr>
            <w:tcW w:w="0" w:type="auto"/>
            <w:shd w:val="clear" w:color="auto" w:fill="auto"/>
            <w:vAlign w:val="center"/>
          </w:tcPr>
          <w:p w14:paraId="331215A5"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2015</w:t>
            </w:r>
          </w:p>
        </w:tc>
        <w:tc>
          <w:tcPr>
            <w:tcW w:w="0" w:type="auto"/>
            <w:shd w:val="clear" w:color="auto" w:fill="auto"/>
            <w:vAlign w:val="center"/>
          </w:tcPr>
          <w:p w14:paraId="57D519BB"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287.542</w:t>
            </w:r>
          </w:p>
        </w:tc>
      </w:tr>
      <w:tr w:rsidR="009B7A23" w:rsidRPr="003D6FC6" w14:paraId="01D129DA" w14:textId="77777777" w:rsidTr="001E5583">
        <w:trPr>
          <w:trHeight w:val="20"/>
          <w:jc w:val="center"/>
        </w:trPr>
        <w:tc>
          <w:tcPr>
            <w:tcW w:w="0" w:type="auto"/>
            <w:shd w:val="clear" w:color="auto" w:fill="F2F2F2" w:themeFill="background1" w:themeFillShade="F2"/>
            <w:vAlign w:val="center"/>
          </w:tcPr>
          <w:p w14:paraId="7C1F535F"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2016</w:t>
            </w:r>
          </w:p>
        </w:tc>
        <w:tc>
          <w:tcPr>
            <w:tcW w:w="0" w:type="auto"/>
            <w:shd w:val="clear" w:color="auto" w:fill="F2F2F2" w:themeFill="background1" w:themeFillShade="F2"/>
            <w:vAlign w:val="center"/>
          </w:tcPr>
          <w:p w14:paraId="58CE6A4E"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203.537</w:t>
            </w:r>
          </w:p>
        </w:tc>
      </w:tr>
      <w:tr w:rsidR="009B7A23" w:rsidRPr="003D6FC6" w14:paraId="6FE8C7C6" w14:textId="77777777" w:rsidTr="001E5583">
        <w:trPr>
          <w:trHeight w:val="20"/>
          <w:jc w:val="center"/>
        </w:trPr>
        <w:tc>
          <w:tcPr>
            <w:tcW w:w="0" w:type="auto"/>
            <w:shd w:val="clear" w:color="auto" w:fill="auto"/>
            <w:vAlign w:val="center"/>
          </w:tcPr>
          <w:p w14:paraId="503F38CE"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2017</w:t>
            </w:r>
          </w:p>
        </w:tc>
        <w:tc>
          <w:tcPr>
            <w:tcW w:w="0" w:type="auto"/>
            <w:shd w:val="clear" w:color="auto" w:fill="auto"/>
            <w:vAlign w:val="center"/>
          </w:tcPr>
          <w:p w14:paraId="247321EA"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175.985</w:t>
            </w:r>
          </w:p>
        </w:tc>
      </w:tr>
      <w:tr w:rsidR="009B7A23" w:rsidRPr="003D6FC6" w14:paraId="3B25F3CC" w14:textId="77777777" w:rsidTr="001E5583">
        <w:trPr>
          <w:trHeight w:val="20"/>
          <w:jc w:val="center"/>
        </w:trPr>
        <w:tc>
          <w:tcPr>
            <w:tcW w:w="0" w:type="auto"/>
            <w:shd w:val="clear" w:color="auto" w:fill="F2F2F2" w:themeFill="background1" w:themeFillShade="F2"/>
            <w:vAlign w:val="center"/>
          </w:tcPr>
          <w:p w14:paraId="5044F8DB"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2018</w:t>
            </w:r>
          </w:p>
        </w:tc>
        <w:tc>
          <w:tcPr>
            <w:tcW w:w="0" w:type="auto"/>
            <w:shd w:val="clear" w:color="auto" w:fill="F2F2F2" w:themeFill="background1" w:themeFillShade="F2"/>
            <w:vAlign w:val="center"/>
          </w:tcPr>
          <w:p w14:paraId="010BC234"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82.658</w:t>
            </w:r>
          </w:p>
        </w:tc>
      </w:tr>
      <w:tr w:rsidR="009B7A23" w:rsidRPr="003D6FC6" w14:paraId="7DF73547" w14:textId="77777777" w:rsidTr="001E5583">
        <w:trPr>
          <w:trHeight w:val="20"/>
          <w:jc w:val="center"/>
        </w:trPr>
        <w:tc>
          <w:tcPr>
            <w:tcW w:w="0" w:type="auto"/>
            <w:shd w:val="clear" w:color="auto" w:fill="auto"/>
            <w:vAlign w:val="center"/>
          </w:tcPr>
          <w:p w14:paraId="3A06A7B6" w14:textId="77777777" w:rsidR="009B7A23" w:rsidRPr="00346822" w:rsidRDefault="009B7A23" w:rsidP="00E17B07">
            <w:pPr>
              <w:spacing w:after="0" w:line="240" w:lineRule="auto"/>
              <w:jc w:val="center"/>
              <w:rPr>
                <w:rFonts w:eastAsia="Times New Roman" w:cs="Times New Roman"/>
                <w:sz w:val="18"/>
                <w:szCs w:val="18"/>
                <w:lang w:eastAsia="pt-BR"/>
              </w:rPr>
            </w:pPr>
            <w:r w:rsidRPr="00346822">
              <w:rPr>
                <w:rFonts w:eastAsia="Times New Roman" w:cs="Times New Roman"/>
                <w:sz w:val="18"/>
                <w:szCs w:val="18"/>
                <w:lang w:eastAsia="pt-BR"/>
              </w:rPr>
              <w:t>2019</w:t>
            </w:r>
          </w:p>
        </w:tc>
        <w:tc>
          <w:tcPr>
            <w:tcW w:w="0" w:type="auto"/>
            <w:shd w:val="clear" w:color="auto" w:fill="auto"/>
            <w:vAlign w:val="center"/>
          </w:tcPr>
          <w:p w14:paraId="2C5CC4D0" w14:textId="77777777" w:rsidR="009B7A23" w:rsidRPr="00102756" w:rsidRDefault="009B7A23" w:rsidP="00E17B07">
            <w:pPr>
              <w:spacing w:after="0" w:line="240" w:lineRule="auto"/>
              <w:jc w:val="right"/>
              <w:rPr>
                <w:rFonts w:eastAsia="Times New Roman" w:cs="Times New Roman"/>
                <w:sz w:val="18"/>
                <w:szCs w:val="18"/>
                <w:lang w:eastAsia="pt-BR"/>
              </w:rPr>
            </w:pPr>
            <w:r w:rsidRPr="00102756">
              <w:rPr>
                <w:rFonts w:eastAsia="Times New Roman" w:cs="Times New Roman"/>
                <w:sz w:val="18"/>
                <w:szCs w:val="18"/>
                <w:lang w:eastAsia="pt-BR"/>
              </w:rPr>
              <w:t>85.031</w:t>
            </w:r>
          </w:p>
        </w:tc>
      </w:tr>
      <w:tr w:rsidR="68783CE5" w14:paraId="51F4C13F" w14:textId="77777777" w:rsidTr="001E5583">
        <w:trPr>
          <w:trHeight w:val="20"/>
          <w:jc w:val="center"/>
        </w:trPr>
        <w:tc>
          <w:tcPr>
            <w:tcW w:w="0" w:type="auto"/>
            <w:shd w:val="clear" w:color="auto" w:fill="auto"/>
            <w:vAlign w:val="center"/>
          </w:tcPr>
          <w:p w14:paraId="7E20484C" w14:textId="3770C367" w:rsidR="35CAE958" w:rsidRDefault="35CAE958" w:rsidP="00E17B07">
            <w:pPr>
              <w:spacing w:after="0" w:line="240" w:lineRule="auto"/>
              <w:jc w:val="center"/>
              <w:rPr>
                <w:rFonts w:eastAsia="Times New Roman" w:cs="Times New Roman"/>
                <w:sz w:val="18"/>
                <w:szCs w:val="18"/>
                <w:lang w:eastAsia="pt-BR"/>
              </w:rPr>
            </w:pPr>
            <w:r w:rsidRPr="68783CE5">
              <w:rPr>
                <w:rFonts w:eastAsia="Times New Roman" w:cs="Times New Roman"/>
                <w:sz w:val="18"/>
                <w:szCs w:val="18"/>
                <w:lang w:eastAsia="pt-BR"/>
              </w:rPr>
              <w:t>2020</w:t>
            </w:r>
          </w:p>
        </w:tc>
        <w:tc>
          <w:tcPr>
            <w:tcW w:w="0" w:type="auto"/>
            <w:shd w:val="clear" w:color="auto" w:fill="auto"/>
            <w:vAlign w:val="center"/>
          </w:tcPr>
          <w:p w14:paraId="16AED574" w14:textId="1A112F83" w:rsidR="640EDAD0" w:rsidRDefault="640EDAD0" w:rsidP="00E17B07">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53.871</w:t>
            </w:r>
          </w:p>
        </w:tc>
      </w:tr>
      <w:tr w:rsidR="009B7A23" w:rsidRPr="00E17B07" w14:paraId="5F5C7754" w14:textId="77777777" w:rsidTr="001E5583">
        <w:trPr>
          <w:trHeight w:val="20"/>
          <w:jc w:val="center"/>
        </w:trPr>
        <w:tc>
          <w:tcPr>
            <w:tcW w:w="0" w:type="auto"/>
            <w:tcBorders>
              <w:bottom w:val="single" w:sz="4" w:space="0" w:color="BFBFBF" w:themeColor="background1" w:themeShade="BF"/>
            </w:tcBorders>
            <w:shd w:val="clear" w:color="auto" w:fill="7F7F7F" w:themeFill="text1" w:themeFillTint="80"/>
            <w:vAlign w:val="center"/>
          </w:tcPr>
          <w:p w14:paraId="0FC3DD35" w14:textId="77777777" w:rsidR="009B7A23" w:rsidRPr="00E17B07" w:rsidRDefault="009B7A23" w:rsidP="00E17B07">
            <w:pPr>
              <w:spacing w:after="0" w:line="240" w:lineRule="auto"/>
              <w:jc w:val="center"/>
              <w:rPr>
                <w:rFonts w:eastAsia="Times New Roman" w:cs="Times New Roman"/>
                <w:b/>
                <w:bCs/>
                <w:color w:val="FFFFFF" w:themeColor="background1"/>
                <w:sz w:val="18"/>
                <w:szCs w:val="18"/>
                <w:lang w:eastAsia="pt-BR"/>
              </w:rPr>
            </w:pPr>
            <w:r w:rsidRPr="00E17B07">
              <w:rPr>
                <w:rFonts w:eastAsia="Times New Roman" w:cs="Times New Roman"/>
                <w:b/>
                <w:bCs/>
                <w:color w:val="FFFFFF" w:themeColor="background1"/>
                <w:sz w:val="18"/>
                <w:szCs w:val="18"/>
                <w:lang w:eastAsia="pt-BR"/>
              </w:rPr>
              <w:t>Total</w:t>
            </w:r>
          </w:p>
        </w:tc>
        <w:tc>
          <w:tcPr>
            <w:tcW w:w="0" w:type="auto"/>
            <w:tcBorders>
              <w:bottom w:val="single" w:sz="4" w:space="0" w:color="BFBFBF" w:themeColor="background1" w:themeShade="BF"/>
            </w:tcBorders>
            <w:shd w:val="clear" w:color="auto" w:fill="7F7F7F" w:themeFill="text1" w:themeFillTint="80"/>
            <w:vAlign w:val="center"/>
          </w:tcPr>
          <w:p w14:paraId="6809E9D5" w14:textId="0E219834" w:rsidR="009B7A23" w:rsidRPr="00E17B07" w:rsidRDefault="009B7A23" w:rsidP="00E17B07">
            <w:pPr>
              <w:spacing w:after="0" w:line="240" w:lineRule="auto"/>
              <w:jc w:val="right"/>
              <w:rPr>
                <w:rFonts w:eastAsia="Times New Roman" w:cs="Times New Roman"/>
                <w:b/>
                <w:bCs/>
                <w:color w:val="FFFFFF" w:themeColor="background1"/>
                <w:sz w:val="18"/>
                <w:szCs w:val="18"/>
                <w:lang w:eastAsia="pt-BR"/>
              </w:rPr>
            </w:pPr>
            <w:r w:rsidRPr="00E17B07">
              <w:rPr>
                <w:rFonts w:eastAsia="Times New Roman" w:cs="Times New Roman"/>
                <w:b/>
                <w:bCs/>
                <w:color w:val="FFFFFF" w:themeColor="background1"/>
                <w:sz w:val="18"/>
                <w:szCs w:val="18"/>
                <w:lang w:eastAsia="pt-BR"/>
              </w:rPr>
              <w:t>2.7</w:t>
            </w:r>
            <w:r w:rsidR="5E2C768E" w:rsidRPr="00E17B07">
              <w:rPr>
                <w:rFonts w:eastAsia="Times New Roman" w:cs="Times New Roman"/>
                <w:b/>
                <w:bCs/>
                <w:color w:val="FFFFFF" w:themeColor="background1"/>
                <w:sz w:val="18"/>
                <w:szCs w:val="18"/>
                <w:lang w:eastAsia="pt-BR"/>
              </w:rPr>
              <w:t>89</w:t>
            </w:r>
            <w:r w:rsidRPr="00E17B07">
              <w:rPr>
                <w:rFonts w:eastAsia="Times New Roman" w:cs="Times New Roman"/>
                <w:b/>
                <w:bCs/>
                <w:color w:val="FFFFFF" w:themeColor="background1"/>
                <w:sz w:val="18"/>
                <w:szCs w:val="18"/>
                <w:lang w:eastAsia="pt-BR"/>
              </w:rPr>
              <w:t>.</w:t>
            </w:r>
            <w:r w:rsidR="10F689B8" w:rsidRPr="00E17B07">
              <w:rPr>
                <w:rFonts w:eastAsia="Times New Roman" w:cs="Times New Roman"/>
                <w:b/>
                <w:bCs/>
                <w:color w:val="FFFFFF" w:themeColor="background1"/>
                <w:sz w:val="18"/>
                <w:szCs w:val="18"/>
                <w:lang w:eastAsia="pt-BR"/>
              </w:rPr>
              <w:t>240</w:t>
            </w:r>
          </w:p>
        </w:tc>
      </w:tr>
      <w:tr w:rsidR="009B7A23" w:rsidRPr="00C75EA6" w14:paraId="5349E22D" w14:textId="77777777" w:rsidTr="001E5583">
        <w:trPr>
          <w:trHeight w:val="20"/>
          <w:jc w:val="center"/>
        </w:trPr>
        <w:tc>
          <w:tcPr>
            <w:tcW w:w="0" w:type="auto"/>
            <w:gridSpan w:val="2"/>
            <w:tcBorders>
              <w:top w:val="single" w:sz="4" w:space="0" w:color="BFBFBF" w:themeColor="background1" w:themeShade="BF"/>
              <w:left w:val="nil"/>
              <w:bottom w:val="nil"/>
              <w:right w:val="nil"/>
            </w:tcBorders>
            <w:shd w:val="clear" w:color="auto" w:fill="auto"/>
            <w:vAlign w:val="center"/>
          </w:tcPr>
          <w:p w14:paraId="3D58228D" w14:textId="7DE561A7" w:rsidR="00054A2E" w:rsidRPr="00C75EA6" w:rsidRDefault="00054A2E" w:rsidP="00E17B07">
            <w:pPr>
              <w:spacing w:after="0" w:line="240" w:lineRule="auto"/>
              <w:rPr>
                <w:i/>
                <w:sz w:val="16"/>
                <w:szCs w:val="16"/>
              </w:rPr>
            </w:pPr>
            <w:proofErr w:type="gramStart"/>
            <w:r w:rsidRPr="00C75EA6">
              <w:rPr>
                <w:i/>
                <w:sz w:val="16"/>
                <w:szCs w:val="16"/>
                <w:vertAlign w:val="superscript"/>
              </w:rPr>
              <w:lastRenderedPageBreak/>
              <w:t>1</w:t>
            </w:r>
            <w:proofErr w:type="gramEnd"/>
            <w:r w:rsidRPr="00C75EA6">
              <w:rPr>
                <w:i/>
                <w:sz w:val="16"/>
                <w:szCs w:val="16"/>
                <w:vertAlign w:val="superscript"/>
              </w:rPr>
              <w:t xml:space="preserve"> </w:t>
            </w:r>
            <w:r w:rsidR="00AE7702" w:rsidRPr="00C75EA6">
              <w:rPr>
                <w:i/>
                <w:sz w:val="16"/>
                <w:szCs w:val="16"/>
              </w:rPr>
              <w:t>C</w:t>
            </w:r>
            <w:r w:rsidRPr="00C75EA6">
              <w:rPr>
                <w:i/>
                <w:sz w:val="16"/>
                <w:szCs w:val="16"/>
              </w:rPr>
              <w:t>ontratos assinados a partir de 15/1/2010</w:t>
            </w:r>
            <w:r w:rsidR="00EF648F" w:rsidRPr="00C75EA6">
              <w:rPr>
                <w:i/>
                <w:sz w:val="16"/>
                <w:szCs w:val="16"/>
              </w:rPr>
              <w:t>.</w:t>
            </w:r>
          </w:p>
          <w:p w14:paraId="42127A80" w14:textId="260C15D2" w:rsidR="0005574A" w:rsidRPr="00C75EA6" w:rsidRDefault="001D7BB5" w:rsidP="00E17B07">
            <w:pPr>
              <w:spacing w:after="0" w:line="240" w:lineRule="auto"/>
              <w:rPr>
                <w:b/>
                <w:bCs/>
                <w:i/>
                <w:iCs/>
                <w:sz w:val="16"/>
                <w:szCs w:val="16"/>
              </w:rPr>
            </w:pPr>
            <w:proofErr w:type="gramStart"/>
            <w:r w:rsidRPr="00C75EA6">
              <w:rPr>
                <w:i/>
                <w:iCs/>
                <w:sz w:val="16"/>
                <w:szCs w:val="16"/>
                <w:vertAlign w:val="superscript"/>
              </w:rPr>
              <w:t>2</w:t>
            </w:r>
            <w:proofErr w:type="gramEnd"/>
            <w:r w:rsidRPr="00C75EA6">
              <w:rPr>
                <w:i/>
                <w:iCs/>
                <w:sz w:val="16"/>
                <w:szCs w:val="16"/>
                <w:vertAlign w:val="superscript"/>
              </w:rPr>
              <w:t xml:space="preserve"> </w:t>
            </w:r>
            <w:r w:rsidR="0005574A" w:rsidRPr="00C75EA6">
              <w:rPr>
                <w:i/>
                <w:iCs/>
                <w:sz w:val="16"/>
                <w:szCs w:val="16"/>
              </w:rPr>
              <w:t xml:space="preserve">Posição </w:t>
            </w:r>
            <w:r w:rsidR="008C139F" w:rsidRPr="00C75EA6">
              <w:rPr>
                <w:i/>
                <w:iCs/>
                <w:sz w:val="16"/>
                <w:szCs w:val="16"/>
              </w:rPr>
              <w:t>em</w:t>
            </w:r>
            <w:r w:rsidR="0005574A" w:rsidRPr="00C75EA6">
              <w:rPr>
                <w:i/>
                <w:iCs/>
                <w:sz w:val="16"/>
                <w:szCs w:val="16"/>
              </w:rPr>
              <w:t xml:space="preserve"> 31/12/20</w:t>
            </w:r>
            <w:r w:rsidR="29F1C6C9" w:rsidRPr="00C75EA6">
              <w:rPr>
                <w:i/>
                <w:iCs/>
                <w:sz w:val="16"/>
                <w:szCs w:val="16"/>
              </w:rPr>
              <w:t>20</w:t>
            </w:r>
            <w:r w:rsidR="00831A70" w:rsidRPr="00C75EA6">
              <w:rPr>
                <w:i/>
                <w:iCs/>
                <w:sz w:val="16"/>
                <w:szCs w:val="16"/>
              </w:rPr>
              <w:t>.</w:t>
            </w:r>
          </w:p>
          <w:p w14:paraId="29B9ADB6" w14:textId="7C1642B6" w:rsidR="009B7A23" w:rsidRPr="00C75EA6" w:rsidRDefault="009B7A23" w:rsidP="00E17B07">
            <w:pPr>
              <w:spacing w:after="0" w:line="240" w:lineRule="auto"/>
              <w:rPr>
                <w:i/>
                <w:sz w:val="16"/>
                <w:szCs w:val="16"/>
              </w:rPr>
            </w:pPr>
            <w:r w:rsidRPr="00C75EA6">
              <w:rPr>
                <w:b/>
                <w:i/>
                <w:sz w:val="16"/>
                <w:szCs w:val="16"/>
              </w:rPr>
              <w:t>Fonte e Elaboração:</w:t>
            </w:r>
            <w:r w:rsidRPr="00C75EA6">
              <w:rPr>
                <w:i/>
                <w:sz w:val="16"/>
                <w:szCs w:val="16"/>
              </w:rPr>
              <w:t xml:space="preserve"> FNDE</w:t>
            </w:r>
            <w:r w:rsidR="00831A70" w:rsidRPr="00C75EA6">
              <w:rPr>
                <w:i/>
                <w:sz w:val="16"/>
                <w:szCs w:val="16"/>
              </w:rPr>
              <w:t>.</w:t>
            </w:r>
          </w:p>
        </w:tc>
      </w:tr>
    </w:tbl>
    <w:p w14:paraId="633C91B3" w14:textId="77777777" w:rsidR="009B7A23" w:rsidRPr="00DD6BA9" w:rsidRDefault="009B7A23" w:rsidP="00E83CF7">
      <w:pPr>
        <w:spacing w:after="120" w:line="240" w:lineRule="auto"/>
        <w:jc w:val="both"/>
        <w:rPr>
          <w:rFonts w:eastAsia="Times New Roman" w:cstheme="minorHAnsi"/>
          <w:sz w:val="24"/>
          <w:szCs w:val="24"/>
        </w:rPr>
      </w:pPr>
    </w:p>
    <w:p w14:paraId="19D023C8" w14:textId="77777777" w:rsidR="003F6088" w:rsidRPr="00353D69" w:rsidRDefault="003F6088" w:rsidP="68783CE5">
      <w:pPr>
        <w:pStyle w:val="Corpodetexto"/>
        <w:spacing w:line="240" w:lineRule="auto"/>
        <w:ind w:firstLine="1418"/>
        <w:jc w:val="both"/>
        <w:rPr>
          <w:color w:val="000000" w:themeColor="text1"/>
          <w:sz w:val="24"/>
          <w:szCs w:val="24"/>
        </w:rPr>
      </w:pPr>
      <w:r w:rsidRPr="00353D69">
        <w:rPr>
          <w:color w:val="000000" w:themeColor="text1"/>
          <w:sz w:val="24"/>
          <w:szCs w:val="24"/>
        </w:rPr>
        <w:t>A carteira de financiamentos concedidos no âmbito do Fies está distribuída em três fases, de acordo com a evolução prevista contratualmente:</w:t>
      </w:r>
    </w:p>
    <w:p w14:paraId="60F9642E" w14:textId="77777777" w:rsidR="003F6088" w:rsidRPr="00353D69" w:rsidRDefault="003F6088" w:rsidP="68783CE5">
      <w:pPr>
        <w:pStyle w:val="Corpodetexto"/>
        <w:numPr>
          <w:ilvl w:val="0"/>
          <w:numId w:val="19"/>
        </w:numPr>
        <w:spacing w:line="240" w:lineRule="auto"/>
        <w:ind w:left="1843" w:hanging="425"/>
        <w:jc w:val="both"/>
        <w:rPr>
          <w:color w:val="000000" w:themeColor="text1"/>
          <w:sz w:val="24"/>
          <w:szCs w:val="24"/>
        </w:rPr>
      </w:pPr>
      <w:r w:rsidRPr="00353D69">
        <w:rPr>
          <w:rFonts w:cs="Times New Roman"/>
          <w:color w:val="000000" w:themeColor="text1"/>
          <w:sz w:val="24"/>
          <w:szCs w:val="24"/>
          <w:lang w:eastAsia="pt-BR"/>
        </w:rPr>
        <w:t>Fase de utilização: período no qual o estudante está cursando o ensino superior e está limitado ao prazo de duração regular do curso. Nessa fase o estudante realiza o pagamento, a cada três meses, do valor referente aos juros incidentes sobre o financiamento;</w:t>
      </w:r>
    </w:p>
    <w:p w14:paraId="5A851F36" w14:textId="77777777" w:rsidR="003F6088" w:rsidRPr="00353D69" w:rsidRDefault="003F6088" w:rsidP="68783CE5">
      <w:pPr>
        <w:pStyle w:val="Corpodetexto"/>
        <w:numPr>
          <w:ilvl w:val="0"/>
          <w:numId w:val="19"/>
        </w:numPr>
        <w:spacing w:line="240" w:lineRule="auto"/>
        <w:ind w:left="1843" w:hanging="425"/>
        <w:jc w:val="both"/>
        <w:rPr>
          <w:rFonts w:cs="Times New Roman"/>
          <w:color w:val="000000" w:themeColor="text1"/>
          <w:sz w:val="24"/>
          <w:szCs w:val="24"/>
          <w:lang w:eastAsia="pt-BR"/>
        </w:rPr>
      </w:pPr>
      <w:r w:rsidRPr="00353D69">
        <w:rPr>
          <w:rFonts w:cs="Times New Roman"/>
          <w:color w:val="000000" w:themeColor="text1"/>
          <w:sz w:val="24"/>
          <w:szCs w:val="24"/>
          <w:lang w:eastAsia="pt-BR"/>
        </w:rPr>
        <w:t>Fase de carência: período que se inicia logo após a conclusão do curso</w:t>
      </w:r>
      <w:proofErr w:type="gramStart"/>
      <w:r w:rsidRPr="00353D69">
        <w:rPr>
          <w:rFonts w:cs="Times New Roman"/>
          <w:color w:val="000000" w:themeColor="text1"/>
          <w:sz w:val="24"/>
          <w:szCs w:val="24"/>
          <w:lang w:eastAsia="pt-BR"/>
        </w:rPr>
        <w:t>, tem</w:t>
      </w:r>
      <w:proofErr w:type="gramEnd"/>
      <w:r w:rsidRPr="00353D69">
        <w:rPr>
          <w:rFonts w:cs="Times New Roman"/>
          <w:color w:val="000000" w:themeColor="text1"/>
          <w:sz w:val="24"/>
          <w:szCs w:val="24"/>
          <w:lang w:eastAsia="pt-BR"/>
        </w:rPr>
        <w:t xml:space="preserve"> duração de 18 (dezoito) meses e o estudante continua pagando trimestralmente os juros devidos sobre o financiamento; e</w:t>
      </w:r>
    </w:p>
    <w:p w14:paraId="400B470A" w14:textId="77777777" w:rsidR="003F6088" w:rsidRPr="00353D69" w:rsidRDefault="003F6088" w:rsidP="68783CE5">
      <w:pPr>
        <w:pStyle w:val="Corpodetexto"/>
        <w:numPr>
          <w:ilvl w:val="0"/>
          <w:numId w:val="19"/>
        </w:numPr>
        <w:spacing w:line="240" w:lineRule="auto"/>
        <w:ind w:left="1843" w:hanging="425"/>
        <w:jc w:val="both"/>
        <w:rPr>
          <w:rFonts w:cs="Times New Roman"/>
          <w:color w:val="000000" w:themeColor="text1"/>
          <w:sz w:val="24"/>
          <w:szCs w:val="24"/>
          <w:lang w:eastAsia="pt-BR"/>
        </w:rPr>
      </w:pPr>
      <w:r w:rsidRPr="00353D69">
        <w:rPr>
          <w:rFonts w:cs="Times New Roman"/>
          <w:color w:val="000000" w:themeColor="text1"/>
          <w:sz w:val="24"/>
          <w:szCs w:val="24"/>
          <w:lang w:eastAsia="pt-BR"/>
        </w:rPr>
        <w:t>Fase de amortização: período que se inicia no mês imediatamente seguinte ao final da fase de carência, quando é estabelecido o valor das prestações que o estudante irá pagar mensalmente até a liquidação do financiamento, cujo prazo poderá alcançar cerca de três vezes o período financiado do curso.</w:t>
      </w:r>
    </w:p>
    <w:p w14:paraId="3DD1A08A" w14:textId="77777777" w:rsidR="00232B82" w:rsidRPr="00353D69" w:rsidRDefault="00232B82" w:rsidP="68783CE5">
      <w:pPr>
        <w:pStyle w:val="Corpodetexto"/>
        <w:spacing w:line="240" w:lineRule="auto"/>
        <w:jc w:val="both"/>
        <w:rPr>
          <w:rFonts w:cs="Times New Roman"/>
          <w:color w:val="000000" w:themeColor="text1"/>
          <w:sz w:val="24"/>
          <w:szCs w:val="24"/>
          <w:lang w:eastAsia="pt-BR"/>
        </w:rPr>
      </w:pPr>
    </w:p>
    <w:p w14:paraId="29E37860" w14:textId="4BDC7484" w:rsidR="0000340C" w:rsidRPr="00353D69" w:rsidRDefault="00685344" w:rsidP="68783CE5">
      <w:pPr>
        <w:spacing w:after="120" w:line="240" w:lineRule="auto"/>
        <w:ind w:firstLine="1418"/>
        <w:jc w:val="both"/>
        <w:rPr>
          <w:rFonts w:eastAsia="Times New Roman"/>
          <w:color w:val="000000" w:themeColor="text1"/>
          <w:sz w:val="24"/>
          <w:szCs w:val="24"/>
        </w:rPr>
      </w:pPr>
      <w:r w:rsidRPr="00353D69">
        <w:rPr>
          <w:rFonts w:eastAsia="Times New Roman"/>
          <w:color w:val="000000" w:themeColor="text1"/>
          <w:sz w:val="24"/>
          <w:szCs w:val="24"/>
        </w:rPr>
        <w:t xml:space="preserve">A </w:t>
      </w:r>
      <w:r w:rsidRPr="00353D69">
        <w:rPr>
          <w:rFonts w:eastAsia="Times New Roman"/>
          <w:color w:val="000000" w:themeColor="text1"/>
          <w:sz w:val="24"/>
          <w:szCs w:val="24"/>
        </w:rPr>
        <w:fldChar w:fldCharType="begin"/>
      </w:r>
      <w:r w:rsidRPr="00353D69">
        <w:rPr>
          <w:rFonts w:eastAsia="Times New Roman"/>
          <w:color w:val="000000" w:themeColor="text1"/>
          <w:sz w:val="24"/>
          <w:szCs w:val="24"/>
        </w:rPr>
        <w:instrText xml:space="preserve"> REF _Ref36482135  \* MERGEFORMAT </w:instrText>
      </w:r>
      <w:r w:rsidRPr="00353D69">
        <w:rPr>
          <w:rFonts w:eastAsia="Times New Roman"/>
          <w:color w:val="000000" w:themeColor="text1"/>
          <w:sz w:val="24"/>
          <w:szCs w:val="24"/>
        </w:rPr>
        <w:fldChar w:fldCharType="separate"/>
      </w:r>
      <w:r w:rsidR="00304F5F" w:rsidRPr="00304F5F">
        <w:rPr>
          <w:rFonts w:eastAsia="Times New Roman"/>
          <w:color w:val="000000" w:themeColor="text1"/>
          <w:sz w:val="24"/>
          <w:szCs w:val="24"/>
        </w:rPr>
        <w:t>Tabela 67</w:t>
      </w:r>
      <w:r w:rsidRPr="00353D69">
        <w:rPr>
          <w:rFonts w:eastAsia="Times New Roman"/>
          <w:color w:val="000000" w:themeColor="text1"/>
          <w:sz w:val="24"/>
          <w:szCs w:val="24"/>
        </w:rPr>
        <w:fldChar w:fldCharType="end"/>
      </w:r>
      <w:r w:rsidR="005C12D6" w:rsidRPr="00353D69">
        <w:rPr>
          <w:rFonts w:eastAsia="Times New Roman"/>
          <w:color w:val="000000" w:themeColor="text1"/>
          <w:sz w:val="24"/>
          <w:szCs w:val="24"/>
        </w:rPr>
        <w:t xml:space="preserve"> </w:t>
      </w:r>
      <w:r w:rsidR="00485966" w:rsidRPr="00353D69">
        <w:rPr>
          <w:rFonts w:eastAsia="Times New Roman"/>
          <w:color w:val="000000" w:themeColor="text1"/>
          <w:sz w:val="24"/>
          <w:szCs w:val="24"/>
        </w:rPr>
        <w:t xml:space="preserve">apresenta a evolução da </w:t>
      </w:r>
      <w:r w:rsidR="002D3DEB" w:rsidRPr="00353D69">
        <w:rPr>
          <w:rFonts w:eastAsia="Times New Roman"/>
          <w:color w:val="000000" w:themeColor="text1"/>
          <w:sz w:val="24"/>
          <w:szCs w:val="24"/>
        </w:rPr>
        <w:t>carteira segundo a safra de concessão de crédito.</w:t>
      </w:r>
    </w:p>
    <w:p w14:paraId="3D9FF6EE" w14:textId="05E86E57" w:rsidR="00B13711" w:rsidRPr="00353D69" w:rsidRDefault="00B13711" w:rsidP="68783CE5">
      <w:pPr>
        <w:spacing w:before="240" w:after="120" w:line="240" w:lineRule="auto"/>
        <w:jc w:val="center"/>
        <w:rPr>
          <w:rFonts w:eastAsia="Times New Roman" w:cs="Times New Roman"/>
          <w:color w:val="000000" w:themeColor="text1"/>
          <w:lang w:eastAsia="pt-BR"/>
        </w:rPr>
      </w:pPr>
      <w:bookmarkStart w:id="441" w:name="_Ref36482135"/>
      <w:bookmarkStart w:id="442" w:name="_Toc69121413"/>
      <w:r w:rsidRPr="00353D69">
        <w:rPr>
          <w:color w:val="000000" w:themeColor="text1"/>
        </w:rPr>
        <w:t xml:space="preserve">Tabela </w:t>
      </w:r>
      <w:r w:rsidRPr="00353D69">
        <w:rPr>
          <w:color w:val="000000" w:themeColor="text1"/>
        </w:rPr>
        <w:fldChar w:fldCharType="begin"/>
      </w:r>
      <w:r>
        <w:instrText>SEQ Tabela \* ARABIC</w:instrText>
      </w:r>
      <w:r w:rsidRPr="00353D69">
        <w:rPr>
          <w:color w:val="000000" w:themeColor="text1"/>
        </w:rPr>
        <w:fldChar w:fldCharType="separate"/>
      </w:r>
      <w:r w:rsidR="00304F5F">
        <w:rPr>
          <w:noProof/>
        </w:rPr>
        <w:t>67</w:t>
      </w:r>
      <w:r w:rsidRPr="00353D69">
        <w:rPr>
          <w:color w:val="000000" w:themeColor="text1"/>
        </w:rPr>
        <w:fldChar w:fldCharType="end"/>
      </w:r>
      <w:bookmarkEnd w:id="441"/>
      <w:r w:rsidRPr="00353D69">
        <w:rPr>
          <w:color w:val="000000" w:themeColor="text1"/>
        </w:rPr>
        <w:t xml:space="preserve"> </w:t>
      </w:r>
      <w:r w:rsidRPr="00353D69">
        <w:rPr>
          <w:i/>
          <w:color w:val="000000" w:themeColor="text1"/>
        </w:rPr>
        <w:t>-</w:t>
      </w:r>
      <w:r w:rsidRPr="00353D69">
        <w:rPr>
          <w:color w:val="000000" w:themeColor="text1"/>
        </w:rPr>
        <w:t xml:space="preserve"> Valores da dívida </w:t>
      </w:r>
      <w:r w:rsidRPr="00353D69">
        <w:rPr>
          <w:rFonts w:eastAsia="Times New Roman" w:cs="Times New Roman"/>
          <w:color w:val="000000" w:themeColor="text1"/>
          <w:lang w:eastAsia="pt-BR"/>
        </w:rPr>
        <w:t>segundo safra de concessão de crédito</w:t>
      </w:r>
      <w:bookmarkEnd w:id="442"/>
    </w:p>
    <w:tbl>
      <w:tblPr>
        <w:tblW w:w="287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065"/>
        <w:gridCol w:w="1805"/>
      </w:tblGrid>
      <w:tr w:rsidR="00B13711" w:rsidRPr="00CB7B2B" w14:paraId="315BDA1E" w14:textId="77777777" w:rsidTr="705AD6CA">
        <w:trPr>
          <w:trHeight w:val="20"/>
          <w:tblHeader/>
          <w:jc w:val="center"/>
        </w:trPr>
        <w:tc>
          <w:tcPr>
            <w:tcW w:w="2870" w:type="dxa"/>
            <w:gridSpan w:val="2"/>
            <w:tcBorders>
              <w:top w:val="nil"/>
              <w:left w:val="nil"/>
              <w:bottom w:val="nil"/>
              <w:right w:val="nil"/>
            </w:tcBorders>
            <w:shd w:val="clear" w:color="auto" w:fill="auto"/>
            <w:vAlign w:val="center"/>
          </w:tcPr>
          <w:p w14:paraId="3CD0CD2C" w14:textId="1ED14128" w:rsidR="00B13711" w:rsidRPr="00D35F09" w:rsidRDefault="00B13711" w:rsidP="003E16E9">
            <w:pPr>
              <w:spacing w:after="0" w:line="240" w:lineRule="auto"/>
              <w:jc w:val="right"/>
              <w:rPr>
                <w:rFonts w:eastAsia="Times New Roman" w:cs="Times New Roman"/>
                <w:b/>
                <w:color w:val="FFFFFF" w:themeColor="background1"/>
                <w:sz w:val="16"/>
                <w:szCs w:val="16"/>
                <w:lang w:eastAsia="pt-BR"/>
              </w:rPr>
            </w:pPr>
            <w:r w:rsidRPr="00D35F09">
              <w:rPr>
                <w:i/>
                <w:sz w:val="16"/>
                <w:szCs w:val="16"/>
              </w:rPr>
              <w:t xml:space="preserve">Em </w:t>
            </w:r>
            <w:r w:rsidR="003E16E9">
              <w:rPr>
                <w:i/>
                <w:sz w:val="16"/>
                <w:szCs w:val="16"/>
              </w:rPr>
              <w:t xml:space="preserve">R$ </w:t>
            </w:r>
            <w:r w:rsidRPr="00D35F09">
              <w:rPr>
                <w:i/>
                <w:sz w:val="16"/>
                <w:szCs w:val="16"/>
              </w:rPr>
              <w:t xml:space="preserve">milhões </w:t>
            </w:r>
          </w:p>
        </w:tc>
      </w:tr>
      <w:tr w:rsidR="00B13711" w:rsidRPr="001A39FC" w14:paraId="2CDCCC81" w14:textId="77777777" w:rsidTr="705AD6CA">
        <w:trPr>
          <w:trHeight w:val="20"/>
          <w:tblHeader/>
          <w:jc w:val="center"/>
        </w:trPr>
        <w:tc>
          <w:tcPr>
            <w:tcW w:w="1065" w:type="dxa"/>
            <w:shd w:val="clear" w:color="auto" w:fill="404040" w:themeFill="text1" w:themeFillTint="BF"/>
          </w:tcPr>
          <w:p w14:paraId="2BCB6F2A" w14:textId="77777777" w:rsidR="00B13711" w:rsidRPr="001A39FC" w:rsidRDefault="00B13711" w:rsidP="006A6DEA">
            <w:pPr>
              <w:spacing w:after="0" w:line="240" w:lineRule="auto"/>
              <w:jc w:val="center"/>
              <w:rPr>
                <w:rFonts w:eastAsia="Times New Roman" w:cs="Times New Roman"/>
                <w:b/>
                <w:bCs/>
                <w:color w:val="FFFFFF" w:themeColor="background1"/>
                <w:sz w:val="20"/>
                <w:szCs w:val="20"/>
                <w:lang w:eastAsia="pt-BR"/>
              </w:rPr>
            </w:pPr>
            <w:r w:rsidRPr="001A39FC">
              <w:rPr>
                <w:rFonts w:eastAsia="Times New Roman" w:cs="Times New Roman"/>
                <w:b/>
                <w:bCs/>
                <w:color w:val="FFFFFF" w:themeColor="background1"/>
                <w:sz w:val="20"/>
                <w:szCs w:val="20"/>
                <w:lang w:eastAsia="pt-BR"/>
              </w:rPr>
              <w:t>Ano</w:t>
            </w:r>
          </w:p>
        </w:tc>
        <w:tc>
          <w:tcPr>
            <w:tcW w:w="1805" w:type="dxa"/>
            <w:shd w:val="clear" w:color="auto" w:fill="404040" w:themeFill="text1" w:themeFillTint="BF"/>
          </w:tcPr>
          <w:p w14:paraId="367475ED" w14:textId="77777777" w:rsidR="00B13711" w:rsidRPr="001A39FC" w:rsidRDefault="00B13711" w:rsidP="006A6DEA">
            <w:pPr>
              <w:spacing w:after="0" w:line="240" w:lineRule="auto"/>
              <w:jc w:val="center"/>
              <w:rPr>
                <w:rFonts w:eastAsia="Times New Roman" w:cs="Times New Roman"/>
                <w:b/>
                <w:bCs/>
                <w:color w:val="FFFFFF" w:themeColor="background1"/>
                <w:sz w:val="20"/>
                <w:szCs w:val="20"/>
                <w:lang w:eastAsia="pt-BR"/>
              </w:rPr>
            </w:pPr>
            <w:r w:rsidRPr="001A39FC">
              <w:rPr>
                <w:rFonts w:eastAsia="Times New Roman" w:cs="Times New Roman"/>
                <w:b/>
                <w:bCs/>
                <w:color w:val="FFFFFF" w:themeColor="background1"/>
                <w:sz w:val="20"/>
                <w:szCs w:val="20"/>
                <w:lang w:eastAsia="pt-BR"/>
              </w:rPr>
              <w:t>Valor da Dívida ($)</w:t>
            </w:r>
            <w:r w:rsidRPr="001A39FC">
              <w:rPr>
                <w:rFonts w:eastAsia="Times New Roman" w:cs="Times New Roman"/>
                <w:b/>
                <w:bCs/>
                <w:color w:val="FFFFFF" w:themeColor="background1"/>
                <w:sz w:val="20"/>
                <w:szCs w:val="20"/>
                <w:vertAlign w:val="superscript"/>
                <w:lang w:eastAsia="pt-BR"/>
              </w:rPr>
              <w:t xml:space="preserve"> </w:t>
            </w:r>
            <w:proofErr w:type="gramStart"/>
            <w:r w:rsidRPr="001A39FC">
              <w:rPr>
                <w:rFonts w:eastAsia="Times New Roman" w:cs="Times New Roman"/>
                <w:b/>
                <w:bCs/>
                <w:color w:val="FFFFFF" w:themeColor="background1"/>
                <w:sz w:val="20"/>
                <w:szCs w:val="20"/>
                <w:vertAlign w:val="superscript"/>
                <w:lang w:eastAsia="pt-BR"/>
              </w:rPr>
              <w:t>1</w:t>
            </w:r>
            <w:proofErr w:type="gramEnd"/>
          </w:p>
        </w:tc>
      </w:tr>
      <w:tr w:rsidR="00B13711" w:rsidRPr="00804DC2" w14:paraId="19240469" w14:textId="77777777" w:rsidTr="00CE0768">
        <w:trPr>
          <w:trHeight w:val="300"/>
          <w:jc w:val="center"/>
        </w:trPr>
        <w:tc>
          <w:tcPr>
            <w:tcW w:w="1065" w:type="dxa"/>
            <w:shd w:val="clear" w:color="auto" w:fill="F2F2F2" w:themeFill="background1" w:themeFillShade="F2"/>
            <w:vAlign w:val="center"/>
          </w:tcPr>
          <w:p w14:paraId="2D9E4EAD"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Até 2009</w:t>
            </w:r>
          </w:p>
        </w:tc>
        <w:tc>
          <w:tcPr>
            <w:tcW w:w="1805" w:type="dxa"/>
            <w:shd w:val="clear" w:color="auto" w:fill="F2F2F2" w:themeFill="background1" w:themeFillShade="F2"/>
            <w:vAlign w:val="center"/>
          </w:tcPr>
          <w:p w14:paraId="2D3D0636" w14:textId="615052A8" w:rsidR="00B13711" w:rsidRPr="00F81F43" w:rsidRDefault="00B13711"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45AFEABA" w:rsidRPr="68783CE5">
              <w:rPr>
                <w:rFonts w:eastAsia="Times New Roman" w:cs="Times New Roman"/>
                <w:sz w:val="18"/>
                <w:szCs w:val="18"/>
                <w:lang w:eastAsia="pt-BR"/>
              </w:rPr>
              <w:t>53</w:t>
            </w:r>
            <w:r w:rsidRPr="68783CE5">
              <w:rPr>
                <w:rFonts w:eastAsia="Times New Roman" w:cs="Times New Roman"/>
                <w:sz w:val="18"/>
                <w:szCs w:val="18"/>
                <w:lang w:eastAsia="pt-BR"/>
              </w:rPr>
              <w:t>6,</w:t>
            </w:r>
            <w:r w:rsidR="19A29511" w:rsidRPr="68783CE5">
              <w:rPr>
                <w:rFonts w:eastAsia="Times New Roman" w:cs="Times New Roman"/>
                <w:sz w:val="18"/>
                <w:szCs w:val="18"/>
                <w:lang w:eastAsia="pt-BR"/>
              </w:rPr>
              <w:t>9</w:t>
            </w:r>
          </w:p>
        </w:tc>
      </w:tr>
      <w:tr w:rsidR="00B13711" w:rsidRPr="00804DC2" w14:paraId="4F4727B0" w14:textId="77777777" w:rsidTr="00CE0768">
        <w:trPr>
          <w:trHeight w:val="20"/>
          <w:jc w:val="center"/>
        </w:trPr>
        <w:tc>
          <w:tcPr>
            <w:tcW w:w="1065" w:type="dxa"/>
            <w:shd w:val="clear" w:color="auto" w:fill="auto"/>
            <w:vAlign w:val="center"/>
          </w:tcPr>
          <w:p w14:paraId="15C9EBDE"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2010</w:t>
            </w:r>
          </w:p>
        </w:tc>
        <w:tc>
          <w:tcPr>
            <w:tcW w:w="1805" w:type="dxa"/>
            <w:shd w:val="clear" w:color="auto" w:fill="auto"/>
            <w:vAlign w:val="center"/>
          </w:tcPr>
          <w:p w14:paraId="7E6A4E34" w14:textId="4E9E5412" w:rsidR="00B13711" w:rsidRPr="00F81F43" w:rsidRDefault="00B13711"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397B4A1F" w:rsidRPr="68783CE5">
              <w:rPr>
                <w:rFonts w:eastAsia="Times New Roman" w:cs="Times New Roman"/>
                <w:sz w:val="18"/>
                <w:szCs w:val="18"/>
                <w:lang w:eastAsia="pt-BR"/>
              </w:rPr>
              <w:t>674</w:t>
            </w:r>
            <w:r w:rsidRPr="68783CE5">
              <w:rPr>
                <w:rFonts w:eastAsia="Times New Roman" w:cs="Times New Roman"/>
                <w:sz w:val="18"/>
                <w:szCs w:val="18"/>
                <w:lang w:eastAsia="pt-BR"/>
              </w:rPr>
              <w:t>,</w:t>
            </w:r>
            <w:r w:rsidR="5093E863" w:rsidRPr="68783CE5">
              <w:rPr>
                <w:rFonts w:eastAsia="Times New Roman" w:cs="Times New Roman"/>
                <w:sz w:val="18"/>
                <w:szCs w:val="18"/>
                <w:lang w:eastAsia="pt-BR"/>
              </w:rPr>
              <w:t>7</w:t>
            </w:r>
          </w:p>
        </w:tc>
      </w:tr>
      <w:tr w:rsidR="00B13711" w:rsidRPr="00804DC2" w14:paraId="6BB59CF3" w14:textId="77777777" w:rsidTr="00CE0768">
        <w:trPr>
          <w:trHeight w:val="20"/>
          <w:jc w:val="center"/>
        </w:trPr>
        <w:tc>
          <w:tcPr>
            <w:tcW w:w="1065" w:type="dxa"/>
            <w:shd w:val="clear" w:color="auto" w:fill="F2F2F2" w:themeFill="background1" w:themeFillShade="F2"/>
            <w:vAlign w:val="center"/>
          </w:tcPr>
          <w:p w14:paraId="77CA5C15"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2011</w:t>
            </w:r>
          </w:p>
        </w:tc>
        <w:tc>
          <w:tcPr>
            <w:tcW w:w="1805" w:type="dxa"/>
            <w:shd w:val="clear" w:color="auto" w:fill="F2F2F2" w:themeFill="background1" w:themeFillShade="F2"/>
            <w:vAlign w:val="center"/>
          </w:tcPr>
          <w:p w14:paraId="293B86F8" w14:textId="08B9DB85" w:rsidR="00B13711" w:rsidRPr="00F81F43" w:rsidRDefault="00B13711"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5.</w:t>
            </w:r>
            <w:r w:rsidR="71D4B98C" w:rsidRPr="68783CE5">
              <w:rPr>
                <w:rFonts w:eastAsia="Times New Roman" w:cs="Times New Roman"/>
                <w:sz w:val="18"/>
                <w:szCs w:val="18"/>
                <w:lang w:eastAsia="pt-BR"/>
              </w:rPr>
              <w:t>524</w:t>
            </w:r>
            <w:r w:rsidRPr="68783CE5">
              <w:rPr>
                <w:rFonts w:eastAsia="Times New Roman" w:cs="Times New Roman"/>
                <w:sz w:val="18"/>
                <w:szCs w:val="18"/>
                <w:lang w:eastAsia="pt-BR"/>
              </w:rPr>
              <w:t>,</w:t>
            </w:r>
            <w:r w:rsidR="55FFCD06" w:rsidRPr="68783CE5">
              <w:rPr>
                <w:rFonts w:eastAsia="Times New Roman" w:cs="Times New Roman"/>
                <w:sz w:val="18"/>
                <w:szCs w:val="18"/>
                <w:lang w:eastAsia="pt-BR"/>
              </w:rPr>
              <w:t>9</w:t>
            </w:r>
          </w:p>
        </w:tc>
      </w:tr>
      <w:tr w:rsidR="00B13711" w:rsidRPr="00804DC2" w14:paraId="2447743D" w14:textId="77777777" w:rsidTr="00CE0768">
        <w:trPr>
          <w:trHeight w:val="20"/>
          <w:jc w:val="center"/>
        </w:trPr>
        <w:tc>
          <w:tcPr>
            <w:tcW w:w="1065" w:type="dxa"/>
            <w:shd w:val="clear" w:color="auto" w:fill="auto"/>
            <w:vAlign w:val="center"/>
          </w:tcPr>
          <w:p w14:paraId="315313B5"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2012</w:t>
            </w:r>
          </w:p>
        </w:tc>
        <w:tc>
          <w:tcPr>
            <w:tcW w:w="1805" w:type="dxa"/>
            <w:shd w:val="clear" w:color="auto" w:fill="auto"/>
            <w:vAlign w:val="center"/>
          </w:tcPr>
          <w:p w14:paraId="5B27E34A" w14:textId="708AD77E" w:rsidR="00B13711" w:rsidRPr="00F81F43" w:rsidRDefault="00B13711"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13.5</w:t>
            </w:r>
            <w:r w:rsidR="6CA0D452" w:rsidRPr="68783CE5">
              <w:rPr>
                <w:rFonts w:eastAsia="Times New Roman" w:cs="Times New Roman"/>
                <w:sz w:val="18"/>
                <w:szCs w:val="18"/>
                <w:lang w:eastAsia="pt-BR"/>
              </w:rPr>
              <w:t>92</w:t>
            </w:r>
            <w:r w:rsidRPr="68783CE5">
              <w:rPr>
                <w:rFonts w:eastAsia="Times New Roman" w:cs="Times New Roman"/>
                <w:sz w:val="18"/>
                <w:szCs w:val="18"/>
                <w:lang w:eastAsia="pt-BR"/>
              </w:rPr>
              <w:t>,</w:t>
            </w:r>
            <w:r w:rsidR="109DCA92" w:rsidRPr="68783CE5">
              <w:rPr>
                <w:rFonts w:eastAsia="Times New Roman" w:cs="Times New Roman"/>
                <w:sz w:val="18"/>
                <w:szCs w:val="18"/>
                <w:lang w:eastAsia="pt-BR"/>
              </w:rPr>
              <w:t>5</w:t>
            </w:r>
          </w:p>
        </w:tc>
      </w:tr>
      <w:tr w:rsidR="00B13711" w:rsidRPr="00804DC2" w14:paraId="24DE1C14" w14:textId="77777777" w:rsidTr="00CE0768">
        <w:trPr>
          <w:trHeight w:val="20"/>
          <w:jc w:val="center"/>
        </w:trPr>
        <w:tc>
          <w:tcPr>
            <w:tcW w:w="1065" w:type="dxa"/>
            <w:shd w:val="clear" w:color="auto" w:fill="F2F2F2" w:themeFill="background1" w:themeFillShade="F2"/>
            <w:vAlign w:val="center"/>
          </w:tcPr>
          <w:p w14:paraId="64430048"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2013</w:t>
            </w:r>
          </w:p>
        </w:tc>
        <w:tc>
          <w:tcPr>
            <w:tcW w:w="1805" w:type="dxa"/>
            <w:shd w:val="clear" w:color="auto" w:fill="F2F2F2" w:themeFill="background1" w:themeFillShade="F2"/>
            <w:vAlign w:val="center"/>
          </w:tcPr>
          <w:p w14:paraId="796EA5DE" w14:textId="5D2B7C54" w:rsidR="00B13711" w:rsidRPr="00F81F43" w:rsidRDefault="00B13711"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22.</w:t>
            </w:r>
            <w:r w:rsidR="743DEEBC" w:rsidRPr="68783CE5">
              <w:rPr>
                <w:rFonts w:eastAsia="Times New Roman" w:cs="Times New Roman"/>
                <w:sz w:val="18"/>
                <w:szCs w:val="18"/>
                <w:lang w:eastAsia="pt-BR"/>
              </w:rPr>
              <w:t>579</w:t>
            </w:r>
            <w:r w:rsidRPr="68783CE5">
              <w:rPr>
                <w:rFonts w:eastAsia="Times New Roman" w:cs="Times New Roman"/>
                <w:sz w:val="18"/>
                <w:szCs w:val="18"/>
                <w:lang w:eastAsia="pt-BR"/>
              </w:rPr>
              <w:t>,</w:t>
            </w:r>
            <w:r w:rsidR="431D3D5C" w:rsidRPr="68783CE5">
              <w:rPr>
                <w:rFonts w:eastAsia="Times New Roman" w:cs="Times New Roman"/>
                <w:sz w:val="18"/>
                <w:szCs w:val="18"/>
                <w:lang w:eastAsia="pt-BR"/>
              </w:rPr>
              <w:t>2</w:t>
            </w:r>
          </w:p>
        </w:tc>
      </w:tr>
      <w:tr w:rsidR="00B13711" w:rsidRPr="00804DC2" w14:paraId="42FF3D26" w14:textId="77777777" w:rsidTr="00CE0768">
        <w:trPr>
          <w:trHeight w:val="20"/>
          <w:jc w:val="center"/>
        </w:trPr>
        <w:tc>
          <w:tcPr>
            <w:tcW w:w="1065" w:type="dxa"/>
            <w:shd w:val="clear" w:color="auto" w:fill="auto"/>
            <w:vAlign w:val="center"/>
          </w:tcPr>
          <w:p w14:paraId="77E7EA6D"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2014</w:t>
            </w:r>
          </w:p>
        </w:tc>
        <w:tc>
          <w:tcPr>
            <w:tcW w:w="1805" w:type="dxa"/>
            <w:shd w:val="clear" w:color="auto" w:fill="auto"/>
            <w:vAlign w:val="center"/>
          </w:tcPr>
          <w:p w14:paraId="17195C86" w14:textId="306C5D3E" w:rsidR="00B13711" w:rsidRPr="00F81F43" w:rsidRDefault="00B13711"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3E5B15F5" w:rsidRPr="68783CE5">
              <w:rPr>
                <w:rFonts w:eastAsia="Times New Roman" w:cs="Times New Roman"/>
                <w:sz w:val="18"/>
                <w:szCs w:val="18"/>
                <w:lang w:eastAsia="pt-BR"/>
              </w:rPr>
              <w:t>3</w:t>
            </w:r>
            <w:r w:rsidRPr="68783CE5">
              <w:rPr>
                <w:rFonts w:eastAsia="Times New Roman" w:cs="Times New Roman"/>
                <w:sz w:val="18"/>
                <w:szCs w:val="18"/>
                <w:lang w:eastAsia="pt-BR"/>
              </w:rPr>
              <w:t>.</w:t>
            </w:r>
            <w:r w:rsidR="2B3581E1" w:rsidRPr="68783CE5">
              <w:rPr>
                <w:rFonts w:eastAsia="Times New Roman" w:cs="Times New Roman"/>
                <w:sz w:val="18"/>
                <w:szCs w:val="18"/>
                <w:lang w:eastAsia="pt-BR"/>
              </w:rPr>
              <w:t>479</w:t>
            </w:r>
            <w:r w:rsidRPr="68783CE5">
              <w:rPr>
                <w:rFonts w:eastAsia="Times New Roman" w:cs="Times New Roman"/>
                <w:sz w:val="18"/>
                <w:szCs w:val="18"/>
                <w:lang w:eastAsia="pt-BR"/>
              </w:rPr>
              <w:t>,3</w:t>
            </w:r>
          </w:p>
        </w:tc>
      </w:tr>
      <w:tr w:rsidR="00B13711" w:rsidRPr="00804DC2" w14:paraId="6EA618B6" w14:textId="77777777" w:rsidTr="00CE0768">
        <w:trPr>
          <w:trHeight w:val="20"/>
          <w:jc w:val="center"/>
        </w:trPr>
        <w:tc>
          <w:tcPr>
            <w:tcW w:w="1065" w:type="dxa"/>
            <w:shd w:val="clear" w:color="auto" w:fill="F2F2F2" w:themeFill="background1" w:themeFillShade="F2"/>
            <w:vAlign w:val="center"/>
          </w:tcPr>
          <w:p w14:paraId="54D9A4AF"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2015</w:t>
            </w:r>
          </w:p>
        </w:tc>
        <w:tc>
          <w:tcPr>
            <w:tcW w:w="1805" w:type="dxa"/>
            <w:shd w:val="clear" w:color="auto" w:fill="F2F2F2" w:themeFill="background1" w:themeFillShade="F2"/>
            <w:vAlign w:val="center"/>
          </w:tcPr>
          <w:p w14:paraId="3C8FAB29" w14:textId="774381BA" w:rsidR="00B13711" w:rsidRPr="00F81F43" w:rsidRDefault="00B13711"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08C7A015" w:rsidRPr="68783CE5">
              <w:rPr>
                <w:rFonts w:eastAsia="Times New Roman" w:cs="Times New Roman"/>
                <w:sz w:val="18"/>
                <w:szCs w:val="18"/>
                <w:lang w:eastAsia="pt-BR"/>
              </w:rPr>
              <w:t>6</w:t>
            </w:r>
            <w:r w:rsidRPr="68783CE5">
              <w:rPr>
                <w:rFonts w:eastAsia="Times New Roman" w:cs="Times New Roman"/>
                <w:sz w:val="18"/>
                <w:szCs w:val="18"/>
                <w:lang w:eastAsia="pt-BR"/>
              </w:rPr>
              <w:t>.</w:t>
            </w:r>
            <w:r w:rsidR="7E726BA9" w:rsidRPr="68783CE5">
              <w:rPr>
                <w:rFonts w:eastAsia="Times New Roman" w:cs="Times New Roman"/>
                <w:sz w:val="18"/>
                <w:szCs w:val="18"/>
                <w:lang w:eastAsia="pt-BR"/>
              </w:rPr>
              <w:t>309</w:t>
            </w:r>
            <w:r w:rsidRPr="68783CE5">
              <w:rPr>
                <w:rFonts w:eastAsia="Times New Roman" w:cs="Times New Roman"/>
                <w:sz w:val="18"/>
                <w:szCs w:val="18"/>
                <w:lang w:eastAsia="pt-BR"/>
              </w:rPr>
              <w:t>,</w:t>
            </w:r>
            <w:r w:rsidR="740E9C45" w:rsidRPr="68783CE5">
              <w:rPr>
                <w:rFonts w:eastAsia="Times New Roman" w:cs="Times New Roman"/>
                <w:sz w:val="18"/>
                <w:szCs w:val="18"/>
                <w:lang w:eastAsia="pt-BR"/>
              </w:rPr>
              <w:t>1</w:t>
            </w:r>
          </w:p>
        </w:tc>
      </w:tr>
      <w:tr w:rsidR="00B13711" w:rsidRPr="00804DC2" w14:paraId="3BA492A2" w14:textId="77777777" w:rsidTr="00CE0768">
        <w:trPr>
          <w:trHeight w:val="20"/>
          <w:jc w:val="center"/>
        </w:trPr>
        <w:tc>
          <w:tcPr>
            <w:tcW w:w="1065" w:type="dxa"/>
            <w:shd w:val="clear" w:color="auto" w:fill="auto"/>
            <w:vAlign w:val="center"/>
          </w:tcPr>
          <w:p w14:paraId="750EEFA1"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2016</w:t>
            </w:r>
          </w:p>
        </w:tc>
        <w:tc>
          <w:tcPr>
            <w:tcW w:w="1805" w:type="dxa"/>
            <w:shd w:val="clear" w:color="auto" w:fill="auto"/>
            <w:vAlign w:val="center"/>
          </w:tcPr>
          <w:p w14:paraId="590BFAE2" w14:textId="130A6A86" w:rsidR="00B13711" w:rsidRPr="00F81F43" w:rsidRDefault="4BE7939B"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8</w:t>
            </w:r>
            <w:r w:rsidR="00B13711" w:rsidRPr="68783CE5">
              <w:rPr>
                <w:rFonts w:eastAsia="Times New Roman" w:cs="Times New Roman"/>
                <w:sz w:val="18"/>
                <w:szCs w:val="18"/>
                <w:lang w:eastAsia="pt-BR"/>
              </w:rPr>
              <w:t>.</w:t>
            </w:r>
            <w:r w:rsidR="59B5B3F3" w:rsidRPr="68783CE5">
              <w:rPr>
                <w:rFonts w:eastAsia="Times New Roman" w:cs="Times New Roman"/>
                <w:sz w:val="18"/>
                <w:szCs w:val="18"/>
                <w:lang w:eastAsia="pt-BR"/>
              </w:rPr>
              <w:t>65</w:t>
            </w:r>
            <w:r w:rsidR="00B13711" w:rsidRPr="68783CE5">
              <w:rPr>
                <w:rFonts w:eastAsia="Times New Roman" w:cs="Times New Roman"/>
                <w:sz w:val="18"/>
                <w:szCs w:val="18"/>
                <w:lang w:eastAsia="pt-BR"/>
              </w:rPr>
              <w:t>1,</w:t>
            </w:r>
            <w:r w:rsidR="0AFBC85B" w:rsidRPr="68783CE5">
              <w:rPr>
                <w:rFonts w:eastAsia="Times New Roman" w:cs="Times New Roman"/>
                <w:sz w:val="18"/>
                <w:szCs w:val="18"/>
                <w:lang w:eastAsia="pt-BR"/>
              </w:rPr>
              <w:t>6</w:t>
            </w:r>
          </w:p>
        </w:tc>
      </w:tr>
      <w:tr w:rsidR="00B13711" w:rsidRPr="00804DC2" w14:paraId="085F8CD5" w14:textId="77777777" w:rsidTr="00CE0768">
        <w:trPr>
          <w:trHeight w:val="20"/>
          <w:jc w:val="center"/>
        </w:trPr>
        <w:tc>
          <w:tcPr>
            <w:tcW w:w="1065" w:type="dxa"/>
            <w:shd w:val="clear" w:color="auto" w:fill="F2F2F2" w:themeFill="background1" w:themeFillShade="F2"/>
            <w:vAlign w:val="center"/>
          </w:tcPr>
          <w:p w14:paraId="339A2539" w14:textId="77777777" w:rsidR="00B13711" w:rsidRPr="00CB7B2B" w:rsidRDefault="00B13711" w:rsidP="006A6DEA">
            <w:pPr>
              <w:spacing w:after="0" w:line="240" w:lineRule="auto"/>
              <w:jc w:val="center"/>
              <w:rPr>
                <w:rFonts w:eastAsia="Times New Roman" w:cs="Times New Roman"/>
                <w:sz w:val="18"/>
                <w:szCs w:val="18"/>
                <w:lang w:eastAsia="pt-BR"/>
              </w:rPr>
            </w:pPr>
            <w:r w:rsidRPr="00CB7B2B">
              <w:rPr>
                <w:rFonts w:eastAsia="Times New Roman" w:cs="Times New Roman"/>
                <w:sz w:val="18"/>
                <w:szCs w:val="18"/>
                <w:lang w:eastAsia="pt-BR"/>
              </w:rPr>
              <w:t>2017</w:t>
            </w:r>
          </w:p>
        </w:tc>
        <w:tc>
          <w:tcPr>
            <w:tcW w:w="1805" w:type="dxa"/>
            <w:shd w:val="clear" w:color="auto" w:fill="F2F2F2" w:themeFill="background1" w:themeFillShade="F2"/>
            <w:vAlign w:val="center"/>
          </w:tcPr>
          <w:p w14:paraId="3B92C36A" w14:textId="75B850F9" w:rsidR="00B13711" w:rsidRPr="00F81F43" w:rsidRDefault="31AC6202" w:rsidP="00CE0768">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6</w:t>
            </w:r>
            <w:r w:rsidR="00B13711" w:rsidRPr="68783CE5">
              <w:rPr>
                <w:rFonts w:eastAsia="Times New Roman" w:cs="Times New Roman"/>
                <w:sz w:val="18"/>
                <w:szCs w:val="18"/>
                <w:lang w:eastAsia="pt-BR"/>
              </w:rPr>
              <w:t>.</w:t>
            </w:r>
            <w:r w:rsidR="174124BC" w:rsidRPr="68783CE5">
              <w:rPr>
                <w:rFonts w:eastAsia="Times New Roman" w:cs="Times New Roman"/>
                <w:sz w:val="18"/>
                <w:szCs w:val="18"/>
                <w:lang w:eastAsia="pt-BR"/>
              </w:rPr>
              <w:t>43</w:t>
            </w:r>
            <w:r w:rsidR="00B13711" w:rsidRPr="68783CE5">
              <w:rPr>
                <w:rFonts w:eastAsia="Times New Roman" w:cs="Times New Roman"/>
                <w:sz w:val="18"/>
                <w:szCs w:val="18"/>
                <w:lang w:eastAsia="pt-BR"/>
              </w:rPr>
              <w:t>9,</w:t>
            </w:r>
            <w:r w:rsidR="282E8BF8" w:rsidRPr="68783CE5">
              <w:rPr>
                <w:rFonts w:eastAsia="Times New Roman" w:cs="Times New Roman"/>
                <w:sz w:val="18"/>
                <w:szCs w:val="18"/>
                <w:lang w:eastAsia="pt-BR"/>
              </w:rPr>
              <w:t>8</w:t>
            </w:r>
          </w:p>
        </w:tc>
      </w:tr>
      <w:tr w:rsidR="00B13711" w:rsidRPr="001A39FC" w14:paraId="2A9462B3" w14:textId="77777777" w:rsidTr="00CE0768">
        <w:trPr>
          <w:trHeight w:val="20"/>
          <w:jc w:val="center"/>
        </w:trPr>
        <w:tc>
          <w:tcPr>
            <w:tcW w:w="1065" w:type="dxa"/>
            <w:tcBorders>
              <w:bottom w:val="single" w:sz="4" w:space="0" w:color="BFBFBF" w:themeColor="background1" w:themeShade="BF"/>
            </w:tcBorders>
            <w:shd w:val="clear" w:color="auto" w:fill="7F7F7F" w:themeFill="text1" w:themeFillTint="80"/>
            <w:vAlign w:val="center"/>
          </w:tcPr>
          <w:p w14:paraId="54AA7A41" w14:textId="77777777" w:rsidR="00B13711" w:rsidRPr="001A39FC" w:rsidRDefault="00B13711" w:rsidP="006A6DEA">
            <w:pPr>
              <w:spacing w:after="0" w:line="240" w:lineRule="auto"/>
              <w:jc w:val="center"/>
              <w:rPr>
                <w:rFonts w:eastAsia="Times New Roman" w:cs="Times New Roman"/>
                <w:b/>
                <w:bCs/>
                <w:color w:val="FFFFFF" w:themeColor="background1"/>
                <w:sz w:val="18"/>
                <w:szCs w:val="18"/>
                <w:lang w:eastAsia="pt-BR"/>
              </w:rPr>
            </w:pPr>
            <w:r w:rsidRPr="001A39FC">
              <w:rPr>
                <w:rFonts w:eastAsia="Times New Roman" w:cs="Times New Roman"/>
                <w:b/>
                <w:bCs/>
                <w:color w:val="FFFFFF" w:themeColor="background1"/>
                <w:sz w:val="18"/>
                <w:szCs w:val="18"/>
                <w:lang w:eastAsia="pt-BR"/>
              </w:rPr>
              <w:t>Total</w:t>
            </w:r>
          </w:p>
        </w:tc>
        <w:tc>
          <w:tcPr>
            <w:tcW w:w="1805" w:type="dxa"/>
            <w:tcBorders>
              <w:bottom w:val="single" w:sz="4" w:space="0" w:color="BFBFBF" w:themeColor="background1" w:themeShade="BF"/>
            </w:tcBorders>
            <w:shd w:val="clear" w:color="auto" w:fill="7F7F7F" w:themeFill="text1" w:themeFillTint="80"/>
            <w:vAlign w:val="center"/>
          </w:tcPr>
          <w:p w14:paraId="2B20F644" w14:textId="1BB497D4" w:rsidR="00B13711" w:rsidRPr="001A39FC" w:rsidRDefault="00B13711" w:rsidP="00CE0768">
            <w:pPr>
              <w:spacing w:after="0" w:line="240" w:lineRule="auto"/>
              <w:jc w:val="right"/>
              <w:rPr>
                <w:rFonts w:eastAsia="Times New Roman" w:cs="Times New Roman"/>
                <w:b/>
                <w:bCs/>
                <w:color w:val="FFFFFF" w:themeColor="background1"/>
                <w:sz w:val="18"/>
                <w:szCs w:val="18"/>
                <w:lang w:eastAsia="pt-BR"/>
              </w:rPr>
            </w:pPr>
            <w:r w:rsidRPr="001A39FC">
              <w:rPr>
                <w:rFonts w:eastAsia="Times New Roman" w:cs="Times New Roman"/>
                <w:b/>
                <w:bCs/>
                <w:color w:val="FFFFFF" w:themeColor="background1"/>
                <w:sz w:val="18"/>
                <w:szCs w:val="18"/>
                <w:lang w:eastAsia="pt-BR"/>
              </w:rPr>
              <w:t>1</w:t>
            </w:r>
            <w:r w:rsidR="10CAB4A1" w:rsidRPr="001A39FC">
              <w:rPr>
                <w:rFonts w:eastAsia="Times New Roman" w:cs="Times New Roman"/>
                <w:b/>
                <w:bCs/>
                <w:color w:val="FFFFFF" w:themeColor="background1"/>
                <w:sz w:val="18"/>
                <w:szCs w:val="18"/>
                <w:lang w:eastAsia="pt-BR"/>
              </w:rPr>
              <w:t>11</w:t>
            </w:r>
            <w:r w:rsidRPr="001A39FC">
              <w:rPr>
                <w:rFonts w:eastAsia="Times New Roman" w:cs="Times New Roman"/>
                <w:b/>
                <w:bCs/>
                <w:color w:val="FFFFFF" w:themeColor="background1"/>
                <w:sz w:val="18"/>
                <w:szCs w:val="18"/>
                <w:lang w:eastAsia="pt-BR"/>
              </w:rPr>
              <w:t>.</w:t>
            </w:r>
            <w:r w:rsidR="2FDAC2C3" w:rsidRPr="001A39FC">
              <w:rPr>
                <w:rFonts w:eastAsia="Times New Roman" w:cs="Times New Roman"/>
                <w:b/>
                <w:bCs/>
                <w:color w:val="FFFFFF" w:themeColor="background1"/>
                <w:sz w:val="18"/>
                <w:szCs w:val="18"/>
                <w:lang w:eastAsia="pt-BR"/>
              </w:rPr>
              <w:t>788</w:t>
            </w:r>
            <w:r w:rsidRPr="001A39FC">
              <w:rPr>
                <w:rFonts w:eastAsia="Times New Roman" w:cs="Times New Roman"/>
                <w:b/>
                <w:bCs/>
                <w:color w:val="FFFFFF" w:themeColor="background1"/>
                <w:sz w:val="18"/>
                <w:szCs w:val="18"/>
                <w:lang w:eastAsia="pt-BR"/>
              </w:rPr>
              <w:t>,</w:t>
            </w:r>
            <w:r w:rsidR="48F94AC3" w:rsidRPr="001A39FC">
              <w:rPr>
                <w:rFonts w:eastAsia="Times New Roman" w:cs="Times New Roman"/>
                <w:b/>
                <w:bCs/>
                <w:color w:val="FFFFFF" w:themeColor="background1"/>
                <w:sz w:val="18"/>
                <w:szCs w:val="18"/>
                <w:lang w:eastAsia="pt-BR"/>
              </w:rPr>
              <w:t>2</w:t>
            </w:r>
          </w:p>
        </w:tc>
      </w:tr>
      <w:tr w:rsidR="00B13711" w:rsidRPr="000C51CB" w14:paraId="4A106E80" w14:textId="77777777" w:rsidTr="705AD6CA">
        <w:trPr>
          <w:trHeight w:val="419"/>
          <w:jc w:val="center"/>
        </w:trPr>
        <w:tc>
          <w:tcPr>
            <w:tcW w:w="2870" w:type="dxa"/>
            <w:gridSpan w:val="2"/>
            <w:tcBorders>
              <w:top w:val="single" w:sz="4" w:space="0" w:color="BFBFBF" w:themeColor="background1" w:themeShade="BF"/>
              <w:left w:val="nil"/>
              <w:bottom w:val="nil"/>
              <w:right w:val="nil"/>
            </w:tcBorders>
            <w:shd w:val="clear" w:color="auto" w:fill="auto"/>
            <w:vAlign w:val="center"/>
          </w:tcPr>
          <w:p w14:paraId="199B3842" w14:textId="7A14E16E" w:rsidR="00B13711" w:rsidRPr="00D35F09" w:rsidRDefault="00B13711" w:rsidP="68783CE5">
            <w:pPr>
              <w:spacing w:after="0"/>
              <w:rPr>
                <w:i/>
                <w:iCs/>
                <w:sz w:val="16"/>
                <w:szCs w:val="16"/>
              </w:rPr>
            </w:pPr>
            <w:proofErr w:type="gramStart"/>
            <w:r w:rsidRPr="68783CE5">
              <w:rPr>
                <w:i/>
                <w:iCs/>
                <w:sz w:val="16"/>
                <w:szCs w:val="16"/>
                <w:vertAlign w:val="superscript"/>
              </w:rPr>
              <w:t>1</w:t>
            </w:r>
            <w:proofErr w:type="gramEnd"/>
            <w:r w:rsidRPr="68783CE5">
              <w:rPr>
                <w:i/>
                <w:iCs/>
                <w:sz w:val="16"/>
                <w:szCs w:val="16"/>
                <w:vertAlign w:val="superscript"/>
              </w:rPr>
              <w:t xml:space="preserve"> </w:t>
            </w:r>
            <w:r w:rsidRPr="68783CE5">
              <w:rPr>
                <w:i/>
                <w:iCs/>
                <w:sz w:val="16"/>
                <w:szCs w:val="16"/>
              </w:rPr>
              <w:t>Posição 31/12/20</w:t>
            </w:r>
            <w:r w:rsidR="3C903FD5" w:rsidRPr="68783CE5">
              <w:rPr>
                <w:i/>
                <w:iCs/>
                <w:sz w:val="16"/>
                <w:szCs w:val="16"/>
              </w:rPr>
              <w:t>20</w:t>
            </w:r>
          </w:p>
          <w:p w14:paraId="72C9FD89" w14:textId="77777777" w:rsidR="00B13711" w:rsidRPr="000C51CB" w:rsidRDefault="00B13711" w:rsidP="006A6DEA">
            <w:pPr>
              <w:spacing w:after="0"/>
              <w:rPr>
                <w:i/>
                <w:sz w:val="16"/>
                <w:szCs w:val="16"/>
              </w:rPr>
            </w:pPr>
            <w:r w:rsidRPr="00D35F09">
              <w:rPr>
                <w:b/>
                <w:i/>
                <w:sz w:val="16"/>
                <w:szCs w:val="16"/>
              </w:rPr>
              <w:t>Fonte e Elaboração</w:t>
            </w:r>
            <w:r w:rsidRPr="00D35F09">
              <w:rPr>
                <w:i/>
                <w:sz w:val="16"/>
                <w:szCs w:val="16"/>
              </w:rPr>
              <w:t>: FNDE</w:t>
            </w:r>
          </w:p>
        </w:tc>
      </w:tr>
    </w:tbl>
    <w:p w14:paraId="736BF68B" w14:textId="77777777" w:rsidR="00B13711" w:rsidRDefault="00B13711" w:rsidP="00B13711">
      <w:pPr>
        <w:spacing w:after="120" w:line="240" w:lineRule="auto"/>
        <w:jc w:val="both"/>
      </w:pPr>
    </w:p>
    <w:p w14:paraId="0148580F" w14:textId="43F5B180" w:rsidR="0061614E" w:rsidRPr="00353D69" w:rsidRDefault="0061614E" w:rsidP="68783CE5">
      <w:pPr>
        <w:spacing w:after="120" w:line="240" w:lineRule="auto"/>
        <w:ind w:firstLine="1418"/>
        <w:jc w:val="both"/>
        <w:rPr>
          <w:rFonts w:eastAsia="Times New Roman"/>
          <w:color w:val="000000" w:themeColor="text1"/>
          <w:sz w:val="24"/>
          <w:szCs w:val="24"/>
        </w:rPr>
      </w:pPr>
      <w:r w:rsidRPr="00353D69">
        <w:rPr>
          <w:rFonts w:eastAsia="Times New Roman"/>
          <w:color w:val="000000" w:themeColor="text1"/>
          <w:sz w:val="24"/>
          <w:szCs w:val="24"/>
        </w:rPr>
        <w:t xml:space="preserve">Conforme a Exposição de Motivos Interministerial EMI </w:t>
      </w:r>
      <w:r w:rsidR="00C732C7" w:rsidRPr="00353D69">
        <w:rPr>
          <w:rFonts w:eastAsia="Times New Roman"/>
          <w:color w:val="000000" w:themeColor="text1"/>
          <w:sz w:val="24"/>
          <w:szCs w:val="24"/>
        </w:rPr>
        <w:t>n</w:t>
      </w:r>
      <w:r w:rsidR="005F35F4" w:rsidRPr="00353D69">
        <w:rPr>
          <w:rFonts w:eastAsia="Times New Roman"/>
          <w:color w:val="000000" w:themeColor="text1"/>
          <w:sz w:val="24"/>
          <w:szCs w:val="24"/>
        </w:rPr>
        <w:t>º</w:t>
      </w:r>
      <w:r w:rsidRPr="00353D69">
        <w:rPr>
          <w:rFonts w:eastAsia="Times New Roman"/>
          <w:color w:val="000000" w:themeColor="text1"/>
          <w:sz w:val="24"/>
          <w:szCs w:val="24"/>
        </w:rPr>
        <w:t xml:space="preserve"> 37/2017, elaborada por ocasião do envio da MP nº 785/2017, foram destacadas as três principais causas que poderiam levar à insustentabilidade fiscal do Fies, conforme segue: (i) risco de crédito, (</w:t>
      </w:r>
      <w:proofErr w:type="spellStart"/>
      <w:proofErr w:type="gramStart"/>
      <w:r w:rsidRPr="00353D69">
        <w:rPr>
          <w:rFonts w:eastAsia="Times New Roman"/>
          <w:color w:val="000000" w:themeColor="text1"/>
          <w:sz w:val="24"/>
          <w:szCs w:val="24"/>
        </w:rPr>
        <w:t>ii</w:t>
      </w:r>
      <w:proofErr w:type="spellEnd"/>
      <w:proofErr w:type="gramEnd"/>
      <w:r w:rsidRPr="00353D69">
        <w:rPr>
          <w:rFonts w:eastAsia="Times New Roman"/>
          <w:color w:val="000000" w:themeColor="text1"/>
          <w:sz w:val="24"/>
          <w:szCs w:val="24"/>
        </w:rPr>
        <w:t>) subsídio implícito e (</w:t>
      </w:r>
      <w:proofErr w:type="spellStart"/>
      <w:r w:rsidRPr="00353D69">
        <w:rPr>
          <w:rFonts w:eastAsia="Times New Roman"/>
          <w:color w:val="000000" w:themeColor="text1"/>
          <w:sz w:val="24"/>
          <w:szCs w:val="24"/>
        </w:rPr>
        <w:t>iii</w:t>
      </w:r>
      <w:proofErr w:type="spellEnd"/>
      <w:r w:rsidRPr="00353D69">
        <w:rPr>
          <w:rFonts w:eastAsia="Times New Roman"/>
          <w:color w:val="000000" w:themeColor="text1"/>
          <w:sz w:val="24"/>
          <w:szCs w:val="24"/>
        </w:rPr>
        <w:t>) governança do programa.</w:t>
      </w:r>
    </w:p>
    <w:p w14:paraId="37BFF542" w14:textId="0F92BA76" w:rsidR="00233C24" w:rsidRPr="00353D69" w:rsidRDefault="00F64845" w:rsidP="68783CE5">
      <w:pPr>
        <w:spacing w:after="120" w:line="240" w:lineRule="auto"/>
        <w:ind w:firstLine="1418"/>
        <w:jc w:val="both"/>
        <w:rPr>
          <w:rFonts w:eastAsia="Times New Roman"/>
          <w:color w:val="000000" w:themeColor="text1"/>
          <w:sz w:val="24"/>
          <w:szCs w:val="24"/>
        </w:rPr>
      </w:pPr>
      <w:r w:rsidRPr="00353D69">
        <w:rPr>
          <w:rFonts w:eastAsia="Times New Roman"/>
          <w:color w:val="000000" w:themeColor="text1"/>
          <w:sz w:val="24"/>
          <w:szCs w:val="24"/>
        </w:rPr>
        <w:t>A concessão de crédito aos estudantes expõe a União ao risco de crédito do Fies, indicador que é monitorado mensalmente. O valor da exposição relativa às operações do Fies, em 31</w:t>
      </w:r>
      <w:r w:rsidR="21F1111F" w:rsidRPr="00353D69">
        <w:rPr>
          <w:rFonts w:eastAsia="Times New Roman"/>
          <w:color w:val="000000" w:themeColor="text1"/>
          <w:sz w:val="24"/>
          <w:szCs w:val="24"/>
        </w:rPr>
        <w:t xml:space="preserve"> de dezembro de 20</w:t>
      </w:r>
      <w:r w:rsidR="0885DD3D" w:rsidRPr="00353D69">
        <w:rPr>
          <w:rFonts w:eastAsia="Times New Roman"/>
          <w:color w:val="000000" w:themeColor="text1"/>
          <w:sz w:val="24"/>
          <w:szCs w:val="24"/>
        </w:rPr>
        <w:t>20</w:t>
      </w:r>
      <w:r w:rsidRPr="00353D69">
        <w:rPr>
          <w:rFonts w:eastAsia="Times New Roman"/>
          <w:color w:val="000000" w:themeColor="text1"/>
          <w:sz w:val="24"/>
          <w:szCs w:val="24"/>
        </w:rPr>
        <w:t>, era de R$ 1</w:t>
      </w:r>
      <w:r w:rsidR="0881F459" w:rsidRPr="00353D69">
        <w:rPr>
          <w:rFonts w:eastAsia="Times New Roman"/>
          <w:color w:val="000000" w:themeColor="text1"/>
          <w:sz w:val="24"/>
          <w:szCs w:val="24"/>
        </w:rPr>
        <w:t>11</w:t>
      </w:r>
      <w:r w:rsidRPr="00353D69">
        <w:rPr>
          <w:rFonts w:eastAsia="Times New Roman"/>
          <w:color w:val="000000" w:themeColor="text1"/>
          <w:sz w:val="24"/>
          <w:szCs w:val="24"/>
        </w:rPr>
        <w:t>,</w:t>
      </w:r>
      <w:r w:rsidR="2AB9A3DB" w:rsidRPr="00353D69">
        <w:rPr>
          <w:rFonts w:eastAsia="Times New Roman"/>
          <w:color w:val="000000" w:themeColor="text1"/>
          <w:sz w:val="24"/>
          <w:szCs w:val="24"/>
        </w:rPr>
        <w:t>7</w:t>
      </w:r>
      <w:r w:rsidRPr="00353D69">
        <w:rPr>
          <w:rFonts w:eastAsia="Times New Roman"/>
          <w:color w:val="000000" w:themeColor="text1"/>
          <w:sz w:val="24"/>
          <w:szCs w:val="24"/>
        </w:rPr>
        <w:t xml:space="preserve"> bilhões, sendo que R$ 10</w:t>
      </w:r>
      <w:r w:rsidR="786CB5A2" w:rsidRPr="00353D69">
        <w:rPr>
          <w:rFonts w:eastAsia="Times New Roman"/>
          <w:color w:val="000000" w:themeColor="text1"/>
          <w:sz w:val="24"/>
          <w:szCs w:val="24"/>
        </w:rPr>
        <w:t>9</w:t>
      </w:r>
      <w:r w:rsidRPr="00353D69">
        <w:rPr>
          <w:rFonts w:eastAsia="Times New Roman"/>
          <w:color w:val="000000" w:themeColor="text1"/>
          <w:sz w:val="24"/>
          <w:szCs w:val="24"/>
        </w:rPr>
        <w:t>,</w:t>
      </w:r>
      <w:r w:rsidR="3A05A5B8" w:rsidRPr="00353D69">
        <w:rPr>
          <w:rFonts w:eastAsia="Times New Roman"/>
          <w:color w:val="000000" w:themeColor="text1"/>
          <w:sz w:val="24"/>
          <w:szCs w:val="24"/>
        </w:rPr>
        <w:t>2</w:t>
      </w:r>
      <w:r w:rsidRPr="00353D69">
        <w:rPr>
          <w:rFonts w:eastAsia="Times New Roman"/>
          <w:color w:val="000000" w:themeColor="text1"/>
          <w:sz w:val="24"/>
          <w:szCs w:val="24"/>
        </w:rPr>
        <w:t xml:space="preserve"> bilhões são referentes aos contratos formalizados a partir de 2010</w:t>
      </w:r>
      <w:r w:rsidR="00C13EF4" w:rsidRPr="00353D69">
        <w:rPr>
          <w:rFonts w:eastAsia="Times New Roman"/>
          <w:color w:val="000000" w:themeColor="text1"/>
          <w:sz w:val="24"/>
          <w:szCs w:val="24"/>
        </w:rPr>
        <w:t>. Os va</w:t>
      </w:r>
      <w:r w:rsidR="00012E9E" w:rsidRPr="00353D69">
        <w:rPr>
          <w:rFonts w:eastAsia="Times New Roman"/>
          <w:color w:val="000000" w:themeColor="text1"/>
          <w:sz w:val="24"/>
          <w:szCs w:val="24"/>
        </w:rPr>
        <w:t xml:space="preserve">lores por </w:t>
      </w:r>
      <w:r w:rsidR="00B347E6" w:rsidRPr="00353D69">
        <w:rPr>
          <w:rFonts w:eastAsia="Times New Roman"/>
          <w:color w:val="000000" w:themeColor="text1"/>
          <w:sz w:val="24"/>
          <w:szCs w:val="24"/>
        </w:rPr>
        <w:t>safra</w:t>
      </w:r>
      <w:r w:rsidR="00012E9E" w:rsidRPr="00353D69">
        <w:rPr>
          <w:rFonts w:eastAsia="Times New Roman"/>
          <w:color w:val="000000" w:themeColor="text1"/>
          <w:sz w:val="24"/>
          <w:szCs w:val="24"/>
        </w:rPr>
        <w:t xml:space="preserve"> </w:t>
      </w:r>
      <w:r w:rsidR="00D26A3E" w:rsidRPr="00353D69">
        <w:rPr>
          <w:rFonts w:eastAsia="Times New Roman"/>
          <w:color w:val="000000" w:themeColor="text1"/>
          <w:sz w:val="24"/>
          <w:szCs w:val="24"/>
        </w:rPr>
        <w:t xml:space="preserve">de concessão </w:t>
      </w:r>
      <w:r w:rsidR="00012E9E" w:rsidRPr="00353D69">
        <w:rPr>
          <w:rFonts w:eastAsia="Times New Roman"/>
          <w:color w:val="000000" w:themeColor="text1"/>
          <w:sz w:val="24"/>
          <w:szCs w:val="24"/>
        </w:rPr>
        <w:t>são apresentados na</w:t>
      </w:r>
      <w:r w:rsidR="00E56B55" w:rsidRPr="00353D69">
        <w:rPr>
          <w:rFonts w:eastAsia="Times New Roman"/>
          <w:color w:val="000000" w:themeColor="text1"/>
          <w:sz w:val="24"/>
          <w:szCs w:val="24"/>
        </w:rPr>
        <w:t xml:space="preserve"> </w:t>
      </w:r>
      <w:r w:rsidRPr="00353D69">
        <w:rPr>
          <w:rFonts w:eastAsia="Times New Roman"/>
          <w:color w:val="000000" w:themeColor="text1"/>
          <w:sz w:val="24"/>
          <w:szCs w:val="24"/>
        </w:rPr>
        <w:fldChar w:fldCharType="begin"/>
      </w:r>
      <w:r w:rsidRPr="00353D69">
        <w:rPr>
          <w:rFonts w:eastAsia="Times New Roman"/>
          <w:color w:val="000000" w:themeColor="text1"/>
          <w:sz w:val="24"/>
          <w:szCs w:val="24"/>
        </w:rPr>
        <w:instrText xml:space="preserve"> REF _Ref36482135  \* MERGEFORMAT </w:instrText>
      </w:r>
      <w:r w:rsidRPr="00353D69">
        <w:rPr>
          <w:rFonts w:eastAsia="Times New Roman"/>
          <w:color w:val="000000" w:themeColor="text1"/>
          <w:sz w:val="24"/>
          <w:szCs w:val="24"/>
        </w:rPr>
        <w:fldChar w:fldCharType="separate"/>
      </w:r>
      <w:r w:rsidR="00304F5F" w:rsidRPr="00304F5F">
        <w:rPr>
          <w:rFonts w:eastAsia="Times New Roman"/>
          <w:color w:val="000000" w:themeColor="text1"/>
          <w:sz w:val="24"/>
          <w:szCs w:val="24"/>
        </w:rPr>
        <w:t>Tabela 67</w:t>
      </w:r>
      <w:r w:rsidRPr="00353D69">
        <w:rPr>
          <w:rFonts w:eastAsia="Times New Roman"/>
          <w:color w:val="000000" w:themeColor="text1"/>
          <w:sz w:val="24"/>
          <w:szCs w:val="24"/>
        </w:rPr>
        <w:fldChar w:fldCharType="end"/>
      </w:r>
      <w:r w:rsidR="006E64B5" w:rsidRPr="00353D69">
        <w:rPr>
          <w:color w:val="000000" w:themeColor="text1"/>
          <w:sz w:val="24"/>
          <w:szCs w:val="24"/>
        </w:rPr>
        <w:t>.</w:t>
      </w:r>
    </w:p>
    <w:p w14:paraId="6CE38186" w14:textId="754A8FE0" w:rsidR="002A37F2" w:rsidRPr="00353D69" w:rsidRDefault="00710B73" w:rsidP="00F34E23">
      <w:pPr>
        <w:spacing w:before="240" w:after="120" w:line="240" w:lineRule="auto"/>
        <w:ind w:firstLine="1418"/>
        <w:jc w:val="both"/>
        <w:rPr>
          <w:color w:val="000000" w:themeColor="text1"/>
          <w:sz w:val="24"/>
          <w:szCs w:val="24"/>
        </w:rPr>
      </w:pPr>
      <w:r w:rsidRPr="00353D69">
        <w:rPr>
          <w:color w:val="000000" w:themeColor="text1"/>
          <w:sz w:val="24"/>
          <w:szCs w:val="24"/>
        </w:rPr>
        <w:lastRenderedPageBreak/>
        <w:t xml:space="preserve">Os contratos de crédito do Fies possuem a particularidade de preverem desembolsos mensais para as instituições de ensino e renovações semestrais mediante os processos de aditamento, na medida em que o estudante avança na conclusão do curso. Em decorrência desse fato, relativamente aos contratos formalizados até 2017, a União submete-se a uma exposição adicional de R$ </w:t>
      </w:r>
      <w:r w:rsidR="563AC85E" w:rsidRPr="00353D69">
        <w:rPr>
          <w:color w:val="000000" w:themeColor="text1"/>
          <w:sz w:val="24"/>
          <w:szCs w:val="24"/>
        </w:rPr>
        <w:t>2</w:t>
      </w:r>
      <w:r w:rsidRPr="00353D69">
        <w:rPr>
          <w:color w:val="000000" w:themeColor="text1"/>
          <w:sz w:val="24"/>
          <w:szCs w:val="24"/>
        </w:rPr>
        <w:t>,</w:t>
      </w:r>
      <w:r w:rsidR="3DD2F2BE" w:rsidRPr="00353D69">
        <w:rPr>
          <w:color w:val="000000" w:themeColor="text1"/>
          <w:sz w:val="24"/>
          <w:szCs w:val="24"/>
        </w:rPr>
        <w:t>7</w:t>
      </w:r>
      <w:r w:rsidRPr="00353D69">
        <w:rPr>
          <w:color w:val="000000" w:themeColor="text1"/>
          <w:sz w:val="24"/>
          <w:szCs w:val="24"/>
        </w:rPr>
        <w:t xml:space="preserve"> bilhões em recursos contratados ainda por liberar, chegando a uma exposição total de aproximadamente R$ 11</w:t>
      </w:r>
      <w:r w:rsidR="30401240" w:rsidRPr="00353D69">
        <w:rPr>
          <w:color w:val="000000" w:themeColor="text1"/>
          <w:sz w:val="24"/>
          <w:szCs w:val="24"/>
        </w:rPr>
        <w:t>4</w:t>
      </w:r>
      <w:r w:rsidRPr="00353D69">
        <w:rPr>
          <w:color w:val="000000" w:themeColor="text1"/>
          <w:sz w:val="24"/>
          <w:szCs w:val="24"/>
        </w:rPr>
        <w:t xml:space="preserve"> bilhões</w:t>
      </w:r>
      <w:r w:rsidR="00B63220" w:rsidRPr="00353D69">
        <w:rPr>
          <w:color w:val="000000" w:themeColor="text1"/>
          <w:sz w:val="24"/>
          <w:szCs w:val="24"/>
        </w:rPr>
        <w:t>, ao final de 20</w:t>
      </w:r>
      <w:r w:rsidR="7D7D9DE8" w:rsidRPr="00353D69">
        <w:rPr>
          <w:color w:val="000000" w:themeColor="text1"/>
          <w:sz w:val="24"/>
          <w:szCs w:val="24"/>
        </w:rPr>
        <w:t>20</w:t>
      </w:r>
      <w:r w:rsidR="00145014" w:rsidRPr="00353D69">
        <w:rPr>
          <w:color w:val="000000" w:themeColor="text1"/>
          <w:sz w:val="24"/>
          <w:szCs w:val="24"/>
        </w:rPr>
        <w:t xml:space="preserve"> (</w:t>
      </w:r>
      <w:r w:rsidR="00145014" w:rsidRPr="00353D69">
        <w:rPr>
          <w:color w:val="000000" w:themeColor="text1"/>
          <w:sz w:val="24"/>
          <w:szCs w:val="24"/>
        </w:rPr>
        <w:fldChar w:fldCharType="begin"/>
      </w:r>
      <w:r w:rsidR="00145014" w:rsidRPr="00353D69">
        <w:rPr>
          <w:color w:val="000000" w:themeColor="text1"/>
          <w:sz w:val="24"/>
          <w:szCs w:val="24"/>
        </w:rPr>
        <w:instrText xml:space="preserve"> REF _Ref4161281 \h  \* MERGEFORMAT </w:instrText>
      </w:r>
      <w:r w:rsidR="00145014" w:rsidRPr="00353D69">
        <w:rPr>
          <w:color w:val="000000" w:themeColor="text1"/>
          <w:sz w:val="24"/>
          <w:szCs w:val="24"/>
        </w:rPr>
      </w:r>
      <w:r w:rsidR="00145014" w:rsidRPr="00353D69">
        <w:rPr>
          <w:color w:val="000000" w:themeColor="text1"/>
          <w:sz w:val="24"/>
          <w:szCs w:val="24"/>
        </w:rPr>
        <w:fldChar w:fldCharType="separate"/>
      </w:r>
      <w:r w:rsidR="00304F5F" w:rsidRPr="00304F5F">
        <w:rPr>
          <w:color w:val="000000" w:themeColor="text1"/>
          <w:sz w:val="24"/>
          <w:szCs w:val="24"/>
        </w:rPr>
        <w:t>Tabela 68</w:t>
      </w:r>
      <w:r w:rsidR="00145014" w:rsidRPr="00353D69">
        <w:rPr>
          <w:color w:val="000000" w:themeColor="text1"/>
          <w:sz w:val="24"/>
          <w:szCs w:val="24"/>
        </w:rPr>
        <w:fldChar w:fldCharType="end"/>
      </w:r>
      <w:r w:rsidR="00145014" w:rsidRPr="00353D69">
        <w:rPr>
          <w:color w:val="000000" w:themeColor="text1"/>
          <w:sz w:val="24"/>
          <w:szCs w:val="24"/>
        </w:rPr>
        <w:t>).</w:t>
      </w:r>
    </w:p>
    <w:p w14:paraId="7731A2A2" w14:textId="404029A2" w:rsidR="000D17A6" w:rsidRDefault="000D17A6" w:rsidP="00F34E23">
      <w:pPr>
        <w:pStyle w:val="Legenda"/>
        <w:spacing w:before="240" w:after="120"/>
        <w:jc w:val="center"/>
        <w:rPr>
          <w:rFonts w:asciiTheme="minorHAnsi" w:hAnsiTheme="minorHAnsi"/>
          <w:i w:val="0"/>
          <w:color w:val="auto"/>
          <w:sz w:val="22"/>
          <w:szCs w:val="22"/>
        </w:rPr>
      </w:pPr>
      <w:bookmarkStart w:id="443" w:name="_Ref4161281"/>
      <w:bookmarkStart w:id="444" w:name="_Toc5027623"/>
      <w:bookmarkStart w:id="445" w:name="_Toc69121414"/>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68</w:t>
      </w:r>
      <w:r w:rsidRPr="0022645B">
        <w:rPr>
          <w:rFonts w:asciiTheme="minorHAnsi" w:hAnsiTheme="minorHAnsi"/>
          <w:i w:val="0"/>
          <w:color w:val="auto"/>
          <w:sz w:val="22"/>
          <w:szCs w:val="22"/>
        </w:rPr>
        <w:fldChar w:fldCharType="end"/>
      </w:r>
      <w:bookmarkEnd w:id="443"/>
      <w:r w:rsidR="00E677B6">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 Exposição ao </w:t>
      </w:r>
      <w:r w:rsidR="002727C9">
        <w:rPr>
          <w:rFonts w:asciiTheme="minorHAnsi" w:hAnsiTheme="minorHAnsi"/>
          <w:i w:val="0"/>
          <w:color w:val="auto"/>
          <w:sz w:val="22"/>
          <w:szCs w:val="22"/>
        </w:rPr>
        <w:t>r</w:t>
      </w:r>
      <w:r w:rsidRPr="0022645B">
        <w:rPr>
          <w:rFonts w:asciiTheme="minorHAnsi" w:hAnsiTheme="minorHAnsi"/>
          <w:i w:val="0"/>
          <w:color w:val="auto"/>
          <w:sz w:val="22"/>
          <w:szCs w:val="22"/>
        </w:rPr>
        <w:t xml:space="preserve">isco de </w:t>
      </w:r>
      <w:r w:rsidR="002727C9">
        <w:rPr>
          <w:rFonts w:asciiTheme="minorHAnsi" w:hAnsiTheme="minorHAnsi"/>
          <w:i w:val="0"/>
          <w:color w:val="auto"/>
          <w:sz w:val="22"/>
          <w:szCs w:val="22"/>
        </w:rPr>
        <w:t>c</w:t>
      </w:r>
      <w:r w:rsidRPr="0022645B">
        <w:rPr>
          <w:rFonts w:asciiTheme="minorHAnsi" w:hAnsiTheme="minorHAnsi"/>
          <w:i w:val="0"/>
          <w:color w:val="auto"/>
          <w:sz w:val="22"/>
          <w:szCs w:val="22"/>
        </w:rPr>
        <w:t>rédito</w:t>
      </w:r>
      <w:bookmarkEnd w:id="444"/>
      <w:r w:rsidR="00374688">
        <w:rPr>
          <w:rFonts w:asciiTheme="minorHAnsi" w:hAnsiTheme="minorHAnsi"/>
          <w:i w:val="0"/>
          <w:color w:val="auto"/>
          <w:sz w:val="22"/>
          <w:szCs w:val="22"/>
        </w:rPr>
        <w:t xml:space="preserve">, </w:t>
      </w:r>
      <w:r w:rsidR="00AB7608">
        <w:rPr>
          <w:rFonts w:asciiTheme="minorHAnsi" w:hAnsiTheme="minorHAnsi"/>
          <w:i w:val="0"/>
          <w:color w:val="auto"/>
          <w:sz w:val="22"/>
          <w:szCs w:val="22"/>
        </w:rPr>
        <w:t xml:space="preserve">por </w:t>
      </w:r>
      <w:proofErr w:type="gramStart"/>
      <w:r w:rsidR="00AB7608">
        <w:rPr>
          <w:rFonts w:asciiTheme="minorHAnsi" w:hAnsiTheme="minorHAnsi"/>
          <w:i w:val="0"/>
          <w:color w:val="auto"/>
          <w:sz w:val="22"/>
          <w:szCs w:val="22"/>
        </w:rPr>
        <w:t>ano</w:t>
      </w:r>
      <w:bookmarkEnd w:id="445"/>
      <w:proofErr w:type="gramEnd"/>
    </w:p>
    <w:tbl>
      <w:tblPr>
        <w:tblW w:w="565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824"/>
        <w:gridCol w:w="875"/>
        <w:gridCol w:w="955"/>
      </w:tblGrid>
      <w:tr w:rsidR="003E16E9" w:rsidRPr="00CB7B2B" w14:paraId="67C65FBC" w14:textId="77777777" w:rsidTr="003E16E9">
        <w:trPr>
          <w:trHeight w:val="20"/>
          <w:tblHeader/>
          <w:jc w:val="center"/>
        </w:trPr>
        <w:tc>
          <w:tcPr>
            <w:tcW w:w="5654" w:type="dxa"/>
            <w:gridSpan w:val="3"/>
            <w:tcBorders>
              <w:top w:val="nil"/>
              <w:left w:val="nil"/>
              <w:bottom w:val="nil"/>
              <w:right w:val="nil"/>
            </w:tcBorders>
            <w:shd w:val="clear" w:color="auto" w:fill="auto"/>
            <w:vAlign w:val="center"/>
          </w:tcPr>
          <w:p w14:paraId="37290808" w14:textId="7014EB04" w:rsidR="003E16E9" w:rsidRPr="003E16E9" w:rsidRDefault="003E16E9" w:rsidP="003E16E9">
            <w:pPr>
              <w:spacing w:after="0" w:line="240" w:lineRule="auto"/>
              <w:jc w:val="right"/>
              <w:rPr>
                <w:i/>
                <w:sz w:val="16"/>
                <w:szCs w:val="16"/>
              </w:rPr>
            </w:pPr>
            <w:r w:rsidRPr="00D35F09">
              <w:rPr>
                <w:i/>
                <w:sz w:val="16"/>
                <w:szCs w:val="16"/>
              </w:rPr>
              <w:t xml:space="preserve">Em </w:t>
            </w:r>
            <w:r>
              <w:rPr>
                <w:i/>
                <w:sz w:val="16"/>
                <w:szCs w:val="16"/>
              </w:rPr>
              <w:t xml:space="preserve">R$ </w:t>
            </w:r>
            <w:r w:rsidRPr="00D35F09">
              <w:rPr>
                <w:i/>
                <w:sz w:val="16"/>
                <w:szCs w:val="16"/>
              </w:rPr>
              <w:t>milhões</w:t>
            </w:r>
          </w:p>
        </w:tc>
      </w:tr>
      <w:tr w:rsidR="003951FD" w:rsidRPr="00B47964" w14:paraId="1831D21A" w14:textId="77777777" w:rsidTr="00B47964">
        <w:trPr>
          <w:trHeight w:val="20"/>
          <w:tblHeader/>
          <w:jc w:val="center"/>
        </w:trPr>
        <w:tc>
          <w:tcPr>
            <w:tcW w:w="3824" w:type="dxa"/>
            <w:tcBorders>
              <w:top w:val="nil"/>
            </w:tcBorders>
            <w:shd w:val="clear" w:color="auto" w:fill="404040" w:themeFill="text1" w:themeFillTint="BF"/>
            <w:vAlign w:val="center"/>
          </w:tcPr>
          <w:p w14:paraId="023B3E93" w14:textId="77777777" w:rsidR="00345468" w:rsidRPr="00B47964" w:rsidRDefault="00345468" w:rsidP="003C5519">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Exposição</w:t>
            </w:r>
          </w:p>
        </w:tc>
        <w:tc>
          <w:tcPr>
            <w:tcW w:w="875" w:type="dxa"/>
            <w:tcBorders>
              <w:top w:val="nil"/>
            </w:tcBorders>
            <w:shd w:val="clear" w:color="auto" w:fill="404040" w:themeFill="text1" w:themeFillTint="BF"/>
            <w:vAlign w:val="center"/>
          </w:tcPr>
          <w:p w14:paraId="6147BD30" w14:textId="285AF49E" w:rsidR="00345468" w:rsidRPr="00B47964" w:rsidRDefault="00CA16B9" w:rsidP="003C5519">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2019</w:t>
            </w:r>
          </w:p>
        </w:tc>
        <w:tc>
          <w:tcPr>
            <w:tcW w:w="955" w:type="dxa"/>
            <w:tcBorders>
              <w:top w:val="nil"/>
            </w:tcBorders>
            <w:shd w:val="clear" w:color="auto" w:fill="404040" w:themeFill="text1" w:themeFillTint="BF"/>
            <w:vAlign w:val="center"/>
          </w:tcPr>
          <w:p w14:paraId="21CBE237" w14:textId="25754E8E" w:rsidR="01B85BF5" w:rsidRPr="00B47964" w:rsidRDefault="01B85BF5" w:rsidP="00404A24">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2020</w:t>
            </w:r>
          </w:p>
        </w:tc>
      </w:tr>
      <w:tr w:rsidR="003F5B11" w:rsidRPr="00B47964" w14:paraId="6202037F" w14:textId="77777777" w:rsidTr="00B47964">
        <w:trPr>
          <w:trHeight w:val="20"/>
          <w:jc w:val="center"/>
        </w:trPr>
        <w:tc>
          <w:tcPr>
            <w:tcW w:w="3824" w:type="dxa"/>
            <w:shd w:val="clear" w:color="auto" w:fill="F2F2F2" w:themeFill="background1" w:themeFillShade="F2"/>
            <w:vAlign w:val="center"/>
          </w:tcPr>
          <w:p w14:paraId="4A55E5FE" w14:textId="2212E03B" w:rsidR="00345468" w:rsidRPr="00B47964" w:rsidRDefault="00345468" w:rsidP="002A7E7F">
            <w:pPr>
              <w:spacing w:after="0" w:line="240" w:lineRule="auto"/>
              <w:rPr>
                <w:rFonts w:eastAsia="Times New Roman" w:cs="Times New Roman"/>
                <w:sz w:val="18"/>
                <w:szCs w:val="18"/>
                <w:lang w:eastAsia="pt-BR"/>
              </w:rPr>
            </w:pPr>
            <w:r w:rsidRPr="00B47964">
              <w:rPr>
                <w:rFonts w:eastAsia="Times New Roman" w:cs="Times New Roman"/>
                <w:sz w:val="18"/>
                <w:szCs w:val="18"/>
                <w:lang w:eastAsia="pt-BR"/>
              </w:rPr>
              <w:t>Contratos Legados (até 2010)</w:t>
            </w:r>
            <w:r w:rsidR="00F73729" w:rsidRPr="00B47964">
              <w:rPr>
                <w:rFonts w:eastAsia="Times New Roman" w:cs="Times New Roman"/>
                <w:sz w:val="18"/>
                <w:szCs w:val="18"/>
                <w:lang w:eastAsia="pt-BR"/>
              </w:rPr>
              <w:t xml:space="preserve"> </w:t>
            </w:r>
            <w:r w:rsidR="0089568A" w:rsidRPr="00B47964">
              <w:rPr>
                <w:rFonts w:eastAsia="Times New Roman" w:cs="Times New Roman"/>
                <w:sz w:val="18"/>
                <w:szCs w:val="18"/>
                <w:lang w:eastAsia="pt-BR"/>
              </w:rPr>
              <w:t>(</w:t>
            </w:r>
            <w:r w:rsidR="00F73729" w:rsidRPr="00B47964">
              <w:rPr>
                <w:rFonts w:eastAsia="Times New Roman" w:cs="Times New Roman"/>
                <w:sz w:val="18"/>
                <w:szCs w:val="18"/>
                <w:lang w:eastAsia="pt-BR"/>
              </w:rPr>
              <w:t>a</w:t>
            </w:r>
            <w:r w:rsidR="0089568A" w:rsidRPr="00B47964">
              <w:rPr>
                <w:rFonts w:eastAsia="Times New Roman" w:cs="Times New Roman"/>
                <w:sz w:val="18"/>
                <w:szCs w:val="18"/>
                <w:lang w:eastAsia="pt-BR"/>
              </w:rPr>
              <w:t>)</w:t>
            </w:r>
          </w:p>
        </w:tc>
        <w:tc>
          <w:tcPr>
            <w:tcW w:w="875" w:type="dxa"/>
            <w:shd w:val="clear" w:color="auto" w:fill="F2F2F2" w:themeFill="background1" w:themeFillShade="F2"/>
            <w:vAlign w:val="center"/>
          </w:tcPr>
          <w:p w14:paraId="02DFE287" w14:textId="77777777" w:rsidR="00345468" w:rsidRPr="00B47964" w:rsidRDefault="00345468" w:rsidP="00B47964">
            <w:pPr>
              <w:spacing w:after="0" w:line="240" w:lineRule="auto"/>
              <w:jc w:val="right"/>
              <w:rPr>
                <w:rFonts w:eastAsia="Times New Roman" w:cs="Times New Roman"/>
                <w:sz w:val="18"/>
                <w:szCs w:val="18"/>
                <w:lang w:eastAsia="pt-BR"/>
              </w:rPr>
            </w:pPr>
            <w:r w:rsidRPr="00B47964">
              <w:rPr>
                <w:rFonts w:eastAsia="Times New Roman" w:cs="Times New Roman"/>
                <w:sz w:val="18"/>
                <w:szCs w:val="18"/>
                <w:lang w:eastAsia="pt-BR"/>
              </w:rPr>
              <w:t>2.806,6</w:t>
            </w:r>
          </w:p>
        </w:tc>
        <w:tc>
          <w:tcPr>
            <w:tcW w:w="955" w:type="dxa"/>
            <w:shd w:val="clear" w:color="auto" w:fill="F2F2F2" w:themeFill="background1" w:themeFillShade="F2"/>
            <w:vAlign w:val="center"/>
          </w:tcPr>
          <w:p w14:paraId="4EC844E0" w14:textId="7265C383" w:rsidR="37BD76E9" w:rsidRPr="00B47964" w:rsidRDefault="37BD76E9" w:rsidP="00B47964">
            <w:pPr>
              <w:spacing w:after="0" w:line="240" w:lineRule="auto"/>
              <w:jc w:val="right"/>
              <w:rPr>
                <w:rFonts w:eastAsia="Times New Roman" w:cs="Times New Roman"/>
                <w:color w:val="000000" w:themeColor="text1"/>
                <w:sz w:val="18"/>
                <w:szCs w:val="18"/>
                <w:lang w:eastAsia="pt-BR"/>
              </w:rPr>
            </w:pPr>
            <w:r w:rsidRPr="00B47964">
              <w:rPr>
                <w:rFonts w:eastAsia="Times New Roman" w:cs="Times New Roman"/>
                <w:color w:val="000000" w:themeColor="text1"/>
                <w:sz w:val="18"/>
                <w:szCs w:val="18"/>
                <w:lang w:eastAsia="pt-BR"/>
              </w:rPr>
              <w:t>2.535,9</w:t>
            </w:r>
          </w:p>
        </w:tc>
      </w:tr>
      <w:tr w:rsidR="00964589" w:rsidRPr="00B47964" w14:paraId="2C18A7F3" w14:textId="77777777" w:rsidTr="00B47964">
        <w:trPr>
          <w:trHeight w:val="20"/>
          <w:jc w:val="center"/>
        </w:trPr>
        <w:tc>
          <w:tcPr>
            <w:tcW w:w="3824" w:type="dxa"/>
            <w:shd w:val="clear" w:color="auto" w:fill="auto"/>
            <w:vAlign w:val="center"/>
          </w:tcPr>
          <w:p w14:paraId="024D10A9" w14:textId="20108422" w:rsidR="00345468" w:rsidRPr="00B47964" w:rsidRDefault="00345468" w:rsidP="002A7E7F">
            <w:pPr>
              <w:spacing w:after="0" w:line="240" w:lineRule="auto"/>
              <w:rPr>
                <w:rFonts w:eastAsia="Times New Roman" w:cs="Times New Roman"/>
                <w:sz w:val="18"/>
                <w:szCs w:val="18"/>
                <w:lang w:eastAsia="pt-BR"/>
              </w:rPr>
            </w:pPr>
            <w:r w:rsidRPr="00B47964">
              <w:rPr>
                <w:rFonts w:eastAsia="Times New Roman" w:cs="Times New Roman"/>
                <w:sz w:val="18"/>
                <w:szCs w:val="18"/>
                <w:lang w:eastAsia="pt-BR"/>
              </w:rPr>
              <w:t>Contratos Atuais</w:t>
            </w:r>
            <w:r w:rsidR="00F73729" w:rsidRPr="00B47964">
              <w:rPr>
                <w:rFonts w:eastAsia="Times New Roman" w:cs="Times New Roman"/>
                <w:sz w:val="18"/>
                <w:szCs w:val="18"/>
                <w:lang w:eastAsia="pt-BR"/>
              </w:rPr>
              <w:t xml:space="preserve"> </w:t>
            </w:r>
            <w:r w:rsidR="007D1638" w:rsidRPr="00B47964">
              <w:rPr>
                <w:rFonts w:eastAsia="Times New Roman" w:cs="Times New Roman"/>
                <w:sz w:val="18"/>
                <w:szCs w:val="18"/>
                <w:lang w:eastAsia="pt-BR"/>
              </w:rPr>
              <w:t>(</w:t>
            </w:r>
            <w:r w:rsidR="00F73729" w:rsidRPr="00B47964">
              <w:rPr>
                <w:rFonts w:eastAsia="Times New Roman" w:cs="Times New Roman"/>
                <w:sz w:val="18"/>
                <w:szCs w:val="18"/>
                <w:lang w:eastAsia="pt-BR"/>
              </w:rPr>
              <w:t>b</w:t>
            </w:r>
            <w:r w:rsidR="000727BD" w:rsidRPr="00B47964">
              <w:rPr>
                <w:rFonts w:eastAsia="Times New Roman" w:cs="Times New Roman"/>
                <w:sz w:val="18"/>
                <w:szCs w:val="18"/>
                <w:lang w:eastAsia="pt-BR"/>
              </w:rPr>
              <w:t>)</w:t>
            </w:r>
          </w:p>
        </w:tc>
        <w:tc>
          <w:tcPr>
            <w:tcW w:w="875" w:type="dxa"/>
            <w:vAlign w:val="center"/>
          </w:tcPr>
          <w:p w14:paraId="42E37BFE" w14:textId="77777777" w:rsidR="00345468" w:rsidRPr="00B47964" w:rsidRDefault="00345468" w:rsidP="00B47964">
            <w:pPr>
              <w:spacing w:after="0" w:line="240" w:lineRule="auto"/>
              <w:jc w:val="right"/>
              <w:rPr>
                <w:rFonts w:eastAsia="Times New Roman" w:cs="Times New Roman"/>
                <w:sz w:val="18"/>
                <w:szCs w:val="18"/>
                <w:lang w:eastAsia="pt-BR"/>
              </w:rPr>
            </w:pPr>
            <w:r w:rsidRPr="00B47964">
              <w:rPr>
                <w:rFonts w:eastAsia="Times New Roman" w:cs="Times New Roman"/>
                <w:sz w:val="18"/>
                <w:szCs w:val="18"/>
                <w:lang w:eastAsia="pt-BR"/>
              </w:rPr>
              <w:t>104.619,4</w:t>
            </w:r>
          </w:p>
        </w:tc>
        <w:tc>
          <w:tcPr>
            <w:tcW w:w="955" w:type="dxa"/>
            <w:vAlign w:val="center"/>
          </w:tcPr>
          <w:p w14:paraId="078567B7" w14:textId="45B20B64" w:rsidR="7CE6846A" w:rsidRPr="00B47964" w:rsidRDefault="7CE6846A" w:rsidP="00B47964">
            <w:pPr>
              <w:spacing w:after="0" w:line="240" w:lineRule="auto"/>
              <w:jc w:val="right"/>
              <w:rPr>
                <w:rFonts w:eastAsia="Times New Roman" w:cs="Times New Roman"/>
                <w:color w:val="000000" w:themeColor="text1"/>
                <w:sz w:val="18"/>
                <w:szCs w:val="18"/>
                <w:lang w:eastAsia="pt-BR"/>
              </w:rPr>
            </w:pPr>
            <w:r w:rsidRPr="00B47964">
              <w:rPr>
                <w:rFonts w:eastAsia="Times New Roman" w:cs="Times New Roman"/>
                <w:color w:val="000000" w:themeColor="text1"/>
                <w:sz w:val="18"/>
                <w:szCs w:val="18"/>
                <w:lang w:eastAsia="pt-BR"/>
              </w:rPr>
              <w:t>109.251,3</w:t>
            </w:r>
          </w:p>
        </w:tc>
      </w:tr>
      <w:tr w:rsidR="003F5B11" w:rsidRPr="00B47964" w14:paraId="2E60C054" w14:textId="77777777" w:rsidTr="00B47964">
        <w:trPr>
          <w:trHeight w:val="20"/>
          <w:jc w:val="center"/>
        </w:trPr>
        <w:tc>
          <w:tcPr>
            <w:tcW w:w="3824" w:type="dxa"/>
            <w:shd w:val="clear" w:color="auto" w:fill="F2F2F2" w:themeFill="background1" w:themeFillShade="F2"/>
            <w:vAlign w:val="center"/>
          </w:tcPr>
          <w:p w14:paraId="48EFE59A" w14:textId="526D66C9" w:rsidR="00345468" w:rsidRPr="00B47964" w:rsidRDefault="00345468" w:rsidP="002A7E7F">
            <w:pPr>
              <w:spacing w:after="0" w:line="240" w:lineRule="auto"/>
              <w:rPr>
                <w:rFonts w:eastAsia="Times New Roman" w:cs="Times New Roman"/>
                <w:b/>
                <w:sz w:val="18"/>
                <w:szCs w:val="18"/>
                <w:lang w:eastAsia="pt-BR"/>
              </w:rPr>
            </w:pPr>
            <w:r w:rsidRPr="00B47964">
              <w:rPr>
                <w:rFonts w:eastAsia="Times New Roman" w:cs="Times New Roman"/>
                <w:b/>
                <w:sz w:val="18"/>
                <w:szCs w:val="18"/>
                <w:lang w:eastAsia="pt-BR"/>
              </w:rPr>
              <w:t>Exposição por</w:t>
            </w:r>
            <w:r w:rsidR="005E3E5A" w:rsidRPr="00B47964">
              <w:rPr>
                <w:rFonts w:eastAsia="Times New Roman" w:cs="Times New Roman"/>
                <w:b/>
                <w:sz w:val="18"/>
                <w:szCs w:val="18"/>
                <w:lang w:eastAsia="pt-BR"/>
              </w:rPr>
              <w:t xml:space="preserve"> </w:t>
            </w:r>
            <w:r w:rsidRPr="00B47964">
              <w:rPr>
                <w:rFonts w:eastAsia="Times New Roman" w:cs="Times New Roman"/>
                <w:b/>
                <w:sz w:val="18"/>
                <w:szCs w:val="18"/>
                <w:lang w:eastAsia="pt-BR"/>
              </w:rPr>
              <w:t>Valores já Liberados</w:t>
            </w:r>
            <w:r w:rsidR="00F73729" w:rsidRPr="00B47964">
              <w:rPr>
                <w:rFonts w:eastAsia="Times New Roman" w:cs="Times New Roman"/>
                <w:b/>
                <w:bCs/>
                <w:sz w:val="18"/>
                <w:szCs w:val="18"/>
                <w:lang w:eastAsia="pt-BR"/>
              </w:rPr>
              <w:t xml:space="preserve"> </w:t>
            </w:r>
            <w:r w:rsidR="009013B1" w:rsidRPr="00B47964">
              <w:rPr>
                <w:rFonts w:eastAsia="Times New Roman" w:cs="Times New Roman"/>
                <w:b/>
                <w:bCs/>
                <w:sz w:val="18"/>
                <w:szCs w:val="18"/>
                <w:lang w:eastAsia="pt-BR"/>
              </w:rPr>
              <w:t>(</w:t>
            </w:r>
            <w:r w:rsidR="00F73729" w:rsidRPr="00B47964">
              <w:rPr>
                <w:rFonts w:eastAsia="Times New Roman" w:cs="Times New Roman"/>
                <w:b/>
                <w:bCs/>
                <w:sz w:val="18"/>
                <w:szCs w:val="18"/>
                <w:lang w:eastAsia="pt-BR"/>
              </w:rPr>
              <w:t>c</w:t>
            </w:r>
            <w:r w:rsidR="009013B1" w:rsidRPr="00B47964">
              <w:rPr>
                <w:rFonts w:eastAsia="Times New Roman" w:cs="Times New Roman"/>
                <w:b/>
                <w:bCs/>
                <w:sz w:val="18"/>
                <w:szCs w:val="18"/>
                <w:lang w:eastAsia="pt-BR"/>
              </w:rPr>
              <w:t>) =</w:t>
            </w:r>
            <w:r w:rsidR="000123D6" w:rsidRPr="00B47964">
              <w:rPr>
                <w:rFonts w:eastAsia="Times New Roman" w:cs="Times New Roman"/>
                <w:b/>
                <w:bCs/>
                <w:sz w:val="18"/>
                <w:szCs w:val="18"/>
                <w:lang w:eastAsia="pt-BR"/>
              </w:rPr>
              <w:t xml:space="preserve"> </w:t>
            </w:r>
            <w:r w:rsidR="00B63A0B" w:rsidRPr="00B47964">
              <w:rPr>
                <w:rFonts w:eastAsia="Times New Roman" w:cs="Times New Roman"/>
                <w:b/>
                <w:bCs/>
                <w:sz w:val="18"/>
                <w:szCs w:val="18"/>
                <w:lang w:eastAsia="pt-BR"/>
              </w:rPr>
              <w:t>(</w:t>
            </w:r>
            <w:r w:rsidR="000123D6" w:rsidRPr="00B47964">
              <w:rPr>
                <w:rFonts w:eastAsia="Times New Roman" w:cs="Times New Roman"/>
                <w:b/>
                <w:bCs/>
                <w:sz w:val="18"/>
                <w:szCs w:val="18"/>
                <w:lang w:eastAsia="pt-BR"/>
              </w:rPr>
              <w:t>a</w:t>
            </w:r>
            <w:r w:rsidR="00B63A0B" w:rsidRPr="00B47964">
              <w:rPr>
                <w:rFonts w:eastAsia="Times New Roman" w:cs="Times New Roman"/>
                <w:b/>
                <w:bCs/>
                <w:sz w:val="18"/>
                <w:szCs w:val="18"/>
                <w:lang w:eastAsia="pt-BR"/>
              </w:rPr>
              <w:t>)</w:t>
            </w:r>
            <w:r w:rsidR="000727BD" w:rsidRPr="00B47964">
              <w:rPr>
                <w:rFonts w:eastAsia="Times New Roman" w:cs="Times New Roman"/>
                <w:b/>
                <w:bCs/>
                <w:sz w:val="18"/>
                <w:szCs w:val="18"/>
                <w:lang w:eastAsia="pt-BR"/>
              </w:rPr>
              <w:t xml:space="preserve"> </w:t>
            </w:r>
            <w:r w:rsidR="000123D6" w:rsidRPr="00B47964">
              <w:rPr>
                <w:rFonts w:eastAsia="Times New Roman" w:cs="Times New Roman"/>
                <w:b/>
                <w:bCs/>
                <w:sz w:val="18"/>
                <w:szCs w:val="18"/>
                <w:lang w:eastAsia="pt-BR"/>
              </w:rPr>
              <w:t>+</w:t>
            </w:r>
            <w:r w:rsidR="000727BD" w:rsidRPr="00B47964">
              <w:rPr>
                <w:rFonts w:eastAsia="Times New Roman" w:cs="Times New Roman"/>
                <w:b/>
                <w:bCs/>
                <w:sz w:val="18"/>
                <w:szCs w:val="18"/>
                <w:lang w:eastAsia="pt-BR"/>
              </w:rPr>
              <w:t xml:space="preserve"> (</w:t>
            </w:r>
            <w:r w:rsidR="000123D6" w:rsidRPr="00B47964">
              <w:rPr>
                <w:rFonts w:eastAsia="Times New Roman" w:cs="Times New Roman"/>
                <w:b/>
                <w:bCs/>
                <w:sz w:val="18"/>
                <w:szCs w:val="18"/>
                <w:lang w:eastAsia="pt-BR"/>
              </w:rPr>
              <w:t>b</w:t>
            </w:r>
            <w:r w:rsidR="000727BD" w:rsidRPr="00B47964">
              <w:rPr>
                <w:rFonts w:eastAsia="Times New Roman" w:cs="Times New Roman"/>
                <w:b/>
                <w:bCs/>
                <w:sz w:val="18"/>
                <w:szCs w:val="18"/>
                <w:lang w:eastAsia="pt-BR"/>
              </w:rPr>
              <w:t>)</w:t>
            </w:r>
          </w:p>
        </w:tc>
        <w:tc>
          <w:tcPr>
            <w:tcW w:w="875" w:type="dxa"/>
            <w:shd w:val="clear" w:color="auto" w:fill="F2F2F2" w:themeFill="background1" w:themeFillShade="F2"/>
            <w:vAlign w:val="center"/>
          </w:tcPr>
          <w:p w14:paraId="108A8D70" w14:textId="77777777" w:rsidR="00345468" w:rsidRPr="00B47964" w:rsidRDefault="00345468" w:rsidP="00B47964">
            <w:pPr>
              <w:spacing w:after="0" w:line="240" w:lineRule="auto"/>
              <w:jc w:val="right"/>
              <w:rPr>
                <w:rFonts w:eastAsia="Times New Roman" w:cs="Times New Roman"/>
                <w:b/>
                <w:sz w:val="18"/>
                <w:szCs w:val="18"/>
                <w:lang w:eastAsia="pt-BR"/>
              </w:rPr>
            </w:pPr>
            <w:r w:rsidRPr="00B47964">
              <w:rPr>
                <w:rFonts w:eastAsia="Times New Roman" w:cs="Times New Roman"/>
                <w:b/>
                <w:sz w:val="18"/>
                <w:szCs w:val="18"/>
                <w:lang w:eastAsia="pt-BR"/>
              </w:rPr>
              <w:t>107.426,1</w:t>
            </w:r>
          </w:p>
        </w:tc>
        <w:tc>
          <w:tcPr>
            <w:tcW w:w="955" w:type="dxa"/>
            <w:shd w:val="clear" w:color="auto" w:fill="F2F2F2" w:themeFill="background1" w:themeFillShade="F2"/>
            <w:vAlign w:val="center"/>
          </w:tcPr>
          <w:p w14:paraId="68695218" w14:textId="783801D5" w:rsidR="5039ACA6" w:rsidRPr="00B47964" w:rsidRDefault="5039ACA6" w:rsidP="00B47964">
            <w:pPr>
              <w:spacing w:after="0" w:line="240" w:lineRule="auto"/>
              <w:jc w:val="right"/>
              <w:rPr>
                <w:rFonts w:eastAsia="Times New Roman" w:cs="Times New Roman"/>
                <w:b/>
                <w:color w:val="000000" w:themeColor="text1"/>
                <w:sz w:val="18"/>
                <w:szCs w:val="18"/>
                <w:lang w:eastAsia="pt-BR"/>
              </w:rPr>
            </w:pPr>
            <w:r w:rsidRPr="00B47964">
              <w:rPr>
                <w:rFonts w:eastAsia="Times New Roman" w:cs="Times New Roman"/>
                <w:b/>
                <w:color w:val="000000" w:themeColor="text1"/>
                <w:sz w:val="18"/>
                <w:szCs w:val="18"/>
                <w:lang w:eastAsia="pt-BR"/>
              </w:rPr>
              <w:t>111.788,2</w:t>
            </w:r>
          </w:p>
        </w:tc>
      </w:tr>
      <w:tr w:rsidR="00964589" w:rsidRPr="00B47964" w14:paraId="41FF75F3" w14:textId="77777777" w:rsidTr="00B47964">
        <w:trPr>
          <w:trHeight w:val="20"/>
          <w:jc w:val="center"/>
        </w:trPr>
        <w:tc>
          <w:tcPr>
            <w:tcW w:w="3824" w:type="dxa"/>
            <w:tcBorders>
              <w:bottom w:val="single" w:sz="4" w:space="0" w:color="BFBFBF" w:themeColor="background1" w:themeShade="BF"/>
            </w:tcBorders>
            <w:shd w:val="clear" w:color="auto" w:fill="auto"/>
            <w:vAlign w:val="center"/>
          </w:tcPr>
          <w:p w14:paraId="50BF2AA9" w14:textId="7C92724C" w:rsidR="00345468" w:rsidRPr="00B47964" w:rsidRDefault="00345468" w:rsidP="002A7E7F">
            <w:pPr>
              <w:spacing w:after="0" w:line="240" w:lineRule="auto"/>
              <w:rPr>
                <w:rFonts w:eastAsia="Times New Roman" w:cs="Times New Roman"/>
                <w:b/>
                <w:sz w:val="18"/>
                <w:szCs w:val="18"/>
                <w:lang w:eastAsia="pt-BR"/>
              </w:rPr>
            </w:pPr>
            <w:r w:rsidRPr="00B47964">
              <w:rPr>
                <w:rFonts w:eastAsia="Times New Roman" w:cs="Times New Roman"/>
                <w:b/>
                <w:sz w:val="18"/>
                <w:szCs w:val="18"/>
                <w:lang w:eastAsia="pt-BR"/>
              </w:rPr>
              <w:t>Valores a Liberar (estimativa)</w:t>
            </w:r>
            <w:r w:rsidR="000727BD" w:rsidRPr="00B47964">
              <w:rPr>
                <w:rFonts w:eastAsia="Times New Roman" w:cs="Times New Roman"/>
                <w:b/>
                <w:bCs/>
                <w:sz w:val="18"/>
                <w:szCs w:val="18"/>
                <w:lang w:eastAsia="pt-BR"/>
              </w:rPr>
              <w:t xml:space="preserve"> (d)</w:t>
            </w:r>
          </w:p>
        </w:tc>
        <w:tc>
          <w:tcPr>
            <w:tcW w:w="875" w:type="dxa"/>
            <w:tcBorders>
              <w:bottom w:val="single" w:sz="4" w:space="0" w:color="BFBFBF" w:themeColor="background1" w:themeShade="BF"/>
            </w:tcBorders>
            <w:vAlign w:val="center"/>
          </w:tcPr>
          <w:p w14:paraId="6C0975F7" w14:textId="77777777" w:rsidR="00345468" w:rsidRPr="00B47964" w:rsidRDefault="00345468" w:rsidP="00B47964">
            <w:pPr>
              <w:spacing w:after="0" w:line="240" w:lineRule="auto"/>
              <w:jc w:val="right"/>
              <w:rPr>
                <w:rFonts w:eastAsia="Times New Roman" w:cs="Times New Roman"/>
                <w:b/>
                <w:sz w:val="18"/>
                <w:szCs w:val="18"/>
                <w:lang w:eastAsia="pt-BR"/>
              </w:rPr>
            </w:pPr>
            <w:r w:rsidRPr="00B47964">
              <w:rPr>
                <w:rFonts w:eastAsia="Times New Roman" w:cs="Times New Roman"/>
                <w:b/>
                <w:sz w:val="18"/>
                <w:szCs w:val="18"/>
                <w:lang w:eastAsia="pt-BR"/>
              </w:rPr>
              <w:t>5.656,5</w:t>
            </w:r>
          </w:p>
        </w:tc>
        <w:tc>
          <w:tcPr>
            <w:tcW w:w="955" w:type="dxa"/>
            <w:tcBorders>
              <w:bottom w:val="single" w:sz="4" w:space="0" w:color="BFBFBF" w:themeColor="background1" w:themeShade="BF"/>
            </w:tcBorders>
            <w:vAlign w:val="center"/>
          </w:tcPr>
          <w:p w14:paraId="2D5B906A" w14:textId="6F5CC228" w:rsidR="4265A608" w:rsidRPr="00B47964" w:rsidRDefault="4265A608" w:rsidP="00B47964">
            <w:pPr>
              <w:spacing w:after="0" w:line="240" w:lineRule="auto"/>
              <w:jc w:val="right"/>
              <w:rPr>
                <w:rFonts w:eastAsia="Times New Roman" w:cs="Times New Roman"/>
                <w:b/>
                <w:color w:val="000000" w:themeColor="text1"/>
                <w:sz w:val="18"/>
                <w:szCs w:val="18"/>
                <w:lang w:eastAsia="pt-BR"/>
              </w:rPr>
            </w:pPr>
            <w:r w:rsidRPr="00B47964">
              <w:rPr>
                <w:rFonts w:eastAsia="Times New Roman" w:cs="Times New Roman"/>
                <w:b/>
                <w:color w:val="000000" w:themeColor="text1"/>
                <w:sz w:val="18"/>
                <w:szCs w:val="18"/>
                <w:lang w:eastAsia="pt-BR"/>
              </w:rPr>
              <w:t>2.709,0</w:t>
            </w:r>
          </w:p>
        </w:tc>
      </w:tr>
      <w:tr w:rsidR="00CC67BB" w:rsidRPr="00B47964" w14:paraId="2EB56F67" w14:textId="77777777" w:rsidTr="00B47964">
        <w:trPr>
          <w:trHeight w:val="20"/>
          <w:jc w:val="center"/>
        </w:trPr>
        <w:tc>
          <w:tcPr>
            <w:tcW w:w="3824" w:type="dxa"/>
            <w:tcBorders>
              <w:bottom w:val="nil"/>
            </w:tcBorders>
            <w:shd w:val="clear" w:color="auto" w:fill="7F7F7F" w:themeFill="text1" w:themeFillTint="80"/>
            <w:vAlign w:val="center"/>
          </w:tcPr>
          <w:p w14:paraId="6CD86DFB" w14:textId="4992B97C" w:rsidR="00CC67BB" w:rsidRPr="00B47964" w:rsidRDefault="3F227A61" w:rsidP="00A83EE8">
            <w:pPr>
              <w:spacing w:after="0" w:line="240" w:lineRule="auto"/>
              <w:rPr>
                <w:rFonts w:eastAsia="Times New Roman" w:cs="Times New Roman"/>
                <w:b/>
                <w:bCs/>
                <w:color w:val="FFFFFF" w:themeColor="background1"/>
                <w:sz w:val="18"/>
                <w:szCs w:val="18"/>
                <w:lang w:eastAsia="pt-BR"/>
              </w:rPr>
            </w:pPr>
            <w:r w:rsidRPr="00B47964">
              <w:rPr>
                <w:rFonts w:eastAsia="Times New Roman" w:cs="Times New Roman"/>
                <w:b/>
                <w:bCs/>
                <w:color w:val="FFFFFF" w:themeColor="background1"/>
                <w:sz w:val="18"/>
                <w:szCs w:val="18"/>
                <w:lang w:eastAsia="pt-BR"/>
              </w:rPr>
              <w:t xml:space="preserve">Exposição </w:t>
            </w:r>
            <w:r w:rsidR="00CC67BB" w:rsidRPr="00B47964">
              <w:rPr>
                <w:rFonts w:eastAsia="Times New Roman" w:cs="Times New Roman"/>
                <w:b/>
                <w:bCs/>
                <w:color w:val="FFFFFF" w:themeColor="background1"/>
                <w:sz w:val="18"/>
                <w:szCs w:val="18"/>
                <w:lang w:eastAsia="pt-BR"/>
              </w:rPr>
              <w:t>Total (c) + (d)</w:t>
            </w:r>
          </w:p>
        </w:tc>
        <w:tc>
          <w:tcPr>
            <w:tcW w:w="875" w:type="dxa"/>
            <w:tcBorders>
              <w:bottom w:val="nil"/>
            </w:tcBorders>
            <w:shd w:val="clear" w:color="auto" w:fill="7F7F7F" w:themeFill="text1" w:themeFillTint="80"/>
            <w:vAlign w:val="center"/>
          </w:tcPr>
          <w:p w14:paraId="0DEBEB7A" w14:textId="77777777" w:rsidR="00CC67BB" w:rsidRPr="00B47964" w:rsidRDefault="00CC67BB" w:rsidP="00B47964">
            <w:pPr>
              <w:spacing w:after="0" w:line="240" w:lineRule="auto"/>
              <w:jc w:val="right"/>
              <w:rPr>
                <w:rFonts w:eastAsia="Times New Roman" w:cs="Times New Roman"/>
                <w:b/>
                <w:bCs/>
                <w:color w:val="FFFFFF" w:themeColor="background1"/>
                <w:sz w:val="18"/>
                <w:szCs w:val="18"/>
                <w:lang w:eastAsia="pt-BR"/>
              </w:rPr>
            </w:pPr>
            <w:r w:rsidRPr="00B47964">
              <w:rPr>
                <w:rFonts w:eastAsia="Times New Roman" w:cs="Times New Roman"/>
                <w:b/>
                <w:bCs/>
                <w:color w:val="FFFFFF" w:themeColor="background1"/>
                <w:sz w:val="18"/>
                <w:szCs w:val="18"/>
                <w:lang w:eastAsia="pt-BR"/>
              </w:rPr>
              <w:t>113.082,6</w:t>
            </w:r>
          </w:p>
        </w:tc>
        <w:tc>
          <w:tcPr>
            <w:tcW w:w="955" w:type="dxa"/>
            <w:tcBorders>
              <w:bottom w:val="nil"/>
            </w:tcBorders>
            <w:shd w:val="clear" w:color="auto" w:fill="7F7F7F" w:themeFill="text1" w:themeFillTint="80"/>
            <w:vAlign w:val="center"/>
          </w:tcPr>
          <w:p w14:paraId="15599F63" w14:textId="4F22254A" w:rsidR="425AE396" w:rsidRPr="00B47964" w:rsidRDefault="425AE396" w:rsidP="00B47964">
            <w:pPr>
              <w:spacing w:after="0" w:line="240" w:lineRule="auto"/>
              <w:jc w:val="right"/>
              <w:rPr>
                <w:rFonts w:eastAsia="Times New Roman" w:cs="Times New Roman"/>
                <w:b/>
                <w:bCs/>
                <w:color w:val="FFFFFF" w:themeColor="background1"/>
                <w:sz w:val="18"/>
                <w:szCs w:val="18"/>
                <w:lang w:eastAsia="pt-BR"/>
              </w:rPr>
            </w:pPr>
            <w:r w:rsidRPr="00B47964">
              <w:rPr>
                <w:rFonts w:eastAsia="Times New Roman" w:cs="Times New Roman"/>
                <w:b/>
                <w:bCs/>
                <w:color w:val="FFFFFF" w:themeColor="background1"/>
                <w:sz w:val="18"/>
                <w:szCs w:val="18"/>
                <w:lang w:eastAsia="pt-BR"/>
              </w:rPr>
              <w:t>114.497,2</w:t>
            </w:r>
          </w:p>
        </w:tc>
      </w:tr>
      <w:tr w:rsidR="00B47964" w:rsidRPr="00A30C08" w14:paraId="1BA113DE" w14:textId="77777777" w:rsidTr="00793C89">
        <w:trPr>
          <w:trHeight w:val="20"/>
          <w:jc w:val="center"/>
        </w:trPr>
        <w:tc>
          <w:tcPr>
            <w:tcW w:w="5654" w:type="dxa"/>
            <w:gridSpan w:val="3"/>
            <w:tcBorders>
              <w:top w:val="nil"/>
              <w:left w:val="nil"/>
              <w:bottom w:val="nil"/>
              <w:right w:val="nil"/>
            </w:tcBorders>
            <w:shd w:val="clear" w:color="auto" w:fill="auto"/>
          </w:tcPr>
          <w:p w14:paraId="558DC16F" w14:textId="79AD2436" w:rsidR="00B47964" w:rsidRDefault="00B47964" w:rsidP="00B47964">
            <w:pPr>
              <w:spacing w:after="0" w:line="240" w:lineRule="auto"/>
              <w:rPr>
                <w:b/>
                <w:bCs/>
                <w:i/>
                <w:iCs/>
                <w:sz w:val="16"/>
                <w:szCs w:val="16"/>
              </w:rPr>
            </w:pPr>
            <w:r w:rsidRPr="5F61F90E">
              <w:rPr>
                <w:i/>
                <w:iCs/>
                <w:sz w:val="16"/>
                <w:szCs w:val="16"/>
              </w:rPr>
              <w:t>Posição 31/12/2020.</w:t>
            </w:r>
            <w:r w:rsidRPr="5F61F90E">
              <w:rPr>
                <w:b/>
                <w:bCs/>
                <w:i/>
                <w:iCs/>
                <w:sz w:val="16"/>
                <w:szCs w:val="16"/>
              </w:rPr>
              <w:t xml:space="preserve"> </w:t>
            </w:r>
            <w:r w:rsidRPr="00D35F09">
              <w:rPr>
                <w:b/>
                <w:i/>
                <w:sz w:val="16"/>
                <w:szCs w:val="16"/>
              </w:rPr>
              <w:t>Fonte e Elaboração</w:t>
            </w:r>
            <w:r w:rsidRPr="00D35F09">
              <w:rPr>
                <w:i/>
                <w:sz w:val="16"/>
                <w:szCs w:val="16"/>
              </w:rPr>
              <w:t>: FNDE.</w:t>
            </w:r>
          </w:p>
        </w:tc>
      </w:tr>
    </w:tbl>
    <w:p w14:paraId="42FE5518" w14:textId="764B38F5" w:rsidR="0082524C" w:rsidRPr="0022645B" w:rsidRDefault="0082524C" w:rsidP="002E09EA">
      <w:pPr>
        <w:pStyle w:val="Ttulo4"/>
        <w:keepLines/>
        <w:numPr>
          <w:ilvl w:val="3"/>
          <w:numId w:val="36"/>
        </w:numPr>
        <w:spacing w:before="240" w:after="120"/>
        <w:ind w:left="862" w:hanging="862"/>
        <w:jc w:val="left"/>
        <w:rPr>
          <w:rFonts w:asciiTheme="minorHAnsi" w:hAnsiTheme="minorHAnsi"/>
        </w:rPr>
      </w:pPr>
      <w:r w:rsidRPr="0EDB2EA1">
        <w:rPr>
          <w:rFonts w:asciiTheme="minorHAnsi" w:hAnsiTheme="minorHAnsi"/>
        </w:rPr>
        <w:t xml:space="preserve">Situação de </w:t>
      </w:r>
      <w:r w:rsidR="00520FC9" w:rsidRPr="0EDB2EA1">
        <w:rPr>
          <w:rFonts w:asciiTheme="minorHAnsi" w:hAnsiTheme="minorHAnsi"/>
        </w:rPr>
        <w:t>adimplência</w:t>
      </w:r>
    </w:p>
    <w:p w14:paraId="0CCD2D93" w14:textId="0328EEBC" w:rsidR="008A6A89" w:rsidRPr="00353D69" w:rsidRDefault="008A6A89" w:rsidP="008A6A89">
      <w:pPr>
        <w:pStyle w:val="Corpodetexto"/>
        <w:spacing w:line="240" w:lineRule="auto"/>
        <w:ind w:firstLine="1418"/>
        <w:jc w:val="both"/>
        <w:rPr>
          <w:color w:val="000000" w:themeColor="text1"/>
          <w:sz w:val="24"/>
          <w:szCs w:val="24"/>
        </w:rPr>
      </w:pPr>
      <w:r w:rsidRPr="00353D69">
        <w:rPr>
          <w:color w:val="000000" w:themeColor="text1"/>
          <w:sz w:val="24"/>
          <w:szCs w:val="24"/>
        </w:rPr>
        <w:t xml:space="preserve">Com o objetivo de definir os critérios para caracterização de inadimplência, risco de crédito e ajustes para perdas estimadas no âmbito do Fies, o Comitê Gestor do </w:t>
      </w:r>
      <w:r w:rsidRPr="00353D69">
        <w:rPr>
          <w:rFonts w:ascii="Calibri" w:hAnsi="Calibri"/>
          <w:color w:val="000000" w:themeColor="text1"/>
          <w:sz w:val="24"/>
          <w:szCs w:val="24"/>
        </w:rPr>
        <w:t>Fies (CG-Fies</w:t>
      </w:r>
      <w:proofErr w:type="gramStart"/>
      <w:r w:rsidRPr="00353D69">
        <w:rPr>
          <w:rFonts w:ascii="Calibri" w:hAnsi="Calibri"/>
          <w:color w:val="000000" w:themeColor="text1"/>
          <w:sz w:val="24"/>
          <w:szCs w:val="24"/>
        </w:rPr>
        <w:t>)</w:t>
      </w:r>
      <w:proofErr w:type="gramEnd"/>
      <w:r w:rsidRPr="00353D69">
        <w:rPr>
          <w:rStyle w:val="Refdenotaderodap"/>
          <w:rFonts w:ascii="Calibri" w:hAnsi="Calibri"/>
          <w:color w:val="000000" w:themeColor="text1"/>
          <w:sz w:val="24"/>
          <w:szCs w:val="24"/>
        </w:rPr>
        <w:footnoteReference w:id="26"/>
      </w:r>
      <w:r w:rsidRPr="00353D69">
        <w:rPr>
          <w:rFonts w:ascii="Calibri" w:hAnsi="Calibri"/>
          <w:color w:val="000000" w:themeColor="text1"/>
          <w:sz w:val="24"/>
          <w:szCs w:val="24"/>
        </w:rPr>
        <w:t>,</w:t>
      </w:r>
      <w:r w:rsidRPr="00353D69">
        <w:rPr>
          <w:color w:val="000000" w:themeColor="text1"/>
          <w:sz w:val="24"/>
          <w:szCs w:val="24"/>
        </w:rPr>
        <w:t xml:space="preserve"> por meio da Resolução </w:t>
      </w:r>
      <w:r w:rsidR="00D60BF2" w:rsidRPr="00353D69">
        <w:rPr>
          <w:color w:val="000000" w:themeColor="text1"/>
          <w:sz w:val="24"/>
          <w:szCs w:val="24"/>
        </w:rPr>
        <w:t xml:space="preserve">FNDE </w:t>
      </w:r>
      <w:r w:rsidR="005C67C1" w:rsidRPr="00353D69">
        <w:rPr>
          <w:color w:val="000000" w:themeColor="text1"/>
          <w:sz w:val="24"/>
          <w:szCs w:val="24"/>
        </w:rPr>
        <w:t>nº</w:t>
      </w:r>
      <w:r w:rsidRPr="00353D69">
        <w:rPr>
          <w:color w:val="000000" w:themeColor="text1"/>
          <w:sz w:val="24"/>
          <w:szCs w:val="24"/>
        </w:rPr>
        <w:t xml:space="preserve"> 27</w:t>
      </w:r>
      <w:r w:rsidR="005C67C1" w:rsidRPr="00353D69">
        <w:rPr>
          <w:color w:val="000000" w:themeColor="text1"/>
          <w:sz w:val="24"/>
          <w:szCs w:val="24"/>
        </w:rPr>
        <w:t xml:space="preserve">, de 10 de setembro de </w:t>
      </w:r>
      <w:r w:rsidRPr="00353D69">
        <w:rPr>
          <w:color w:val="000000" w:themeColor="text1"/>
          <w:sz w:val="24"/>
          <w:szCs w:val="24"/>
        </w:rPr>
        <w:t>2018, estabeleceu que os contratos em atraso são aqueles com prestações não pagas a partir do primeiro dia após o vencimento e que os inadimplentes são aqueles com prestações não pagas a partir do nonagésimo dia após o vencimento da prestação, observados na fase de amortização do financiamento.</w:t>
      </w:r>
      <w:r w:rsidR="007B206A">
        <w:rPr>
          <w:color w:val="000000" w:themeColor="text1"/>
          <w:sz w:val="24"/>
          <w:szCs w:val="24"/>
        </w:rPr>
        <w:t xml:space="preserve"> </w:t>
      </w:r>
      <w:r w:rsidR="007B206A" w:rsidRPr="007B206A">
        <w:rPr>
          <w:color w:val="000000" w:themeColor="text1"/>
          <w:sz w:val="24"/>
          <w:szCs w:val="24"/>
        </w:rPr>
        <w:t>O saldo devedor integral dos contratos considerados inadimplentes alcançou o valor de R$ 42,1 bilhões, representando 37,7% do valor total da dívida na fase de amortização.</w:t>
      </w:r>
    </w:p>
    <w:p w14:paraId="7946FD57" w14:textId="24040CFD" w:rsidR="00AC7645" w:rsidRPr="00353D69" w:rsidRDefault="005A55B3" w:rsidP="68783CE5">
      <w:pPr>
        <w:pStyle w:val="Corpodetexto"/>
        <w:spacing w:line="240" w:lineRule="auto"/>
        <w:ind w:firstLine="1418"/>
        <w:jc w:val="both"/>
        <w:rPr>
          <w:color w:val="000000" w:themeColor="text1"/>
          <w:sz w:val="24"/>
          <w:szCs w:val="24"/>
        </w:rPr>
      </w:pPr>
      <w:r w:rsidRPr="00353D69">
        <w:rPr>
          <w:color w:val="000000" w:themeColor="text1"/>
          <w:sz w:val="24"/>
          <w:szCs w:val="24"/>
        </w:rPr>
        <w:t>O</w:t>
      </w:r>
      <w:r w:rsidR="004A05EE" w:rsidRPr="00353D69">
        <w:rPr>
          <w:color w:val="000000" w:themeColor="text1"/>
          <w:sz w:val="24"/>
          <w:szCs w:val="24"/>
        </w:rPr>
        <w:t xml:space="preserve"> atraso nos pagamentos por parte dos estudantes dos financiamentos concedidos entre 2010 e 2017, contados a partir de um dia, foram observados em </w:t>
      </w:r>
      <w:r w:rsidR="6702EB8B" w:rsidRPr="00353D69">
        <w:rPr>
          <w:color w:val="000000" w:themeColor="text1"/>
          <w:sz w:val="24"/>
          <w:szCs w:val="24"/>
        </w:rPr>
        <w:t>58,</w:t>
      </w:r>
      <w:r w:rsidR="004A05EE" w:rsidRPr="00353D69">
        <w:rPr>
          <w:color w:val="000000" w:themeColor="text1"/>
          <w:sz w:val="24"/>
          <w:szCs w:val="24"/>
        </w:rPr>
        <w:t>8% dos contratos (1.</w:t>
      </w:r>
      <w:r w:rsidR="70BD5749" w:rsidRPr="00353D69">
        <w:rPr>
          <w:color w:val="000000" w:themeColor="text1"/>
          <w:sz w:val="24"/>
          <w:szCs w:val="24"/>
        </w:rPr>
        <w:t>466</w:t>
      </w:r>
      <w:r w:rsidR="004A05EE" w:rsidRPr="00353D69">
        <w:rPr>
          <w:color w:val="000000" w:themeColor="text1"/>
          <w:sz w:val="24"/>
          <w:szCs w:val="24"/>
        </w:rPr>
        <w:t>.5</w:t>
      </w:r>
      <w:r w:rsidR="1432EB3D" w:rsidRPr="00353D69">
        <w:rPr>
          <w:color w:val="000000" w:themeColor="text1"/>
          <w:sz w:val="24"/>
          <w:szCs w:val="24"/>
        </w:rPr>
        <w:t>16</w:t>
      </w:r>
      <w:r w:rsidR="004A05EE" w:rsidRPr="00353D69">
        <w:rPr>
          <w:color w:val="000000" w:themeColor="text1"/>
          <w:sz w:val="24"/>
          <w:szCs w:val="24"/>
        </w:rPr>
        <w:t>).</w:t>
      </w:r>
      <w:r w:rsidR="000D17A6" w:rsidRPr="00353D69">
        <w:rPr>
          <w:color w:val="000000" w:themeColor="text1"/>
          <w:sz w:val="24"/>
          <w:szCs w:val="24"/>
        </w:rPr>
        <w:t xml:space="preserve"> </w:t>
      </w:r>
      <w:r w:rsidR="00797A49" w:rsidRPr="00353D69">
        <w:rPr>
          <w:color w:val="000000" w:themeColor="text1"/>
          <w:sz w:val="24"/>
          <w:szCs w:val="24"/>
        </w:rPr>
        <w:t xml:space="preserve">Juntos, se considerado o saldo devedor integral desses contratos, respondem por um valor total de R$ </w:t>
      </w:r>
      <w:r w:rsidR="48D3FF6A" w:rsidRPr="00353D69">
        <w:rPr>
          <w:color w:val="000000" w:themeColor="text1"/>
          <w:sz w:val="24"/>
          <w:szCs w:val="24"/>
        </w:rPr>
        <w:t>5</w:t>
      </w:r>
      <w:r w:rsidR="00797A49" w:rsidRPr="00353D69">
        <w:rPr>
          <w:color w:val="000000" w:themeColor="text1"/>
          <w:sz w:val="24"/>
          <w:szCs w:val="24"/>
        </w:rPr>
        <w:t>6,</w:t>
      </w:r>
      <w:r w:rsidR="79944197" w:rsidRPr="00353D69">
        <w:rPr>
          <w:color w:val="000000" w:themeColor="text1"/>
          <w:sz w:val="24"/>
          <w:szCs w:val="24"/>
        </w:rPr>
        <w:t>1</w:t>
      </w:r>
      <w:r w:rsidR="00797A49" w:rsidRPr="00353D69">
        <w:rPr>
          <w:color w:val="000000" w:themeColor="text1"/>
          <w:sz w:val="24"/>
          <w:szCs w:val="24"/>
        </w:rPr>
        <w:t xml:space="preserve"> bilhões, equivalente a 5</w:t>
      </w:r>
      <w:r w:rsidR="79B27C95" w:rsidRPr="00353D69">
        <w:rPr>
          <w:color w:val="000000" w:themeColor="text1"/>
          <w:sz w:val="24"/>
          <w:szCs w:val="24"/>
        </w:rPr>
        <w:t>1</w:t>
      </w:r>
      <w:r w:rsidR="00797A49" w:rsidRPr="00353D69">
        <w:rPr>
          <w:color w:val="000000" w:themeColor="text1"/>
          <w:sz w:val="24"/>
          <w:szCs w:val="24"/>
        </w:rPr>
        <w:t>,</w:t>
      </w:r>
      <w:r w:rsidR="714ECBFC" w:rsidRPr="00353D69">
        <w:rPr>
          <w:color w:val="000000" w:themeColor="text1"/>
          <w:sz w:val="24"/>
          <w:szCs w:val="24"/>
        </w:rPr>
        <w:t>4</w:t>
      </w:r>
      <w:r w:rsidR="00797A49" w:rsidRPr="00353D69">
        <w:rPr>
          <w:color w:val="000000" w:themeColor="text1"/>
          <w:sz w:val="24"/>
          <w:szCs w:val="24"/>
        </w:rPr>
        <w:t xml:space="preserve">% do total da carteira. </w:t>
      </w:r>
      <w:r w:rsidR="00C36A61" w:rsidRPr="00353D69">
        <w:rPr>
          <w:color w:val="000000" w:themeColor="text1"/>
          <w:sz w:val="24"/>
          <w:szCs w:val="24"/>
        </w:rPr>
        <w:t>Conforme observado</w:t>
      </w:r>
      <w:r w:rsidR="00C37F1D" w:rsidRPr="00353D69">
        <w:rPr>
          <w:color w:val="000000" w:themeColor="text1"/>
          <w:sz w:val="24"/>
          <w:szCs w:val="24"/>
        </w:rPr>
        <w:t>,</w:t>
      </w:r>
      <w:r w:rsidR="00C36A61" w:rsidRPr="00353D69">
        <w:rPr>
          <w:color w:val="000000" w:themeColor="text1"/>
          <w:sz w:val="24"/>
          <w:szCs w:val="24"/>
        </w:rPr>
        <w:t xml:space="preserve"> na </w:t>
      </w:r>
      <w:r w:rsidRPr="00353D69">
        <w:rPr>
          <w:color w:val="000000" w:themeColor="text1"/>
          <w:sz w:val="24"/>
          <w:szCs w:val="24"/>
        </w:rPr>
        <w:fldChar w:fldCharType="begin"/>
      </w:r>
      <w:r w:rsidRPr="00353D69">
        <w:rPr>
          <w:color w:val="000000" w:themeColor="text1"/>
          <w:sz w:val="24"/>
          <w:szCs w:val="24"/>
        </w:rPr>
        <w:instrText xml:space="preserve"> REF _Ref4161323  \* MERGEFORMAT </w:instrText>
      </w:r>
      <w:r w:rsidRPr="00353D69">
        <w:rPr>
          <w:color w:val="000000" w:themeColor="text1"/>
          <w:sz w:val="24"/>
          <w:szCs w:val="24"/>
        </w:rPr>
        <w:fldChar w:fldCharType="separate"/>
      </w:r>
      <w:r w:rsidR="00304F5F" w:rsidRPr="00304F5F">
        <w:rPr>
          <w:color w:val="000000" w:themeColor="text1"/>
          <w:sz w:val="24"/>
          <w:szCs w:val="24"/>
        </w:rPr>
        <w:t>Tabela 69</w:t>
      </w:r>
      <w:r w:rsidRPr="00353D69">
        <w:rPr>
          <w:color w:val="000000" w:themeColor="text1"/>
          <w:sz w:val="24"/>
          <w:szCs w:val="24"/>
        </w:rPr>
        <w:fldChar w:fldCharType="end"/>
      </w:r>
      <w:r w:rsidR="00C37F1D" w:rsidRPr="00353D69">
        <w:rPr>
          <w:color w:val="000000" w:themeColor="text1"/>
          <w:sz w:val="24"/>
          <w:szCs w:val="24"/>
        </w:rPr>
        <w:t>,</w:t>
      </w:r>
      <w:r w:rsidR="001507E9" w:rsidRPr="00353D69">
        <w:rPr>
          <w:color w:val="000000" w:themeColor="text1"/>
          <w:sz w:val="24"/>
          <w:szCs w:val="24"/>
        </w:rPr>
        <w:t xml:space="preserve"> </w:t>
      </w:r>
      <w:r w:rsidR="00953FBA" w:rsidRPr="00353D69">
        <w:rPr>
          <w:color w:val="000000" w:themeColor="text1"/>
          <w:sz w:val="24"/>
          <w:szCs w:val="24"/>
        </w:rPr>
        <w:t>o</w:t>
      </w:r>
      <w:r w:rsidR="00797A49" w:rsidRPr="00353D69">
        <w:rPr>
          <w:color w:val="000000" w:themeColor="text1"/>
          <w:sz w:val="24"/>
          <w:szCs w:val="24"/>
        </w:rPr>
        <w:t xml:space="preserve"> maior volume de operações em atraso se concentra </w:t>
      </w:r>
      <w:r w:rsidR="00F01F8C" w:rsidRPr="00F01F8C">
        <w:rPr>
          <w:color w:val="000000" w:themeColor="text1"/>
          <w:sz w:val="24"/>
          <w:szCs w:val="24"/>
        </w:rPr>
        <w:t>na faixa acima de 360 dias de atraso</w:t>
      </w:r>
      <w:r w:rsidR="000D17A6" w:rsidRPr="00353D69">
        <w:rPr>
          <w:color w:val="000000" w:themeColor="text1"/>
          <w:sz w:val="24"/>
          <w:szCs w:val="24"/>
        </w:rPr>
        <w:t>.</w:t>
      </w:r>
    </w:p>
    <w:p w14:paraId="32D65F78" w14:textId="6C13E7B2" w:rsidR="000D17A6" w:rsidRPr="00CC34BD" w:rsidRDefault="000D17A6" w:rsidP="00F01A32">
      <w:pPr>
        <w:pStyle w:val="Legenda"/>
        <w:spacing w:before="240" w:after="120"/>
        <w:ind w:left="1134" w:right="1134"/>
        <w:jc w:val="center"/>
        <w:rPr>
          <w:rFonts w:asciiTheme="minorHAnsi" w:hAnsiTheme="minorHAnsi"/>
          <w:i w:val="0"/>
          <w:color w:val="auto"/>
          <w:sz w:val="22"/>
          <w:szCs w:val="22"/>
        </w:rPr>
      </w:pPr>
      <w:bookmarkStart w:id="446" w:name="_Ref4161323"/>
      <w:bookmarkStart w:id="447" w:name="_Toc5027624"/>
      <w:bookmarkStart w:id="448" w:name="_Toc69121415"/>
      <w:r w:rsidRPr="00CC34BD">
        <w:rPr>
          <w:rFonts w:asciiTheme="minorHAnsi" w:hAnsiTheme="minorHAnsi"/>
          <w:i w:val="0"/>
          <w:color w:val="auto"/>
          <w:sz w:val="22"/>
          <w:szCs w:val="22"/>
        </w:rPr>
        <w:t xml:space="preserve">Tabela </w:t>
      </w:r>
      <w:r w:rsidRPr="00CC34BD">
        <w:rPr>
          <w:rFonts w:asciiTheme="minorHAnsi" w:hAnsiTheme="minorHAnsi"/>
          <w:i w:val="0"/>
          <w:color w:val="auto"/>
          <w:sz w:val="22"/>
          <w:szCs w:val="22"/>
        </w:rPr>
        <w:fldChar w:fldCharType="begin"/>
      </w:r>
      <w:r w:rsidRPr="00CC34BD">
        <w:rPr>
          <w:rFonts w:asciiTheme="minorHAnsi" w:hAnsiTheme="minorHAnsi"/>
          <w:i w:val="0"/>
          <w:color w:val="auto"/>
          <w:sz w:val="22"/>
          <w:szCs w:val="22"/>
        </w:rPr>
        <w:instrText xml:space="preserve"> SEQ Tabela \* ARABIC </w:instrText>
      </w:r>
      <w:r w:rsidRPr="00CC34BD">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69</w:t>
      </w:r>
      <w:r w:rsidRPr="00CC34BD">
        <w:rPr>
          <w:rFonts w:asciiTheme="minorHAnsi" w:hAnsiTheme="minorHAnsi"/>
          <w:i w:val="0"/>
          <w:color w:val="auto"/>
          <w:sz w:val="22"/>
          <w:szCs w:val="22"/>
        </w:rPr>
        <w:fldChar w:fldCharType="end"/>
      </w:r>
      <w:bookmarkEnd w:id="446"/>
      <w:r w:rsidR="00FA5F5B" w:rsidRPr="00CC34BD">
        <w:rPr>
          <w:rFonts w:asciiTheme="minorHAnsi" w:hAnsiTheme="minorHAnsi"/>
          <w:i w:val="0"/>
          <w:color w:val="auto"/>
          <w:sz w:val="22"/>
          <w:szCs w:val="22"/>
        </w:rPr>
        <w:t xml:space="preserve"> -</w:t>
      </w:r>
      <w:r w:rsidRPr="00CC34BD">
        <w:rPr>
          <w:rFonts w:asciiTheme="minorHAnsi" w:hAnsiTheme="minorHAnsi"/>
          <w:i w:val="0"/>
          <w:color w:val="auto"/>
          <w:sz w:val="22"/>
          <w:szCs w:val="22"/>
        </w:rPr>
        <w:t xml:space="preserve"> </w:t>
      </w:r>
      <w:bookmarkEnd w:id="447"/>
      <w:r w:rsidR="00A15FEA">
        <w:rPr>
          <w:rFonts w:asciiTheme="minorHAnsi" w:hAnsiTheme="minorHAnsi"/>
          <w:i w:val="0"/>
          <w:color w:val="auto"/>
          <w:sz w:val="22"/>
          <w:szCs w:val="22"/>
        </w:rPr>
        <w:t>Situação</w:t>
      </w:r>
      <w:r w:rsidR="00CC34BD" w:rsidRPr="00CC34BD">
        <w:rPr>
          <w:rFonts w:asciiTheme="minorHAnsi" w:hAnsiTheme="minorHAnsi"/>
          <w:i w:val="0"/>
          <w:color w:val="auto"/>
          <w:sz w:val="22"/>
          <w:szCs w:val="22"/>
        </w:rPr>
        <w:t xml:space="preserve"> dos c</w:t>
      </w:r>
      <w:r w:rsidR="00880D57" w:rsidRPr="00CC34BD">
        <w:rPr>
          <w:rFonts w:asciiTheme="minorHAnsi" w:hAnsiTheme="minorHAnsi"/>
          <w:i w:val="0"/>
          <w:color w:val="auto"/>
          <w:sz w:val="22"/>
          <w:szCs w:val="22"/>
        </w:rPr>
        <w:t>ontratos concedidos entre</w:t>
      </w:r>
      <w:r w:rsidR="00390425" w:rsidRPr="00CC34BD">
        <w:rPr>
          <w:rFonts w:asciiTheme="minorHAnsi" w:hAnsiTheme="minorHAnsi"/>
          <w:i w:val="0"/>
          <w:color w:val="auto"/>
          <w:sz w:val="22"/>
          <w:szCs w:val="22"/>
        </w:rPr>
        <w:t xml:space="preserve"> </w:t>
      </w:r>
      <w:r w:rsidR="00FA5F5B" w:rsidRPr="00CC34BD">
        <w:rPr>
          <w:rFonts w:asciiTheme="minorHAnsi" w:hAnsiTheme="minorHAnsi"/>
          <w:i w:val="0"/>
          <w:color w:val="auto"/>
          <w:sz w:val="22"/>
          <w:szCs w:val="22"/>
        </w:rPr>
        <w:t xml:space="preserve">2010 </w:t>
      </w:r>
      <w:r w:rsidR="00880D57" w:rsidRPr="00CC34BD">
        <w:rPr>
          <w:rFonts w:asciiTheme="minorHAnsi" w:hAnsiTheme="minorHAnsi"/>
          <w:i w:val="0"/>
          <w:color w:val="auto"/>
          <w:sz w:val="22"/>
          <w:szCs w:val="22"/>
        </w:rPr>
        <w:t xml:space="preserve">e </w:t>
      </w:r>
      <w:r w:rsidR="00FA5F5B" w:rsidRPr="00CC34BD">
        <w:rPr>
          <w:rFonts w:asciiTheme="minorHAnsi" w:hAnsiTheme="minorHAnsi"/>
          <w:i w:val="0"/>
          <w:color w:val="auto"/>
          <w:sz w:val="22"/>
          <w:szCs w:val="22"/>
        </w:rPr>
        <w:t>2017</w:t>
      </w:r>
      <w:bookmarkEnd w:id="448"/>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15"/>
        <w:gridCol w:w="1306"/>
        <w:gridCol w:w="1486"/>
        <w:gridCol w:w="1273"/>
      </w:tblGrid>
      <w:tr w:rsidR="006F0878" w:rsidRPr="0078275F" w14:paraId="2FCE755B" w14:textId="77777777" w:rsidTr="68783CE5">
        <w:trPr>
          <w:trHeight w:val="20"/>
          <w:tblHeader/>
          <w:jc w:val="center"/>
        </w:trPr>
        <w:tc>
          <w:tcPr>
            <w:tcW w:w="0" w:type="auto"/>
            <w:gridSpan w:val="4"/>
            <w:tcBorders>
              <w:top w:val="nil"/>
              <w:left w:val="nil"/>
              <w:bottom w:val="single" w:sz="4" w:space="0" w:color="BFBFBF" w:themeColor="background1" w:themeShade="BF"/>
              <w:right w:val="nil"/>
            </w:tcBorders>
            <w:shd w:val="clear" w:color="auto" w:fill="auto"/>
          </w:tcPr>
          <w:p w14:paraId="230FCA3E" w14:textId="4F958A90" w:rsidR="006F0878" w:rsidRPr="00D35F09" w:rsidRDefault="006F0878" w:rsidP="00930226">
            <w:pPr>
              <w:spacing w:after="0" w:line="240" w:lineRule="auto"/>
              <w:jc w:val="right"/>
              <w:rPr>
                <w:rFonts w:eastAsia="Times New Roman" w:cs="Times New Roman"/>
                <w:b/>
                <w:color w:val="FFFFFF" w:themeColor="background1"/>
                <w:sz w:val="16"/>
                <w:szCs w:val="16"/>
                <w:lang w:eastAsia="pt-BR"/>
              </w:rPr>
            </w:pPr>
            <w:r w:rsidRPr="00D35F09">
              <w:rPr>
                <w:i/>
                <w:sz w:val="16"/>
                <w:szCs w:val="16"/>
              </w:rPr>
              <w:t xml:space="preserve">Em </w:t>
            </w:r>
            <w:r w:rsidR="00930226">
              <w:rPr>
                <w:i/>
                <w:sz w:val="16"/>
                <w:szCs w:val="16"/>
              </w:rPr>
              <w:t xml:space="preserve">R$ </w:t>
            </w:r>
            <w:r w:rsidRPr="00D35F09">
              <w:rPr>
                <w:i/>
                <w:sz w:val="16"/>
                <w:szCs w:val="16"/>
              </w:rPr>
              <w:t xml:space="preserve">milhões </w:t>
            </w:r>
          </w:p>
        </w:tc>
      </w:tr>
      <w:tr w:rsidR="00986335" w:rsidRPr="00B47964" w14:paraId="07C35158" w14:textId="77777777" w:rsidTr="68783CE5">
        <w:trPr>
          <w:trHeight w:val="20"/>
          <w:tblHeader/>
          <w:jc w:val="center"/>
        </w:trPr>
        <w:tc>
          <w:tcPr>
            <w:tcW w:w="0" w:type="auto"/>
            <w:tcBorders>
              <w:top w:val="single" w:sz="4" w:space="0" w:color="BFBFBF" w:themeColor="background1" w:themeShade="BF"/>
            </w:tcBorders>
            <w:shd w:val="clear" w:color="auto" w:fill="404040" w:themeFill="text1" w:themeFillTint="BF"/>
            <w:vAlign w:val="center"/>
          </w:tcPr>
          <w:p w14:paraId="5074C113" w14:textId="2C6B5304" w:rsidR="006F0878" w:rsidRPr="00B47964" w:rsidRDefault="006F0878" w:rsidP="53336FFF">
            <w:pPr>
              <w:spacing w:after="0" w:line="240" w:lineRule="auto"/>
              <w:jc w:val="center"/>
              <w:rPr>
                <w:rFonts w:eastAsia="Times New Roman" w:cs="Times New Roman"/>
                <w:b/>
                <w:bCs/>
                <w:color w:val="FFFFFF" w:themeColor="background1"/>
                <w:sz w:val="20"/>
                <w:szCs w:val="20"/>
                <w:vertAlign w:val="superscript"/>
                <w:lang w:eastAsia="pt-BR"/>
              </w:rPr>
            </w:pPr>
            <w:r w:rsidRPr="00B47964">
              <w:rPr>
                <w:rFonts w:eastAsia="Times New Roman" w:cs="Times New Roman"/>
                <w:b/>
                <w:bCs/>
                <w:color w:val="FFFFFF" w:themeColor="background1"/>
                <w:sz w:val="20"/>
                <w:szCs w:val="20"/>
                <w:lang w:eastAsia="pt-BR"/>
              </w:rPr>
              <w:t>Situação do Contrato</w:t>
            </w:r>
            <w:r w:rsidR="004F587E" w:rsidRPr="00B47964">
              <w:rPr>
                <w:rFonts w:eastAsia="Times New Roman" w:cs="Times New Roman"/>
                <w:b/>
                <w:bCs/>
                <w:color w:val="FFFFFF" w:themeColor="background1"/>
                <w:sz w:val="20"/>
                <w:szCs w:val="20"/>
                <w:vertAlign w:val="superscript"/>
                <w:lang w:eastAsia="pt-BR"/>
              </w:rPr>
              <w:t xml:space="preserve"> </w:t>
            </w:r>
          </w:p>
          <w:p w14:paraId="1E78ECD1" w14:textId="602140C3" w:rsidR="006F0878" w:rsidRPr="00B47964" w:rsidRDefault="76F1AA6D" w:rsidP="003C5519">
            <w:pPr>
              <w:spacing w:after="0" w:line="240" w:lineRule="auto"/>
              <w:jc w:val="center"/>
              <w:rPr>
                <w:rFonts w:eastAsia="Times New Roman" w:cs="Times New Roman"/>
                <w:b/>
                <w:bCs/>
                <w:color w:val="FFFFFF" w:themeColor="background1"/>
                <w:sz w:val="20"/>
                <w:szCs w:val="20"/>
                <w:vertAlign w:val="superscript"/>
                <w:lang w:eastAsia="pt-BR"/>
              </w:rPr>
            </w:pPr>
            <w:proofErr w:type="gramStart"/>
            <w:r w:rsidRPr="00B47964">
              <w:rPr>
                <w:rFonts w:eastAsia="Times New Roman" w:cs="Times New Roman"/>
                <w:b/>
                <w:bCs/>
                <w:color w:val="FFFFFF" w:themeColor="background1"/>
                <w:sz w:val="20"/>
                <w:szCs w:val="20"/>
                <w:vertAlign w:val="superscript"/>
                <w:lang w:eastAsia="pt-BR"/>
              </w:rPr>
              <w:t>1</w:t>
            </w:r>
            <w:proofErr w:type="gramEnd"/>
          </w:p>
        </w:tc>
        <w:tc>
          <w:tcPr>
            <w:tcW w:w="0" w:type="auto"/>
            <w:tcBorders>
              <w:top w:val="single" w:sz="4" w:space="0" w:color="BFBFBF" w:themeColor="background1" w:themeShade="BF"/>
            </w:tcBorders>
            <w:shd w:val="clear" w:color="auto" w:fill="404040" w:themeFill="text1" w:themeFillTint="BF"/>
            <w:vAlign w:val="center"/>
          </w:tcPr>
          <w:p w14:paraId="584192CE" w14:textId="5275D686" w:rsidR="00070001" w:rsidRPr="00B47964" w:rsidRDefault="00070001" w:rsidP="00070001">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Quantidade</w:t>
            </w:r>
          </w:p>
          <w:p w14:paraId="2021CFB7" w14:textId="41CCADF3" w:rsidR="006F0878" w:rsidRPr="00B47964" w:rsidRDefault="00070001" w:rsidP="003C5519">
            <w:pPr>
              <w:spacing w:after="0" w:line="240" w:lineRule="auto"/>
              <w:jc w:val="center"/>
              <w:rPr>
                <w:b/>
                <w:bCs/>
                <w:color w:val="FFFFFF" w:themeColor="background1"/>
                <w:sz w:val="20"/>
                <w:szCs w:val="20"/>
                <w:vertAlign w:val="superscript"/>
                <w:lang w:eastAsia="pt-BR"/>
              </w:rPr>
            </w:pPr>
            <w:proofErr w:type="gramStart"/>
            <w:r w:rsidRPr="00B47964">
              <w:rPr>
                <w:rFonts w:eastAsia="Times New Roman" w:cs="Times New Roman"/>
                <w:b/>
                <w:bCs/>
                <w:color w:val="FFFFFF" w:themeColor="background1"/>
                <w:sz w:val="20"/>
                <w:szCs w:val="20"/>
                <w:lang w:eastAsia="pt-BR"/>
              </w:rPr>
              <w:t>de</w:t>
            </w:r>
            <w:proofErr w:type="gramEnd"/>
            <w:r w:rsidRPr="00B47964">
              <w:rPr>
                <w:rFonts w:eastAsia="Times New Roman" w:cs="Times New Roman"/>
                <w:b/>
                <w:bCs/>
                <w:color w:val="FFFFFF" w:themeColor="background1"/>
                <w:sz w:val="20"/>
                <w:szCs w:val="20"/>
                <w:lang w:eastAsia="pt-BR"/>
              </w:rPr>
              <w:t xml:space="preserve"> </w:t>
            </w:r>
            <w:r w:rsidR="006F0878" w:rsidRPr="00B47964">
              <w:rPr>
                <w:rFonts w:eastAsia="Times New Roman" w:cs="Times New Roman"/>
                <w:b/>
                <w:bCs/>
                <w:color w:val="FFFFFF" w:themeColor="background1"/>
                <w:sz w:val="20"/>
                <w:szCs w:val="20"/>
                <w:lang w:eastAsia="pt-BR"/>
              </w:rPr>
              <w:t>Contratos</w:t>
            </w:r>
            <w:r w:rsidR="00171D3B" w:rsidRPr="00B47964">
              <w:rPr>
                <w:rFonts w:eastAsia="Times New Roman" w:cs="Times New Roman"/>
                <w:b/>
                <w:bCs/>
                <w:color w:val="FFFFFF" w:themeColor="background1"/>
                <w:sz w:val="20"/>
                <w:szCs w:val="20"/>
                <w:vertAlign w:val="superscript"/>
                <w:lang w:eastAsia="pt-BR"/>
              </w:rPr>
              <w:t xml:space="preserve"> </w:t>
            </w:r>
            <w:r w:rsidR="5DF83F12" w:rsidRPr="00B47964">
              <w:rPr>
                <w:rFonts w:eastAsia="Times New Roman" w:cs="Times New Roman"/>
                <w:b/>
                <w:bCs/>
                <w:color w:val="FFFFFF" w:themeColor="background1"/>
                <w:sz w:val="20"/>
                <w:szCs w:val="20"/>
                <w:vertAlign w:val="superscript"/>
                <w:lang w:eastAsia="pt-BR"/>
              </w:rPr>
              <w:t xml:space="preserve">2 </w:t>
            </w:r>
          </w:p>
        </w:tc>
        <w:tc>
          <w:tcPr>
            <w:tcW w:w="0" w:type="auto"/>
            <w:tcBorders>
              <w:top w:val="single" w:sz="4" w:space="0" w:color="BFBFBF" w:themeColor="background1" w:themeShade="BF"/>
            </w:tcBorders>
            <w:shd w:val="clear" w:color="auto" w:fill="404040" w:themeFill="text1" w:themeFillTint="BF"/>
            <w:vAlign w:val="center"/>
          </w:tcPr>
          <w:p w14:paraId="2C58A394" w14:textId="77777777" w:rsidR="006F0878" w:rsidRPr="00B47964" w:rsidRDefault="006F0878" w:rsidP="005D2765">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Valor</w:t>
            </w:r>
            <w:r w:rsidR="005D2765" w:rsidRPr="00B47964">
              <w:rPr>
                <w:rFonts w:eastAsia="Times New Roman" w:cs="Times New Roman"/>
                <w:b/>
                <w:bCs/>
                <w:color w:val="FFFFFF" w:themeColor="background1"/>
                <w:sz w:val="20"/>
                <w:szCs w:val="20"/>
                <w:lang w:eastAsia="pt-BR"/>
              </w:rPr>
              <w:t xml:space="preserve"> </w:t>
            </w:r>
            <w:r w:rsidRPr="00B47964">
              <w:rPr>
                <w:rFonts w:eastAsia="Times New Roman" w:cs="Times New Roman"/>
                <w:b/>
                <w:bCs/>
                <w:color w:val="FFFFFF" w:themeColor="background1"/>
                <w:sz w:val="20"/>
                <w:szCs w:val="20"/>
                <w:lang w:eastAsia="pt-BR"/>
              </w:rPr>
              <w:t>da Dívida</w:t>
            </w:r>
          </w:p>
          <w:p w14:paraId="4C2A6563" w14:textId="413CD51D" w:rsidR="006F0878" w:rsidRPr="00B47964" w:rsidRDefault="00615C16" w:rsidP="003C5519">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(Em R$ milhões)</w:t>
            </w:r>
          </w:p>
        </w:tc>
        <w:tc>
          <w:tcPr>
            <w:tcW w:w="0" w:type="auto"/>
            <w:tcBorders>
              <w:top w:val="single" w:sz="4" w:space="0" w:color="BFBFBF" w:themeColor="background1" w:themeShade="BF"/>
            </w:tcBorders>
            <w:shd w:val="clear" w:color="auto" w:fill="404040" w:themeFill="text1" w:themeFillTint="BF"/>
            <w:vAlign w:val="center"/>
          </w:tcPr>
          <w:p w14:paraId="0A7609A9" w14:textId="3CAC976D" w:rsidR="0092609C" w:rsidRPr="00B47964" w:rsidRDefault="006F0878" w:rsidP="0092609C">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Atraso Médio</w:t>
            </w:r>
          </w:p>
          <w:p w14:paraId="118072DD" w14:textId="3D764F89" w:rsidR="006F0878" w:rsidRPr="00B47964" w:rsidRDefault="006F0878" w:rsidP="003C5519">
            <w:pPr>
              <w:spacing w:after="0" w:line="240" w:lineRule="auto"/>
              <w:jc w:val="center"/>
              <w:rPr>
                <w:rFonts w:eastAsia="Times New Roman" w:cs="Times New Roman"/>
                <w:b/>
                <w:bCs/>
                <w:color w:val="FFFFFF" w:themeColor="background1"/>
                <w:sz w:val="20"/>
                <w:szCs w:val="20"/>
                <w:lang w:eastAsia="pt-BR"/>
              </w:rPr>
            </w:pPr>
            <w:r w:rsidRPr="00B47964">
              <w:rPr>
                <w:rFonts w:eastAsia="Times New Roman" w:cs="Times New Roman"/>
                <w:b/>
                <w:bCs/>
                <w:color w:val="FFFFFF" w:themeColor="background1"/>
                <w:sz w:val="20"/>
                <w:szCs w:val="20"/>
                <w:lang w:eastAsia="pt-BR"/>
              </w:rPr>
              <w:t>(</w:t>
            </w:r>
            <w:r w:rsidR="00615C16" w:rsidRPr="00B47964">
              <w:rPr>
                <w:rFonts w:eastAsia="Times New Roman" w:cs="Times New Roman"/>
                <w:b/>
                <w:bCs/>
                <w:color w:val="FFFFFF" w:themeColor="background1"/>
                <w:sz w:val="20"/>
                <w:szCs w:val="20"/>
                <w:lang w:eastAsia="pt-BR"/>
              </w:rPr>
              <w:t>E</w:t>
            </w:r>
            <w:r w:rsidR="0092609C" w:rsidRPr="00B47964">
              <w:rPr>
                <w:rFonts w:eastAsia="Times New Roman" w:cs="Times New Roman"/>
                <w:b/>
                <w:bCs/>
                <w:color w:val="FFFFFF" w:themeColor="background1"/>
                <w:sz w:val="20"/>
                <w:szCs w:val="20"/>
                <w:lang w:eastAsia="pt-BR"/>
              </w:rPr>
              <w:t xml:space="preserve">m </w:t>
            </w:r>
            <w:r w:rsidRPr="00B47964">
              <w:rPr>
                <w:rFonts w:eastAsia="Times New Roman" w:cs="Times New Roman"/>
                <w:b/>
                <w:bCs/>
                <w:color w:val="FFFFFF" w:themeColor="background1"/>
                <w:sz w:val="20"/>
                <w:szCs w:val="20"/>
                <w:lang w:eastAsia="pt-BR"/>
              </w:rPr>
              <w:t>dias)</w:t>
            </w:r>
          </w:p>
        </w:tc>
      </w:tr>
      <w:tr w:rsidR="006F0878" w:rsidRPr="0078275F" w14:paraId="6FD92B7A" w14:textId="77777777" w:rsidTr="68783CE5">
        <w:trPr>
          <w:trHeight w:val="20"/>
          <w:jc w:val="center"/>
        </w:trPr>
        <w:tc>
          <w:tcPr>
            <w:tcW w:w="0" w:type="auto"/>
            <w:shd w:val="clear" w:color="auto" w:fill="F2F2F2" w:themeFill="background1" w:themeFillShade="F2"/>
            <w:vAlign w:val="center"/>
          </w:tcPr>
          <w:p w14:paraId="6B145443" w14:textId="77777777"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Adimplente</w:t>
            </w:r>
          </w:p>
        </w:tc>
        <w:tc>
          <w:tcPr>
            <w:tcW w:w="0" w:type="auto"/>
            <w:shd w:val="clear" w:color="auto" w:fill="F2F2F2" w:themeFill="background1" w:themeFillShade="F2"/>
            <w:vAlign w:val="center"/>
          </w:tcPr>
          <w:p w14:paraId="05F1907F" w14:textId="2858CCEF" w:rsidR="006F0878" w:rsidRPr="00102756" w:rsidRDefault="7B04FE5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1.027</w:t>
            </w:r>
            <w:r w:rsidR="0E653432" w:rsidRPr="68783CE5">
              <w:rPr>
                <w:rFonts w:eastAsia="Times New Roman" w:cs="Times New Roman"/>
                <w:sz w:val="18"/>
                <w:szCs w:val="18"/>
                <w:lang w:eastAsia="pt-BR"/>
              </w:rPr>
              <w:t>.</w:t>
            </w:r>
            <w:r w:rsidR="3B19E019" w:rsidRPr="68783CE5">
              <w:rPr>
                <w:rFonts w:eastAsia="Times New Roman" w:cs="Times New Roman"/>
                <w:sz w:val="18"/>
                <w:szCs w:val="18"/>
                <w:lang w:eastAsia="pt-BR"/>
              </w:rPr>
              <w:t>188</w:t>
            </w:r>
          </w:p>
        </w:tc>
        <w:tc>
          <w:tcPr>
            <w:tcW w:w="0" w:type="auto"/>
            <w:shd w:val="clear" w:color="auto" w:fill="F2F2F2" w:themeFill="background1" w:themeFillShade="F2"/>
          </w:tcPr>
          <w:p w14:paraId="1F40F8E2" w14:textId="6AF8AD70" w:rsidR="006F0878" w:rsidRPr="00102756" w:rsidRDefault="60555F9B"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53.116,7</w:t>
            </w:r>
          </w:p>
        </w:tc>
        <w:tc>
          <w:tcPr>
            <w:tcW w:w="0" w:type="auto"/>
            <w:shd w:val="clear" w:color="auto" w:fill="F2F2F2" w:themeFill="background1" w:themeFillShade="F2"/>
          </w:tcPr>
          <w:p w14:paraId="1A98B80B" w14:textId="77777777" w:rsidR="006F0878" w:rsidRPr="00102756" w:rsidRDefault="006F0878" w:rsidP="003C5519">
            <w:pPr>
              <w:spacing w:after="0" w:line="240" w:lineRule="auto"/>
              <w:jc w:val="right"/>
              <w:rPr>
                <w:rFonts w:eastAsia="Times New Roman" w:cs="Times New Roman"/>
                <w:sz w:val="18"/>
                <w:szCs w:val="18"/>
                <w:lang w:eastAsia="pt-BR"/>
              </w:rPr>
            </w:pPr>
            <w:r w:rsidRPr="000A366A">
              <w:rPr>
                <w:rFonts w:eastAsia="Times New Roman" w:cs="Times New Roman"/>
                <w:sz w:val="18"/>
                <w:szCs w:val="18"/>
                <w:lang w:eastAsia="pt-BR"/>
              </w:rPr>
              <w:t>0,0</w:t>
            </w:r>
          </w:p>
        </w:tc>
      </w:tr>
      <w:tr w:rsidR="006F0878" w:rsidRPr="0078275F" w14:paraId="17EBBFCF" w14:textId="77777777" w:rsidTr="68783CE5">
        <w:trPr>
          <w:trHeight w:val="20"/>
          <w:jc w:val="center"/>
        </w:trPr>
        <w:tc>
          <w:tcPr>
            <w:tcW w:w="0" w:type="auto"/>
            <w:shd w:val="clear" w:color="auto" w:fill="auto"/>
            <w:vAlign w:val="center"/>
          </w:tcPr>
          <w:p w14:paraId="7965CAF9" w14:textId="5C7F1763"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1 a 14 dias de </w:t>
            </w:r>
            <w:r w:rsidR="0021584E"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auto"/>
            <w:vAlign w:val="center"/>
          </w:tcPr>
          <w:p w14:paraId="5128A2C6" w14:textId="5AE8B189" w:rsidR="006F0878" w:rsidRPr="00102756"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6E944719" w:rsidRPr="68783CE5">
              <w:rPr>
                <w:rFonts w:eastAsia="Times New Roman" w:cs="Times New Roman"/>
                <w:sz w:val="18"/>
                <w:szCs w:val="18"/>
                <w:lang w:eastAsia="pt-BR"/>
              </w:rPr>
              <w:t>0</w:t>
            </w:r>
            <w:r w:rsidRPr="68783CE5">
              <w:rPr>
                <w:rFonts w:eastAsia="Times New Roman" w:cs="Times New Roman"/>
                <w:sz w:val="18"/>
                <w:szCs w:val="18"/>
                <w:lang w:eastAsia="pt-BR"/>
              </w:rPr>
              <w:t>.</w:t>
            </w:r>
            <w:r w:rsidR="047D02AC" w:rsidRPr="68783CE5">
              <w:rPr>
                <w:rFonts w:eastAsia="Times New Roman" w:cs="Times New Roman"/>
                <w:sz w:val="18"/>
                <w:szCs w:val="18"/>
                <w:lang w:eastAsia="pt-BR"/>
              </w:rPr>
              <w:t>959</w:t>
            </w:r>
          </w:p>
        </w:tc>
        <w:tc>
          <w:tcPr>
            <w:tcW w:w="0" w:type="auto"/>
          </w:tcPr>
          <w:p w14:paraId="1EF96A90" w14:textId="1A184E51" w:rsidR="006F0878" w:rsidRPr="00102756"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7A2E95E1" w:rsidRPr="68783CE5">
              <w:rPr>
                <w:rFonts w:eastAsia="Times New Roman" w:cs="Times New Roman"/>
                <w:sz w:val="18"/>
                <w:szCs w:val="18"/>
                <w:lang w:eastAsia="pt-BR"/>
              </w:rPr>
              <w:t>44</w:t>
            </w:r>
            <w:r w:rsidRPr="68783CE5">
              <w:rPr>
                <w:rFonts w:eastAsia="Times New Roman" w:cs="Times New Roman"/>
                <w:sz w:val="18"/>
                <w:szCs w:val="18"/>
                <w:lang w:eastAsia="pt-BR"/>
              </w:rPr>
              <w:t>7,</w:t>
            </w:r>
            <w:r w:rsidR="34A634F2" w:rsidRPr="68783CE5">
              <w:rPr>
                <w:rFonts w:eastAsia="Times New Roman" w:cs="Times New Roman"/>
                <w:sz w:val="18"/>
                <w:szCs w:val="18"/>
                <w:lang w:eastAsia="pt-BR"/>
              </w:rPr>
              <w:t>8</w:t>
            </w:r>
          </w:p>
        </w:tc>
        <w:tc>
          <w:tcPr>
            <w:tcW w:w="0" w:type="auto"/>
          </w:tcPr>
          <w:p w14:paraId="6179C79D" w14:textId="77777777" w:rsidR="006F0878" w:rsidRPr="00102756" w:rsidRDefault="006F0878" w:rsidP="003C5519">
            <w:pPr>
              <w:spacing w:after="0" w:line="240" w:lineRule="auto"/>
              <w:jc w:val="right"/>
              <w:rPr>
                <w:rFonts w:eastAsia="Times New Roman" w:cs="Times New Roman"/>
                <w:sz w:val="18"/>
                <w:szCs w:val="18"/>
                <w:lang w:eastAsia="pt-BR"/>
              </w:rPr>
            </w:pPr>
            <w:r w:rsidRPr="000A366A">
              <w:rPr>
                <w:rFonts w:eastAsia="Times New Roman" w:cs="Times New Roman"/>
                <w:sz w:val="18"/>
                <w:szCs w:val="18"/>
                <w:lang w:eastAsia="pt-BR"/>
              </w:rPr>
              <w:t>10,9</w:t>
            </w:r>
          </w:p>
        </w:tc>
      </w:tr>
      <w:tr w:rsidR="006F0878" w:rsidRPr="0078275F" w14:paraId="01441880" w14:textId="77777777" w:rsidTr="68783CE5">
        <w:trPr>
          <w:trHeight w:val="20"/>
          <w:jc w:val="center"/>
        </w:trPr>
        <w:tc>
          <w:tcPr>
            <w:tcW w:w="0" w:type="auto"/>
            <w:shd w:val="clear" w:color="auto" w:fill="F2F2F2" w:themeFill="background1" w:themeFillShade="F2"/>
            <w:vAlign w:val="center"/>
          </w:tcPr>
          <w:p w14:paraId="4A2A1FA5" w14:textId="30E6653F"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15 a 30 dias de </w:t>
            </w:r>
            <w:r w:rsidR="0021584E"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F2F2F2" w:themeFill="background1" w:themeFillShade="F2"/>
            <w:vAlign w:val="center"/>
          </w:tcPr>
          <w:p w14:paraId="4D0CE6AA" w14:textId="2BDDD7E9" w:rsidR="006F0878" w:rsidRPr="00102756" w:rsidRDefault="1A444C8F"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226</w:t>
            </w:r>
            <w:r w:rsidR="0E653432" w:rsidRPr="68783CE5">
              <w:rPr>
                <w:rFonts w:eastAsia="Times New Roman" w:cs="Times New Roman"/>
                <w:sz w:val="18"/>
                <w:szCs w:val="18"/>
                <w:lang w:eastAsia="pt-BR"/>
              </w:rPr>
              <w:t>.28</w:t>
            </w:r>
            <w:r w:rsidR="1DEEBF2D" w:rsidRPr="68783CE5">
              <w:rPr>
                <w:rFonts w:eastAsia="Times New Roman" w:cs="Times New Roman"/>
                <w:sz w:val="18"/>
                <w:szCs w:val="18"/>
                <w:lang w:eastAsia="pt-BR"/>
              </w:rPr>
              <w:t>7</w:t>
            </w:r>
          </w:p>
        </w:tc>
        <w:tc>
          <w:tcPr>
            <w:tcW w:w="0" w:type="auto"/>
            <w:shd w:val="clear" w:color="auto" w:fill="F2F2F2" w:themeFill="background1" w:themeFillShade="F2"/>
            <w:vAlign w:val="center"/>
          </w:tcPr>
          <w:p w14:paraId="02F9ECEA" w14:textId="45BF98BA" w:rsidR="006F0878" w:rsidRPr="00102756" w:rsidRDefault="27A5674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0E653432" w:rsidRPr="68783CE5">
              <w:rPr>
                <w:rFonts w:eastAsia="Times New Roman" w:cs="Times New Roman"/>
                <w:sz w:val="18"/>
                <w:szCs w:val="18"/>
                <w:lang w:eastAsia="pt-BR"/>
              </w:rPr>
              <w:t>2.7</w:t>
            </w:r>
            <w:r w:rsidR="22FDE3D5" w:rsidRPr="68783CE5">
              <w:rPr>
                <w:rFonts w:eastAsia="Times New Roman" w:cs="Times New Roman"/>
                <w:sz w:val="18"/>
                <w:szCs w:val="18"/>
                <w:lang w:eastAsia="pt-BR"/>
              </w:rPr>
              <w:t>2</w:t>
            </w:r>
            <w:r w:rsidR="0E653432" w:rsidRPr="68783CE5">
              <w:rPr>
                <w:rFonts w:eastAsia="Times New Roman" w:cs="Times New Roman"/>
                <w:sz w:val="18"/>
                <w:szCs w:val="18"/>
                <w:lang w:eastAsia="pt-BR"/>
              </w:rPr>
              <w:t>9,</w:t>
            </w:r>
            <w:r w:rsidR="0219DA1D" w:rsidRPr="68783CE5">
              <w:rPr>
                <w:rFonts w:eastAsia="Times New Roman" w:cs="Times New Roman"/>
                <w:sz w:val="18"/>
                <w:szCs w:val="18"/>
                <w:lang w:eastAsia="pt-BR"/>
              </w:rPr>
              <w:t>0</w:t>
            </w:r>
          </w:p>
        </w:tc>
        <w:tc>
          <w:tcPr>
            <w:tcW w:w="0" w:type="auto"/>
            <w:shd w:val="clear" w:color="auto" w:fill="F2F2F2" w:themeFill="background1" w:themeFillShade="F2"/>
          </w:tcPr>
          <w:p w14:paraId="490288BA" w14:textId="2F3D6864" w:rsidR="006F0878" w:rsidRPr="00102756"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491F0CD4" w:rsidRPr="68783CE5">
              <w:rPr>
                <w:rFonts w:eastAsia="Times New Roman" w:cs="Times New Roman"/>
                <w:sz w:val="18"/>
                <w:szCs w:val="18"/>
                <w:lang w:eastAsia="pt-BR"/>
              </w:rPr>
              <w:t>2</w:t>
            </w:r>
            <w:r w:rsidRPr="68783CE5">
              <w:rPr>
                <w:rFonts w:eastAsia="Times New Roman" w:cs="Times New Roman"/>
                <w:sz w:val="18"/>
                <w:szCs w:val="18"/>
                <w:lang w:eastAsia="pt-BR"/>
              </w:rPr>
              <w:t>,</w:t>
            </w:r>
            <w:r w:rsidR="1DA5CC6A" w:rsidRPr="68783CE5">
              <w:rPr>
                <w:rFonts w:eastAsia="Times New Roman" w:cs="Times New Roman"/>
                <w:sz w:val="18"/>
                <w:szCs w:val="18"/>
                <w:lang w:eastAsia="pt-BR"/>
              </w:rPr>
              <w:t>6</w:t>
            </w:r>
          </w:p>
        </w:tc>
      </w:tr>
      <w:tr w:rsidR="006F0878" w:rsidRPr="0078275F" w14:paraId="5AE639E8" w14:textId="77777777" w:rsidTr="68783CE5">
        <w:trPr>
          <w:trHeight w:val="20"/>
          <w:jc w:val="center"/>
        </w:trPr>
        <w:tc>
          <w:tcPr>
            <w:tcW w:w="0" w:type="auto"/>
            <w:shd w:val="clear" w:color="auto" w:fill="auto"/>
            <w:vAlign w:val="center"/>
          </w:tcPr>
          <w:p w14:paraId="2C6C9136" w14:textId="16330898"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31 a 60 dias de </w:t>
            </w:r>
            <w:r w:rsidR="0021584E"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auto"/>
            <w:vAlign w:val="center"/>
          </w:tcPr>
          <w:p w14:paraId="5C0B8CA0" w14:textId="605CCC7F" w:rsidR="006F0878" w:rsidRPr="003C2F89" w:rsidRDefault="7B9E715E"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22</w:t>
            </w:r>
            <w:r w:rsidR="0E653432" w:rsidRPr="68783CE5">
              <w:rPr>
                <w:rFonts w:eastAsia="Times New Roman" w:cs="Times New Roman"/>
                <w:sz w:val="18"/>
                <w:szCs w:val="18"/>
                <w:lang w:eastAsia="pt-BR"/>
              </w:rPr>
              <w:t>.</w:t>
            </w:r>
            <w:r w:rsidR="47691DD5" w:rsidRPr="68783CE5">
              <w:rPr>
                <w:rFonts w:eastAsia="Times New Roman" w:cs="Times New Roman"/>
                <w:sz w:val="18"/>
                <w:szCs w:val="18"/>
                <w:lang w:eastAsia="pt-BR"/>
              </w:rPr>
              <w:t>6</w:t>
            </w:r>
            <w:r w:rsidR="0E653432" w:rsidRPr="68783CE5">
              <w:rPr>
                <w:rFonts w:eastAsia="Times New Roman" w:cs="Times New Roman"/>
                <w:sz w:val="18"/>
                <w:szCs w:val="18"/>
                <w:lang w:eastAsia="pt-BR"/>
              </w:rPr>
              <w:t>6</w:t>
            </w:r>
            <w:r w:rsidR="711E620B" w:rsidRPr="68783CE5">
              <w:rPr>
                <w:rFonts w:eastAsia="Times New Roman" w:cs="Times New Roman"/>
                <w:sz w:val="18"/>
                <w:szCs w:val="18"/>
                <w:lang w:eastAsia="pt-BR"/>
              </w:rPr>
              <w:t>3</w:t>
            </w:r>
          </w:p>
        </w:tc>
        <w:tc>
          <w:tcPr>
            <w:tcW w:w="0" w:type="auto"/>
            <w:shd w:val="clear" w:color="auto" w:fill="auto"/>
            <w:vAlign w:val="center"/>
          </w:tcPr>
          <w:p w14:paraId="421EAA75" w14:textId="0A57CAEB" w:rsidR="006F0878" w:rsidRPr="003C2F89" w:rsidRDefault="6D4F613F"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6</w:t>
            </w:r>
            <w:r w:rsidR="0E653432" w:rsidRPr="68783CE5">
              <w:rPr>
                <w:rFonts w:eastAsia="Times New Roman" w:cs="Times New Roman"/>
                <w:sz w:val="18"/>
                <w:szCs w:val="18"/>
                <w:lang w:eastAsia="pt-BR"/>
              </w:rPr>
              <w:t>9</w:t>
            </w:r>
            <w:r w:rsidRPr="68783CE5">
              <w:rPr>
                <w:rFonts w:eastAsia="Times New Roman" w:cs="Times New Roman"/>
                <w:sz w:val="18"/>
                <w:szCs w:val="18"/>
                <w:lang w:eastAsia="pt-BR"/>
              </w:rPr>
              <w:t>4</w:t>
            </w:r>
            <w:r w:rsidR="0E653432" w:rsidRPr="68783CE5">
              <w:rPr>
                <w:rFonts w:eastAsia="Times New Roman" w:cs="Times New Roman"/>
                <w:sz w:val="18"/>
                <w:szCs w:val="18"/>
                <w:lang w:eastAsia="pt-BR"/>
              </w:rPr>
              <w:t>,2</w:t>
            </w:r>
          </w:p>
        </w:tc>
        <w:tc>
          <w:tcPr>
            <w:tcW w:w="0" w:type="auto"/>
            <w:shd w:val="clear" w:color="auto" w:fill="auto"/>
          </w:tcPr>
          <w:p w14:paraId="2D7E21DF" w14:textId="18212918" w:rsidR="006F0878" w:rsidRPr="007C2CBD"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4</w:t>
            </w:r>
            <w:r w:rsidR="7EBC9A09" w:rsidRPr="68783CE5">
              <w:rPr>
                <w:rFonts w:eastAsia="Times New Roman" w:cs="Times New Roman"/>
                <w:sz w:val="18"/>
                <w:szCs w:val="18"/>
                <w:lang w:eastAsia="pt-BR"/>
              </w:rPr>
              <w:t>9</w:t>
            </w:r>
            <w:r w:rsidRPr="68783CE5">
              <w:rPr>
                <w:rFonts w:eastAsia="Times New Roman" w:cs="Times New Roman"/>
                <w:sz w:val="18"/>
                <w:szCs w:val="18"/>
                <w:lang w:eastAsia="pt-BR"/>
              </w:rPr>
              <w:t>,9</w:t>
            </w:r>
          </w:p>
        </w:tc>
      </w:tr>
      <w:tr w:rsidR="006F0878" w:rsidRPr="0078275F" w14:paraId="3EBD0F7C" w14:textId="77777777" w:rsidTr="68783CE5">
        <w:trPr>
          <w:trHeight w:val="20"/>
          <w:jc w:val="center"/>
        </w:trPr>
        <w:tc>
          <w:tcPr>
            <w:tcW w:w="0" w:type="auto"/>
            <w:shd w:val="clear" w:color="auto" w:fill="F2F2F2" w:themeFill="background1" w:themeFillShade="F2"/>
            <w:vAlign w:val="center"/>
          </w:tcPr>
          <w:p w14:paraId="4D486793" w14:textId="5105B6F8"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61 a 90 dias de </w:t>
            </w:r>
            <w:r w:rsidR="0021584E"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F2F2F2" w:themeFill="background1" w:themeFillShade="F2"/>
            <w:vAlign w:val="center"/>
          </w:tcPr>
          <w:p w14:paraId="6DBA5AA0" w14:textId="52A179DD" w:rsidR="006F0878" w:rsidRPr="003C2F89"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7FA1298C" w:rsidRPr="68783CE5">
              <w:rPr>
                <w:rFonts w:eastAsia="Times New Roman" w:cs="Times New Roman"/>
                <w:sz w:val="18"/>
                <w:szCs w:val="18"/>
                <w:lang w:eastAsia="pt-BR"/>
              </w:rPr>
              <w:t>3</w:t>
            </w:r>
            <w:r w:rsidRPr="68783CE5">
              <w:rPr>
                <w:rFonts w:eastAsia="Times New Roman" w:cs="Times New Roman"/>
                <w:sz w:val="18"/>
                <w:szCs w:val="18"/>
                <w:lang w:eastAsia="pt-BR"/>
              </w:rPr>
              <w:t>.</w:t>
            </w:r>
            <w:r w:rsidR="1E33C3C3" w:rsidRPr="68783CE5">
              <w:rPr>
                <w:rFonts w:eastAsia="Times New Roman" w:cs="Times New Roman"/>
                <w:sz w:val="18"/>
                <w:szCs w:val="18"/>
                <w:lang w:eastAsia="pt-BR"/>
              </w:rPr>
              <w:t>729</w:t>
            </w:r>
          </w:p>
        </w:tc>
        <w:tc>
          <w:tcPr>
            <w:tcW w:w="0" w:type="auto"/>
            <w:shd w:val="clear" w:color="auto" w:fill="F2F2F2" w:themeFill="background1" w:themeFillShade="F2"/>
            <w:vAlign w:val="center"/>
          </w:tcPr>
          <w:p w14:paraId="21339F5E" w14:textId="2F63F31B" w:rsidR="006F0878" w:rsidRPr="003C2F89" w:rsidRDefault="3853CE4B"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423</w:t>
            </w:r>
            <w:r w:rsidR="0E653432" w:rsidRPr="68783CE5">
              <w:rPr>
                <w:rFonts w:eastAsia="Times New Roman" w:cs="Times New Roman"/>
                <w:sz w:val="18"/>
                <w:szCs w:val="18"/>
                <w:lang w:eastAsia="pt-BR"/>
              </w:rPr>
              <w:t>,</w:t>
            </w:r>
            <w:r w:rsidR="4170B8C4" w:rsidRPr="68783CE5">
              <w:rPr>
                <w:rFonts w:eastAsia="Times New Roman" w:cs="Times New Roman"/>
                <w:sz w:val="18"/>
                <w:szCs w:val="18"/>
                <w:lang w:eastAsia="pt-BR"/>
              </w:rPr>
              <w:t>6</w:t>
            </w:r>
          </w:p>
        </w:tc>
        <w:tc>
          <w:tcPr>
            <w:tcW w:w="0" w:type="auto"/>
            <w:shd w:val="clear" w:color="auto" w:fill="F2F2F2" w:themeFill="background1" w:themeFillShade="F2"/>
          </w:tcPr>
          <w:p w14:paraId="54759AB6" w14:textId="259CFAA6" w:rsidR="006F0878" w:rsidRPr="007C2CBD"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81,</w:t>
            </w:r>
            <w:r w:rsidR="3F745B97" w:rsidRPr="68783CE5">
              <w:rPr>
                <w:rFonts w:eastAsia="Times New Roman" w:cs="Times New Roman"/>
                <w:sz w:val="18"/>
                <w:szCs w:val="18"/>
                <w:lang w:eastAsia="pt-BR"/>
              </w:rPr>
              <w:t>5</w:t>
            </w:r>
          </w:p>
        </w:tc>
      </w:tr>
      <w:tr w:rsidR="006F0878" w:rsidRPr="0078275F" w14:paraId="5FECE0E8" w14:textId="77777777" w:rsidTr="68783CE5">
        <w:trPr>
          <w:trHeight w:val="20"/>
          <w:jc w:val="center"/>
        </w:trPr>
        <w:tc>
          <w:tcPr>
            <w:tcW w:w="0" w:type="auto"/>
            <w:shd w:val="clear" w:color="auto" w:fill="auto"/>
            <w:vAlign w:val="center"/>
          </w:tcPr>
          <w:p w14:paraId="7607D9F1" w14:textId="19AAC344"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91 a 120 dias de </w:t>
            </w:r>
            <w:r w:rsidR="00BB6C54"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auto"/>
            <w:vAlign w:val="center"/>
          </w:tcPr>
          <w:p w14:paraId="2640E0D9" w14:textId="13656959" w:rsidR="006F0878" w:rsidRPr="003C2F89"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5</w:t>
            </w:r>
            <w:r w:rsidR="645D974C" w:rsidRPr="68783CE5">
              <w:rPr>
                <w:rFonts w:eastAsia="Times New Roman" w:cs="Times New Roman"/>
                <w:sz w:val="18"/>
                <w:szCs w:val="18"/>
                <w:lang w:eastAsia="pt-BR"/>
              </w:rPr>
              <w:t>7</w:t>
            </w:r>
            <w:r w:rsidRPr="68783CE5">
              <w:rPr>
                <w:rFonts w:eastAsia="Times New Roman" w:cs="Times New Roman"/>
                <w:sz w:val="18"/>
                <w:szCs w:val="18"/>
                <w:lang w:eastAsia="pt-BR"/>
              </w:rPr>
              <w:t>.</w:t>
            </w:r>
            <w:r w:rsidR="6D64819C" w:rsidRPr="68783CE5">
              <w:rPr>
                <w:rFonts w:eastAsia="Times New Roman" w:cs="Times New Roman"/>
                <w:sz w:val="18"/>
                <w:szCs w:val="18"/>
                <w:lang w:eastAsia="pt-BR"/>
              </w:rPr>
              <w:t>655</w:t>
            </w:r>
          </w:p>
        </w:tc>
        <w:tc>
          <w:tcPr>
            <w:tcW w:w="0" w:type="auto"/>
            <w:shd w:val="clear" w:color="auto" w:fill="auto"/>
            <w:vAlign w:val="center"/>
          </w:tcPr>
          <w:p w14:paraId="21FEA6B2" w14:textId="62C1AB79" w:rsidR="006F0878" w:rsidRPr="003C2F89" w:rsidRDefault="0F6441B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0E653432" w:rsidRPr="68783CE5">
              <w:rPr>
                <w:rFonts w:eastAsia="Times New Roman" w:cs="Times New Roman"/>
                <w:sz w:val="18"/>
                <w:szCs w:val="18"/>
                <w:lang w:eastAsia="pt-BR"/>
              </w:rPr>
              <w:t>.</w:t>
            </w:r>
            <w:r w:rsidR="552C66E0" w:rsidRPr="68783CE5">
              <w:rPr>
                <w:rFonts w:eastAsia="Times New Roman" w:cs="Times New Roman"/>
                <w:sz w:val="18"/>
                <w:szCs w:val="18"/>
                <w:lang w:eastAsia="pt-BR"/>
              </w:rPr>
              <w:t>265</w:t>
            </w:r>
            <w:r w:rsidR="0E653432" w:rsidRPr="68783CE5">
              <w:rPr>
                <w:rFonts w:eastAsia="Times New Roman" w:cs="Times New Roman"/>
                <w:sz w:val="18"/>
                <w:szCs w:val="18"/>
                <w:lang w:eastAsia="pt-BR"/>
              </w:rPr>
              <w:t>,</w:t>
            </w:r>
            <w:r w:rsidR="5EFACC83" w:rsidRPr="68783CE5">
              <w:rPr>
                <w:rFonts w:eastAsia="Times New Roman" w:cs="Times New Roman"/>
                <w:sz w:val="18"/>
                <w:szCs w:val="18"/>
                <w:lang w:eastAsia="pt-BR"/>
              </w:rPr>
              <w:t>2</w:t>
            </w:r>
          </w:p>
        </w:tc>
        <w:tc>
          <w:tcPr>
            <w:tcW w:w="0" w:type="auto"/>
            <w:shd w:val="clear" w:color="auto" w:fill="auto"/>
          </w:tcPr>
          <w:p w14:paraId="414DC78A" w14:textId="77777777" w:rsidR="006F0878" w:rsidRPr="007C2CBD" w:rsidRDefault="006F0878" w:rsidP="003C5519">
            <w:pPr>
              <w:spacing w:after="0" w:line="240" w:lineRule="auto"/>
              <w:jc w:val="right"/>
              <w:rPr>
                <w:rFonts w:eastAsia="Times New Roman" w:cs="Times New Roman"/>
                <w:sz w:val="18"/>
                <w:szCs w:val="18"/>
                <w:lang w:eastAsia="pt-BR"/>
              </w:rPr>
            </w:pPr>
            <w:r w:rsidRPr="000A366A">
              <w:rPr>
                <w:rFonts w:eastAsia="Times New Roman" w:cs="Times New Roman"/>
                <w:sz w:val="18"/>
                <w:szCs w:val="18"/>
                <w:lang w:eastAsia="pt-BR"/>
              </w:rPr>
              <w:t>112,8</w:t>
            </w:r>
          </w:p>
        </w:tc>
      </w:tr>
      <w:tr w:rsidR="006F0878" w:rsidRPr="0078275F" w14:paraId="4F14BE1F" w14:textId="77777777" w:rsidTr="68783CE5">
        <w:trPr>
          <w:trHeight w:val="20"/>
          <w:jc w:val="center"/>
        </w:trPr>
        <w:tc>
          <w:tcPr>
            <w:tcW w:w="0" w:type="auto"/>
            <w:shd w:val="clear" w:color="auto" w:fill="F2F2F2" w:themeFill="background1" w:themeFillShade="F2"/>
            <w:vAlign w:val="center"/>
          </w:tcPr>
          <w:p w14:paraId="1D7D1414" w14:textId="1026AFCA"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121 a 150 dias de </w:t>
            </w:r>
            <w:r w:rsidR="00BB6C54"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F2F2F2" w:themeFill="background1" w:themeFillShade="F2"/>
            <w:vAlign w:val="center"/>
          </w:tcPr>
          <w:p w14:paraId="6277F70A" w14:textId="583F9358" w:rsidR="006F0878" w:rsidRPr="00102756" w:rsidRDefault="35A64481" w:rsidP="68783CE5">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9.073</w:t>
            </w:r>
          </w:p>
        </w:tc>
        <w:tc>
          <w:tcPr>
            <w:tcW w:w="0" w:type="auto"/>
            <w:shd w:val="clear" w:color="auto" w:fill="F2F2F2" w:themeFill="background1" w:themeFillShade="F2"/>
          </w:tcPr>
          <w:p w14:paraId="2F4D282E" w14:textId="6926D1F9" w:rsidR="006F0878" w:rsidRPr="003C2F89"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52DC7FB5" w:rsidRPr="68783CE5">
              <w:rPr>
                <w:rFonts w:eastAsia="Times New Roman" w:cs="Times New Roman"/>
                <w:sz w:val="18"/>
                <w:szCs w:val="18"/>
                <w:lang w:eastAsia="pt-BR"/>
              </w:rPr>
              <w:t>00,9</w:t>
            </w:r>
          </w:p>
        </w:tc>
        <w:tc>
          <w:tcPr>
            <w:tcW w:w="0" w:type="auto"/>
            <w:shd w:val="clear" w:color="auto" w:fill="F2F2F2" w:themeFill="background1" w:themeFillShade="F2"/>
          </w:tcPr>
          <w:p w14:paraId="3E0B359E" w14:textId="24CF61CA" w:rsidR="006F0878" w:rsidRPr="003C2F89"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14</w:t>
            </w:r>
            <w:r w:rsidR="433CA892" w:rsidRPr="68783CE5">
              <w:rPr>
                <w:rFonts w:eastAsia="Times New Roman" w:cs="Times New Roman"/>
                <w:sz w:val="18"/>
                <w:szCs w:val="18"/>
                <w:lang w:eastAsia="pt-BR"/>
              </w:rPr>
              <w:t>3</w:t>
            </w:r>
            <w:r w:rsidRPr="68783CE5">
              <w:rPr>
                <w:rFonts w:eastAsia="Times New Roman" w:cs="Times New Roman"/>
                <w:sz w:val="18"/>
                <w:szCs w:val="18"/>
                <w:lang w:eastAsia="pt-BR"/>
              </w:rPr>
              <w:t>,</w:t>
            </w:r>
            <w:r w:rsidR="730C11AF" w:rsidRPr="68783CE5">
              <w:rPr>
                <w:rFonts w:eastAsia="Times New Roman" w:cs="Times New Roman"/>
                <w:sz w:val="18"/>
                <w:szCs w:val="18"/>
                <w:lang w:eastAsia="pt-BR"/>
              </w:rPr>
              <w:t>0</w:t>
            </w:r>
          </w:p>
        </w:tc>
      </w:tr>
      <w:tr w:rsidR="006F0878" w:rsidRPr="0078275F" w14:paraId="3F2ED91C" w14:textId="77777777" w:rsidTr="68783CE5">
        <w:trPr>
          <w:trHeight w:val="20"/>
          <w:jc w:val="center"/>
        </w:trPr>
        <w:tc>
          <w:tcPr>
            <w:tcW w:w="0" w:type="auto"/>
            <w:shd w:val="clear" w:color="auto" w:fill="auto"/>
            <w:vAlign w:val="center"/>
          </w:tcPr>
          <w:p w14:paraId="69CE8F4A" w14:textId="2974255D"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151 a 180 dias de </w:t>
            </w:r>
            <w:r w:rsidR="00BB6C54"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auto"/>
            <w:vAlign w:val="center"/>
          </w:tcPr>
          <w:p w14:paraId="345BF688" w14:textId="693002AD" w:rsidR="006F0878" w:rsidRPr="00102756" w:rsidRDefault="237AE599" w:rsidP="68783CE5">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11.081</w:t>
            </w:r>
          </w:p>
        </w:tc>
        <w:tc>
          <w:tcPr>
            <w:tcW w:w="0" w:type="auto"/>
          </w:tcPr>
          <w:p w14:paraId="470D816B" w14:textId="511E7D49" w:rsidR="006F0878" w:rsidRPr="003C2F89" w:rsidRDefault="2148E21E"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480</w:t>
            </w:r>
            <w:r w:rsidR="0E653432" w:rsidRPr="68783CE5">
              <w:rPr>
                <w:rFonts w:eastAsia="Times New Roman" w:cs="Times New Roman"/>
                <w:sz w:val="18"/>
                <w:szCs w:val="18"/>
                <w:lang w:eastAsia="pt-BR"/>
              </w:rPr>
              <w:t>,</w:t>
            </w:r>
            <w:r w:rsidR="1AC3C784" w:rsidRPr="68783CE5">
              <w:rPr>
                <w:rFonts w:eastAsia="Times New Roman" w:cs="Times New Roman"/>
                <w:sz w:val="18"/>
                <w:szCs w:val="18"/>
                <w:lang w:eastAsia="pt-BR"/>
              </w:rPr>
              <w:t>6</w:t>
            </w:r>
          </w:p>
        </w:tc>
        <w:tc>
          <w:tcPr>
            <w:tcW w:w="0" w:type="auto"/>
          </w:tcPr>
          <w:p w14:paraId="6C2AC0AF" w14:textId="6A02FDDB" w:rsidR="006F0878" w:rsidRPr="007C2CBD"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173,</w:t>
            </w:r>
            <w:r w:rsidR="5677F99C" w:rsidRPr="68783CE5">
              <w:rPr>
                <w:rFonts w:eastAsia="Times New Roman" w:cs="Times New Roman"/>
                <w:sz w:val="18"/>
                <w:szCs w:val="18"/>
                <w:lang w:eastAsia="pt-BR"/>
              </w:rPr>
              <w:t>8</w:t>
            </w:r>
          </w:p>
        </w:tc>
      </w:tr>
      <w:tr w:rsidR="006F0878" w:rsidRPr="0078275F" w14:paraId="6372B2B1" w14:textId="77777777" w:rsidTr="68783CE5">
        <w:trPr>
          <w:trHeight w:val="20"/>
          <w:jc w:val="center"/>
        </w:trPr>
        <w:tc>
          <w:tcPr>
            <w:tcW w:w="0" w:type="auto"/>
            <w:shd w:val="clear" w:color="auto" w:fill="F2F2F2" w:themeFill="background1" w:themeFillShade="F2"/>
            <w:vAlign w:val="center"/>
          </w:tcPr>
          <w:p w14:paraId="034BD16E" w14:textId="5035ABF7"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181 a 360 dias de </w:t>
            </w:r>
            <w:r w:rsidR="00BB6C54"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F2F2F2" w:themeFill="background1" w:themeFillShade="F2"/>
            <w:vAlign w:val="center"/>
          </w:tcPr>
          <w:p w14:paraId="0EAE1CAA" w14:textId="75AD06BB" w:rsidR="006F0878" w:rsidRPr="00102756"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41AFB755" w:rsidRPr="68783CE5">
              <w:rPr>
                <w:rFonts w:eastAsia="Times New Roman" w:cs="Times New Roman"/>
                <w:sz w:val="18"/>
                <w:szCs w:val="18"/>
                <w:lang w:eastAsia="pt-BR"/>
              </w:rPr>
              <w:t>1</w:t>
            </w:r>
            <w:r w:rsidR="10562164" w:rsidRPr="68783CE5">
              <w:rPr>
                <w:rFonts w:eastAsia="Times New Roman" w:cs="Times New Roman"/>
                <w:sz w:val="18"/>
                <w:szCs w:val="18"/>
                <w:lang w:eastAsia="pt-BR"/>
              </w:rPr>
              <w:t>0</w:t>
            </w:r>
            <w:r w:rsidRPr="68783CE5">
              <w:rPr>
                <w:rFonts w:eastAsia="Times New Roman" w:cs="Times New Roman"/>
                <w:sz w:val="18"/>
                <w:szCs w:val="18"/>
                <w:lang w:eastAsia="pt-BR"/>
              </w:rPr>
              <w:t>.</w:t>
            </w:r>
            <w:r w:rsidR="200C2607" w:rsidRPr="68783CE5">
              <w:rPr>
                <w:rFonts w:eastAsia="Times New Roman" w:cs="Times New Roman"/>
                <w:sz w:val="18"/>
                <w:szCs w:val="18"/>
                <w:lang w:eastAsia="pt-BR"/>
              </w:rPr>
              <w:t>493</w:t>
            </w:r>
          </w:p>
        </w:tc>
        <w:tc>
          <w:tcPr>
            <w:tcW w:w="0" w:type="auto"/>
            <w:shd w:val="clear" w:color="auto" w:fill="F2F2F2" w:themeFill="background1" w:themeFillShade="F2"/>
          </w:tcPr>
          <w:p w14:paraId="488E65F9" w14:textId="7AB28790" w:rsidR="006F0878" w:rsidRPr="003C2F89" w:rsidRDefault="0DABD6E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5</w:t>
            </w:r>
            <w:r w:rsidR="0E653432" w:rsidRPr="68783CE5">
              <w:rPr>
                <w:rFonts w:eastAsia="Times New Roman" w:cs="Times New Roman"/>
                <w:sz w:val="18"/>
                <w:szCs w:val="18"/>
                <w:lang w:eastAsia="pt-BR"/>
              </w:rPr>
              <w:t>.1</w:t>
            </w:r>
            <w:r w:rsidR="08A68DC1" w:rsidRPr="68783CE5">
              <w:rPr>
                <w:rFonts w:eastAsia="Times New Roman" w:cs="Times New Roman"/>
                <w:sz w:val="18"/>
                <w:szCs w:val="18"/>
                <w:lang w:eastAsia="pt-BR"/>
              </w:rPr>
              <w:t>65</w:t>
            </w:r>
            <w:r w:rsidR="0E653432" w:rsidRPr="68783CE5">
              <w:rPr>
                <w:rFonts w:eastAsia="Times New Roman" w:cs="Times New Roman"/>
                <w:sz w:val="18"/>
                <w:szCs w:val="18"/>
                <w:lang w:eastAsia="pt-BR"/>
              </w:rPr>
              <w:t>,</w:t>
            </w:r>
            <w:r w:rsidR="447DB472" w:rsidRPr="68783CE5">
              <w:rPr>
                <w:rFonts w:eastAsia="Times New Roman" w:cs="Times New Roman"/>
                <w:sz w:val="18"/>
                <w:szCs w:val="18"/>
                <w:lang w:eastAsia="pt-BR"/>
              </w:rPr>
              <w:t>4</w:t>
            </w:r>
          </w:p>
        </w:tc>
        <w:tc>
          <w:tcPr>
            <w:tcW w:w="0" w:type="auto"/>
            <w:shd w:val="clear" w:color="auto" w:fill="F2F2F2" w:themeFill="background1" w:themeFillShade="F2"/>
          </w:tcPr>
          <w:p w14:paraId="19EAE57D" w14:textId="3AEE03EB" w:rsidR="006F0878" w:rsidRPr="007C2CBD"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5A4DCD20" w:rsidRPr="68783CE5">
              <w:rPr>
                <w:rFonts w:eastAsia="Times New Roman" w:cs="Times New Roman"/>
                <w:sz w:val="18"/>
                <w:szCs w:val="18"/>
                <w:lang w:eastAsia="pt-BR"/>
              </w:rPr>
              <w:t>73,3</w:t>
            </w:r>
          </w:p>
        </w:tc>
      </w:tr>
      <w:tr w:rsidR="006F0878" w:rsidRPr="0078275F" w14:paraId="677247D2" w14:textId="77777777" w:rsidTr="68783CE5">
        <w:trPr>
          <w:trHeight w:val="20"/>
          <w:jc w:val="center"/>
        </w:trPr>
        <w:tc>
          <w:tcPr>
            <w:tcW w:w="0" w:type="auto"/>
            <w:shd w:val="clear" w:color="auto" w:fill="auto"/>
            <w:vAlign w:val="center"/>
          </w:tcPr>
          <w:p w14:paraId="423E18AD" w14:textId="54F05672" w:rsidR="006F0878" w:rsidRPr="00CB7B2B" w:rsidRDefault="006F0878" w:rsidP="00706823">
            <w:pPr>
              <w:spacing w:after="0" w:line="240" w:lineRule="auto"/>
              <w:rPr>
                <w:rFonts w:eastAsia="Times New Roman" w:cs="Times New Roman"/>
                <w:sz w:val="18"/>
                <w:szCs w:val="18"/>
                <w:lang w:eastAsia="pt-BR"/>
              </w:rPr>
            </w:pPr>
            <w:r w:rsidRPr="00CB7B2B">
              <w:rPr>
                <w:rFonts w:eastAsia="Times New Roman" w:cs="Times New Roman"/>
                <w:sz w:val="18"/>
                <w:szCs w:val="18"/>
                <w:lang w:eastAsia="pt-BR"/>
              </w:rPr>
              <w:t xml:space="preserve">&gt; 360 dias de </w:t>
            </w:r>
            <w:r w:rsidR="0008501C" w:rsidRPr="00CB7B2B">
              <w:rPr>
                <w:rFonts w:eastAsia="Times New Roman" w:cs="Times New Roman"/>
                <w:sz w:val="18"/>
                <w:szCs w:val="18"/>
                <w:lang w:eastAsia="pt-BR"/>
              </w:rPr>
              <w:t>a</w:t>
            </w:r>
            <w:r w:rsidRPr="00CB7B2B">
              <w:rPr>
                <w:rFonts w:eastAsia="Times New Roman" w:cs="Times New Roman"/>
                <w:sz w:val="18"/>
                <w:szCs w:val="18"/>
                <w:lang w:eastAsia="pt-BR"/>
              </w:rPr>
              <w:t>traso</w:t>
            </w:r>
          </w:p>
        </w:tc>
        <w:tc>
          <w:tcPr>
            <w:tcW w:w="0" w:type="auto"/>
            <w:shd w:val="clear" w:color="auto" w:fill="auto"/>
            <w:vAlign w:val="center"/>
          </w:tcPr>
          <w:p w14:paraId="63457FA9" w14:textId="6C048C0F" w:rsidR="006F0878" w:rsidRPr="00102756" w:rsidRDefault="778189F5"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984</w:t>
            </w:r>
            <w:r w:rsidR="0E653432" w:rsidRPr="68783CE5">
              <w:rPr>
                <w:rFonts w:eastAsia="Times New Roman" w:cs="Times New Roman"/>
                <w:sz w:val="18"/>
                <w:szCs w:val="18"/>
                <w:lang w:eastAsia="pt-BR"/>
              </w:rPr>
              <w:t>.</w:t>
            </w:r>
            <w:r w:rsidR="0EFB4E01" w:rsidRPr="68783CE5">
              <w:rPr>
                <w:rFonts w:eastAsia="Times New Roman" w:cs="Times New Roman"/>
                <w:sz w:val="18"/>
                <w:szCs w:val="18"/>
                <w:lang w:eastAsia="pt-BR"/>
              </w:rPr>
              <w:t>577</w:t>
            </w:r>
          </w:p>
        </w:tc>
        <w:tc>
          <w:tcPr>
            <w:tcW w:w="0" w:type="auto"/>
          </w:tcPr>
          <w:p w14:paraId="7C3F55ED" w14:textId="247530FF" w:rsidR="006F0878" w:rsidRPr="003C2F89" w:rsidRDefault="2221FD2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0E653432" w:rsidRPr="68783CE5">
              <w:rPr>
                <w:rFonts w:eastAsia="Times New Roman" w:cs="Times New Roman"/>
                <w:sz w:val="18"/>
                <w:szCs w:val="18"/>
                <w:lang w:eastAsia="pt-BR"/>
              </w:rPr>
              <w:t>1.</w:t>
            </w:r>
            <w:r w:rsidR="3F6043B8" w:rsidRPr="68783CE5">
              <w:rPr>
                <w:rFonts w:eastAsia="Times New Roman" w:cs="Times New Roman"/>
                <w:sz w:val="18"/>
                <w:szCs w:val="18"/>
                <w:lang w:eastAsia="pt-BR"/>
              </w:rPr>
              <w:t>628</w:t>
            </w:r>
            <w:r w:rsidR="0E653432" w:rsidRPr="68783CE5">
              <w:rPr>
                <w:rFonts w:eastAsia="Times New Roman" w:cs="Times New Roman"/>
                <w:sz w:val="18"/>
                <w:szCs w:val="18"/>
                <w:lang w:eastAsia="pt-BR"/>
              </w:rPr>
              <w:t>,</w:t>
            </w:r>
            <w:r w:rsidR="5D94E5C2" w:rsidRPr="68783CE5">
              <w:rPr>
                <w:rFonts w:eastAsia="Times New Roman" w:cs="Times New Roman"/>
                <w:sz w:val="18"/>
                <w:szCs w:val="18"/>
                <w:lang w:eastAsia="pt-BR"/>
              </w:rPr>
              <w:t>0</w:t>
            </w:r>
          </w:p>
        </w:tc>
        <w:tc>
          <w:tcPr>
            <w:tcW w:w="0" w:type="auto"/>
            <w:tcBorders>
              <w:bottom w:val="single" w:sz="4" w:space="0" w:color="BFBFBF" w:themeColor="background1" w:themeShade="BF"/>
            </w:tcBorders>
          </w:tcPr>
          <w:p w14:paraId="24D055A4" w14:textId="2B454618" w:rsidR="006F0878" w:rsidRPr="007C2CBD" w:rsidRDefault="0E65343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26CBEC32" w:rsidRPr="68783CE5">
              <w:rPr>
                <w:rFonts w:eastAsia="Times New Roman" w:cs="Times New Roman"/>
                <w:sz w:val="18"/>
                <w:szCs w:val="18"/>
                <w:lang w:eastAsia="pt-BR"/>
              </w:rPr>
              <w:t>.</w:t>
            </w:r>
            <w:r w:rsidR="3AE20AAB" w:rsidRPr="68783CE5">
              <w:rPr>
                <w:rFonts w:eastAsia="Times New Roman" w:cs="Times New Roman"/>
                <w:sz w:val="18"/>
                <w:szCs w:val="18"/>
                <w:lang w:eastAsia="pt-BR"/>
              </w:rPr>
              <w:t>222</w:t>
            </w:r>
            <w:r w:rsidRPr="68783CE5">
              <w:rPr>
                <w:rFonts w:eastAsia="Times New Roman" w:cs="Times New Roman"/>
                <w:sz w:val="18"/>
                <w:szCs w:val="18"/>
                <w:lang w:eastAsia="pt-BR"/>
              </w:rPr>
              <w:t>,5</w:t>
            </w:r>
          </w:p>
        </w:tc>
      </w:tr>
      <w:tr w:rsidR="00986335" w:rsidRPr="00B47964" w14:paraId="2858224C" w14:textId="77777777" w:rsidTr="68783CE5">
        <w:trPr>
          <w:trHeight w:val="20"/>
          <w:jc w:val="center"/>
        </w:trPr>
        <w:tc>
          <w:tcPr>
            <w:tcW w:w="0" w:type="auto"/>
            <w:tcBorders>
              <w:bottom w:val="single" w:sz="4" w:space="0" w:color="BFBFBF" w:themeColor="background1" w:themeShade="BF"/>
            </w:tcBorders>
            <w:shd w:val="clear" w:color="auto" w:fill="7F7F7F" w:themeFill="text1" w:themeFillTint="80"/>
            <w:vAlign w:val="center"/>
          </w:tcPr>
          <w:p w14:paraId="263A3BED" w14:textId="77777777" w:rsidR="006F0878" w:rsidRPr="00B47964" w:rsidRDefault="006F0878" w:rsidP="00706823">
            <w:pPr>
              <w:spacing w:after="0" w:line="240" w:lineRule="auto"/>
              <w:rPr>
                <w:rFonts w:eastAsia="Times New Roman" w:cs="Times New Roman"/>
                <w:b/>
                <w:bCs/>
                <w:color w:val="FFFFFF" w:themeColor="background1"/>
                <w:sz w:val="18"/>
                <w:szCs w:val="18"/>
                <w:lang w:eastAsia="pt-BR"/>
              </w:rPr>
            </w:pPr>
            <w:r w:rsidRPr="00B47964">
              <w:rPr>
                <w:rFonts w:eastAsia="Times New Roman" w:cs="Times New Roman"/>
                <w:b/>
                <w:bCs/>
                <w:color w:val="FFFFFF" w:themeColor="background1"/>
                <w:sz w:val="18"/>
                <w:szCs w:val="18"/>
                <w:lang w:eastAsia="pt-BR"/>
              </w:rPr>
              <w:t>Total</w:t>
            </w:r>
          </w:p>
        </w:tc>
        <w:tc>
          <w:tcPr>
            <w:tcW w:w="0" w:type="auto"/>
            <w:tcBorders>
              <w:bottom w:val="single" w:sz="4" w:space="0" w:color="BFBFBF" w:themeColor="background1" w:themeShade="BF"/>
            </w:tcBorders>
            <w:shd w:val="clear" w:color="auto" w:fill="7F7F7F" w:themeFill="text1" w:themeFillTint="80"/>
            <w:vAlign w:val="center"/>
          </w:tcPr>
          <w:p w14:paraId="2319B782" w14:textId="2C8513FD" w:rsidR="006F0878" w:rsidRPr="00B47964" w:rsidRDefault="0E653432" w:rsidP="003C5519">
            <w:pPr>
              <w:spacing w:after="0" w:line="240" w:lineRule="auto"/>
              <w:jc w:val="right"/>
              <w:rPr>
                <w:rFonts w:eastAsia="Times New Roman" w:cs="Times New Roman"/>
                <w:b/>
                <w:bCs/>
                <w:color w:val="FFFFFF" w:themeColor="background1"/>
                <w:sz w:val="18"/>
                <w:szCs w:val="18"/>
                <w:lang w:eastAsia="pt-BR"/>
              </w:rPr>
            </w:pPr>
            <w:r w:rsidRPr="00B47964">
              <w:rPr>
                <w:rFonts w:eastAsia="Times New Roman" w:cs="Times New Roman"/>
                <w:b/>
                <w:bCs/>
                <w:color w:val="FFFFFF" w:themeColor="background1"/>
                <w:sz w:val="18"/>
                <w:szCs w:val="18"/>
                <w:lang w:eastAsia="pt-BR"/>
              </w:rPr>
              <w:t>2.</w:t>
            </w:r>
            <w:r w:rsidR="3B65439E" w:rsidRPr="00B47964">
              <w:rPr>
                <w:rFonts w:eastAsia="Times New Roman" w:cs="Times New Roman"/>
                <w:b/>
                <w:bCs/>
                <w:color w:val="FFFFFF" w:themeColor="background1"/>
                <w:sz w:val="18"/>
                <w:szCs w:val="18"/>
                <w:lang w:eastAsia="pt-BR"/>
              </w:rPr>
              <w:t>49</w:t>
            </w:r>
            <w:r w:rsidRPr="00B47964">
              <w:rPr>
                <w:rFonts w:eastAsia="Times New Roman" w:cs="Times New Roman"/>
                <w:b/>
                <w:bCs/>
                <w:color w:val="FFFFFF" w:themeColor="background1"/>
                <w:sz w:val="18"/>
                <w:szCs w:val="18"/>
                <w:lang w:eastAsia="pt-BR"/>
              </w:rPr>
              <w:t>3.</w:t>
            </w:r>
            <w:r w:rsidR="2019B4CF" w:rsidRPr="00B47964">
              <w:rPr>
                <w:rFonts w:eastAsia="Times New Roman" w:cs="Times New Roman"/>
                <w:b/>
                <w:bCs/>
                <w:color w:val="FFFFFF" w:themeColor="background1"/>
                <w:sz w:val="18"/>
                <w:szCs w:val="18"/>
                <w:lang w:eastAsia="pt-BR"/>
              </w:rPr>
              <w:t>704</w:t>
            </w:r>
          </w:p>
        </w:tc>
        <w:tc>
          <w:tcPr>
            <w:tcW w:w="0" w:type="auto"/>
            <w:tcBorders>
              <w:bottom w:val="single" w:sz="4" w:space="0" w:color="BFBFBF" w:themeColor="background1" w:themeShade="BF"/>
            </w:tcBorders>
            <w:shd w:val="clear" w:color="auto" w:fill="7F7F7F" w:themeFill="text1" w:themeFillTint="80"/>
          </w:tcPr>
          <w:p w14:paraId="2CA1C9D9" w14:textId="7598DCC2" w:rsidR="006F0878" w:rsidRPr="00B47964" w:rsidRDefault="0E653432" w:rsidP="003C5519">
            <w:pPr>
              <w:spacing w:after="0" w:line="240" w:lineRule="auto"/>
              <w:jc w:val="right"/>
              <w:rPr>
                <w:rFonts w:eastAsia="Times New Roman" w:cs="Times New Roman"/>
                <w:b/>
                <w:bCs/>
                <w:color w:val="FFFFFF" w:themeColor="background1"/>
                <w:sz w:val="18"/>
                <w:szCs w:val="18"/>
                <w:lang w:eastAsia="pt-BR"/>
              </w:rPr>
            </w:pPr>
            <w:r w:rsidRPr="00B47964">
              <w:rPr>
                <w:rFonts w:eastAsia="Times New Roman" w:cs="Times New Roman"/>
                <w:b/>
                <w:bCs/>
                <w:color w:val="FFFFFF" w:themeColor="background1"/>
                <w:sz w:val="18"/>
                <w:szCs w:val="18"/>
                <w:lang w:eastAsia="pt-BR"/>
              </w:rPr>
              <w:t>10</w:t>
            </w:r>
            <w:r w:rsidR="0925B57C" w:rsidRPr="00B47964">
              <w:rPr>
                <w:rFonts w:eastAsia="Times New Roman" w:cs="Times New Roman"/>
                <w:b/>
                <w:bCs/>
                <w:color w:val="FFFFFF" w:themeColor="background1"/>
                <w:sz w:val="18"/>
                <w:szCs w:val="18"/>
                <w:lang w:eastAsia="pt-BR"/>
              </w:rPr>
              <w:t>9</w:t>
            </w:r>
            <w:r w:rsidRPr="00B47964">
              <w:rPr>
                <w:rFonts w:eastAsia="Times New Roman" w:cs="Times New Roman"/>
                <w:b/>
                <w:bCs/>
                <w:color w:val="FFFFFF" w:themeColor="background1"/>
                <w:sz w:val="18"/>
                <w:szCs w:val="18"/>
                <w:lang w:eastAsia="pt-BR"/>
              </w:rPr>
              <w:t>.</w:t>
            </w:r>
            <w:r w:rsidR="3C237F8C" w:rsidRPr="00B47964">
              <w:rPr>
                <w:rFonts w:eastAsia="Times New Roman" w:cs="Times New Roman"/>
                <w:b/>
                <w:bCs/>
                <w:color w:val="FFFFFF" w:themeColor="background1"/>
                <w:sz w:val="18"/>
                <w:szCs w:val="18"/>
                <w:lang w:eastAsia="pt-BR"/>
              </w:rPr>
              <w:t>251</w:t>
            </w:r>
            <w:r w:rsidRPr="00B47964">
              <w:rPr>
                <w:rFonts w:eastAsia="Times New Roman" w:cs="Times New Roman"/>
                <w:b/>
                <w:bCs/>
                <w:color w:val="FFFFFF" w:themeColor="background1"/>
                <w:sz w:val="18"/>
                <w:szCs w:val="18"/>
                <w:lang w:eastAsia="pt-BR"/>
              </w:rPr>
              <w:t>,</w:t>
            </w:r>
            <w:r w:rsidR="2AD331C9" w:rsidRPr="00B47964">
              <w:rPr>
                <w:rFonts w:eastAsia="Times New Roman" w:cs="Times New Roman"/>
                <w:b/>
                <w:bCs/>
                <w:color w:val="FFFFFF" w:themeColor="background1"/>
                <w:sz w:val="18"/>
                <w:szCs w:val="18"/>
                <w:lang w:eastAsia="pt-BR"/>
              </w:rPr>
              <w:t>3</w:t>
            </w:r>
          </w:p>
        </w:tc>
        <w:tc>
          <w:tcPr>
            <w:tcW w:w="0" w:type="auto"/>
            <w:tcBorders>
              <w:bottom w:val="single" w:sz="4" w:space="0" w:color="BFBFBF" w:themeColor="background1" w:themeShade="BF"/>
            </w:tcBorders>
            <w:shd w:val="clear" w:color="auto" w:fill="7F7F7F" w:themeFill="text1" w:themeFillTint="80"/>
          </w:tcPr>
          <w:p w14:paraId="55C95895" w14:textId="45FB8ED7" w:rsidR="006F0878" w:rsidRPr="00B47964" w:rsidRDefault="05ABE383" w:rsidP="003C5519">
            <w:pPr>
              <w:spacing w:after="0" w:line="240" w:lineRule="auto"/>
              <w:jc w:val="right"/>
              <w:rPr>
                <w:rFonts w:eastAsia="Times New Roman" w:cs="Times New Roman"/>
                <w:b/>
                <w:bCs/>
                <w:color w:val="FFFFFF" w:themeColor="background1"/>
                <w:sz w:val="18"/>
                <w:szCs w:val="18"/>
                <w:lang w:eastAsia="pt-BR"/>
              </w:rPr>
            </w:pPr>
            <w:r w:rsidRPr="00B47964">
              <w:rPr>
                <w:rFonts w:eastAsia="Times New Roman" w:cs="Times New Roman"/>
                <w:b/>
                <w:bCs/>
                <w:color w:val="FFFFFF" w:themeColor="background1"/>
                <w:sz w:val="18"/>
                <w:szCs w:val="18"/>
                <w:lang w:eastAsia="pt-BR"/>
              </w:rPr>
              <w:t>209,0</w:t>
            </w:r>
          </w:p>
        </w:tc>
      </w:tr>
      <w:tr w:rsidR="006F0878" w:rsidRPr="0052124C" w14:paraId="3DC8DD16" w14:textId="77777777" w:rsidTr="68783CE5">
        <w:trPr>
          <w:trHeight w:val="102"/>
          <w:jc w:val="center"/>
        </w:trPr>
        <w:tc>
          <w:tcPr>
            <w:tcW w:w="0" w:type="auto"/>
            <w:gridSpan w:val="4"/>
            <w:tcBorders>
              <w:top w:val="single" w:sz="4" w:space="0" w:color="BFBFBF" w:themeColor="background1" w:themeShade="BF"/>
              <w:left w:val="nil"/>
              <w:bottom w:val="nil"/>
              <w:right w:val="nil"/>
            </w:tcBorders>
            <w:shd w:val="clear" w:color="auto" w:fill="auto"/>
            <w:vAlign w:val="center"/>
          </w:tcPr>
          <w:p w14:paraId="4A6D601B" w14:textId="413BE644" w:rsidR="2691C26B" w:rsidRDefault="2691C26B" w:rsidP="53336FFF">
            <w:pPr>
              <w:spacing w:after="0" w:line="240" w:lineRule="auto"/>
              <w:rPr>
                <w:i/>
                <w:iCs/>
                <w:sz w:val="16"/>
                <w:szCs w:val="16"/>
              </w:rPr>
            </w:pPr>
            <w:proofErr w:type="gramStart"/>
            <w:r w:rsidRPr="53336FFF">
              <w:rPr>
                <w:i/>
                <w:iCs/>
                <w:sz w:val="16"/>
                <w:szCs w:val="16"/>
                <w:vertAlign w:val="superscript"/>
              </w:rPr>
              <w:t>1</w:t>
            </w:r>
            <w:proofErr w:type="gramEnd"/>
            <w:r w:rsidRPr="53336FFF">
              <w:rPr>
                <w:i/>
                <w:iCs/>
                <w:sz w:val="16"/>
                <w:szCs w:val="16"/>
                <w:vertAlign w:val="superscript"/>
              </w:rPr>
              <w:t xml:space="preserve"> </w:t>
            </w:r>
            <w:r w:rsidR="21B69EC3" w:rsidRPr="53336FFF">
              <w:rPr>
                <w:i/>
                <w:iCs/>
                <w:sz w:val="16"/>
                <w:szCs w:val="16"/>
              </w:rPr>
              <w:t>Posição em 31/12/2020.</w:t>
            </w:r>
          </w:p>
          <w:p w14:paraId="668E8237" w14:textId="2BB8E465" w:rsidR="004150C5" w:rsidRPr="00BE58DA" w:rsidRDefault="1BFF0226" w:rsidP="68783CE5">
            <w:pPr>
              <w:spacing w:after="0" w:line="240" w:lineRule="auto"/>
              <w:rPr>
                <w:i/>
                <w:iCs/>
                <w:sz w:val="16"/>
                <w:szCs w:val="16"/>
              </w:rPr>
            </w:pPr>
            <w:proofErr w:type="gramStart"/>
            <w:r w:rsidRPr="53336FFF">
              <w:rPr>
                <w:i/>
                <w:iCs/>
                <w:sz w:val="16"/>
                <w:szCs w:val="16"/>
                <w:vertAlign w:val="superscript"/>
              </w:rPr>
              <w:lastRenderedPageBreak/>
              <w:t>2</w:t>
            </w:r>
            <w:proofErr w:type="gramEnd"/>
            <w:r w:rsidR="00884BE3" w:rsidRPr="53336FFF">
              <w:rPr>
                <w:i/>
                <w:sz w:val="16"/>
                <w:szCs w:val="16"/>
              </w:rPr>
              <w:t xml:space="preserve"> </w:t>
            </w:r>
            <w:r w:rsidR="00884BE3" w:rsidRPr="00BE58DA">
              <w:rPr>
                <w:i/>
                <w:sz w:val="16"/>
                <w:szCs w:val="16"/>
              </w:rPr>
              <w:t>Contratos assinados a partir de 15/1/2010.</w:t>
            </w:r>
          </w:p>
          <w:p w14:paraId="475C5F82" w14:textId="0BE33603" w:rsidR="006F0878" w:rsidRPr="0052124C" w:rsidRDefault="006F0878" w:rsidP="00884BE3">
            <w:pPr>
              <w:spacing w:after="0" w:line="240" w:lineRule="auto"/>
              <w:rPr>
                <w:rFonts w:eastAsia="Times New Roman" w:cs="Times New Roman"/>
                <w:b/>
                <w:i/>
                <w:color w:val="FFFFFF" w:themeColor="background1"/>
                <w:sz w:val="16"/>
                <w:szCs w:val="16"/>
                <w:lang w:eastAsia="pt-BR"/>
              </w:rPr>
            </w:pPr>
            <w:r w:rsidRPr="00BE58DA">
              <w:rPr>
                <w:b/>
                <w:i/>
                <w:sz w:val="16"/>
                <w:szCs w:val="16"/>
              </w:rPr>
              <w:t>Fonte e Elaboração</w:t>
            </w:r>
            <w:r w:rsidRPr="00BE58DA">
              <w:rPr>
                <w:i/>
                <w:sz w:val="16"/>
                <w:szCs w:val="16"/>
              </w:rPr>
              <w:t>: FNDE</w:t>
            </w:r>
            <w:r w:rsidR="0052124C" w:rsidRPr="00BE58DA">
              <w:rPr>
                <w:i/>
                <w:sz w:val="16"/>
                <w:szCs w:val="16"/>
              </w:rPr>
              <w:t>.</w:t>
            </w:r>
          </w:p>
        </w:tc>
      </w:tr>
    </w:tbl>
    <w:p w14:paraId="0F6ED044" w14:textId="77777777" w:rsidR="00884BE3" w:rsidRPr="00353D69" w:rsidRDefault="00884BE3" w:rsidP="00884BE3">
      <w:pPr>
        <w:pStyle w:val="Corpodetexto"/>
        <w:spacing w:line="240" w:lineRule="auto"/>
        <w:jc w:val="both"/>
        <w:rPr>
          <w:rFonts w:cstheme="minorHAnsi"/>
          <w:color w:val="000000" w:themeColor="text1"/>
          <w:sz w:val="24"/>
          <w:szCs w:val="24"/>
        </w:rPr>
      </w:pPr>
    </w:p>
    <w:p w14:paraId="344B774F" w14:textId="7F913307" w:rsidR="00337B61" w:rsidRPr="00353D69" w:rsidRDefault="00B14ACC" w:rsidP="68783CE5">
      <w:pPr>
        <w:pStyle w:val="Corpodetexto"/>
        <w:spacing w:line="240" w:lineRule="auto"/>
        <w:ind w:firstLine="1418"/>
        <w:jc w:val="both"/>
        <w:rPr>
          <w:color w:val="000000" w:themeColor="text1"/>
          <w:sz w:val="24"/>
          <w:szCs w:val="24"/>
        </w:rPr>
      </w:pPr>
      <w:r w:rsidRPr="00353D69">
        <w:rPr>
          <w:color w:val="000000" w:themeColor="text1"/>
          <w:sz w:val="24"/>
          <w:szCs w:val="24"/>
        </w:rPr>
        <w:t>No caso dos contratos formalizados até 2009, os atrasos nos pagamentos</w:t>
      </w:r>
      <w:r w:rsidRPr="00353D69">
        <w:rPr>
          <w:rStyle w:val="Refdenotaderodap"/>
          <w:color w:val="000000" w:themeColor="text1"/>
          <w:sz w:val="24"/>
          <w:szCs w:val="24"/>
        </w:rPr>
        <w:footnoteReference w:id="27"/>
      </w:r>
      <w:r w:rsidRPr="00353D69">
        <w:rPr>
          <w:color w:val="000000" w:themeColor="text1"/>
          <w:sz w:val="24"/>
          <w:szCs w:val="24"/>
        </w:rPr>
        <w:t>, contados a partir de um dia, foram observados em 66,</w:t>
      </w:r>
      <w:r w:rsidR="67AA84A2" w:rsidRPr="00353D69">
        <w:rPr>
          <w:color w:val="000000" w:themeColor="text1"/>
          <w:sz w:val="24"/>
          <w:szCs w:val="24"/>
        </w:rPr>
        <w:t>8</w:t>
      </w:r>
      <w:r w:rsidRPr="00353D69">
        <w:rPr>
          <w:color w:val="000000" w:themeColor="text1"/>
          <w:sz w:val="24"/>
          <w:szCs w:val="24"/>
        </w:rPr>
        <w:t>% dos contratos (1</w:t>
      </w:r>
      <w:r w:rsidR="459BC09D" w:rsidRPr="00353D69">
        <w:rPr>
          <w:color w:val="000000" w:themeColor="text1"/>
          <w:sz w:val="24"/>
          <w:szCs w:val="24"/>
        </w:rPr>
        <w:t>11</w:t>
      </w:r>
      <w:r w:rsidRPr="00353D69">
        <w:rPr>
          <w:color w:val="000000" w:themeColor="text1"/>
          <w:sz w:val="24"/>
          <w:szCs w:val="24"/>
        </w:rPr>
        <w:t>.</w:t>
      </w:r>
      <w:r w:rsidR="5F398255" w:rsidRPr="00353D69">
        <w:rPr>
          <w:color w:val="000000" w:themeColor="text1"/>
          <w:sz w:val="24"/>
          <w:szCs w:val="24"/>
        </w:rPr>
        <w:t>17</w:t>
      </w:r>
      <w:r w:rsidRPr="00353D69">
        <w:rPr>
          <w:color w:val="000000" w:themeColor="text1"/>
          <w:sz w:val="24"/>
          <w:szCs w:val="24"/>
        </w:rPr>
        <w:t>6</w:t>
      </w:r>
      <w:r w:rsidR="00D54495" w:rsidRPr="00353D69">
        <w:rPr>
          <w:color w:val="000000" w:themeColor="text1"/>
          <w:sz w:val="24"/>
          <w:szCs w:val="24"/>
        </w:rPr>
        <w:t>)</w:t>
      </w:r>
      <w:r w:rsidR="00174989" w:rsidRPr="00353D69">
        <w:rPr>
          <w:color w:val="000000" w:themeColor="text1"/>
          <w:sz w:val="24"/>
          <w:szCs w:val="24"/>
        </w:rPr>
        <w:t>.</w:t>
      </w:r>
      <w:r w:rsidR="000D17A6" w:rsidRPr="00353D69">
        <w:rPr>
          <w:color w:val="000000" w:themeColor="text1"/>
          <w:sz w:val="24"/>
          <w:szCs w:val="24"/>
        </w:rPr>
        <w:t xml:space="preserve"> </w:t>
      </w:r>
      <w:r w:rsidR="00674758" w:rsidRPr="00353D69">
        <w:rPr>
          <w:color w:val="000000" w:themeColor="text1"/>
          <w:sz w:val="24"/>
          <w:szCs w:val="24"/>
        </w:rPr>
        <w:t>O saldo devedor integral desses contratos era de R$ 1,</w:t>
      </w:r>
      <w:r w:rsidR="577F2B83" w:rsidRPr="00353D69">
        <w:rPr>
          <w:color w:val="000000" w:themeColor="text1"/>
          <w:sz w:val="24"/>
          <w:szCs w:val="24"/>
        </w:rPr>
        <w:t>5</w:t>
      </w:r>
      <w:r w:rsidR="00674758" w:rsidRPr="00353D69">
        <w:rPr>
          <w:color w:val="000000" w:themeColor="text1"/>
          <w:sz w:val="24"/>
          <w:szCs w:val="24"/>
        </w:rPr>
        <w:t xml:space="preserve"> bilhão, equivalente a 6</w:t>
      </w:r>
      <w:r w:rsidR="7CB8A51E" w:rsidRPr="00353D69">
        <w:rPr>
          <w:color w:val="000000" w:themeColor="text1"/>
          <w:sz w:val="24"/>
          <w:szCs w:val="24"/>
        </w:rPr>
        <w:t>0</w:t>
      </w:r>
      <w:r w:rsidR="00674758" w:rsidRPr="00353D69">
        <w:rPr>
          <w:color w:val="000000" w:themeColor="text1"/>
          <w:sz w:val="24"/>
          <w:szCs w:val="24"/>
        </w:rPr>
        <w:t>,</w:t>
      </w:r>
      <w:r w:rsidR="75B24F88" w:rsidRPr="00353D69">
        <w:rPr>
          <w:color w:val="000000" w:themeColor="text1"/>
          <w:sz w:val="24"/>
          <w:szCs w:val="24"/>
        </w:rPr>
        <w:t>3</w:t>
      </w:r>
      <w:r w:rsidR="00674758" w:rsidRPr="00353D69">
        <w:rPr>
          <w:color w:val="000000" w:themeColor="text1"/>
          <w:sz w:val="24"/>
          <w:szCs w:val="24"/>
        </w:rPr>
        <w:t xml:space="preserve">% do total da carteira. </w:t>
      </w:r>
      <w:r w:rsidR="004C12B5" w:rsidRPr="00353D69">
        <w:rPr>
          <w:color w:val="000000" w:themeColor="text1"/>
          <w:sz w:val="24"/>
          <w:szCs w:val="24"/>
        </w:rPr>
        <w:t xml:space="preserve">Segundo a </w:t>
      </w:r>
      <w:r w:rsidR="0020017F" w:rsidRPr="00353D69">
        <w:rPr>
          <w:color w:val="000000" w:themeColor="text1"/>
          <w:sz w:val="24"/>
          <w:szCs w:val="24"/>
        </w:rPr>
        <w:fldChar w:fldCharType="begin"/>
      </w:r>
      <w:r w:rsidR="0020017F" w:rsidRPr="00353D69">
        <w:rPr>
          <w:color w:val="000000" w:themeColor="text1"/>
          <w:sz w:val="24"/>
          <w:szCs w:val="24"/>
        </w:rPr>
        <w:instrText xml:space="preserve"> REF _Ref35248281  \* MERGEFORMAT </w:instrText>
      </w:r>
      <w:r w:rsidR="0020017F" w:rsidRPr="00353D69">
        <w:rPr>
          <w:color w:val="000000" w:themeColor="text1"/>
          <w:sz w:val="24"/>
          <w:szCs w:val="24"/>
        </w:rPr>
        <w:fldChar w:fldCharType="separate"/>
      </w:r>
      <w:r w:rsidR="00304F5F" w:rsidRPr="00304F5F">
        <w:rPr>
          <w:color w:val="000000" w:themeColor="text1"/>
          <w:sz w:val="24"/>
          <w:szCs w:val="24"/>
        </w:rPr>
        <w:t>Tabela 70</w:t>
      </w:r>
      <w:r w:rsidR="0020017F" w:rsidRPr="00353D69">
        <w:rPr>
          <w:color w:val="000000" w:themeColor="text1"/>
          <w:sz w:val="24"/>
          <w:szCs w:val="24"/>
        </w:rPr>
        <w:fldChar w:fldCharType="end"/>
      </w:r>
      <w:r w:rsidR="002142EA" w:rsidRPr="00353D69">
        <w:rPr>
          <w:color w:val="000000" w:themeColor="text1"/>
          <w:sz w:val="24"/>
          <w:szCs w:val="24"/>
        </w:rPr>
        <w:t>, o</w:t>
      </w:r>
      <w:r w:rsidR="00674758" w:rsidRPr="00353D69">
        <w:rPr>
          <w:color w:val="000000" w:themeColor="text1"/>
          <w:sz w:val="24"/>
          <w:szCs w:val="24"/>
        </w:rPr>
        <w:t xml:space="preserve"> maior volume de operações em atraso se concentra na faixa acima de 360 dias de atraso</w:t>
      </w:r>
      <w:r w:rsidR="00337B61" w:rsidRPr="00353D69">
        <w:rPr>
          <w:color w:val="000000" w:themeColor="text1"/>
          <w:sz w:val="24"/>
          <w:szCs w:val="24"/>
        </w:rPr>
        <w:t>.</w:t>
      </w:r>
    </w:p>
    <w:p w14:paraId="7B663D2B" w14:textId="7DE77D18" w:rsidR="008C0AF0" w:rsidRPr="00991788" w:rsidRDefault="008C0AF0" w:rsidP="00846E87">
      <w:pPr>
        <w:pStyle w:val="Corpodetexto"/>
        <w:spacing w:before="240" w:line="240" w:lineRule="auto"/>
        <w:ind w:left="1701" w:right="1701"/>
        <w:jc w:val="center"/>
      </w:pPr>
      <w:bookmarkStart w:id="449" w:name="_Ref35248281"/>
      <w:bookmarkStart w:id="450" w:name="_Toc69121416"/>
      <w:r w:rsidRPr="0022645B">
        <w:t xml:space="preserve">Tabela </w:t>
      </w:r>
      <w:r>
        <w:fldChar w:fldCharType="begin"/>
      </w:r>
      <w:r w:rsidRPr="0022645B">
        <w:instrText xml:space="preserve"> SEQ Tabela \* ARABIC </w:instrText>
      </w:r>
      <w:r>
        <w:fldChar w:fldCharType="separate"/>
      </w:r>
      <w:r w:rsidR="00304F5F">
        <w:rPr>
          <w:noProof/>
        </w:rPr>
        <w:t>70</w:t>
      </w:r>
      <w:r>
        <w:fldChar w:fldCharType="end"/>
      </w:r>
      <w:bookmarkEnd w:id="449"/>
      <w:r w:rsidRPr="00991788">
        <w:t xml:space="preserve"> -</w:t>
      </w:r>
      <w:r w:rsidRPr="0022645B">
        <w:t xml:space="preserve"> </w:t>
      </w:r>
      <w:r w:rsidR="008F4DE0">
        <w:t>Situação</w:t>
      </w:r>
      <w:r w:rsidR="00F55C50" w:rsidRPr="00F55C50">
        <w:t xml:space="preserve"> dos contratos concedidos </w:t>
      </w:r>
      <w:r w:rsidR="00F55C50">
        <w:t>até 20</w:t>
      </w:r>
      <w:r w:rsidR="008660EE">
        <w:t>0</w:t>
      </w:r>
      <w:r w:rsidR="00F55C50">
        <w:t>9</w:t>
      </w:r>
      <w:bookmarkEnd w:id="450"/>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03"/>
        <w:gridCol w:w="1210"/>
        <w:gridCol w:w="1486"/>
        <w:gridCol w:w="1273"/>
      </w:tblGrid>
      <w:tr w:rsidR="00B1700D" w:rsidRPr="00C6449C" w14:paraId="31B194E5" w14:textId="77777777" w:rsidTr="68783CE5">
        <w:trPr>
          <w:trHeight w:val="20"/>
          <w:tblHeader/>
          <w:jc w:val="center"/>
        </w:trPr>
        <w:tc>
          <w:tcPr>
            <w:tcW w:w="0" w:type="auto"/>
            <w:gridSpan w:val="4"/>
            <w:tcBorders>
              <w:top w:val="nil"/>
              <w:left w:val="nil"/>
              <w:bottom w:val="single" w:sz="4" w:space="0" w:color="BFBFBF" w:themeColor="background1" w:themeShade="BF"/>
              <w:right w:val="nil"/>
            </w:tcBorders>
            <w:shd w:val="clear" w:color="auto" w:fill="auto"/>
          </w:tcPr>
          <w:p w14:paraId="1A650D07" w14:textId="778EF2A1" w:rsidR="00B1700D" w:rsidRPr="00BE58DA" w:rsidRDefault="00B1700D" w:rsidP="00930226">
            <w:pPr>
              <w:spacing w:after="0" w:line="240" w:lineRule="auto"/>
              <w:jc w:val="right"/>
              <w:rPr>
                <w:rFonts w:eastAsia="Times New Roman" w:cs="Times New Roman"/>
                <w:b/>
                <w:color w:val="FFFFFF" w:themeColor="background1"/>
                <w:sz w:val="16"/>
                <w:szCs w:val="16"/>
                <w:lang w:eastAsia="pt-BR"/>
              </w:rPr>
            </w:pPr>
            <w:r w:rsidRPr="00BE58DA">
              <w:rPr>
                <w:i/>
                <w:sz w:val="16"/>
                <w:szCs w:val="16"/>
              </w:rPr>
              <w:t xml:space="preserve">Em </w:t>
            </w:r>
            <w:r w:rsidR="00930226">
              <w:rPr>
                <w:i/>
                <w:sz w:val="16"/>
                <w:szCs w:val="16"/>
              </w:rPr>
              <w:t xml:space="preserve">R$ </w:t>
            </w:r>
            <w:r w:rsidRPr="00BE58DA">
              <w:rPr>
                <w:i/>
                <w:sz w:val="16"/>
                <w:szCs w:val="16"/>
              </w:rPr>
              <w:t>milhões</w:t>
            </w:r>
          </w:p>
        </w:tc>
      </w:tr>
      <w:tr w:rsidR="00B1700D" w:rsidRPr="00C202B9" w14:paraId="6E87FAD4" w14:textId="77777777" w:rsidTr="68783CE5">
        <w:trPr>
          <w:trHeight w:val="20"/>
          <w:tblHeader/>
          <w:jc w:val="center"/>
        </w:trPr>
        <w:tc>
          <w:tcPr>
            <w:tcW w:w="0" w:type="auto"/>
            <w:tcBorders>
              <w:top w:val="single" w:sz="4" w:space="0" w:color="BFBFBF" w:themeColor="background1" w:themeShade="BF"/>
            </w:tcBorders>
            <w:shd w:val="clear" w:color="auto" w:fill="404040" w:themeFill="text1" w:themeFillTint="BF"/>
            <w:vAlign w:val="center"/>
          </w:tcPr>
          <w:p w14:paraId="04A9D662" w14:textId="0C23176E" w:rsidR="00B1700D" w:rsidRPr="00C202B9" w:rsidRDefault="00B1700D" w:rsidP="003C5519">
            <w:pPr>
              <w:spacing w:after="0" w:line="240" w:lineRule="auto"/>
              <w:jc w:val="center"/>
              <w:rPr>
                <w:rFonts w:eastAsia="Times New Roman" w:cs="Times New Roman"/>
                <w:b/>
                <w:bCs/>
                <w:color w:val="FFFFFF" w:themeColor="background1"/>
                <w:sz w:val="20"/>
                <w:szCs w:val="20"/>
                <w:lang w:eastAsia="pt-BR"/>
              </w:rPr>
            </w:pPr>
            <w:r w:rsidRPr="00C202B9">
              <w:rPr>
                <w:rFonts w:eastAsia="Times New Roman" w:cs="Times New Roman"/>
                <w:b/>
                <w:bCs/>
                <w:color w:val="FFFFFF" w:themeColor="background1"/>
                <w:sz w:val="20"/>
                <w:szCs w:val="20"/>
                <w:lang w:eastAsia="pt-BR"/>
              </w:rPr>
              <w:t>Situação do Contrato</w:t>
            </w:r>
            <w:r w:rsidR="00944648" w:rsidRPr="00C202B9">
              <w:rPr>
                <w:rFonts w:eastAsia="Times New Roman" w:cs="Times New Roman"/>
                <w:b/>
                <w:bCs/>
                <w:color w:val="FFFFFF" w:themeColor="background1"/>
                <w:sz w:val="20"/>
                <w:szCs w:val="20"/>
                <w:lang w:eastAsia="pt-BR"/>
              </w:rPr>
              <w:t xml:space="preserve"> </w:t>
            </w:r>
            <w:proofErr w:type="gramStart"/>
            <w:r w:rsidR="00944648" w:rsidRPr="00C202B9">
              <w:rPr>
                <w:b/>
                <w:bCs/>
                <w:color w:val="FFFFFF" w:themeColor="background1"/>
                <w:sz w:val="20"/>
                <w:szCs w:val="20"/>
                <w:vertAlign w:val="superscript"/>
              </w:rPr>
              <w:t>1</w:t>
            </w:r>
            <w:proofErr w:type="gramEnd"/>
          </w:p>
        </w:tc>
        <w:tc>
          <w:tcPr>
            <w:tcW w:w="0" w:type="auto"/>
            <w:tcBorders>
              <w:top w:val="single" w:sz="4" w:space="0" w:color="BFBFBF" w:themeColor="background1" w:themeShade="BF"/>
            </w:tcBorders>
            <w:shd w:val="clear" w:color="auto" w:fill="404040" w:themeFill="text1" w:themeFillTint="BF"/>
            <w:vAlign w:val="center"/>
          </w:tcPr>
          <w:p w14:paraId="33672B3A" w14:textId="77777777" w:rsidR="00070001" w:rsidRPr="00C202B9" w:rsidRDefault="00070001" w:rsidP="00070001">
            <w:pPr>
              <w:spacing w:after="0" w:line="240" w:lineRule="auto"/>
              <w:jc w:val="center"/>
              <w:rPr>
                <w:rFonts w:eastAsia="Times New Roman" w:cs="Times New Roman"/>
                <w:b/>
                <w:bCs/>
                <w:color w:val="FFFFFF" w:themeColor="background1"/>
                <w:sz w:val="20"/>
                <w:szCs w:val="20"/>
                <w:lang w:eastAsia="pt-BR"/>
              </w:rPr>
            </w:pPr>
            <w:r w:rsidRPr="00C202B9">
              <w:rPr>
                <w:rFonts w:eastAsia="Times New Roman" w:cs="Times New Roman"/>
                <w:b/>
                <w:bCs/>
                <w:color w:val="FFFFFF" w:themeColor="background1"/>
                <w:sz w:val="20"/>
                <w:szCs w:val="20"/>
                <w:lang w:eastAsia="pt-BR"/>
              </w:rPr>
              <w:t>Quantidade</w:t>
            </w:r>
          </w:p>
          <w:p w14:paraId="02922221" w14:textId="10F9A7E5" w:rsidR="00B1700D" w:rsidRPr="00C202B9" w:rsidRDefault="00070001" w:rsidP="003C5519">
            <w:pPr>
              <w:spacing w:after="0" w:line="240" w:lineRule="auto"/>
              <w:jc w:val="center"/>
              <w:rPr>
                <w:rFonts w:eastAsia="Times New Roman" w:cs="Times New Roman"/>
                <w:b/>
                <w:bCs/>
                <w:color w:val="FFFFFF" w:themeColor="background1"/>
                <w:sz w:val="20"/>
                <w:szCs w:val="20"/>
                <w:lang w:eastAsia="pt-BR"/>
              </w:rPr>
            </w:pPr>
            <w:proofErr w:type="gramStart"/>
            <w:r w:rsidRPr="00C202B9">
              <w:rPr>
                <w:rFonts w:eastAsia="Times New Roman" w:cs="Times New Roman"/>
                <w:b/>
                <w:bCs/>
                <w:color w:val="FFFFFF" w:themeColor="background1"/>
                <w:sz w:val="20"/>
                <w:szCs w:val="20"/>
                <w:lang w:eastAsia="pt-BR"/>
              </w:rPr>
              <w:t>de</w:t>
            </w:r>
            <w:proofErr w:type="gramEnd"/>
            <w:r w:rsidRPr="00C202B9">
              <w:rPr>
                <w:rFonts w:eastAsia="Times New Roman" w:cs="Times New Roman"/>
                <w:b/>
                <w:bCs/>
                <w:color w:val="FFFFFF" w:themeColor="background1"/>
                <w:sz w:val="20"/>
                <w:szCs w:val="20"/>
                <w:lang w:eastAsia="pt-BR"/>
              </w:rPr>
              <w:t xml:space="preserve"> </w:t>
            </w:r>
            <w:r w:rsidR="00B1700D" w:rsidRPr="00C202B9">
              <w:rPr>
                <w:rFonts w:eastAsia="Times New Roman" w:cs="Times New Roman"/>
                <w:b/>
                <w:bCs/>
                <w:color w:val="FFFFFF" w:themeColor="background1"/>
                <w:sz w:val="20"/>
                <w:szCs w:val="20"/>
                <w:lang w:eastAsia="pt-BR"/>
              </w:rPr>
              <w:t>Contratos</w:t>
            </w:r>
          </w:p>
        </w:tc>
        <w:tc>
          <w:tcPr>
            <w:tcW w:w="0" w:type="auto"/>
            <w:tcBorders>
              <w:top w:val="single" w:sz="4" w:space="0" w:color="BFBFBF" w:themeColor="background1" w:themeShade="BF"/>
            </w:tcBorders>
            <w:shd w:val="clear" w:color="auto" w:fill="404040" w:themeFill="text1" w:themeFillTint="BF"/>
            <w:vAlign w:val="center"/>
          </w:tcPr>
          <w:p w14:paraId="38FE0DB7" w14:textId="77777777" w:rsidR="005939C2" w:rsidRPr="00C202B9" w:rsidRDefault="00B1700D" w:rsidP="005939C2">
            <w:pPr>
              <w:spacing w:after="0" w:line="240" w:lineRule="auto"/>
              <w:jc w:val="center"/>
              <w:rPr>
                <w:rFonts w:eastAsia="Times New Roman" w:cs="Times New Roman"/>
                <w:b/>
                <w:bCs/>
                <w:color w:val="FFFFFF" w:themeColor="background1"/>
                <w:sz w:val="20"/>
                <w:szCs w:val="20"/>
                <w:lang w:eastAsia="pt-BR"/>
              </w:rPr>
            </w:pPr>
            <w:r w:rsidRPr="00C202B9">
              <w:rPr>
                <w:rFonts w:eastAsia="Times New Roman" w:cs="Times New Roman"/>
                <w:b/>
                <w:bCs/>
                <w:color w:val="FFFFFF" w:themeColor="background1"/>
                <w:sz w:val="20"/>
                <w:szCs w:val="20"/>
                <w:lang w:eastAsia="pt-BR"/>
              </w:rPr>
              <w:t>Valor da Dívida</w:t>
            </w:r>
          </w:p>
          <w:p w14:paraId="3B340C21" w14:textId="0560E83F" w:rsidR="00B1700D" w:rsidRPr="00C202B9" w:rsidRDefault="005939C2" w:rsidP="003C5519">
            <w:pPr>
              <w:spacing w:after="0" w:line="240" w:lineRule="auto"/>
              <w:jc w:val="center"/>
              <w:rPr>
                <w:rFonts w:eastAsia="Times New Roman" w:cs="Times New Roman"/>
                <w:b/>
                <w:bCs/>
                <w:color w:val="FFFFFF" w:themeColor="background1"/>
                <w:sz w:val="20"/>
                <w:szCs w:val="20"/>
                <w:lang w:eastAsia="pt-BR"/>
              </w:rPr>
            </w:pPr>
            <w:r w:rsidRPr="00C202B9">
              <w:rPr>
                <w:rFonts w:eastAsia="Times New Roman" w:cs="Times New Roman"/>
                <w:b/>
                <w:bCs/>
                <w:color w:val="FFFFFF" w:themeColor="background1"/>
                <w:sz w:val="20"/>
                <w:szCs w:val="20"/>
                <w:lang w:eastAsia="pt-BR"/>
              </w:rPr>
              <w:t>(Em R$ milhões)</w:t>
            </w:r>
          </w:p>
        </w:tc>
        <w:tc>
          <w:tcPr>
            <w:tcW w:w="0" w:type="auto"/>
            <w:tcBorders>
              <w:top w:val="single" w:sz="4" w:space="0" w:color="BFBFBF" w:themeColor="background1" w:themeShade="BF"/>
            </w:tcBorders>
            <w:shd w:val="clear" w:color="auto" w:fill="404040" w:themeFill="text1" w:themeFillTint="BF"/>
            <w:vAlign w:val="center"/>
          </w:tcPr>
          <w:p w14:paraId="16F327EF" w14:textId="77777777" w:rsidR="00D12073" w:rsidRPr="00C202B9" w:rsidRDefault="00B1700D" w:rsidP="003C5519">
            <w:pPr>
              <w:spacing w:after="0" w:line="240" w:lineRule="auto"/>
              <w:jc w:val="center"/>
              <w:rPr>
                <w:rFonts w:eastAsia="Times New Roman" w:cs="Times New Roman"/>
                <w:b/>
                <w:bCs/>
                <w:color w:val="FFFFFF" w:themeColor="background1"/>
                <w:sz w:val="20"/>
                <w:szCs w:val="20"/>
                <w:lang w:eastAsia="pt-BR"/>
              </w:rPr>
            </w:pPr>
            <w:r w:rsidRPr="00C202B9">
              <w:rPr>
                <w:rFonts w:eastAsia="Times New Roman" w:cs="Times New Roman"/>
                <w:b/>
                <w:bCs/>
                <w:color w:val="FFFFFF" w:themeColor="background1"/>
                <w:sz w:val="20"/>
                <w:szCs w:val="20"/>
                <w:lang w:eastAsia="pt-BR"/>
              </w:rPr>
              <w:t>Atraso Médio</w:t>
            </w:r>
          </w:p>
          <w:p w14:paraId="56C2140C" w14:textId="094FC9D4" w:rsidR="00B1700D" w:rsidRPr="00C202B9" w:rsidRDefault="00B1700D" w:rsidP="003C5519">
            <w:pPr>
              <w:spacing w:after="0" w:line="240" w:lineRule="auto"/>
              <w:jc w:val="center"/>
              <w:rPr>
                <w:rFonts w:eastAsia="Times New Roman" w:cs="Times New Roman"/>
                <w:b/>
                <w:bCs/>
                <w:color w:val="FFFFFF" w:themeColor="background1"/>
                <w:sz w:val="20"/>
                <w:szCs w:val="20"/>
                <w:lang w:eastAsia="pt-BR"/>
              </w:rPr>
            </w:pPr>
            <w:r w:rsidRPr="00C202B9">
              <w:rPr>
                <w:rFonts w:eastAsia="Times New Roman" w:cs="Times New Roman"/>
                <w:b/>
                <w:bCs/>
                <w:color w:val="FFFFFF" w:themeColor="background1"/>
                <w:sz w:val="20"/>
                <w:szCs w:val="20"/>
                <w:lang w:eastAsia="pt-BR"/>
              </w:rPr>
              <w:t>(</w:t>
            </w:r>
            <w:r w:rsidR="00935E46" w:rsidRPr="00C202B9">
              <w:rPr>
                <w:rFonts w:eastAsia="Times New Roman" w:cs="Times New Roman"/>
                <w:b/>
                <w:bCs/>
                <w:color w:val="FFFFFF" w:themeColor="background1"/>
                <w:sz w:val="20"/>
                <w:szCs w:val="20"/>
                <w:lang w:eastAsia="pt-BR"/>
              </w:rPr>
              <w:t>Em</w:t>
            </w:r>
            <w:r w:rsidR="00D12073" w:rsidRPr="00C202B9">
              <w:rPr>
                <w:rFonts w:eastAsia="Times New Roman" w:cs="Times New Roman"/>
                <w:b/>
                <w:bCs/>
                <w:color w:val="FFFFFF" w:themeColor="background1"/>
                <w:sz w:val="20"/>
                <w:szCs w:val="20"/>
                <w:lang w:eastAsia="pt-BR"/>
              </w:rPr>
              <w:t xml:space="preserve"> </w:t>
            </w:r>
            <w:r w:rsidRPr="00C202B9">
              <w:rPr>
                <w:rFonts w:eastAsia="Times New Roman" w:cs="Times New Roman"/>
                <w:b/>
                <w:bCs/>
                <w:color w:val="FFFFFF" w:themeColor="background1"/>
                <w:sz w:val="20"/>
                <w:szCs w:val="20"/>
                <w:lang w:eastAsia="pt-BR"/>
              </w:rPr>
              <w:t>dias)</w:t>
            </w:r>
          </w:p>
        </w:tc>
      </w:tr>
      <w:tr w:rsidR="00B1700D" w:rsidRPr="00C6449C" w14:paraId="59CBA97D" w14:textId="77777777" w:rsidTr="68783CE5">
        <w:trPr>
          <w:trHeight w:val="20"/>
          <w:jc w:val="center"/>
        </w:trPr>
        <w:tc>
          <w:tcPr>
            <w:tcW w:w="0" w:type="auto"/>
            <w:shd w:val="clear" w:color="auto" w:fill="F2F2F2" w:themeFill="background1" w:themeFillShade="F2"/>
            <w:vAlign w:val="center"/>
          </w:tcPr>
          <w:p w14:paraId="71AE9B7C" w14:textId="77777777"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Adimplente</w:t>
            </w:r>
          </w:p>
        </w:tc>
        <w:tc>
          <w:tcPr>
            <w:tcW w:w="0" w:type="auto"/>
            <w:shd w:val="clear" w:color="auto" w:fill="F2F2F2" w:themeFill="background1" w:themeFillShade="F2"/>
            <w:vAlign w:val="center"/>
          </w:tcPr>
          <w:p w14:paraId="528FE9A5" w14:textId="42CA0173" w:rsidR="00B1700D" w:rsidRPr="00102756" w:rsidRDefault="3D16F3F1"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55</w:t>
            </w:r>
            <w:r w:rsidR="5A9F6494" w:rsidRPr="68783CE5">
              <w:rPr>
                <w:rFonts w:eastAsia="Times New Roman" w:cs="Times New Roman"/>
                <w:sz w:val="18"/>
                <w:szCs w:val="18"/>
                <w:lang w:eastAsia="pt-BR"/>
              </w:rPr>
              <w:t>.</w:t>
            </w:r>
            <w:r w:rsidR="11B5A3E8" w:rsidRPr="68783CE5">
              <w:rPr>
                <w:rFonts w:eastAsia="Times New Roman" w:cs="Times New Roman"/>
                <w:sz w:val="18"/>
                <w:szCs w:val="18"/>
                <w:lang w:eastAsia="pt-BR"/>
              </w:rPr>
              <w:t>311</w:t>
            </w:r>
          </w:p>
        </w:tc>
        <w:tc>
          <w:tcPr>
            <w:tcW w:w="0" w:type="auto"/>
            <w:shd w:val="clear" w:color="auto" w:fill="F2F2F2" w:themeFill="background1" w:themeFillShade="F2"/>
          </w:tcPr>
          <w:p w14:paraId="760333AF" w14:textId="7D1EB557" w:rsidR="00B1700D" w:rsidRPr="00102756"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1.0</w:t>
            </w:r>
            <w:r w:rsidR="4951B57D" w:rsidRPr="68783CE5">
              <w:rPr>
                <w:rFonts w:eastAsia="Times New Roman" w:cs="Times New Roman"/>
                <w:sz w:val="18"/>
                <w:szCs w:val="18"/>
                <w:lang w:eastAsia="pt-BR"/>
              </w:rPr>
              <w:t>07</w:t>
            </w:r>
            <w:r w:rsidRPr="68783CE5">
              <w:rPr>
                <w:rFonts w:eastAsia="Times New Roman" w:cs="Times New Roman"/>
                <w:sz w:val="18"/>
                <w:szCs w:val="18"/>
                <w:lang w:eastAsia="pt-BR"/>
              </w:rPr>
              <w:t>,</w:t>
            </w:r>
            <w:r w:rsidR="6E839C79" w:rsidRPr="68783CE5">
              <w:rPr>
                <w:rFonts w:eastAsia="Times New Roman" w:cs="Times New Roman"/>
                <w:sz w:val="18"/>
                <w:szCs w:val="18"/>
                <w:lang w:eastAsia="pt-BR"/>
              </w:rPr>
              <w:t>7</w:t>
            </w:r>
          </w:p>
        </w:tc>
        <w:tc>
          <w:tcPr>
            <w:tcW w:w="0" w:type="auto"/>
            <w:shd w:val="clear" w:color="auto" w:fill="F2F2F2" w:themeFill="background1" w:themeFillShade="F2"/>
          </w:tcPr>
          <w:p w14:paraId="73E2AB1F" w14:textId="77777777" w:rsidR="00B1700D" w:rsidRPr="00102756" w:rsidRDefault="00B1700D" w:rsidP="003C5519">
            <w:pPr>
              <w:spacing w:after="0" w:line="240" w:lineRule="auto"/>
              <w:jc w:val="right"/>
              <w:rPr>
                <w:rFonts w:eastAsia="Times New Roman" w:cs="Times New Roman"/>
                <w:sz w:val="18"/>
                <w:szCs w:val="18"/>
                <w:lang w:eastAsia="pt-BR"/>
              </w:rPr>
            </w:pPr>
            <w:r w:rsidRPr="00EA2AF3">
              <w:rPr>
                <w:rFonts w:eastAsia="Times New Roman" w:cs="Times New Roman"/>
                <w:sz w:val="18"/>
                <w:szCs w:val="18"/>
                <w:lang w:eastAsia="pt-BR"/>
              </w:rPr>
              <w:t>0,0</w:t>
            </w:r>
          </w:p>
        </w:tc>
      </w:tr>
      <w:tr w:rsidR="00B1700D" w:rsidRPr="00C6449C" w14:paraId="7689D000" w14:textId="77777777" w:rsidTr="68783CE5">
        <w:trPr>
          <w:trHeight w:val="20"/>
          <w:jc w:val="center"/>
        </w:trPr>
        <w:tc>
          <w:tcPr>
            <w:tcW w:w="0" w:type="auto"/>
            <w:shd w:val="clear" w:color="auto" w:fill="auto"/>
            <w:vAlign w:val="center"/>
          </w:tcPr>
          <w:p w14:paraId="75320988" w14:textId="6767E6FE"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1 a 14 dias de </w:t>
            </w:r>
            <w:r w:rsidR="0008501C"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auto"/>
            <w:vAlign w:val="center"/>
          </w:tcPr>
          <w:p w14:paraId="1BA4A08B" w14:textId="59759816" w:rsidR="00B1700D" w:rsidRPr="00102756" w:rsidRDefault="06A0AFE8"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5A9F6494" w:rsidRPr="68783CE5">
              <w:rPr>
                <w:rFonts w:eastAsia="Times New Roman" w:cs="Times New Roman"/>
                <w:sz w:val="18"/>
                <w:szCs w:val="18"/>
                <w:lang w:eastAsia="pt-BR"/>
              </w:rPr>
              <w:t>.4</w:t>
            </w:r>
            <w:r w:rsidR="4402AB1D" w:rsidRPr="68783CE5">
              <w:rPr>
                <w:rFonts w:eastAsia="Times New Roman" w:cs="Times New Roman"/>
                <w:sz w:val="18"/>
                <w:szCs w:val="18"/>
                <w:lang w:eastAsia="pt-BR"/>
              </w:rPr>
              <w:t>07</w:t>
            </w:r>
          </w:p>
        </w:tc>
        <w:tc>
          <w:tcPr>
            <w:tcW w:w="0" w:type="auto"/>
          </w:tcPr>
          <w:p w14:paraId="15AFAAF9" w14:textId="704EAA06" w:rsidR="00B1700D" w:rsidRPr="00102756" w:rsidRDefault="68F355FD"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4</w:t>
            </w:r>
            <w:r w:rsidR="5A9F6494" w:rsidRPr="68783CE5">
              <w:rPr>
                <w:rFonts w:eastAsia="Times New Roman" w:cs="Times New Roman"/>
                <w:sz w:val="18"/>
                <w:szCs w:val="18"/>
                <w:lang w:eastAsia="pt-BR"/>
              </w:rPr>
              <w:t>6,</w:t>
            </w:r>
            <w:r w:rsidR="2ADD5BEF" w:rsidRPr="68783CE5">
              <w:rPr>
                <w:rFonts w:eastAsia="Times New Roman" w:cs="Times New Roman"/>
                <w:sz w:val="18"/>
                <w:szCs w:val="18"/>
                <w:lang w:eastAsia="pt-BR"/>
              </w:rPr>
              <w:t>3</w:t>
            </w:r>
          </w:p>
        </w:tc>
        <w:tc>
          <w:tcPr>
            <w:tcW w:w="0" w:type="auto"/>
          </w:tcPr>
          <w:p w14:paraId="0F3EC7F6" w14:textId="0ECEABE0" w:rsidR="00B1700D" w:rsidRPr="00102756" w:rsidRDefault="40432296"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7,9</w:t>
            </w:r>
          </w:p>
        </w:tc>
      </w:tr>
      <w:tr w:rsidR="00B1700D" w:rsidRPr="00C6449C" w14:paraId="6E21D0C1" w14:textId="77777777" w:rsidTr="68783CE5">
        <w:trPr>
          <w:trHeight w:val="20"/>
          <w:jc w:val="center"/>
        </w:trPr>
        <w:tc>
          <w:tcPr>
            <w:tcW w:w="0" w:type="auto"/>
            <w:shd w:val="clear" w:color="auto" w:fill="F2F2F2" w:themeFill="background1" w:themeFillShade="F2"/>
            <w:vAlign w:val="center"/>
          </w:tcPr>
          <w:p w14:paraId="1FFD9394" w14:textId="0D8DA11A"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15 a 30 dias de </w:t>
            </w:r>
            <w:r w:rsidR="0008501C"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F2F2F2" w:themeFill="background1" w:themeFillShade="F2"/>
            <w:vAlign w:val="center"/>
          </w:tcPr>
          <w:p w14:paraId="5E1346BE" w14:textId="662D3646" w:rsidR="00B1700D" w:rsidRPr="00102756" w:rsidRDefault="3B8FD3F8"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6</w:t>
            </w:r>
            <w:r w:rsidR="5A9F6494" w:rsidRPr="68783CE5">
              <w:rPr>
                <w:rFonts w:eastAsia="Times New Roman" w:cs="Times New Roman"/>
                <w:sz w:val="18"/>
                <w:szCs w:val="18"/>
                <w:lang w:eastAsia="pt-BR"/>
              </w:rPr>
              <w:t>.3</w:t>
            </w:r>
            <w:r w:rsidR="2AEB9509" w:rsidRPr="68783CE5">
              <w:rPr>
                <w:rFonts w:eastAsia="Times New Roman" w:cs="Times New Roman"/>
                <w:sz w:val="18"/>
                <w:szCs w:val="18"/>
                <w:lang w:eastAsia="pt-BR"/>
              </w:rPr>
              <w:t>98</w:t>
            </w:r>
          </w:p>
        </w:tc>
        <w:tc>
          <w:tcPr>
            <w:tcW w:w="0" w:type="auto"/>
            <w:shd w:val="clear" w:color="auto" w:fill="F2F2F2" w:themeFill="background1" w:themeFillShade="F2"/>
          </w:tcPr>
          <w:p w14:paraId="248DC6C9" w14:textId="00D30AE9" w:rsidR="00B1700D" w:rsidRPr="00102756" w:rsidRDefault="18BEB258"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99</w:t>
            </w:r>
            <w:r w:rsidR="5A9F6494" w:rsidRPr="68783CE5">
              <w:rPr>
                <w:rFonts w:eastAsia="Times New Roman" w:cs="Times New Roman"/>
                <w:sz w:val="18"/>
                <w:szCs w:val="18"/>
                <w:lang w:eastAsia="pt-BR"/>
              </w:rPr>
              <w:t>,</w:t>
            </w:r>
            <w:r w:rsidR="22CCA2E9" w:rsidRPr="68783CE5">
              <w:rPr>
                <w:rFonts w:eastAsia="Times New Roman" w:cs="Times New Roman"/>
                <w:sz w:val="18"/>
                <w:szCs w:val="18"/>
                <w:lang w:eastAsia="pt-BR"/>
              </w:rPr>
              <w:t>9</w:t>
            </w:r>
          </w:p>
        </w:tc>
        <w:tc>
          <w:tcPr>
            <w:tcW w:w="0" w:type="auto"/>
            <w:shd w:val="clear" w:color="auto" w:fill="F2F2F2" w:themeFill="background1" w:themeFillShade="F2"/>
          </w:tcPr>
          <w:p w14:paraId="6E0FC5BD" w14:textId="15CC0CED" w:rsidR="00B1700D" w:rsidRPr="00102756"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20,</w:t>
            </w:r>
            <w:r w:rsidR="0F44A327" w:rsidRPr="68783CE5">
              <w:rPr>
                <w:rFonts w:eastAsia="Times New Roman" w:cs="Times New Roman"/>
                <w:sz w:val="18"/>
                <w:szCs w:val="18"/>
                <w:lang w:eastAsia="pt-BR"/>
              </w:rPr>
              <w:t>0</w:t>
            </w:r>
          </w:p>
        </w:tc>
      </w:tr>
      <w:tr w:rsidR="00B1700D" w:rsidRPr="00C6449C" w14:paraId="18B7DFAA" w14:textId="77777777" w:rsidTr="68783CE5">
        <w:trPr>
          <w:trHeight w:val="20"/>
          <w:jc w:val="center"/>
        </w:trPr>
        <w:tc>
          <w:tcPr>
            <w:tcW w:w="0" w:type="auto"/>
            <w:shd w:val="clear" w:color="auto" w:fill="auto"/>
            <w:vAlign w:val="center"/>
          </w:tcPr>
          <w:p w14:paraId="225267F0" w14:textId="3CA67013"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31 a 60 dias de </w:t>
            </w:r>
            <w:r w:rsidR="0008501C"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auto"/>
            <w:vAlign w:val="center"/>
          </w:tcPr>
          <w:p w14:paraId="4E6A2459" w14:textId="6865B45A" w:rsidR="00B1700D" w:rsidRPr="003C2F89" w:rsidRDefault="5A70121D"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5A9F6494" w:rsidRPr="68783CE5">
              <w:rPr>
                <w:rFonts w:eastAsia="Times New Roman" w:cs="Times New Roman"/>
                <w:sz w:val="18"/>
                <w:szCs w:val="18"/>
                <w:lang w:eastAsia="pt-BR"/>
              </w:rPr>
              <w:t>.</w:t>
            </w:r>
            <w:r w:rsidR="1A7FFA27" w:rsidRPr="68783CE5">
              <w:rPr>
                <w:rFonts w:eastAsia="Times New Roman" w:cs="Times New Roman"/>
                <w:sz w:val="18"/>
                <w:szCs w:val="18"/>
                <w:lang w:eastAsia="pt-BR"/>
              </w:rPr>
              <w:t>893</w:t>
            </w:r>
          </w:p>
        </w:tc>
        <w:tc>
          <w:tcPr>
            <w:tcW w:w="0" w:type="auto"/>
          </w:tcPr>
          <w:p w14:paraId="59015315" w14:textId="2F10669D" w:rsidR="00B1700D" w:rsidRPr="003C2F89" w:rsidRDefault="09D6C01B"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4</w:t>
            </w:r>
            <w:r w:rsidR="21E615BD" w:rsidRPr="68783CE5">
              <w:rPr>
                <w:rFonts w:eastAsia="Times New Roman" w:cs="Times New Roman"/>
                <w:sz w:val="18"/>
                <w:szCs w:val="18"/>
                <w:lang w:eastAsia="pt-BR"/>
              </w:rPr>
              <w:t>1,0</w:t>
            </w:r>
          </w:p>
        </w:tc>
        <w:tc>
          <w:tcPr>
            <w:tcW w:w="0" w:type="auto"/>
            <w:shd w:val="clear" w:color="auto" w:fill="auto"/>
          </w:tcPr>
          <w:p w14:paraId="22DD23EC" w14:textId="3FFB0AC3" w:rsidR="00B1700D" w:rsidRPr="007C2CBD"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4</w:t>
            </w:r>
            <w:r w:rsidR="29322CBC" w:rsidRPr="68783CE5">
              <w:rPr>
                <w:rFonts w:eastAsia="Times New Roman" w:cs="Times New Roman"/>
                <w:sz w:val="18"/>
                <w:szCs w:val="18"/>
                <w:lang w:eastAsia="pt-BR"/>
              </w:rPr>
              <w:t>5</w:t>
            </w:r>
            <w:r w:rsidRPr="68783CE5">
              <w:rPr>
                <w:rFonts w:eastAsia="Times New Roman" w:cs="Times New Roman"/>
                <w:sz w:val="18"/>
                <w:szCs w:val="18"/>
                <w:lang w:eastAsia="pt-BR"/>
              </w:rPr>
              <w:t>,</w:t>
            </w:r>
            <w:r w:rsidR="47BA8B8C" w:rsidRPr="68783CE5">
              <w:rPr>
                <w:rFonts w:eastAsia="Times New Roman" w:cs="Times New Roman"/>
                <w:sz w:val="18"/>
                <w:szCs w:val="18"/>
                <w:lang w:eastAsia="pt-BR"/>
              </w:rPr>
              <w:t>5</w:t>
            </w:r>
          </w:p>
        </w:tc>
      </w:tr>
      <w:tr w:rsidR="00B1700D" w:rsidRPr="00C6449C" w14:paraId="0643C4B7" w14:textId="77777777" w:rsidTr="68783CE5">
        <w:trPr>
          <w:trHeight w:val="20"/>
          <w:jc w:val="center"/>
        </w:trPr>
        <w:tc>
          <w:tcPr>
            <w:tcW w:w="0" w:type="auto"/>
            <w:shd w:val="clear" w:color="auto" w:fill="F2F2F2" w:themeFill="background1" w:themeFillShade="F2"/>
            <w:vAlign w:val="center"/>
          </w:tcPr>
          <w:p w14:paraId="610C48CF" w14:textId="546A5BE6"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61 a 90 dias de </w:t>
            </w:r>
            <w:r w:rsidR="0008501C"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F2F2F2" w:themeFill="background1" w:themeFillShade="F2"/>
            <w:vAlign w:val="center"/>
          </w:tcPr>
          <w:p w14:paraId="2F52150D" w14:textId="44BDB868" w:rsidR="00B1700D" w:rsidRPr="003C2F89" w:rsidRDefault="21FB4DE6"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1.350</w:t>
            </w:r>
          </w:p>
        </w:tc>
        <w:tc>
          <w:tcPr>
            <w:tcW w:w="0" w:type="auto"/>
            <w:shd w:val="clear" w:color="auto" w:fill="F2F2F2" w:themeFill="background1" w:themeFillShade="F2"/>
            <w:vAlign w:val="center"/>
          </w:tcPr>
          <w:p w14:paraId="7AFE641E" w14:textId="5E60DB3D" w:rsidR="00B1700D" w:rsidRPr="003C2F89" w:rsidRDefault="7C1DFC20"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17,6</w:t>
            </w:r>
          </w:p>
        </w:tc>
        <w:tc>
          <w:tcPr>
            <w:tcW w:w="0" w:type="auto"/>
            <w:shd w:val="clear" w:color="auto" w:fill="F2F2F2" w:themeFill="background1" w:themeFillShade="F2"/>
          </w:tcPr>
          <w:p w14:paraId="0C53CF48" w14:textId="488B2A7E" w:rsidR="00B1700D" w:rsidRPr="007C2CBD"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77</w:t>
            </w:r>
            <w:r w:rsidR="2BB0B5B9" w:rsidRPr="68783CE5">
              <w:rPr>
                <w:rFonts w:eastAsia="Times New Roman" w:cs="Times New Roman"/>
                <w:sz w:val="18"/>
                <w:szCs w:val="18"/>
                <w:lang w:eastAsia="pt-BR"/>
              </w:rPr>
              <w:t>,7</w:t>
            </w:r>
          </w:p>
        </w:tc>
      </w:tr>
      <w:tr w:rsidR="00B1700D" w:rsidRPr="00C6449C" w14:paraId="492DE7CC" w14:textId="77777777" w:rsidTr="68783CE5">
        <w:trPr>
          <w:trHeight w:val="20"/>
          <w:jc w:val="center"/>
        </w:trPr>
        <w:tc>
          <w:tcPr>
            <w:tcW w:w="0" w:type="auto"/>
            <w:shd w:val="clear" w:color="auto" w:fill="auto"/>
            <w:vAlign w:val="center"/>
          </w:tcPr>
          <w:p w14:paraId="70DE65DD" w14:textId="36F0E71A"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91 a 120 dias de </w:t>
            </w:r>
            <w:r w:rsidR="0008501C"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auto"/>
            <w:vAlign w:val="center"/>
          </w:tcPr>
          <w:p w14:paraId="1EF6B0C5" w14:textId="77F094ED" w:rsidR="00B1700D" w:rsidRPr="003C2F89" w:rsidRDefault="23C8F19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987</w:t>
            </w:r>
          </w:p>
        </w:tc>
        <w:tc>
          <w:tcPr>
            <w:tcW w:w="0" w:type="auto"/>
            <w:shd w:val="clear" w:color="auto" w:fill="auto"/>
            <w:vAlign w:val="center"/>
          </w:tcPr>
          <w:p w14:paraId="78E8352D" w14:textId="3884D7AD" w:rsidR="00B1700D" w:rsidRPr="003C2F89" w:rsidRDefault="348D4E7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13,</w:t>
            </w:r>
            <w:r w:rsidR="658FCDDC" w:rsidRPr="68783CE5">
              <w:rPr>
                <w:rFonts w:eastAsia="Times New Roman" w:cs="Times New Roman"/>
                <w:sz w:val="18"/>
                <w:szCs w:val="18"/>
                <w:lang w:eastAsia="pt-BR"/>
              </w:rPr>
              <w:t>4</w:t>
            </w:r>
          </w:p>
        </w:tc>
        <w:tc>
          <w:tcPr>
            <w:tcW w:w="0" w:type="auto"/>
            <w:shd w:val="clear" w:color="auto" w:fill="auto"/>
          </w:tcPr>
          <w:p w14:paraId="7F4D07B7" w14:textId="77777777" w:rsidR="00B1700D" w:rsidRPr="007C2CBD" w:rsidRDefault="00B1700D" w:rsidP="003C5519">
            <w:pPr>
              <w:spacing w:after="0" w:line="240" w:lineRule="auto"/>
              <w:jc w:val="right"/>
              <w:rPr>
                <w:rFonts w:eastAsia="Times New Roman" w:cs="Times New Roman"/>
                <w:sz w:val="18"/>
                <w:szCs w:val="18"/>
                <w:lang w:eastAsia="pt-BR"/>
              </w:rPr>
            </w:pPr>
            <w:r w:rsidRPr="00EA2AF3">
              <w:rPr>
                <w:rFonts w:eastAsia="Times New Roman" w:cs="Times New Roman"/>
                <w:sz w:val="18"/>
                <w:szCs w:val="18"/>
                <w:lang w:eastAsia="pt-BR"/>
              </w:rPr>
              <w:t>107,7</w:t>
            </w:r>
          </w:p>
        </w:tc>
      </w:tr>
      <w:tr w:rsidR="00B1700D" w:rsidRPr="00C6449C" w14:paraId="3A6B7155" w14:textId="77777777" w:rsidTr="68783CE5">
        <w:trPr>
          <w:trHeight w:val="20"/>
          <w:jc w:val="center"/>
        </w:trPr>
        <w:tc>
          <w:tcPr>
            <w:tcW w:w="0" w:type="auto"/>
            <w:shd w:val="clear" w:color="auto" w:fill="F2F2F2" w:themeFill="background1" w:themeFillShade="F2"/>
            <w:vAlign w:val="center"/>
          </w:tcPr>
          <w:p w14:paraId="012261BE" w14:textId="088D69AC"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121 a 150 dias de </w:t>
            </w:r>
            <w:r w:rsidR="0066159D"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F2F2F2" w:themeFill="background1" w:themeFillShade="F2"/>
            <w:vAlign w:val="center"/>
          </w:tcPr>
          <w:p w14:paraId="1F0C6754" w14:textId="7DFBFDE1" w:rsidR="00B1700D" w:rsidRPr="00102756" w:rsidRDefault="647495E5"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725</w:t>
            </w:r>
          </w:p>
        </w:tc>
        <w:tc>
          <w:tcPr>
            <w:tcW w:w="0" w:type="auto"/>
            <w:shd w:val="clear" w:color="auto" w:fill="F2F2F2" w:themeFill="background1" w:themeFillShade="F2"/>
            <w:vAlign w:val="center"/>
          </w:tcPr>
          <w:p w14:paraId="39E4C8ED" w14:textId="404A3B99" w:rsidR="00B1700D" w:rsidRPr="003C2F89" w:rsidRDefault="755C731C"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9,7</w:t>
            </w:r>
          </w:p>
        </w:tc>
        <w:tc>
          <w:tcPr>
            <w:tcW w:w="0" w:type="auto"/>
            <w:shd w:val="clear" w:color="auto" w:fill="F2F2F2" w:themeFill="background1" w:themeFillShade="F2"/>
          </w:tcPr>
          <w:p w14:paraId="18FCEF0C" w14:textId="77777777" w:rsidR="00B1700D" w:rsidRPr="003C2F89" w:rsidRDefault="00B1700D" w:rsidP="003C5519">
            <w:pPr>
              <w:spacing w:after="0" w:line="240" w:lineRule="auto"/>
              <w:jc w:val="right"/>
              <w:rPr>
                <w:rFonts w:eastAsia="Times New Roman" w:cs="Times New Roman"/>
                <w:sz w:val="18"/>
                <w:szCs w:val="18"/>
                <w:lang w:eastAsia="pt-BR"/>
              </w:rPr>
            </w:pPr>
            <w:r w:rsidRPr="00EA2AF3">
              <w:rPr>
                <w:rFonts w:eastAsia="Times New Roman" w:cs="Times New Roman"/>
                <w:sz w:val="18"/>
                <w:szCs w:val="18"/>
                <w:lang w:eastAsia="pt-BR"/>
              </w:rPr>
              <w:t>138,8</w:t>
            </w:r>
          </w:p>
        </w:tc>
      </w:tr>
      <w:tr w:rsidR="00B1700D" w:rsidRPr="00C6449C" w14:paraId="01952C0C" w14:textId="77777777" w:rsidTr="68783CE5">
        <w:trPr>
          <w:trHeight w:val="20"/>
          <w:jc w:val="center"/>
        </w:trPr>
        <w:tc>
          <w:tcPr>
            <w:tcW w:w="0" w:type="auto"/>
            <w:shd w:val="clear" w:color="auto" w:fill="auto"/>
            <w:vAlign w:val="center"/>
          </w:tcPr>
          <w:p w14:paraId="46E798C7" w14:textId="239F8A2D"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151 a 180 dias de </w:t>
            </w:r>
            <w:r w:rsidR="0066159D"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auto"/>
            <w:vAlign w:val="center"/>
          </w:tcPr>
          <w:p w14:paraId="3DDCEE66" w14:textId="035E21C2" w:rsidR="00B1700D" w:rsidRPr="00102756" w:rsidRDefault="13C8122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628</w:t>
            </w:r>
          </w:p>
        </w:tc>
        <w:tc>
          <w:tcPr>
            <w:tcW w:w="0" w:type="auto"/>
            <w:shd w:val="clear" w:color="auto" w:fill="auto"/>
            <w:vAlign w:val="center"/>
          </w:tcPr>
          <w:p w14:paraId="5FB28C4E" w14:textId="3C25170D" w:rsidR="00B1700D" w:rsidRPr="003C2F89" w:rsidRDefault="26CF248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9,2</w:t>
            </w:r>
          </w:p>
        </w:tc>
        <w:tc>
          <w:tcPr>
            <w:tcW w:w="0" w:type="auto"/>
          </w:tcPr>
          <w:p w14:paraId="5FBD7097" w14:textId="570E035C" w:rsidR="00B1700D" w:rsidRPr="007C2CBD"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29F22525" w:rsidRPr="68783CE5">
              <w:rPr>
                <w:rFonts w:eastAsia="Times New Roman" w:cs="Times New Roman"/>
                <w:sz w:val="18"/>
                <w:szCs w:val="18"/>
                <w:lang w:eastAsia="pt-BR"/>
              </w:rPr>
              <w:t>70,1</w:t>
            </w:r>
          </w:p>
        </w:tc>
      </w:tr>
      <w:tr w:rsidR="00B1700D" w:rsidRPr="00C6449C" w14:paraId="16113162" w14:textId="77777777" w:rsidTr="68783CE5">
        <w:trPr>
          <w:trHeight w:val="20"/>
          <w:jc w:val="center"/>
        </w:trPr>
        <w:tc>
          <w:tcPr>
            <w:tcW w:w="0" w:type="auto"/>
            <w:shd w:val="clear" w:color="auto" w:fill="F2F2F2" w:themeFill="background1" w:themeFillShade="F2"/>
            <w:vAlign w:val="center"/>
          </w:tcPr>
          <w:p w14:paraId="52C77E02" w14:textId="10B3D771"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181 a 360 dias de </w:t>
            </w:r>
            <w:r w:rsidR="0066159D"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F2F2F2" w:themeFill="background1" w:themeFillShade="F2"/>
            <w:vAlign w:val="center"/>
          </w:tcPr>
          <w:p w14:paraId="4A39EEAA" w14:textId="55479BA4" w:rsidR="00B1700D" w:rsidRPr="00102756" w:rsidRDefault="7A5A7101"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3.969</w:t>
            </w:r>
          </w:p>
        </w:tc>
        <w:tc>
          <w:tcPr>
            <w:tcW w:w="0" w:type="auto"/>
            <w:shd w:val="clear" w:color="auto" w:fill="F2F2F2" w:themeFill="background1" w:themeFillShade="F2"/>
          </w:tcPr>
          <w:p w14:paraId="2B85D031" w14:textId="0710158B" w:rsidR="00B1700D" w:rsidRPr="003C2F89" w:rsidRDefault="6E5032E6"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56,1</w:t>
            </w:r>
          </w:p>
        </w:tc>
        <w:tc>
          <w:tcPr>
            <w:tcW w:w="0" w:type="auto"/>
            <w:shd w:val="clear" w:color="auto" w:fill="F2F2F2" w:themeFill="background1" w:themeFillShade="F2"/>
          </w:tcPr>
          <w:p w14:paraId="4790B8E0" w14:textId="0102F92D" w:rsidR="00B1700D" w:rsidRPr="007C2CBD"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4F044CC8" w:rsidRPr="68783CE5">
              <w:rPr>
                <w:rFonts w:eastAsia="Times New Roman" w:cs="Times New Roman"/>
                <w:sz w:val="18"/>
                <w:szCs w:val="18"/>
                <w:lang w:eastAsia="pt-BR"/>
              </w:rPr>
              <w:t>82,0</w:t>
            </w:r>
          </w:p>
        </w:tc>
      </w:tr>
      <w:tr w:rsidR="00B1700D" w:rsidRPr="00C6449C" w14:paraId="50035F30" w14:textId="77777777" w:rsidTr="68783CE5">
        <w:trPr>
          <w:trHeight w:val="20"/>
          <w:jc w:val="center"/>
        </w:trPr>
        <w:tc>
          <w:tcPr>
            <w:tcW w:w="0" w:type="auto"/>
            <w:shd w:val="clear" w:color="auto" w:fill="auto"/>
            <w:vAlign w:val="center"/>
          </w:tcPr>
          <w:p w14:paraId="2CA0456F" w14:textId="266CBAE4" w:rsidR="00B1700D" w:rsidRPr="00825F35" w:rsidRDefault="00B1700D" w:rsidP="009C7768">
            <w:pPr>
              <w:spacing w:after="0" w:line="240" w:lineRule="auto"/>
              <w:rPr>
                <w:rFonts w:eastAsia="Times New Roman" w:cs="Times New Roman"/>
                <w:sz w:val="18"/>
                <w:szCs w:val="18"/>
                <w:lang w:eastAsia="pt-BR"/>
              </w:rPr>
            </w:pPr>
            <w:r w:rsidRPr="00825F35">
              <w:rPr>
                <w:rFonts w:eastAsia="Times New Roman" w:cs="Times New Roman"/>
                <w:sz w:val="18"/>
                <w:szCs w:val="18"/>
                <w:lang w:eastAsia="pt-BR"/>
              </w:rPr>
              <w:t xml:space="preserve">&gt; 360 dias de </w:t>
            </w:r>
            <w:r w:rsidR="0066159D" w:rsidRPr="00825F35">
              <w:rPr>
                <w:rFonts w:eastAsia="Times New Roman" w:cs="Times New Roman"/>
                <w:sz w:val="18"/>
                <w:szCs w:val="18"/>
                <w:lang w:eastAsia="pt-BR"/>
              </w:rPr>
              <w:t>a</w:t>
            </w:r>
            <w:r w:rsidRPr="00825F35">
              <w:rPr>
                <w:rFonts w:eastAsia="Times New Roman" w:cs="Times New Roman"/>
                <w:sz w:val="18"/>
                <w:szCs w:val="18"/>
                <w:lang w:eastAsia="pt-BR"/>
              </w:rPr>
              <w:t>traso</w:t>
            </w:r>
          </w:p>
        </w:tc>
        <w:tc>
          <w:tcPr>
            <w:tcW w:w="0" w:type="auto"/>
            <w:shd w:val="clear" w:color="auto" w:fill="auto"/>
            <w:vAlign w:val="center"/>
          </w:tcPr>
          <w:p w14:paraId="1B947C15" w14:textId="3C31DD13" w:rsidR="00B1700D" w:rsidRPr="00102756"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9</w:t>
            </w:r>
            <w:r w:rsidR="656317AF" w:rsidRPr="68783CE5">
              <w:rPr>
                <w:rFonts w:eastAsia="Times New Roman" w:cs="Times New Roman"/>
                <w:sz w:val="18"/>
                <w:szCs w:val="18"/>
                <w:lang w:eastAsia="pt-BR"/>
              </w:rPr>
              <w:t>0</w:t>
            </w:r>
            <w:r w:rsidRPr="68783CE5">
              <w:rPr>
                <w:rFonts w:eastAsia="Times New Roman" w:cs="Times New Roman"/>
                <w:sz w:val="18"/>
                <w:szCs w:val="18"/>
                <w:lang w:eastAsia="pt-BR"/>
              </w:rPr>
              <w:t>.</w:t>
            </w:r>
            <w:r w:rsidR="1C322BF1" w:rsidRPr="68783CE5">
              <w:rPr>
                <w:rFonts w:eastAsia="Times New Roman" w:cs="Times New Roman"/>
                <w:sz w:val="18"/>
                <w:szCs w:val="18"/>
                <w:lang w:eastAsia="pt-BR"/>
              </w:rPr>
              <w:t>819</w:t>
            </w:r>
          </w:p>
        </w:tc>
        <w:tc>
          <w:tcPr>
            <w:tcW w:w="0" w:type="auto"/>
          </w:tcPr>
          <w:p w14:paraId="2A68F36B" w14:textId="7E4DD613" w:rsidR="00B1700D" w:rsidRPr="003C2F89"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1.2</w:t>
            </w:r>
            <w:r w:rsidR="50460C5D" w:rsidRPr="68783CE5">
              <w:rPr>
                <w:rFonts w:eastAsia="Times New Roman" w:cs="Times New Roman"/>
                <w:sz w:val="18"/>
                <w:szCs w:val="18"/>
                <w:lang w:eastAsia="pt-BR"/>
              </w:rPr>
              <w:t>36</w:t>
            </w:r>
            <w:r w:rsidRPr="68783CE5">
              <w:rPr>
                <w:rFonts w:eastAsia="Times New Roman" w:cs="Times New Roman"/>
                <w:sz w:val="18"/>
                <w:szCs w:val="18"/>
                <w:lang w:eastAsia="pt-BR"/>
              </w:rPr>
              <w:t>,</w:t>
            </w:r>
            <w:r w:rsidR="4B69180C" w:rsidRPr="68783CE5">
              <w:rPr>
                <w:rFonts w:eastAsia="Times New Roman" w:cs="Times New Roman"/>
                <w:sz w:val="18"/>
                <w:szCs w:val="18"/>
                <w:lang w:eastAsia="pt-BR"/>
              </w:rPr>
              <w:t>0</w:t>
            </w:r>
          </w:p>
        </w:tc>
        <w:tc>
          <w:tcPr>
            <w:tcW w:w="0" w:type="auto"/>
            <w:tcBorders>
              <w:bottom w:val="single" w:sz="4" w:space="0" w:color="BFBFBF" w:themeColor="background1" w:themeShade="BF"/>
            </w:tcBorders>
          </w:tcPr>
          <w:p w14:paraId="174F15C8" w14:textId="09838B4A" w:rsidR="00B1700D" w:rsidRPr="007C2CBD" w:rsidRDefault="5A9F649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2407FCE1" w:rsidRPr="68783CE5">
              <w:rPr>
                <w:rFonts w:eastAsia="Times New Roman" w:cs="Times New Roman"/>
                <w:sz w:val="18"/>
                <w:szCs w:val="18"/>
                <w:lang w:eastAsia="pt-BR"/>
              </w:rPr>
              <w:t>.267,6</w:t>
            </w:r>
          </w:p>
        </w:tc>
      </w:tr>
      <w:tr w:rsidR="00B81879" w:rsidRPr="00C202B9" w14:paraId="761B63A2" w14:textId="77777777" w:rsidTr="68783CE5">
        <w:trPr>
          <w:trHeight w:val="20"/>
          <w:jc w:val="center"/>
        </w:trPr>
        <w:tc>
          <w:tcPr>
            <w:tcW w:w="0" w:type="auto"/>
            <w:tcBorders>
              <w:bottom w:val="single" w:sz="4" w:space="0" w:color="BFBFBF" w:themeColor="background1" w:themeShade="BF"/>
            </w:tcBorders>
            <w:shd w:val="clear" w:color="auto" w:fill="7F7F7F" w:themeFill="text1" w:themeFillTint="80"/>
            <w:vAlign w:val="center"/>
          </w:tcPr>
          <w:p w14:paraId="3CB88736" w14:textId="77777777" w:rsidR="00B81879" w:rsidRPr="00C202B9" w:rsidRDefault="00B81879" w:rsidP="00545028">
            <w:pPr>
              <w:spacing w:after="0" w:line="240" w:lineRule="auto"/>
              <w:rPr>
                <w:rFonts w:eastAsia="Times New Roman" w:cs="Times New Roman"/>
                <w:b/>
                <w:bCs/>
                <w:color w:val="FFFFFF" w:themeColor="background1"/>
                <w:sz w:val="18"/>
                <w:szCs w:val="18"/>
                <w:lang w:eastAsia="pt-BR"/>
              </w:rPr>
            </w:pPr>
            <w:r w:rsidRPr="00C202B9">
              <w:rPr>
                <w:rFonts w:eastAsia="Times New Roman" w:cs="Times New Roman"/>
                <w:b/>
                <w:bCs/>
                <w:color w:val="FFFFFF" w:themeColor="background1"/>
                <w:sz w:val="18"/>
                <w:szCs w:val="18"/>
                <w:lang w:eastAsia="pt-BR"/>
              </w:rPr>
              <w:t>Total</w:t>
            </w:r>
          </w:p>
        </w:tc>
        <w:tc>
          <w:tcPr>
            <w:tcW w:w="0" w:type="auto"/>
            <w:tcBorders>
              <w:bottom w:val="single" w:sz="4" w:space="0" w:color="BFBFBF" w:themeColor="background1" w:themeShade="BF"/>
            </w:tcBorders>
            <w:shd w:val="clear" w:color="auto" w:fill="7F7F7F" w:themeFill="text1" w:themeFillTint="80"/>
            <w:vAlign w:val="center"/>
          </w:tcPr>
          <w:p w14:paraId="0E27E575" w14:textId="5ED4C9E6" w:rsidR="00B81879" w:rsidRPr="00C202B9" w:rsidRDefault="42E962CC" w:rsidP="00545028">
            <w:pPr>
              <w:spacing w:after="0" w:line="240" w:lineRule="auto"/>
              <w:jc w:val="right"/>
              <w:rPr>
                <w:rFonts w:eastAsia="Times New Roman" w:cs="Times New Roman"/>
                <w:b/>
                <w:bCs/>
                <w:color w:val="FFFFFF" w:themeColor="background1"/>
                <w:sz w:val="18"/>
                <w:szCs w:val="18"/>
                <w:lang w:eastAsia="pt-BR"/>
              </w:rPr>
            </w:pPr>
            <w:r w:rsidRPr="00C202B9">
              <w:rPr>
                <w:rFonts w:eastAsia="Times New Roman" w:cs="Times New Roman"/>
                <w:b/>
                <w:bCs/>
                <w:color w:val="FFFFFF" w:themeColor="background1"/>
                <w:sz w:val="18"/>
                <w:szCs w:val="18"/>
                <w:lang w:eastAsia="pt-BR"/>
              </w:rPr>
              <w:t>1</w:t>
            </w:r>
            <w:r w:rsidR="097AD846" w:rsidRPr="00C202B9">
              <w:rPr>
                <w:rFonts w:eastAsia="Times New Roman" w:cs="Times New Roman"/>
                <w:b/>
                <w:bCs/>
                <w:color w:val="FFFFFF" w:themeColor="background1"/>
                <w:sz w:val="18"/>
                <w:szCs w:val="18"/>
                <w:lang w:eastAsia="pt-BR"/>
              </w:rPr>
              <w:t>66</w:t>
            </w:r>
            <w:r w:rsidRPr="00C202B9">
              <w:rPr>
                <w:rFonts w:eastAsia="Times New Roman" w:cs="Times New Roman"/>
                <w:b/>
                <w:bCs/>
                <w:color w:val="FFFFFF" w:themeColor="background1"/>
                <w:sz w:val="18"/>
                <w:szCs w:val="18"/>
                <w:lang w:eastAsia="pt-BR"/>
              </w:rPr>
              <w:t>.</w:t>
            </w:r>
            <w:r w:rsidR="5A7BA690" w:rsidRPr="00C202B9">
              <w:rPr>
                <w:rFonts w:eastAsia="Times New Roman" w:cs="Times New Roman"/>
                <w:b/>
                <w:bCs/>
                <w:color w:val="FFFFFF" w:themeColor="background1"/>
                <w:sz w:val="18"/>
                <w:szCs w:val="18"/>
                <w:lang w:eastAsia="pt-BR"/>
              </w:rPr>
              <w:t>487</w:t>
            </w:r>
          </w:p>
        </w:tc>
        <w:tc>
          <w:tcPr>
            <w:tcW w:w="0" w:type="auto"/>
            <w:tcBorders>
              <w:bottom w:val="single" w:sz="4" w:space="0" w:color="BFBFBF" w:themeColor="background1" w:themeShade="BF"/>
            </w:tcBorders>
            <w:shd w:val="clear" w:color="auto" w:fill="7F7F7F" w:themeFill="text1" w:themeFillTint="80"/>
          </w:tcPr>
          <w:p w14:paraId="2B9A6DE1" w14:textId="4888BE31" w:rsidR="00B81879" w:rsidRPr="00C202B9" w:rsidRDefault="42E962CC" w:rsidP="00545028">
            <w:pPr>
              <w:spacing w:after="0" w:line="240" w:lineRule="auto"/>
              <w:jc w:val="right"/>
              <w:rPr>
                <w:rFonts w:eastAsia="Times New Roman" w:cs="Times New Roman"/>
                <w:b/>
                <w:bCs/>
                <w:color w:val="FFFFFF" w:themeColor="background1"/>
                <w:sz w:val="18"/>
                <w:szCs w:val="18"/>
                <w:lang w:eastAsia="pt-BR"/>
              </w:rPr>
            </w:pPr>
            <w:r w:rsidRPr="00C202B9">
              <w:rPr>
                <w:rFonts w:eastAsia="Times New Roman" w:cs="Times New Roman"/>
                <w:b/>
                <w:bCs/>
                <w:color w:val="FFFFFF" w:themeColor="background1"/>
                <w:sz w:val="18"/>
                <w:szCs w:val="18"/>
                <w:lang w:eastAsia="pt-BR"/>
              </w:rPr>
              <w:t>2.</w:t>
            </w:r>
            <w:r w:rsidR="75ACF814" w:rsidRPr="00C202B9">
              <w:rPr>
                <w:rFonts w:eastAsia="Times New Roman" w:cs="Times New Roman"/>
                <w:b/>
                <w:bCs/>
                <w:color w:val="FFFFFF" w:themeColor="background1"/>
                <w:sz w:val="18"/>
                <w:szCs w:val="18"/>
                <w:lang w:eastAsia="pt-BR"/>
              </w:rPr>
              <w:t>53</w:t>
            </w:r>
            <w:r w:rsidRPr="00C202B9">
              <w:rPr>
                <w:rFonts w:eastAsia="Times New Roman" w:cs="Times New Roman"/>
                <w:b/>
                <w:bCs/>
                <w:color w:val="FFFFFF" w:themeColor="background1"/>
                <w:sz w:val="18"/>
                <w:szCs w:val="18"/>
                <w:lang w:eastAsia="pt-BR"/>
              </w:rPr>
              <w:t>6,</w:t>
            </w:r>
            <w:r w:rsidR="311483DB" w:rsidRPr="00C202B9">
              <w:rPr>
                <w:rFonts w:eastAsia="Times New Roman" w:cs="Times New Roman"/>
                <w:b/>
                <w:bCs/>
                <w:color w:val="FFFFFF" w:themeColor="background1"/>
                <w:sz w:val="18"/>
                <w:szCs w:val="18"/>
                <w:lang w:eastAsia="pt-BR"/>
              </w:rPr>
              <w:t>9</w:t>
            </w:r>
          </w:p>
        </w:tc>
        <w:tc>
          <w:tcPr>
            <w:tcW w:w="0" w:type="auto"/>
            <w:tcBorders>
              <w:bottom w:val="single" w:sz="4" w:space="0" w:color="BFBFBF" w:themeColor="background1" w:themeShade="BF"/>
            </w:tcBorders>
            <w:shd w:val="clear" w:color="auto" w:fill="7F7F7F" w:themeFill="text1" w:themeFillTint="80"/>
          </w:tcPr>
          <w:p w14:paraId="5E76294D" w14:textId="26883D68" w:rsidR="00B81879" w:rsidRPr="00C202B9" w:rsidRDefault="2137EDE0" w:rsidP="00545028">
            <w:pPr>
              <w:spacing w:after="0" w:line="240" w:lineRule="auto"/>
              <w:jc w:val="right"/>
              <w:rPr>
                <w:rFonts w:eastAsia="Times New Roman" w:cs="Times New Roman"/>
                <w:b/>
                <w:bCs/>
                <w:color w:val="FFFFFF" w:themeColor="background1"/>
                <w:sz w:val="18"/>
                <w:szCs w:val="18"/>
                <w:lang w:eastAsia="pt-BR"/>
              </w:rPr>
            </w:pPr>
            <w:r w:rsidRPr="00C202B9">
              <w:rPr>
                <w:rFonts w:eastAsia="Times New Roman" w:cs="Times New Roman"/>
                <w:b/>
                <w:bCs/>
                <w:color w:val="FFFFFF" w:themeColor="background1"/>
                <w:sz w:val="18"/>
                <w:szCs w:val="18"/>
                <w:lang w:eastAsia="pt-BR"/>
              </w:rPr>
              <w:t>411,7</w:t>
            </w:r>
          </w:p>
        </w:tc>
      </w:tr>
      <w:tr w:rsidR="009B47F3" w:rsidRPr="0010208C" w14:paraId="147051F0" w14:textId="77777777" w:rsidTr="68783CE5">
        <w:trPr>
          <w:trHeight w:val="20"/>
          <w:jc w:val="center"/>
        </w:trPr>
        <w:tc>
          <w:tcPr>
            <w:tcW w:w="0" w:type="auto"/>
            <w:gridSpan w:val="4"/>
            <w:tcBorders>
              <w:top w:val="single" w:sz="4" w:space="0" w:color="BFBFBF" w:themeColor="background1" w:themeShade="BF"/>
              <w:left w:val="nil"/>
              <w:bottom w:val="nil"/>
              <w:right w:val="nil"/>
            </w:tcBorders>
            <w:shd w:val="clear" w:color="auto" w:fill="auto"/>
          </w:tcPr>
          <w:p w14:paraId="26C08E30" w14:textId="3549CADF" w:rsidR="00A821A6" w:rsidRPr="00BE58DA" w:rsidRDefault="00A821A6" w:rsidP="00A821A6">
            <w:pPr>
              <w:spacing w:after="0" w:line="240" w:lineRule="auto"/>
              <w:rPr>
                <w:i/>
                <w:sz w:val="16"/>
                <w:szCs w:val="16"/>
              </w:rPr>
            </w:pPr>
            <w:proofErr w:type="gramStart"/>
            <w:r w:rsidRPr="00BE58DA">
              <w:rPr>
                <w:i/>
                <w:sz w:val="16"/>
                <w:szCs w:val="16"/>
                <w:vertAlign w:val="superscript"/>
              </w:rPr>
              <w:t>1</w:t>
            </w:r>
            <w:proofErr w:type="gramEnd"/>
            <w:r w:rsidRPr="00BE58DA">
              <w:rPr>
                <w:i/>
                <w:sz w:val="16"/>
                <w:szCs w:val="16"/>
                <w:vertAlign w:val="superscript"/>
              </w:rPr>
              <w:t xml:space="preserve"> </w:t>
            </w:r>
            <w:r w:rsidRPr="00BE58DA">
              <w:rPr>
                <w:i/>
                <w:sz w:val="16"/>
                <w:szCs w:val="16"/>
              </w:rPr>
              <w:t>Contratos assinados até 15/1/2010.</w:t>
            </w:r>
          </w:p>
          <w:p w14:paraId="441B97E9" w14:textId="40207DA9" w:rsidR="00A821A6" w:rsidRPr="00BE58DA" w:rsidRDefault="7474C901" w:rsidP="68783CE5">
            <w:pPr>
              <w:spacing w:after="0" w:line="240" w:lineRule="auto"/>
              <w:rPr>
                <w:i/>
                <w:iCs/>
                <w:sz w:val="16"/>
                <w:szCs w:val="16"/>
              </w:rPr>
            </w:pPr>
            <w:proofErr w:type="gramStart"/>
            <w:r w:rsidRPr="68783CE5">
              <w:rPr>
                <w:i/>
                <w:iCs/>
                <w:sz w:val="16"/>
                <w:szCs w:val="16"/>
                <w:vertAlign w:val="superscript"/>
              </w:rPr>
              <w:t>2</w:t>
            </w:r>
            <w:proofErr w:type="gramEnd"/>
            <w:r w:rsidRPr="68783CE5">
              <w:rPr>
                <w:i/>
                <w:iCs/>
                <w:sz w:val="16"/>
                <w:szCs w:val="16"/>
                <w:vertAlign w:val="superscript"/>
              </w:rPr>
              <w:t xml:space="preserve"> </w:t>
            </w:r>
            <w:r w:rsidRPr="68783CE5">
              <w:rPr>
                <w:i/>
                <w:iCs/>
                <w:sz w:val="16"/>
                <w:szCs w:val="16"/>
              </w:rPr>
              <w:t>Posição em 31/12/20</w:t>
            </w:r>
            <w:r w:rsidR="7808E258" w:rsidRPr="68783CE5">
              <w:rPr>
                <w:i/>
                <w:iCs/>
                <w:sz w:val="16"/>
                <w:szCs w:val="16"/>
              </w:rPr>
              <w:t>20</w:t>
            </w:r>
            <w:r w:rsidRPr="68783CE5">
              <w:rPr>
                <w:i/>
                <w:iCs/>
                <w:sz w:val="16"/>
                <w:szCs w:val="16"/>
              </w:rPr>
              <w:t>.</w:t>
            </w:r>
          </w:p>
          <w:p w14:paraId="69B9B562" w14:textId="719FB104" w:rsidR="00B1700D" w:rsidRPr="0010208C" w:rsidRDefault="00A821A6" w:rsidP="00A821A6">
            <w:pPr>
              <w:spacing w:after="0" w:line="240" w:lineRule="auto"/>
              <w:rPr>
                <w:rFonts w:eastAsia="Times New Roman" w:cs="Times New Roman"/>
                <w:b/>
                <w:i/>
                <w:color w:val="FFFFFF" w:themeColor="background1"/>
                <w:sz w:val="16"/>
                <w:szCs w:val="16"/>
                <w:lang w:eastAsia="pt-BR"/>
              </w:rPr>
            </w:pPr>
            <w:r w:rsidRPr="00BE58DA">
              <w:rPr>
                <w:b/>
                <w:i/>
                <w:sz w:val="16"/>
                <w:szCs w:val="16"/>
              </w:rPr>
              <w:t>Fonte e Elaboração</w:t>
            </w:r>
            <w:r w:rsidRPr="00BE58DA">
              <w:rPr>
                <w:i/>
                <w:sz w:val="16"/>
                <w:szCs w:val="16"/>
              </w:rPr>
              <w:t>: FNDE.</w:t>
            </w:r>
          </w:p>
        </w:tc>
      </w:tr>
    </w:tbl>
    <w:p w14:paraId="6D72DF5D" w14:textId="77777777" w:rsidR="006D5DD7" w:rsidRPr="008A5918" w:rsidRDefault="006D5DD7" w:rsidP="0026489E">
      <w:pPr>
        <w:pStyle w:val="Corpodetexto"/>
        <w:spacing w:line="240" w:lineRule="auto"/>
        <w:ind w:firstLine="1418"/>
        <w:jc w:val="both"/>
        <w:rPr>
          <w:rFonts w:cstheme="minorHAnsi"/>
          <w:sz w:val="24"/>
          <w:szCs w:val="24"/>
        </w:rPr>
      </w:pPr>
    </w:p>
    <w:p w14:paraId="46E2F0D3" w14:textId="122C8253" w:rsidR="004127C9" w:rsidRPr="00353D69" w:rsidRDefault="004127C9" w:rsidP="68783CE5">
      <w:pPr>
        <w:pStyle w:val="Corpodetexto"/>
        <w:spacing w:line="240" w:lineRule="auto"/>
        <w:ind w:firstLine="1418"/>
        <w:jc w:val="both"/>
        <w:rPr>
          <w:color w:val="000000" w:themeColor="text1"/>
          <w:sz w:val="24"/>
          <w:szCs w:val="24"/>
        </w:rPr>
      </w:pPr>
      <w:r w:rsidRPr="00353D69">
        <w:rPr>
          <w:color w:val="000000" w:themeColor="text1"/>
          <w:sz w:val="24"/>
          <w:szCs w:val="24"/>
        </w:rPr>
        <w:t xml:space="preserve">O índice de recuperação dos valores a receber dos contratos que passaram a ser classificados como inadimplentes – prestações não pagas a partir do nonagésimo dia após o vencimento da prestação, nos termos da Resolução </w:t>
      </w:r>
      <w:r w:rsidR="00374069">
        <w:rPr>
          <w:color w:val="000000" w:themeColor="text1"/>
          <w:sz w:val="24"/>
          <w:szCs w:val="24"/>
        </w:rPr>
        <w:t>CG-</w:t>
      </w:r>
      <w:proofErr w:type="gramStart"/>
      <w:r w:rsidR="00374069">
        <w:rPr>
          <w:color w:val="000000" w:themeColor="text1"/>
          <w:sz w:val="24"/>
          <w:szCs w:val="24"/>
        </w:rPr>
        <w:t>F</w:t>
      </w:r>
      <w:r w:rsidR="00445990">
        <w:rPr>
          <w:color w:val="000000" w:themeColor="text1"/>
          <w:sz w:val="24"/>
          <w:szCs w:val="24"/>
        </w:rPr>
        <w:t>IES</w:t>
      </w:r>
      <w:proofErr w:type="gramEnd"/>
      <w:r w:rsidRPr="00353D69">
        <w:rPr>
          <w:color w:val="000000" w:themeColor="text1"/>
          <w:sz w:val="24"/>
          <w:szCs w:val="24"/>
        </w:rPr>
        <w:t xml:space="preserve"> nº 27</w:t>
      </w:r>
      <w:r w:rsidR="0021672F" w:rsidRPr="00353D69">
        <w:rPr>
          <w:color w:val="000000" w:themeColor="text1"/>
          <w:sz w:val="24"/>
          <w:szCs w:val="24"/>
        </w:rPr>
        <w:t>/</w:t>
      </w:r>
      <w:r w:rsidRPr="00353D69">
        <w:rPr>
          <w:color w:val="000000" w:themeColor="text1"/>
          <w:sz w:val="24"/>
          <w:szCs w:val="24"/>
        </w:rPr>
        <w:t xml:space="preserve">2018 – alcançou </w:t>
      </w:r>
      <w:r w:rsidR="0A7974A2" w:rsidRPr="00353D69">
        <w:rPr>
          <w:color w:val="000000" w:themeColor="text1"/>
          <w:sz w:val="24"/>
          <w:szCs w:val="24"/>
        </w:rPr>
        <w:t>8</w:t>
      </w:r>
      <w:r w:rsidRPr="00353D69">
        <w:rPr>
          <w:color w:val="000000" w:themeColor="text1"/>
          <w:sz w:val="24"/>
          <w:szCs w:val="24"/>
        </w:rPr>
        <w:t>,</w:t>
      </w:r>
      <w:r w:rsidR="48563DCB" w:rsidRPr="00353D69">
        <w:rPr>
          <w:color w:val="000000" w:themeColor="text1"/>
          <w:sz w:val="24"/>
          <w:szCs w:val="24"/>
        </w:rPr>
        <w:t>9</w:t>
      </w:r>
      <w:r w:rsidRPr="00353D69">
        <w:rPr>
          <w:color w:val="000000" w:themeColor="text1"/>
          <w:sz w:val="24"/>
          <w:szCs w:val="24"/>
        </w:rPr>
        <w:t xml:space="preserve">%, superior ao verificado </w:t>
      </w:r>
      <w:r w:rsidR="00D843FD" w:rsidRPr="00353D69">
        <w:rPr>
          <w:color w:val="000000" w:themeColor="text1"/>
          <w:sz w:val="24"/>
          <w:szCs w:val="24"/>
        </w:rPr>
        <w:t>ao</w:t>
      </w:r>
      <w:r w:rsidRPr="00353D69">
        <w:rPr>
          <w:color w:val="000000" w:themeColor="text1"/>
          <w:sz w:val="24"/>
          <w:szCs w:val="24"/>
        </w:rPr>
        <w:t xml:space="preserve"> final do exercício de 201</w:t>
      </w:r>
      <w:r w:rsidR="7CC91FD6" w:rsidRPr="00353D69">
        <w:rPr>
          <w:color w:val="000000" w:themeColor="text1"/>
          <w:sz w:val="24"/>
          <w:szCs w:val="24"/>
        </w:rPr>
        <w:t>9</w:t>
      </w:r>
      <w:r w:rsidRPr="00353D69">
        <w:rPr>
          <w:color w:val="000000" w:themeColor="text1"/>
          <w:sz w:val="24"/>
          <w:szCs w:val="24"/>
        </w:rPr>
        <w:t>, que foi de 7</w:t>
      </w:r>
      <w:r w:rsidR="1C014CF2" w:rsidRPr="00353D69">
        <w:rPr>
          <w:color w:val="000000" w:themeColor="text1"/>
          <w:sz w:val="24"/>
          <w:szCs w:val="24"/>
        </w:rPr>
        <w:t>,6</w:t>
      </w:r>
      <w:r w:rsidRPr="00353D69">
        <w:rPr>
          <w:color w:val="000000" w:themeColor="text1"/>
          <w:sz w:val="24"/>
          <w:szCs w:val="24"/>
        </w:rPr>
        <w:t>%.</w:t>
      </w:r>
    </w:p>
    <w:p w14:paraId="093DE298" w14:textId="7E664CA6" w:rsidR="00CC5E02" w:rsidRPr="00353D69" w:rsidRDefault="00D95B1E" w:rsidP="68783CE5">
      <w:pPr>
        <w:pStyle w:val="Corpodetexto"/>
        <w:spacing w:line="240" w:lineRule="auto"/>
        <w:ind w:firstLine="1418"/>
        <w:jc w:val="both"/>
        <w:rPr>
          <w:color w:val="000000" w:themeColor="text1"/>
          <w:sz w:val="24"/>
          <w:szCs w:val="24"/>
        </w:rPr>
      </w:pPr>
      <w:r w:rsidRPr="00353D69">
        <w:rPr>
          <w:color w:val="000000" w:themeColor="text1"/>
          <w:sz w:val="24"/>
          <w:szCs w:val="24"/>
        </w:rPr>
        <w:t>A</w:t>
      </w:r>
      <w:r w:rsidR="00CC5E02" w:rsidRPr="00353D69">
        <w:rPr>
          <w:color w:val="000000" w:themeColor="text1"/>
          <w:sz w:val="24"/>
          <w:szCs w:val="24"/>
        </w:rPr>
        <w:t xml:space="preserve"> evolução da inadimplência dos financiamentos concedidos entre 2010 e 2017 tem </w:t>
      </w:r>
      <w:r w:rsidR="6C4F28A2" w:rsidRPr="00353D69">
        <w:rPr>
          <w:color w:val="000000" w:themeColor="text1"/>
          <w:sz w:val="24"/>
          <w:szCs w:val="24"/>
        </w:rPr>
        <w:t>apresentado</w:t>
      </w:r>
      <w:r w:rsidR="00CC5E02" w:rsidRPr="00353D69">
        <w:rPr>
          <w:color w:val="000000" w:themeColor="text1"/>
          <w:sz w:val="24"/>
          <w:szCs w:val="24"/>
        </w:rPr>
        <w:t xml:space="preserve"> tendência crescente, caracterizando um risco possível de ocorrer, principalmente em virtude da maior parte da safra de contratos formalizados nesse período </w:t>
      </w:r>
      <w:proofErr w:type="gramStart"/>
      <w:r w:rsidR="00CC5E02" w:rsidRPr="00353D69">
        <w:rPr>
          <w:color w:val="000000" w:themeColor="text1"/>
          <w:sz w:val="24"/>
          <w:szCs w:val="24"/>
        </w:rPr>
        <w:t>encontrar-se</w:t>
      </w:r>
      <w:proofErr w:type="gramEnd"/>
      <w:r w:rsidR="00CC5E02" w:rsidRPr="00353D69">
        <w:rPr>
          <w:color w:val="000000" w:themeColor="text1"/>
          <w:sz w:val="24"/>
          <w:szCs w:val="24"/>
        </w:rPr>
        <w:t xml:space="preserve"> na fase de amortização, isto é, na fase em que o estudante começa a pagar efetivamente pelo valor financiado, conforme observa-se na </w:t>
      </w:r>
      <w:r w:rsidRPr="00353D69">
        <w:rPr>
          <w:color w:val="000000" w:themeColor="text1"/>
          <w:sz w:val="24"/>
          <w:szCs w:val="24"/>
        </w:rPr>
        <w:fldChar w:fldCharType="begin"/>
      </w:r>
      <w:r w:rsidRPr="00353D69">
        <w:rPr>
          <w:color w:val="000000" w:themeColor="text1"/>
          <w:sz w:val="24"/>
          <w:szCs w:val="24"/>
        </w:rPr>
        <w:instrText xml:space="preserve"> REF _Ref35248695  \* MERGEFORMAT </w:instrText>
      </w:r>
      <w:r w:rsidRPr="00353D69">
        <w:rPr>
          <w:color w:val="000000" w:themeColor="text1"/>
          <w:sz w:val="24"/>
          <w:szCs w:val="24"/>
        </w:rPr>
        <w:fldChar w:fldCharType="separate"/>
      </w:r>
      <w:r w:rsidR="00304F5F" w:rsidRPr="00304F5F">
        <w:rPr>
          <w:color w:val="000000" w:themeColor="text1"/>
          <w:sz w:val="24"/>
          <w:szCs w:val="24"/>
        </w:rPr>
        <w:t>Figura 20</w:t>
      </w:r>
      <w:r w:rsidRPr="00353D69">
        <w:rPr>
          <w:color w:val="000000" w:themeColor="text1"/>
          <w:sz w:val="24"/>
          <w:szCs w:val="24"/>
        </w:rPr>
        <w:fldChar w:fldCharType="end"/>
      </w:r>
      <w:r w:rsidR="00CC5E02" w:rsidRPr="00353D69">
        <w:rPr>
          <w:color w:val="000000" w:themeColor="text1"/>
          <w:sz w:val="24"/>
          <w:szCs w:val="24"/>
        </w:rPr>
        <w:t>.</w:t>
      </w:r>
    </w:p>
    <w:p w14:paraId="1E6FE342" w14:textId="217B6D6E" w:rsidR="00101F0C" w:rsidRPr="00D66187" w:rsidRDefault="009647FC" w:rsidP="68783CE5">
      <w:pPr>
        <w:pStyle w:val="Corpodetexto"/>
        <w:spacing w:before="240" w:line="240" w:lineRule="auto"/>
        <w:jc w:val="center"/>
      </w:pPr>
      <w:bookmarkStart w:id="451" w:name="_Ref35248695"/>
      <w:bookmarkStart w:id="452" w:name="_Toc69121345"/>
      <w:r w:rsidRPr="00D66187">
        <w:t xml:space="preserve">Figura </w:t>
      </w:r>
      <w:r w:rsidRPr="00D66187">
        <w:fldChar w:fldCharType="begin"/>
      </w:r>
      <w:r w:rsidRPr="00D66187">
        <w:instrText>SEQ Figura \* ARABIC</w:instrText>
      </w:r>
      <w:r w:rsidRPr="00D66187">
        <w:fldChar w:fldCharType="separate"/>
      </w:r>
      <w:r w:rsidR="00304F5F">
        <w:rPr>
          <w:noProof/>
        </w:rPr>
        <w:t>20</w:t>
      </w:r>
      <w:r w:rsidRPr="00D66187">
        <w:fldChar w:fldCharType="end"/>
      </w:r>
      <w:bookmarkEnd w:id="451"/>
      <w:r w:rsidR="007E3F6A" w:rsidRPr="00D66187">
        <w:rPr>
          <w:noProof/>
        </w:rPr>
        <w:t xml:space="preserve"> </w:t>
      </w:r>
      <w:r w:rsidR="0091108E" w:rsidRPr="00D66187">
        <w:t xml:space="preserve">- </w:t>
      </w:r>
      <w:r w:rsidR="00A052A3" w:rsidRPr="00D66187">
        <w:t xml:space="preserve">Evolução </w:t>
      </w:r>
      <w:r w:rsidR="009C6BF6" w:rsidRPr="00D66187">
        <w:t>d</w:t>
      </w:r>
      <w:r w:rsidR="00075BB0" w:rsidRPr="00D66187">
        <w:t xml:space="preserve">e </w:t>
      </w:r>
      <w:r w:rsidR="00BB6F6B" w:rsidRPr="00D66187">
        <w:t>c</w:t>
      </w:r>
      <w:r w:rsidR="00075BB0" w:rsidRPr="00D66187">
        <w:t>ontratos</w:t>
      </w:r>
      <w:r w:rsidR="00FF317C" w:rsidRPr="00D66187">
        <w:t xml:space="preserve"> inadimplentes</w:t>
      </w:r>
      <w:r w:rsidR="00E63165" w:rsidRPr="00D66187">
        <w:t>,</w:t>
      </w:r>
      <w:r w:rsidR="00DC01B3" w:rsidRPr="00D66187">
        <w:t xml:space="preserve"> em</w:t>
      </w:r>
      <w:r w:rsidR="00310406" w:rsidRPr="00D66187">
        <w:t xml:space="preserve"> </w:t>
      </w:r>
      <w:r w:rsidR="00EE48B6" w:rsidRPr="00D66187">
        <w:t>f</w:t>
      </w:r>
      <w:r w:rsidR="00310406" w:rsidRPr="00D66187">
        <w:t>ase de</w:t>
      </w:r>
      <w:r w:rsidR="00075BB0" w:rsidRPr="00D66187">
        <w:t xml:space="preserve"> </w:t>
      </w:r>
      <w:proofErr w:type="gramStart"/>
      <w:r w:rsidR="005855A0" w:rsidRPr="00D66187">
        <w:t>a</w:t>
      </w:r>
      <w:r w:rsidR="00075BB0" w:rsidRPr="00D66187">
        <w:t>mortização</w:t>
      </w:r>
      <w:bookmarkEnd w:id="452"/>
      <w:proofErr w:type="gramEnd"/>
      <w:r w:rsidR="287C0B4D" w:rsidRPr="00D66187">
        <w:t xml:space="preserve"> </w:t>
      </w:r>
    </w:p>
    <w:p w14:paraId="6239D180" w14:textId="70881DC5" w:rsidR="09648E3E" w:rsidRDefault="17DCB48D" w:rsidP="7B03A1CE">
      <w:pPr>
        <w:pStyle w:val="Corpodetexto"/>
        <w:spacing w:before="240" w:line="240" w:lineRule="auto"/>
        <w:jc w:val="center"/>
      </w:pPr>
      <w:r>
        <w:rPr>
          <w:noProof/>
          <w:lang w:eastAsia="pt-BR"/>
        </w:rPr>
        <w:lastRenderedPageBreak/>
        <w:drawing>
          <wp:inline distT="0" distB="0" distL="0" distR="0" wp14:anchorId="657C3EEE" wp14:editId="5AAD7E76">
            <wp:extent cx="4572000" cy="2752725"/>
            <wp:effectExtent l="0" t="0" r="0" b="0"/>
            <wp:docPr id="1340700727" name="Picture 134070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700727"/>
                    <pic:cNvPicPr/>
                  </pic:nvPicPr>
                  <pic:blipFill>
                    <a:blip r:embed="rId3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C39E84A" w14:textId="32A090AF" w:rsidR="00843AD0" w:rsidRPr="003F3AAB" w:rsidRDefault="008C60AF" w:rsidP="006E7D6E">
      <w:pPr>
        <w:pStyle w:val="Corpodetexto"/>
        <w:spacing w:after="0" w:line="240" w:lineRule="auto"/>
        <w:ind w:left="707" w:firstLine="709"/>
        <w:rPr>
          <w:bCs/>
          <w:iCs/>
          <w:sz w:val="16"/>
          <w:szCs w:val="16"/>
        </w:rPr>
      </w:pPr>
      <w:r>
        <w:rPr>
          <w:bCs/>
          <w:iCs/>
          <w:sz w:val="16"/>
          <w:szCs w:val="16"/>
        </w:rPr>
        <w:t>*</w:t>
      </w:r>
      <w:r w:rsidR="00843AD0" w:rsidRPr="003F3AAB">
        <w:rPr>
          <w:bCs/>
          <w:iCs/>
          <w:sz w:val="16"/>
          <w:szCs w:val="16"/>
        </w:rPr>
        <w:t xml:space="preserve">Contratos concedidos </w:t>
      </w:r>
      <w:r w:rsidR="00843AD0" w:rsidRPr="003F3AAB">
        <w:rPr>
          <w:sz w:val="16"/>
          <w:szCs w:val="16"/>
        </w:rPr>
        <w:t>entre 2010 e 2017</w:t>
      </w:r>
      <w:r w:rsidR="6ADCEC69" w:rsidRPr="003F3AAB">
        <w:rPr>
          <w:bCs/>
          <w:iCs/>
          <w:sz w:val="16"/>
          <w:szCs w:val="16"/>
        </w:rPr>
        <w:t xml:space="preserve">                                     </w:t>
      </w:r>
    </w:p>
    <w:p w14:paraId="10DB0E4E" w14:textId="62CBB70A" w:rsidR="6ADCEC69" w:rsidRDefault="6ADCEC69" w:rsidP="006E7D6E">
      <w:pPr>
        <w:pStyle w:val="Corpodetexto"/>
        <w:spacing w:after="0" w:line="240" w:lineRule="auto"/>
        <w:ind w:left="707" w:firstLine="709"/>
        <w:rPr>
          <w:i/>
          <w:iCs/>
          <w:sz w:val="16"/>
          <w:szCs w:val="16"/>
        </w:rPr>
      </w:pPr>
      <w:r w:rsidRPr="201AAA59">
        <w:rPr>
          <w:b/>
          <w:bCs/>
          <w:i/>
          <w:iCs/>
          <w:sz w:val="16"/>
          <w:szCs w:val="16"/>
        </w:rPr>
        <w:t>Fonte e Elaboração</w:t>
      </w:r>
      <w:r w:rsidRPr="201AAA59">
        <w:rPr>
          <w:i/>
          <w:iCs/>
          <w:sz w:val="16"/>
          <w:szCs w:val="16"/>
        </w:rPr>
        <w:t>: FNDE</w:t>
      </w:r>
    </w:p>
    <w:p w14:paraId="412F5687" w14:textId="5D7226A2" w:rsidR="201AAA59" w:rsidRDefault="201AAA59" w:rsidP="201AAA59">
      <w:pPr>
        <w:pStyle w:val="Corpodetexto"/>
        <w:spacing w:before="240" w:line="240" w:lineRule="auto"/>
        <w:jc w:val="center"/>
      </w:pPr>
    </w:p>
    <w:p w14:paraId="11A5AFAD" w14:textId="26F15CD4" w:rsidR="00AE2526" w:rsidRPr="0022645B" w:rsidRDefault="00A6358D" w:rsidP="002E09EA">
      <w:pPr>
        <w:pStyle w:val="Ttulo4"/>
        <w:keepLines/>
        <w:numPr>
          <w:ilvl w:val="3"/>
          <w:numId w:val="36"/>
        </w:numPr>
        <w:spacing w:before="240" w:after="120"/>
        <w:ind w:left="862" w:hanging="862"/>
        <w:jc w:val="left"/>
        <w:rPr>
          <w:rFonts w:asciiTheme="minorHAnsi" w:hAnsiTheme="minorHAnsi"/>
        </w:rPr>
      </w:pPr>
      <w:r w:rsidRPr="0EDB2EA1">
        <w:rPr>
          <w:rFonts w:asciiTheme="minorHAnsi" w:hAnsiTheme="minorHAnsi"/>
        </w:rPr>
        <w:t>Classificação</w:t>
      </w:r>
      <w:r w:rsidR="00696925" w:rsidRPr="0EDB2EA1">
        <w:rPr>
          <w:rFonts w:asciiTheme="minorHAnsi" w:hAnsiTheme="minorHAnsi"/>
        </w:rPr>
        <w:t xml:space="preserve"> de risco dos financiamentos</w:t>
      </w:r>
    </w:p>
    <w:p w14:paraId="109417D1" w14:textId="5C329CF3" w:rsidR="00C877CB" w:rsidRPr="00353D69" w:rsidRDefault="0017158C" w:rsidP="68783CE5">
      <w:pPr>
        <w:pStyle w:val="Corpodetexto"/>
        <w:spacing w:line="240" w:lineRule="auto"/>
        <w:ind w:firstLine="1418"/>
        <w:jc w:val="both"/>
        <w:rPr>
          <w:color w:val="000000" w:themeColor="text1"/>
          <w:sz w:val="24"/>
          <w:szCs w:val="24"/>
        </w:rPr>
      </w:pPr>
      <w:r w:rsidRPr="00353D69">
        <w:rPr>
          <w:color w:val="000000" w:themeColor="text1"/>
          <w:sz w:val="24"/>
          <w:szCs w:val="24"/>
        </w:rPr>
        <w:t>A</w:t>
      </w:r>
      <w:r w:rsidR="00CF2FC4" w:rsidRPr="00353D69">
        <w:rPr>
          <w:color w:val="000000" w:themeColor="text1"/>
          <w:sz w:val="24"/>
          <w:szCs w:val="24"/>
        </w:rPr>
        <w:t xml:space="preserve"> Resolução</w:t>
      </w:r>
      <w:r w:rsidR="00D6756A" w:rsidRPr="00353D69">
        <w:rPr>
          <w:color w:val="000000" w:themeColor="text1"/>
          <w:sz w:val="24"/>
          <w:szCs w:val="24"/>
        </w:rPr>
        <w:t xml:space="preserve"> </w:t>
      </w:r>
      <w:r w:rsidR="006C6DC3">
        <w:rPr>
          <w:color w:val="000000" w:themeColor="text1"/>
          <w:sz w:val="24"/>
          <w:szCs w:val="24"/>
        </w:rPr>
        <w:t>CG-</w:t>
      </w:r>
      <w:proofErr w:type="gramStart"/>
      <w:r w:rsidR="006C6DC3">
        <w:rPr>
          <w:color w:val="000000" w:themeColor="text1"/>
          <w:sz w:val="24"/>
          <w:szCs w:val="24"/>
        </w:rPr>
        <w:t>FIES</w:t>
      </w:r>
      <w:proofErr w:type="gramEnd"/>
      <w:r w:rsidR="00D6756A" w:rsidRPr="00353D69">
        <w:rPr>
          <w:color w:val="000000" w:themeColor="text1"/>
          <w:sz w:val="24"/>
          <w:szCs w:val="24"/>
        </w:rPr>
        <w:t xml:space="preserve"> nº 27/2018</w:t>
      </w:r>
      <w:r w:rsidR="00CF2FC4" w:rsidRPr="00353D69">
        <w:rPr>
          <w:color w:val="000000" w:themeColor="text1"/>
          <w:sz w:val="24"/>
          <w:szCs w:val="24"/>
        </w:rPr>
        <w:t xml:space="preserve"> definiu que a classificação do nível de risco dos financiamentos do Fies, para fins de realização de ajustes para perdas, deve ser efetuada em função da inadimplência verificada no pagamento das prestações durante a fase de amortização do contrato. Assim, não compõem o cálculo do ajuste as parcelas devidas pelo</w:t>
      </w:r>
      <w:r w:rsidR="00F60D67" w:rsidRPr="00353D69">
        <w:rPr>
          <w:color w:val="000000" w:themeColor="text1"/>
          <w:sz w:val="24"/>
          <w:szCs w:val="24"/>
        </w:rPr>
        <w:t>s</w:t>
      </w:r>
      <w:r w:rsidR="00CF2FC4" w:rsidRPr="00353D69">
        <w:rPr>
          <w:color w:val="000000" w:themeColor="text1"/>
          <w:sz w:val="24"/>
          <w:szCs w:val="24"/>
        </w:rPr>
        <w:t xml:space="preserve"> estudante</w:t>
      </w:r>
      <w:r w:rsidR="00F60D67" w:rsidRPr="00353D69">
        <w:rPr>
          <w:color w:val="000000" w:themeColor="text1"/>
          <w:sz w:val="24"/>
          <w:szCs w:val="24"/>
        </w:rPr>
        <w:t>s</w:t>
      </w:r>
      <w:r w:rsidR="00CF2FC4" w:rsidRPr="00353D69">
        <w:rPr>
          <w:color w:val="000000" w:themeColor="text1"/>
          <w:sz w:val="24"/>
          <w:szCs w:val="24"/>
        </w:rPr>
        <w:t xml:space="preserve"> nas fases de utilização e carência que estão restritas ao pagamento trimestral dos juros contratuais </w:t>
      </w:r>
      <w:r w:rsidR="001603DC" w:rsidRPr="00353D69">
        <w:rPr>
          <w:color w:val="000000" w:themeColor="text1"/>
          <w:sz w:val="24"/>
          <w:szCs w:val="24"/>
        </w:rPr>
        <w:t>(</w:t>
      </w:r>
      <w:r w:rsidR="00CF2FC4" w:rsidRPr="00353D69">
        <w:rPr>
          <w:color w:val="000000" w:themeColor="text1"/>
          <w:sz w:val="24"/>
          <w:szCs w:val="24"/>
        </w:rPr>
        <w:t>limitados a R$ 50,00</w:t>
      </w:r>
      <w:r w:rsidR="00022155" w:rsidRPr="00353D69">
        <w:rPr>
          <w:color w:val="000000" w:themeColor="text1"/>
          <w:sz w:val="24"/>
          <w:szCs w:val="24"/>
        </w:rPr>
        <w:t>,</w:t>
      </w:r>
      <w:r w:rsidR="00CF2FC4" w:rsidRPr="00353D69">
        <w:rPr>
          <w:color w:val="000000" w:themeColor="text1"/>
          <w:sz w:val="24"/>
          <w:szCs w:val="24"/>
        </w:rPr>
        <w:t xml:space="preserve"> para os contratos firmados de 2010 até o 1º semestre de 2015</w:t>
      </w:r>
      <w:r w:rsidR="00022155" w:rsidRPr="00353D69">
        <w:rPr>
          <w:color w:val="000000" w:themeColor="text1"/>
          <w:sz w:val="24"/>
          <w:szCs w:val="24"/>
        </w:rPr>
        <w:t>,</w:t>
      </w:r>
      <w:r w:rsidR="00CF2FC4" w:rsidRPr="00353D69">
        <w:rPr>
          <w:color w:val="000000" w:themeColor="text1"/>
          <w:sz w:val="24"/>
          <w:szCs w:val="24"/>
        </w:rPr>
        <w:t xml:space="preserve"> ou a R$ 150,00</w:t>
      </w:r>
      <w:r w:rsidR="00022155" w:rsidRPr="00353D69">
        <w:rPr>
          <w:color w:val="000000" w:themeColor="text1"/>
          <w:sz w:val="24"/>
          <w:szCs w:val="24"/>
        </w:rPr>
        <w:t>,</w:t>
      </w:r>
      <w:r w:rsidR="00CF2FC4" w:rsidRPr="00353D69">
        <w:rPr>
          <w:color w:val="000000" w:themeColor="text1"/>
          <w:sz w:val="24"/>
          <w:szCs w:val="24"/>
        </w:rPr>
        <w:t xml:space="preserve"> no caso dos contratos firmados do 2º semestre de 2015 ao 2º semestre de 2017</w:t>
      </w:r>
      <w:r w:rsidR="00022155" w:rsidRPr="00353D69">
        <w:rPr>
          <w:color w:val="000000" w:themeColor="text1"/>
          <w:sz w:val="24"/>
          <w:szCs w:val="24"/>
        </w:rPr>
        <w:t>)</w:t>
      </w:r>
      <w:r w:rsidR="00CF2FC4" w:rsidRPr="00353D69">
        <w:rPr>
          <w:color w:val="000000" w:themeColor="text1"/>
          <w:sz w:val="24"/>
          <w:szCs w:val="24"/>
        </w:rPr>
        <w:t>.</w:t>
      </w:r>
      <w:bookmarkStart w:id="453" w:name="_Hlk4162541"/>
    </w:p>
    <w:p w14:paraId="563F94D1" w14:textId="4F7B9768" w:rsidR="000D17A6" w:rsidRPr="00353D69" w:rsidRDefault="009343A9" w:rsidP="68783CE5">
      <w:pPr>
        <w:pStyle w:val="Corpodetexto"/>
        <w:spacing w:line="240" w:lineRule="auto"/>
        <w:ind w:firstLine="1418"/>
        <w:jc w:val="both"/>
        <w:rPr>
          <w:rFonts w:ascii="Calibri" w:eastAsia="Calibri" w:hAnsi="Calibri" w:cs="Calibri"/>
          <w:color w:val="000000" w:themeColor="text1"/>
          <w:sz w:val="24"/>
          <w:szCs w:val="24"/>
        </w:rPr>
      </w:pPr>
      <w:r w:rsidRPr="00353D69">
        <w:rPr>
          <w:color w:val="000000" w:themeColor="text1"/>
          <w:sz w:val="24"/>
          <w:szCs w:val="24"/>
        </w:rPr>
        <w:t xml:space="preserve">Ainda em conformidade </w:t>
      </w:r>
      <w:r w:rsidR="00E13811" w:rsidRPr="00353D69">
        <w:rPr>
          <w:color w:val="000000" w:themeColor="text1"/>
          <w:sz w:val="24"/>
          <w:szCs w:val="24"/>
        </w:rPr>
        <w:t>com a</w:t>
      </w:r>
      <w:r w:rsidRPr="00353D69">
        <w:rPr>
          <w:color w:val="000000" w:themeColor="text1"/>
          <w:sz w:val="24"/>
          <w:szCs w:val="24"/>
        </w:rPr>
        <w:t xml:space="preserve"> </w:t>
      </w:r>
      <w:r w:rsidR="00A42776" w:rsidRPr="00353D69">
        <w:rPr>
          <w:color w:val="000000" w:themeColor="text1"/>
          <w:sz w:val="24"/>
          <w:szCs w:val="24"/>
        </w:rPr>
        <w:t xml:space="preserve">Resolução </w:t>
      </w:r>
      <w:r w:rsidR="00580675">
        <w:rPr>
          <w:color w:val="000000" w:themeColor="text1"/>
          <w:sz w:val="24"/>
          <w:szCs w:val="24"/>
        </w:rPr>
        <w:t>CG-FIES</w:t>
      </w:r>
      <w:r w:rsidR="001D7611" w:rsidRPr="00353D69">
        <w:rPr>
          <w:color w:val="000000" w:themeColor="text1"/>
          <w:sz w:val="24"/>
          <w:szCs w:val="24"/>
        </w:rPr>
        <w:t xml:space="preserve"> </w:t>
      </w:r>
      <w:r w:rsidR="001B37C1" w:rsidRPr="00353D69">
        <w:rPr>
          <w:color w:val="000000" w:themeColor="text1"/>
          <w:sz w:val="24"/>
          <w:szCs w:val="24"/>
        </w:rPr>
        <w:t>n</w:t>
      </w:r>
      <w:r w:rsidR="00A42776" w:rsidRPr="00353D69">
        <w:rPr>
          <w:color w:val="000000" w:themeColor="text1"/>
          <w:sz w:val="24"/>
          <w:szCs w:val="24"/>
        </w:rPr>
        <w:t>º 27/</w:t>
      </w:r>
      <w:r w:rsidR="0041078B" w:rsidRPr="00353D69">
        <w:rPr>
          <w:color w:val="000000" w:themeColor="text1"/>
          <w:sz w:val="24"/>
          <w:szCs w:val="24"/>
        </w:rPr>
        <w:t>20</w:t>
      </w:r>
      <w:r w:rsidR="00A42776" w:rsidRPr="00353D69">
        <w:rPr>
          <w:color w:val="000000" w:themeColor="text1"/>
          <w:sz w:val="24"/>
          <w:szCs w:val="24"/>
        </w:rPr>
        <w:t xml:space="preserve">18, </w:t>
      </w:r>
      <w:bookmarkEnd w:id="453"/>
      <w:r w:rsidR="00E13811" w:rsidRPr="00353D69">
        <w:rPr>
          <w:color w:val="000000" w:themeColor="text1"/>
          <w:sz w:val="24"/>
          <w:szCs w:val="24"/>
        </w:rPr>
        <w:t>desconsiderando o impacto de eventuais instrumentos mitigadores de risco, o valor do ajuste para perdas estimadas</w:t>
      </w:r>
      <w:r w:rsidR="63373872" w:rsidRPr="00353D69">
        <w:rPr>
          <w:color w:val="000000" w:themeColor="text1"/>
          <w:sz w:val="24"/>
          <w:szCs w:val="24"/>
        </w:rPr>
        <w:t xml:space="preserve">, para fins contábeis, </w:t>
      </w:r>
      <w:r w:rsidR="00E13811" w:rsidRPr="00353D69">
        <w:rPr>
          <w:color w:val="000000" w:themeColor="text1"/>
          <w:sz w:val="24"/>
          <w:szCs w:val="24"/>
        </w:rPr>
        <w:t xml:space="preserve">alcançou R$ </w:t>
      </w:r>
      <w:r w:rsidR="4247E1F7" w:rsidRPr="00353D69">
        <w:rPr>
          <w:color w:val="000000" w:themeColor="text1"/>
          <w:sz w:val="24"/>
          <w:szCs w:val="24"/>
        </w:rPr>
        <w:t>27</w:t>
      </w:r>
      <w:r w:rsidR="2B5F6B14" w:rsidRPr="00353D69">
        <w:rPr>
          <w:color w:val="000000" w:themeColor="text1"/>
          <w:sz w:val="24"/>
          <w:szCs w:val="24"/>
        </w:rPr>
        <w:t>,8</w:t>
      </w:r>
      <w:r w:rsidR="00887D1D" w:rsidRPr="00353D69">
        <w:rPr>
          <w:color w:val="000000" w:themeColor="text1"/>
          <w:sz w:val="24"/>
          <w:szCs w:val="24"/>
        </w:rPr>
        <w:t xml:space="preserve"> </w:t>
      </w:r>
      <w:r w:rsidR="00E13811" w:rsidRPr="00353D69">
        <w:rPr>
          <w:color w:val="000000" w:themeColor="text1"/>
          <w:sz w:val="24"/>
          <w:szCs w:val="24"/>
        </w:rPr>
        <w:t>bilhões</w:t>
      </w:r>
      <w:r w:rsidR="00CD2FBA" w:rsidRPr="00353D69">
        <w:rPr>
          <w:color w:val="000000" w:themeColor="text1"/>
          <w:sz w:val="24"/>
          <w:szCs w:val="24"/>
        </w:rPr>
        <w:t xml:space="preserve"> </w:t>
      </w:r>
      <w:r w:rsidR="000D17A6" w:rsidRPr="00353D69">
        <w:rPr>
          <w:color w:val="000000" w:themeColor="text1"/>
          <w:sz w:val="24"/>
          <w:szCs w:val="24"/>
        </w:rPr>
        <w:t>(</w:t>
      </w:r>
      <w:r w:rsidR="000D17A6" w:rsidRPr="00353D69">
        <w:rPr>
          <w:color w:val="000000" w:themeColor="text1"/>
          <w:sz w:val="24"/>
          <w:szCs w:val="24"/>
        </w:rPr>
        <w:fldChar w:fldCharType="begin"/>
      </w:r>
      <w:r w:rsidR="000D17A6" w:rsidRPr="00353D69">
        <w:rPr>
          <w:color w:val="000000" w:themeColor="text1"/>
          <w:sz w:val="24"/>
          <w:szCs w:val="24"/>
        </w:rPr>
        <w:instrText xml:space="preserve"> REF _Hlk4161376 \h  \* MERGEFORMAT </w:instrText>
      </w:r>
      <w:r w:rsidR="000D17A6" w:rsidRPr="00353D69">
        <w:rPr>
          <w:color w:val="000000" w:themeColor="text1"/>
          <w:sz w:val="24"/>
          <w:szCs w:val="24"/>
        </w:rPr>
      </w:r>
      <w:r w:rsidR="000D17A6" w:rsidRPr="00353D69">
        <w:rPr>
          <w:color w:val="000000" w:themeColor="text1"/>
          <w:sz w:val="24"/>
          <w:szCs w:val="24"/>
        </w:rPr>
        <w:fldChar w:fldCharType="separate"/>
      </w:r>
      <w:r w:rsidR="00304F5F" w:rsidRPr="00304F5F">
        <w:rPr>
          <w:color w:val="000000" w:themeColor="text1"/>
          <w:sz w:val="24"/>
          <w:szCs w:val="24"/>
        </w:rPr>
        <w:t>Tabela 71</w:t>
      </w:r>
      <w:r w:rsidR="000D17A6" w:rsidRPr="00353D69">
        <w:rPr>
          <w:color w:val="000000" w:themeColor="text1"/>
          <w:sz w:val="24"/>
          <w:szCs w:val="24"/>
        </w:rPr>
        <w:fldChar w:fldCharType="end"/>
      </w:r>
      <w:r w:rsidR="00DA10A9" w:rsidRPr="00353D69">
        <w:rPr>
          <w:color w:val="000000" w:themeColor="text1"/>
          <w:sz w:val="24"/>
          <w:szCs w:val="24"/>
        </w:rPr>
        <w:t>)</w:t>
      </w:r>
      <w:r w:rsidR="66DA47EA" w:rsidRPr="00353D69">
        <w:rPr>
          <w:color w:val="000000" w:themeColor="text1"/>
          <w:sz w:val="24"/>
          <w:szCs w:val="24"/>
        </w:rPr>
        <w:t xml:space="preserve">. </w:t>
      </w:r>
      <w:r w:rsidR="16850E5D" w:rsidRPr="00353D69">
        <w:rPr>
          <w:rFonts w:ascii="Calibri" w:eastAsia="Calibri" w:hAnsi="Calibri" w:cs="Calibri"/>
          <w:color w:val="000000" w:themeColor="text1"/>
          <w:sz w:val="24"/>
          <w:szCs w:val="24"/>
        </w:rPr>
        <w:t>O ajuste para perdas de curto prazo passou a ser segregado, em atendimento ao disposto no Acórdão 1331/2019-TCU-Plenário, e alcançou o montante de R$ 191</w:t>
      </w:r>
      <w:r w:rsidR="4B1E86DD" w:rsidRPr="00353D69">
        <w:rPr>
          <w:rFonts w:ascii="Calibri" w:eastAsia="Calibri" w:hAnsi="Calibri" w:cs="Calibri"/>
          <w:color w:val="000000" w:themeColor="text1"/>
          <w:sz w:val="24"/>
          <w:szCs w:val="24"/>
        </w:rPr>
        <w:t xml:space="preserve"> </w:t>
      </w:r>
      <w:r w:rsidR="299B3D2A" w:rsidRPr="00353D69">
        <w:rPr>
          <w:rFonts w:ascii="Calibri" w:eastAsia="Calibri" w:hAnsi="Calibri" w:cs="Calibri"/>
          <w:color w:val="000000" w:themeColor="text1"/>
          <w:sz w:val="24"/>
          <w:szCs w:val="24"/>
        </w:rPr>
        <w:t>milhões</w:t>
      </w:r>
      <w:r w:rsidR="16850E5D" w:rsidRPr="00353D69">
        <w:rPr>
          <w:rFonts w:ascii="Calibri" w:eastAsia="Calibri" w:hAnsi="Calibri" w:cs="Calibri"/>
          <w:color w:val="000000" w:themeColor="text1"/>
          <w:sz w:val="24"/>
          <w:szCs w:val="24"/>
        </w:rPr>
        <w:t xml:space="preserve"> no final do exercício</w:t>
      </w:r>
      <w:r w:rsidR="5A34E76D" w:rsidRPr="00353D69">
        <w:rPr>
          <w:rFonts w:ascii="Calibri" w:eastAsia="Calibri" w:hAnsi="Calibri" w:cs="Calibri"/>
          <w:color w:val="000000" w:themeColor="text1"/>
          <w:sz w:val="24"/>
          <w:szCs w:val="24"/>
        </w:rPr>
        <w:t xml:space="preserve"> de 2020</w:t>
      </w:r>
      <w:r w:rsidR="16850E5D" w:rsidRPr="00353D69">
        <w:rPr>
          <w:rFonts w:ascii="Calibri" w:eastAsia="Calibri" w:hAnsi="Calibri" w:cs="Calibri"/>
          <w:color w:val="000000" w:themeColor="text1"/>
          <w:sz w:val="24"/>
          <w:szCs w:val="24"/>
        </w:rPr>
        <w:t>.</w:t>
      </w:r>
    </w:p>
    <w:p w14:paraId="710C97CF" w14:textId="411E5C8A" w:rsidR="000D17A6" w:rsidRPr="0022645B" w:rsidRDefault="000D17A6" w:rsidP="005E7C45">
      <w:pPr>
        <w:pStyle w:val="Legenda"/>
        <w:spacing w:before="240" w:after="120"/>
        <w:jc w:val="center"/>
        <w:rPr>
          <w:rFonts w:asciiTheme="minorHAnsi" w:hAnsiTheme="minorHAnsi"/>
          <w:i w:val="0"/>
          <w:color w:val="auto"/>
          <w:sz w:val="22"/>
          <w:szCs w:val="22"/>
        </w:rPr>
      </w:pPr>
      <w:bookmarkStart w:id="454" w:name="_Hlk4161376"/>
      <w:bookmarkStart w:id="455" w:name="_Hlk4161538"/>
      <w:bookmarkStart w:id="456" w:name="_Toc5027625"/>
      <w:bookmarkStart w:id="457" w:name="_Toc69121417"/>
      <w:r w:rsidRPr="0022645B">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71</w:t>
      </w:r>
      <w:r w:rsidRPr="0022645B">
        <w:rPr>
          <w:rFonts w:asciiTheme="minorHAnsi" w:hAnsiTheme="minorHAnsi"/>
          <w:i w:val="0"/>
          <w:color w:val="auto"/>
          <w:sz w:val="22"/>
          <w:szCs w:val="22"/>
        </w:rPr>
        <w:fldChar w:fldCharType="end"/>
      </w:r>
      <w:bookmarkEnd w:id="454"/>
      <w:r w:rsidR="00FA00D9">
        <w:rPr>
          <w:rFonts w:asciiTheme="minorHAnsi" w:hAnsiTheme="minorHAnsi"/>
          <w:i w:val="0"/>
          <w:color w:val="auto"/>
          <w:sz w:val="22"/>
          <w:szCs w:val="22"/>
        </w:rPr>
        <w:t xml:space="preserve"> -</w:t>
      </w:r>
      <w:r w:rsidRPr="0022645B">
        <w:rPr>
          <w:rFonts w:asciiTheme="minorHAnsi" w:hAnsiTheme="minorHAnsi"/>
          <w:i w:val="0"/>
          <w:color w:val="auto"/>
          <w:sz w:val="22"/>
          <w:szCs w:val="22"/>
        </w:rPr>
        <w:t xml:space="preserve"> </w:t>
      </w:r>
      <w:bookmarkEnd w:id="455"/>
      <w:r w:rsidRPr="0022645B">
        <w:rPr>
          <w:rFonts w:asciiTheme="minorHAnsi" w:hAnsiTheme="minorHAnsi"/>
          <w:i w:val="0"/>
          <w:color w:val="auto"/>
          <w:sz w:val="22"/>
          <w:szCs w:val="22"/>
        </w:rPr>
        <w:t>Ajuste para perdas estimadas</w:t>
      </w:r>
      <w:bookmarkEnd w:id="456"/>
      <w:r w:rsidR="00650476" w:rsidRPr="0022645B">
        <w:rPr>
          <w:rFonts w:asciiTheme="minorHAnsi" w:hAnsiTheme="minorHAnsi"/>
          <w:i w:val="0"/>
          <w:color w:val="auto"/>
          <w:sz w:val="22"/>
          <w:szCs w:val="22"/>
        </w:rPr>
        <w:t xml:space="preserve">, segundo </w:t>
      </w:r>
      <w:proofErr w:type="gramStart"/>
      <w:r w:rsidR="00650476" w:rsidRPr="0022645B">
        <w:rPr>
          <w:rFonts w:asciiTheme="minorHAnsi" w:hAnsiTheme="minorHAnsi"/>
          <w:color w:val="auto"/>
          <w:sz w:val="22"/>
          <w:szCs w:val="22"/>
        </w:rPr>
        <w:t>rating</w:t>
      </w:r>
      <w:bookmarkEnd w:id="457"/>
      <w:proofErr w:type="gramEnd"/>
    </w:p>
    <w:tbl>
      <w:tblPr>
        <w:tblW w:w="608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80"/>
        <w:gridCol w:w="1034"/>
        <w:gridCol w:w="1191"/>
        <w:gridCol w:w="1305"/>
        <w:gridCol w:w="1777"/>
      </w:tblGrid>
      <w:tr w:rsidR="000169F2" w:rsidRPr="00F60800" w14:paraId="746055BE" w14:textId="77777777" w:rsidTr="6F4BDE0C">
        <w:trPr>
          <w:trHeight w:val="20"/>
          <w:tblHeader/>
          <w:jc w:val="center"/>
        </w:trPr>
        <w:tc>
          <w:tcPr>
            <w:tcW w:w="780" w:type="dxa"/>
            <w:tcBorders>
              <w:top w:val="nil"/>
              <w:left w:val="nil"/>
              <w:bottom w:val="nil"/>
              <w:right w:val="nil"/>
            </w:tcBorders>
            <w:shd w:val="clear" w:color="auto" w:fill="auto"/>
          </w:tcPr>
          <w:p w14:paraId="4E35E86E" w14:textId="77777777" w:rsidR="000169F2" w:rsidRPr="00F60800" w:rsidRDefault="000169F2" w:rsidP="003C5519">
            <w:pPr>
              <w:spacing w:after="0" w:line="240" w:lineRule="auto"/>
              <w:jc w:val="center"/>
              <w:rPr>
                <w:rFonts w:eastAsia="Times New Roman" w:cs="Times New Roman"/>
                <w:b/>
                <w:color w:val="FFFFFF" w:themeColor="background1"/>
                <w:sz w:val="18"/>
                <w:szCs w:val="18"/>
                <w:lang w:eastAsia="pt-BR"/>
              </w:rPr>
            </w:pPr>
          </w:p>
        </w:tc>
        <w:tc>
          <w:tcPr>
            <w:tcW w:w="1034" w:type="dxa"/>
            <w:tcBorders>
              <w:top w:val="nil"/>
              <w:left w:val="nil"/>
              <w:bottom w:val="nil"/>
              <w:right w:val="nil"/>
            </w:tcBorders>
            <w:shd w:val="clear" w:color="auto" w:fill="auto"/>
            <w:vAlign w:val="center"/>
          </w:tcPr>
          <w:p w14:paraId="052296D6" w14:textId="77777777" w:rsidR="000169F2" w:rsidRPr="00F60800" w:rsidRDefault="000169F2" w:rsidP="003C5519">
            <w:pPr>
              <w:spacing w:after="0" w:line="240" w:lineRule="auto"/>
              <w:jc w:val="right"/>
              <w:rPr>
                <w:rFonts w:eastAsia="Times New Roman" w:cs="Times New Roman"/>
                <w:b/>
                <w:color w:val="FFFFFF" w:themeColor="background1"/>
                <w:sz w:val="18"/>
                <w:szCs w:val="18"/>
                <w:lang w:eastAsia="pt-BR"/>
              </w:rPr>
            </w:pPr>
          </w:p>
        </w:tc>
        <w:tc>
          <w:tcPr>
            <w:tcW w:w="1191" w:type="dxa"/>
            <w:tcBorders>
              <w:top w:val="nil"/>
              <w:left w:val="nil"/>
              <w:bottom w:val="nil"/>
              <w:right w:val="nil"/>
            </w:tcBorders>
            <w:shd w:val="clear" w:color="auto" w:fill="auto"/>
          </w:tcPr>
          <w:p w14:paraId="1B013F2D" w14:textId="77777777" w:rsidR="000169F2" w:rsidRPr="006E237F" w:rsidRDefault="000169F2" w:rsidP="003C5519">
            <w:pPr>
              <w:spacing w:after="0" w:line="240" w:lineRule="auto"/>
              <w:jc w:val="center"/>
              <w:rPr>
                <w:rFonts w:eastAsia="Times New Roman" w:cs="Times New Roman"/>
                <w:b/>
                <w:color w:val="FFFFFF" w:themeColor="background1"/>
                <w:sz w:val="18"/>
                <w:szCs w:val="18"/>
                <w:lang w:eastAsia="pt-BR"/>
              </w:rPr>
            </w:pPr>
          </w:p>
        </w:tc>
        <w:tc>
          <w:tcPr>
            <w:tcW w:w="3082" w:type="dxa"/>
            <w:gridSpan w:val="2"/>
            <w:tcBorders>
              <w:top w:val="nil"/>
              <w:left w:val="nil"/>
              <w:bottom w:val="nil"/>
              <w:right w:val="nil"/>
            </w:tcBorders>
            <w:shd w:val="clear" w:color="auto" w:fill="auto"/>
            <w:vAlign w:val="center"/>
          </w:tcPr>
          <w:p w14:paraId="19E15400" w14:textId="12BBB040" w:rsidR="000169F2" w:rsidRPr="00BE58DA" w:rsidRDefault="000169F2" w:rsidP="00930226">
            <w:pPr>
              <w:spacing w:after="0" w:line="240" w:lineRule="auto"/>
              <w:jc w:val="right"/>
              <w:rPr>
                <w:rFonts w:cstheme="minorHAnsi"/>
                <w:i/>
                <w:sz w:val="16"/>
                <w:szCs w:val="16"/>
              </w:rPr>
            </w:pPr>
            <w:r w:rsidRPr="00BE58DA">
              <w:rPr>
                <w:rFonts w:cstheme="minorHAnsi"/>
                <w:i/>
                <w:sz w:val="16"/>
                <w:szCs w:val="16"/>
              </w:rPr>
              <w:t xml:space="preserve">Em </w:t>
            </w:r>
            <w:r w:rsidR="00930226">
              <w:rPr>
                <w:rFonts w:cstheme="minorHAnsi"/>
                <w:i/>
                <w:sz w:val="16"/>
                <w:szCs w:val="16"/>
              </w:rPr>
              <w:t xml:space="preserve">R$ </w:t>
            </w:r>
            <w:r w:rsidRPr="00BE58DA">
              <w:rPr>
                <w:rFonts w:cstheme="minorHAnsi"/>
                <w:i/>
                <w:sz w:val="16"/>
                <w:szCs w:val="16"/>
              </w:rPr>
              <w:t>milhões</w:t>
            </w:r>
          </w:p>
        </w:tc>
      </w:tr>
      <w:tr w:rsidR="000169F2" w:rsidRPr="00DB29BF" w14:paraId="0AB1602C" w14:textId="77777777" w:rsidTr="6F4BDE0C">
        <w:trPr>
          <w:trHeight w:val="20"/>
          <w:tblHeader/>
          <w:jc w:val="center"/>
        </w:trPr>
        <w:tc>
          <w:tcPr>
            <w:tcW w:w="780" w:type="dxa"/>
            <w:tcBorders>
              <w:top w:val="nil"/>
            </w:tcBorders>
            <w:shd w:val="clear" w:color="auto" w:fill="404040" w:themeFill="text1" w:themeFillTint="BF"/>
            <w:vAlign w:val="center"/>
          </w:tcPr>
          <w:p w14:paraId="2EC660BF" w14:textId="53F36E00" w:rsidR="000169F2" w:rsidRPr="00DB29BF" w:rsidRDefault="000169F2" w:rsidP="003C5519">
            <w:pPr>
              <w:spacing w:after="0" w:line="240" w:lineRule="auto"/>
              <w:jc w:val="center"/>
              <w:rPr>
                <w:rFonts w:eastAsia="Times New Roman" w:cs="Times New Roman"/>
                <w:b/>
                <w:bCs/>
                <w:i/>
                <w:color w:val="FFFFFF" w:themeColor="background1"/>
                <w:sz w:val="20"/>
                <w:szCs w:val="20"/>
                <w:lang w:eastAsia="pt-BR"/>
              </w:rPr>
            </w:pPr>
            <w:r w:rsidRPr="00DB29BF">
              <w:rPr>
                <w:rFonts w:eastAsia="Times New Roman" w:cs="Times New Roman"/>
                <w:b/>
                <w:bCs/>
                <w:i/>
                <w:color w:val="FFFFFF" w:themeColor="background1"/>
                <w:sz w:val="20"/>
                <w:szCs w:val="20"/>
                <w:lang w:eastAsia="pt-BR"/>
              </w:rPr>
              <w:t>Rating</w:t>
            </w:r>
          </w:p>
        </w:tc>
        <w:tc>
          <w:tcPr>
            <w:tcW w:w="1034" w:type="dxa"/>
            <w:tcBorders>
              <w:top w:val="nil"/>
            </w:tcBorders>
            <w:shd w:val="clear" w:color="auto" w:fill="404040" w:themeFill="text1" w:themeFillTint="BF"/>
            <w:vAlign w:val="center"/>
          </w:tcPr>
          <w:p w14:paraId="681B67BF" w14:textId="77777777" w:rsidR="00BD53BD" w:rsidRPr="00DB29BF" w:rsidRDefault="000169F2" w:rsidP="00E54ED6">
            <w:pPr>
              <w:spacing w:after="0" w:line="240" w:lineRule="auto"/>
              <w:jc w:val="center"/>
              <w:rPr>
                <w:rFonts w:eastAsia="Times New Roman" w:cs="Times New Roman"/>
                <w:b/>
                <w:bCs/>
                <w:color w:val="FFFFFF" w:themeColor="background1"/>
                <w:sz w:val="20"/>
                <w:szCs w:val="20"/>
                <w:lang w:eastAsia="pt-BR"/>
              </w:rPr>
            </w:pPr>
            <w:r w:rsidRPr="00DB29BF">
              <w:rPr>
                <w:rFonts w:eastAsia="Times New Roman" w:cs="Times New Roman"/>
                <w:b/>
                <w:bCs/>
                <w:color w:val="FFFFFF" w:themeColor="background1"/>
                <w:sz w:val="20"/>
                <w:szCs w:val="20"/>
                <w:lang w:eastAsia="pt-BR"/>
              </w:rPr>
              <w:t>Fator de</w:t>
            </w:r>
          </w:p>
          <w:p w14:paraId="0B7A49A5" w14:textId="7E67E891" w:rsidR="000169F2" w:rsidRPr="00DB29BF" w:rsidRDefault="000169F2" w:rsidP="003C5519">
            <w:pPr>
              <w:spacing w:after="0" w:line="240" w:lineRule="auto"/>
              <w:jc w:val="center"/>
              <w:rPr>
                <w:rFonts w:eastAsia="Times New Roman" w:cs="Times New Roman"/>
                <w:b/>
                <w:bCs/>
                <w:color w:val="FFFFFF" w:themeColor="background1"/>
                <w:sz w:val="20"/>
                <w:szCs w:val="20"/>
                <w:lang w:eastAsia="pt-BR"/>
              </w:rPr>
            </w:pPr>
            <w:r w:rsidRPr="00DB29BF">
              <w:rPr>
                <w:rFonts w:eastAsia="Times New Roman" w:cs="Times New Roman"/>
                <w:b/>
                <w:bCs/>
                <w:color w:val="FFFFFF" w:themeColor="background1"/>
                <w:sz w:val="20"/>
                <w:szCs w:val="20"/>
                <w:lang w:eastAsia="pt-BR"/>
              </w:rPr>
              <w:t>Provisão (%)</w:t>
            </w:r>
          </w:p>
        </w:tc>
        <w:tc>
          <w:tcPr>
            <w:tcW w:w="1191" w:type="dxa"/>
            <w:tcBorders>
              <w:top w:val="nil"/>
            </w:tcBorders>
            <w:shd w:val="clear" w:color="auto" w:fill="404040" w:themeFill="text1" w:themeFillTint="BF"/>
            <w:vAlign w:val="center"/>
          </w:tcPr>
          <w:p w14:paraId="244EDE03" w14:textId="77777777" w:rsidR="00070001" w:rsidRPr="00DB29BF" w:rsidRDefault="000169F2" w:rsidP="00E54ED6">
            <w:pPr>
              <w:spacing w:after="0" w:line="240" w:lineRule="auto"/>
              <w:jc w:val="center"/>
              <w:rPr>
                <w:rFonts w:eastAsia="Times New Roman" w:cs="Times New Roman"/>
                <w:b/>
                <w:bCs/>
                <w:color w:val="FFFFFF" w:themeColor="background1"/>
                <w:sz w:val="20"/>
                <w:szCs w:val="20"/>
                <w:lang w:eastAsia="pt-BR"/>
              </w:rPr>
            </w:pPr>
            <w:r w:rsidRPr="00DB29BF">
              <w:rPr>
                <w:rFonts w:eastAsia="Times New Roman" w:cs="Times New Roman"/>
                <w:b/>
                <w:bCs/>
                <w:color w:val="FFFFFF" w:themeColor="background1"/>
                <w:sz w:val="20"/>
                <w:szCs w:val="20"/>
                <w:lang w:eastAsia="pt-BR"/>
              </w:rPr>
              <w:t>Quantidade</w:t>
            </w:r>
          </w:p>
          <w:p w14:paraId="6D67F2A4" w14:textId="00A7CF31" w:rsidR="000169F2" w:rsidRPr="00DB29BF" w:rsidRDefault="000169F2" w:rsidP="003C5519">
            <w:pPr>
              <w:spacing w:after="0" w:line="240" w:lineRule="auto"/>
              <w:jc w:val="center"/>
              <w:rPr>
                <w:rFonts w:eastAsia="Times New Roman" w:cs="Times New Roman"/>
                <w:b/>
                <w:bCs/>
                <w:color w:val="FFFFFF" w:themeColor="background1"/>
                <w:sz w:val="20"/>
                <w:szCs w:val="20"/>
                <w:lang w:eastAsia="pt-BR"/>
              </w:rPr>
            </w:pPr>
            <w:proofErr w:type="gramStart"/>
            <w:r w:rsidRPr="00DB29BF">
              <w:rPr>
                <w:rFonts w:eastAsia="Times New Roman" w:cs="Times New Roman"/>
                <w:b/>
                <w:bCs/>
                <w:color w:val="FFFFFF" w:themeColor="background1"/>
                <w:sz w:val="20"/>
                <w:szCs w:val="20"/>
                <w:lang w:eastAsia="pt-BR"/>
              </w:rPr>
              <w:t>de</w:t>
            </w:r>
            <w:proofErr w:type="gramEnd"/>
            <w:r w:rsidRPr="00DB29BF">
              <w:rPr>
                <w:rFonts w:eastAsia="Times New Roman" w:cs="Times New Roman"/>
                <w:b/>
                <w:bCs/>
                <w:color w:val="FFFFFF" w:themeColor="background1"/>
                <w:sz w:val="20"/>
                <w:szCs w:val="20"/>
                <w:lang w:eastAsia="pt-BR"/>
              </w:rPr>
              <w:t xml:space="preserve"> Contratos</w:t>
            </w:r>
          </w:p>
        </w:tc>
        <w:tc>
          <w:tcPr>
            <w:tcW w:w="1305" w:type="dxa"/>
            <w:tcBorders>
              <w:top w:val="nil"/>
            </w:tcBorders>
            <w:shd w:val="clear" w:color="auto" w:fill="404040" w:themeFill="text1" w:themeFillTint="BF"/>
            <w:vAlign w:val="center"/>
          </w:tcPr>
          <w:p w14:paraId="386C11F7" w14:textId="77777777" w:rsidR="00E54ED6" w:rsidRPr="00DB29BF" w:rsidRDefault="000169F2" w:rsidP="00E54ED6">
            <w:pPr>
              <w:spacing w:after="0" w:line="240" w:lineRule="auto"/>
              <w:jc w:val="center"/>
              <w:rPr>
                <w:rFonts w:eastAsia="Times New Roman" w:cs="Times New Roman"/>
                <w:b/>
                <w:bCs/>
                <w:color w:val="FFFFFF" w:themeColor="background1"/>
                <w:sz w:val="20"/>
                <w:szCs w:val="20"/>
                <w:lang w:eastAsia="pt-BR"/>
              </w:rPr>
            </w:pPr>
            <w:r w:rsidRPr="00DB29BF">
              <w:rPr>
                <w:rFonts w:eastAsia="Times New Roman" w:cs="Times New Roman"/>
                <w:b/>
                <w:bCs/>
                <w:color w:val="FFFFFF" w:themeColor="background1"/>
                <w:sz w:val="20"/>
                <w:szCs w:val="20"/>
                <w:lang w:eastAsia="pt-BR"/>
              </w:rPr>
              <w:t>Saldo devedor</w:t>
            </w:r>
          </w:p>
          <w:p w14:paraId="47D46428" w14:textId="24F9F392" w:rsidR="000169F2" w:rsidRPr="00DB29BF" w:rsidRDefault="000169F2" w:rsidP="003C5519">
            <w:pPr>
              <w:spacing w:after="0" w:line="240" w:lineRule="auto"/>
              <w:jc w:val="center"/>
              <w:rPr>
                <w:rFonts w:eastAsia="Times New Roman" w:cs="Times New Roman"/>
                <w:b/>
                <w:bCs/>
                <w:color w:val="FFFFFF" w:themeColor="background1"/>
                <w:sz w:val="20"/>
                <w:szCs w:val="20"/>
                <w:lang w:eastAsia="pt-BR"/>
              </w:rPr>
            </w:pPr>
            <w:proofErr w:type="gramStart"/>
            <w:r w:rsidRPr="00DB29BF">
              <w:rPr>
                <w:rFonts w:eastAsia="Times New Roman" w:cs="Times New Roman"/>
                <w:b/>
                <w:bCs/>
                <w:color w:val="FFFFFF" w:themeColor="background1"/>
                <w:sz w:val="20"/>
                <w:szCs w:val="20"/>
                <w:lang w:eastAsia="pt-BR"/>
              </w:rPr>
              <w:t>dos</w:t>
            </w:r>
            <w:proofErr w:type="gramEnd"/>
            <w:r w:rsidRPr="00DB29BF">
              <w:rPr>
                <w:rFonts w:eastAsia="Times New Roman" w:cs="Times New Roman"/>
                <w:b/>
                <w:bCs/>
                <w:color w:val="FFFFFF" w:themeColor="background1"/>
                <w:sz w:val="20"/>
                <w:szCs w:val="20"/>
                <w:lang w:eastAsia="pt-BR"/>
              </w:rPr>
              <w:t xml:space="preserve"> contratos</w:t>
            </w:r>
          </w:p>
        </w:tc>
        <w:tc>
          <w:tcPr>
            <w:tcW w:w="1777" w:type="dxa"/>
            <w:tcBorders>
              <w:top w:val="nil"/>
            </w:tcBorders>
            <w:shd w:val="clear" w:color="auto" w:fill="404040" w:themeFill="text1" w:themeFillTint="BF"/>
            <w:vAlign w:val="center"/>
          </w:tcPr>
          <w:p w14:paraId="100E1005" w14:textId="79E319AA" w:rsidR="00E54ED6" w:rsidRPr="00DB29BF" w:rsidRDefault="000169F2" w:rsidP="00E54ED6">
            <w:pPr>
              <w:spacing w:after="0" w:line="240" w:lineRule="auto"/>
              <w:jc w:val="center"/>
              <w:rPr>
                <w:rFonts w:eastAsia="Times New Roman" w:cs="Times New Roman"/>
                <w:b/>
                <w:bCs/>
                <w:color w:val="FFFFFF" w:themeColor="background1"/>
                <w:sz w:val="20"/>
                <w:szCs w:val="20"/>
                <w:lang w:eastAsia="pt-BR"/>
              </w:rPr>
            </w:pPr>
            <w:r w:rsidRPr="00DB29BF">
              <w:rPr>
                <w:rFonts w:eastAsia="Times New Roman" w:cs="Times New Roman"/>
                <w:b/>
                <w:bCs/>
                <w:color w:val="FFFFFF" w:themeColor="background1"/>
                <w:sz w:val="20"/>
                <w:szCs w:val="20"/>
                <w:lang w:eastAsia="pt-BR"/>
              </w:rPr>
              <w:t>Valor do ajuste para</w:t>
            </w:r>
          </w:p>
          <w:p w14:paraId="3A131FA2" w14:textId="68845D82" w:rsidR="000169F2" w:rsidRPr="00DB29BF" w:rsidRDefault="000169F2" w:rsidP="003C5519">
            <w:pPr>
              <w:spacing w:after="0" w:line="240" w:lineRule="auto"/>
              <w:jc w:val="center"/>
              <w:rPr>
                <w:rFonts w:eastAsia="Times New Roman" w:cs="Times New Roman"/>
                <w:b/>
                <w:bCs/>
                <w:color w:val="FFFFFF" w:themeColor="background1"/>
                <w:sz w:val="20"/>
                <w:szCs w:val="20"/>
                <w:lang w:eastAsia="pt-BR"/>
              </w:rPr>
            </w:pPr>
            <w:r w:rsidRPr="00DB29BF">
              <w:rPr>
                <w:rFonts w:eastAsia="Times New Roman" w:cs="Times New Roman"/>
                <w:b/>
                <w:bCs/>
                <w:color w:val="FFFFFF" w:themeColor="background1"/>
                <w:sz w:val="20"/>
                <w:szCs w:val="20"/>
                <w:lang w:eastAsia="pt-BR"/>
              </w:rPr>
              <w:t xml:space="preserve"> </w:t>
            </w:r>
            <w:proofErr w:type="gramStart"/>
            <w:r w:rsidRPr="00DB29BF">
              <w:rPr>
                <w:rFonts w:eastAsia="Times New Roman" w:cs="Times New Roman"/>
                <w:b/>
                <w:bCs/>
                <w:color w:val="FFFFFF" w:themeColor="background1"/>
                <w:sz w:val="20"/>
                <w:szCs w:val="20"/>
                <w:lang w:eastAsia="pt-BR"/>
              </w:rPr>
              <w:t>perdas</w:t>
            </w:r>
            <w:proofErr w:type="gramEnd"/>
            <w:r w:rsidRPr="00DB29BF">
              <w:rPr>
                <w:rFonts w:eastAsia="Times New Roman" w:cs="Times New Roman"/>
                <w:b/>
                <w:bCs/>
                <w:color w:val="FFFFFF" w:themeColor="background1"/>
                <w:sz w:val="20"/>
                <w:szCs w:val="20"/>
                <w:lang w:eastAsia="pt-BR"/>
              </w:rPr>
              <w:t xml:space="preserve"> estimadas</w:t>
            </w:r>
            <w:r w:rsidR="006B3E66" w:rsidRPr="00DB29BF">
              <w:rPr>
                <w:rFonts w:eastAsia="Times New Roman" w:cs="Times New Roman"/>
                <w:b/>
                <w:bCs/>
                <w:color w:val="FFFFFF" w:themeColor="background1"/>
                <w:sz w:val="20"/>
                <w:szCs w:val="20"/>
                <w:vertAlign w:val="superscript"/>
                <w:lang w:eastAsia="pt-BR"/>
              </w:rPr>
              <w:t xml:space="preserve"> 1</w:t>
            </w:r>
          </w:p>
        </w:tc>
      </w:tr>
      <w:tr w:rsidR="000169F2" w:rsidRPr="00102756" w14:paraId="164B4D46" w14:textId="77777777" w:rsidTr="6F4BDE0C">
        <w:trPr>
          <w:trHeight w:val="20"/>
          <w:jc w:val="center"/>
        </w:trPr>
        <w:tc>
          <w:tcPr>
            <w:tcW w:w="780" w:type="dxa"/>
            <w:shd w:val="clear" w:color="auto" w:fill="F2F2F2" w:themeFill="background1" w:themeFillShade="F2"/>
            <w:vAlign w:val="center"/>
          </w:tcPr>
          <w:p w14:paraId="51C3350D"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A</w:t>
            </w:r>
          </w:p>
        </w:tc>
        <w:tc>
          <w:tcPr>
            <w:tcW w:w="1034" w:type="dxa"/>
            <w:shd w:val="clear" w:color="auto" w:fill="F2F2F2" w:themeFill="background1" w:themeFillShade="F2"/>
            <w:vAlign w:val="center"/>
          </w:tcPr>
          <w:p w14:paraId="48D70EFC" w14:textId="77777777" w:rsidR="000169F2" w:rsidRPr="00102756" w:rsidRDefault="000169F2" w:rsidP="003C5519">
            <w:pPr>
              <w:spacing w:after="0" w:line="240" w:lineRule="auto"/>
              <w:jc w:val="right"/>
              <w:rPr>
                <w:rFonts w:eastAsia="Times New Roman" w:cs="Times New Roman"/>
                <w:sz w:val="18"/>
                <w:szCs w:val="18"/>
                <w:lang w:eastAsia="pt-BR"/>
              </w:rPr>
            </w:pPr>
            <w:r w:rsidRPr="00C14E5E">
              <w:rPr>
                <w:rFonts w:eastAsia="Times New Roman" w:cs="Times New Roman"/>
                <w:sz w:val="18"/>
                <w:szCs w:val="18"/>
                <w:lang w:eastAsia="pt-BR"/>
              </w:rPr>
              <w:t>0,5</w:t>
            </w:r>
          </w:p>
        </w:tc>
        <w:tc>
          <w:tcPr>
            <w:tcW w:w="1191" w:type="dxa"/>
            <w:shd w:val="clear" w:color="auto" w:fill="F2F2F2" w:themeFill="background1" w:themeFillShade="F2"/>
            <w:vAlign w:val="center"/>
          </w:tcPr>
          <w:p w14:paraId="7D66BC86" w14:textId="34F31278" w:rsidR="000169F2" w:rsidRPr="00102756" w:rsidRDefault="4A9664B1" w:rsidP="68783CE5">
            <w:pPr>
              <w:spacing w:after="0" w:line="240" w:lineRule="auto"/>
              <w:jc w:val="right"/>
            </w:pPr>
            <w:r w:rsidRPr="68783CE5">
              <w:rPr>
                <w:rFonts w:eastAsia="Times New Roman" w:cs="Times New Roman"/>
                <w:sz w:val="18"/>
                <w:szCs w:val="18"/>
                <w:lang w:eastAsia="pt-BR"/>
              </w:rPr>
              <w:t>905.523</w:t>
            </w:r>
          </w:p>
        </w:tc>
        <w:tc>
          <w:tcPr>
            <w:tcW w:w="1305" w:type="dxa"/>
            <w:shd w:val="clear" w:color="auto" w:fill="F2F2F2" w:themeFill="background1" w:themeFillShade="F2"/>
            <w:vAlign w:val="center"/>
          </w:tcPr>
          <w:p w14:paraId="695B5EDB" w14:textId="58CFFB85" w:rsidR="000169F2" w:rsidRPr="00102756" w:rsidRDefault="4B895F7D"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37</w:t>
            </w:r>
            <w:r w:rsidR="35D20B97" w:rsidRPr="68783CE5">
              <w:rPr>
                <w:rFonts w:eastAsia="Times New Roman" w:cs="Times New Roman"/>
                <w:sz w:val="18"/>
                <w:szCs w:val="18"/>
                <w:lang w:eastAsia="pt-BR"/>
              </w:rPr>
              <w:t>.</w:t>
            </w:r>
            <w:r w:rsidR="2B4EDD00" w:rsidRPr="68783CE5">
              <w:rPr>
                <w:rFonts w:eastAsia="Times New Roman" w:cs="Times New Roman"/>
                <w:sz w:val="18"/>
                <w:szCs w:val="18"/>
                <w:lang w:eastAsia="pt-BR"/>
              </w:rPr>
              <w:t>228</w:t>
            </w:r>
            <w:r w:rsidR="35D20B97" w:rsidRPr="68783CE5">
              <w:rPr>
                <w:rFonts w:eastAsia="Times New Roman" w:cs="Times New Roman"/>
                <w:sz w:val="18"/>
                <w:szCs w:val="18"/>
                <w:lang w:eastAsia="pt-BR"/>
              </w:rPr>
              <w:t>,</w:t>
            </w:r>
            <w:r w:rsidR="6F434199" w:rsidRPr="68783CE5">
              <w:rPr>
                <w:rFonts w:eastAsia="Times New Roman" w:cs="Times New Roman"/>
                <w:sz w:val="18"/>
                <w:szCs w:val="18"/>
                <w:lang w:eastAsia="pt-BR"/>
              </w:rPr>
              <w:t>8</w:t>
            </w:r>
          </w:p>
        </w:tc>
        <w:tc>
          <w:tcPr>
            <w:tcW w:w="1777" w:type="dxa"/>
            <w:shd w:val="clear" w:color="auto" w:fill="F2F2F2" w:themeFill="background1" w:themeFillShade="F2"/>
            <w:vAlign w:val="center"/>
          </w:tcPr>
          <w:p w14:paraId="7152F343" w14:textId="410AF845" w:rsidR="000169F2" w:rsidRPr="00EA2AF3" w:rsidRDefault="35D20B9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76387A97" w:rsidRPr="68783CE5">
              <w:rPr>
                <w:rFonts w:eastAsia="Times New Roman" w:cs="Times New Roman"/>
                <w:sz w:val="18"/>
                <w:szCs w:val="18"/>
                <w:lang w:eastAsia="pt-BR"/>
              </w:rPr>
              <w:t>86</w:t>
            </w:r>
            <w:r w:rsidRPr="68783CE5">
              <w:rPr>
                <w:rFonts w:eastAsia="Times New Roman" w:cs="Times New Roman"/>
                <w:sz w:val="18"/>
                <w:szCs w:val="18"/>
                <w:lang w:eastAsia="pt-BR"/>
              </w:rPr>
              <w:t>,</w:t>
            </w:r>
            <w:r w:rsidR="14F7FF13" w:rsidRPr="68783CE5">
              <w:rPr>
                <w:rFonts w:eastAsia="Times New Roman" w:cs="Times New Roman"/>
                <w:sz w:val="18"/>
                <w:szCs w:val="18"/>
                <w:lang w:eastAsia="pt-BR"/>
              </w:rPr>
              <w:t>1</w:t>
            </w:r>
          </w:p>
        </w:tc>
      </w:tr>
      <w:tr w:rsidR="000169F2" w:rsidRPr="00102756" w14:paraId="441CF597" w14:textId="77777777" w:rsidTr="6F4BDE0C">
        <w:trPr>
          <w:trHeight w:val="20"/>
          <w:jc w:val="center"/>
        </w:trPr>
        <w:tc>
          <w:tcPr>
            <w:tcW w:w="780" w:type="dxa"/>
            <w:shd w:val="clear" w:color="auto" w:fill="auto"/>
            <w:vAlign w:val="center"/>
          </w:tcPr>
          <w:p w14:paraId="61E03AB0"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B</w:t>
            </w:r>
          </w:p>
        </w:tc>
        <w:tc>
          <w:tcPr>
            <w:tcW w:w="1034" w:type="dxa"/>
            <w:shd w:val="clear" w:color="auto" w:fill="auto"/>
            <w:vAlign w:val="center"/>
          </w:tcPr>
          <w:p w14:paraId="72385DFB" w14:textId="77777777" w:rsidR="000169F2" w:rsidRPr="00102756" w:rsidRDefault="000169F2" w:rsidP="003C5519">
            <w:pPr>
              <w:spacing w:after="0" w:line="240" w:lineRule="auto"/>
              <w:jc w:val="right"/>
              <w:rPr>
                <w:rFonts w:eastAsia="Times New Roman" w:cs="Times New Roman"/>
                <w:sz w:val="18"/>
                <w:szCs w:val="18"/>
                <w:lang w:eastAsia="pt-BR"/>
              </w:rPr>
            </w:pPr>
            <w:r w:rsidRPr="00C14E5E">
              <w:rPr>
                <w:rFonts w:eastAsia="Times New Roman" w:cs="Times New Roman"/>
                <w:sz w:val="18"/>
                <w:szCs w:val="18"/>
                <w:lang w:eastAsia="pt-BR"/>
              </w:rPr>
              <w:t>1,0</w:t>
            </w:r>
          </w:p>
        </w:tc>
        <w:tc>
          <w:tcPr>
            <w:tcW w:w="1191" w:type="dxa"/>
            <w:vAlign w:val="center"/>
          </w:tcPr>
          <w:p w14:paraId="777A6389" w14:textId="78D17569" w:rsidR="000169F2" w:rsidRPr="00102756" w:rsidRDefault="5E61D348"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35D20B97" w:rsidRPr="68783CE5">
              <w:rPr>
                <w:rFonts w:eastAsia="Times New Roman" w:cs="Times New Roman"/>
                <w:sz w:val="18"/>
                <w:szCs w:val="18"/>
                <w:lang w:eastAsia="pt-BR"/>
              </w:rPr>
              <w:t>9.3</w:t>
            </w:r>
            <w:r w:rsidR="3EA07B39" w:rsidRPr="68783CE5">
              <w:rPr>
                <w:rFonts w:eastAsia="Times New Roman" w:cs="Times New Roman"/>
                <w:sz w:val="18"/>
                <w:szCs w:val="18"/>
                <w:lang w:eastAsia="pt-BR"/>
              </w:rPr>
              <w:t>5</w:t>
            </w:r>
            <w:r w:rsidR="35D20B97" w:rsidRPr="68783CE5">
              <w:rPr>
                <w:rFonts w:eastAsia="Times New Roman" w:cs="Times New Roman"/>
                <w:sz w:val="18"/>
                <w:szCs w:val="18"/>
                <w:lang w:eastAsia="pt-BR"/>
              </w:rPr>
              <w:t>0</w:t>
            </w:r>
          </w:p>
        </w:tc>
        <w:tc>
          <w:tcPr>
            <w:tcW w:w="1305" w:type="dxa"/>
            <w:vAlign w:val="center"/>
          </w:tcPr>
          <w:p w14:paraId="2D497AA1" w14:textId="7462B31C" w:rsidR="000169F2" w:rsidRPr="00102756" w:rsidRDefault="1ADB5FB6"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748</w:t>
            </w:r>
            <w:r w:rsidR="35D20B97" w:rsidRPr="68783CE5">
              <w:rPr>
                <w:rFonts w:eastAsia="Times New Roman" w:cs="Times New Roman"/>
                <w:sz w:val="18"/>
                <w:szCs w:val="18"/>
                <w:lang w:eastAsia="pt-BR"/>
              </w:rPr>
              <w:t>,</w:t>
            </w:r>
            <w:r w:rsidR="3916499A" w:rsidRPr="68783CE5">
              <w:rPr>
                <w:rFonts w:eastAsia="Times New Roman" w:cs="Times New Roman"/>
                <w:sz w:val="18"/>
                <w:szCs w:val="18"/>
                <w:lang w:eastAsia="pt-BR"/>
              </w:rPr>
              <w:t>0</w:t>
            </w:r>
          </w:p>
        </w:tc>
        <w:tc>
          <w:tcPr>
            <w:tcW w:w="1777" w:type="dxa"/>
            <w:vAlign w:val="center"/>
          </w:tcPr>
          <w:p w14:paraId="76F22FB4" w14:textId="327B5F88" w:rsidR="000169F2" w:rsidRPr="00EA2AF3" w:rsidRDefault="0CA7A6C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7</w:t>
            </w:r>
            <w:r w:rsidR="35D20B97" w:rsidRPr="68783CE5">
              <w:rPr>
                <w:rFonts w:eastAsia="Times New Roman" w:cs="Times New Roman"/>
                <w:sz w:val="18"/>
                <w:szCs w:val="18"/>
                <w:lang w:eastAsia="pt-BR"/>
              </w:rPr>
              <w:t>,</w:t>
            </w:r>
            <w:r w:rsidR="6659DB02" w:rsidRPr="68783CE5">
              <w:rPr>
                <w:rFonts w:eastAsia="Times New Roman" w:cs="Times New Roman"/>
                <w:sz w:val="18"/>
                <w:szCs w:val="18"/>
                <w:lang w:eastAsia="pt-BR"/>
              </w:rPr>
              <w:t>5</w:t>
            </w:r>
          </w:p>
        </w:tc>
      </w:tr>
      <w:tr w:rsidR="000169F2" w:rsidRPr="00102756" w14:paraId="7DFA53AB" w14:textId="77777777" w:rsidTr="6F4BDE0C">
        <w:trPr>
          <w:trHeight w:val="20"/>
          <w:jc w:val="center"/>
        </w:trPr>
        <w:tc>
          <w:tcPr>
            <w:tcW w:w="780" w:type="dxa"/>
            <w:shd w:val="clear" w:color="auto" w:fill="F2F2F2" w:themeFill="background1" w:themeFillShade="F2"/>
            <w:vAlign w:val="center"/>
          </w:tcPr>
          <w:p w14:paraId="26067C98"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C</w:t>
            </w:r>
          </w:p>
        </w:tc>
        <w:tc>
          <w:tcPr>
            <w:tcW w:w="1034" w:type="dxa"/>
            <w:shd w:val="clear" w:color="auto" w:fill="F2F2F2" w:themeFill="background1" w:themeFillShade="F2"/>
            <w:vAlign w:val="center"/>
          </w:tcPr>
          <w:p w14:paraId="61E6ABC8" w14:textId="77777777" w:rsidR="000169F2" w:rsidRPr="00102756" w:rsidRDefault="000169F2" w:rsidP="003C5519">
            <w:pPr>
              <w:spacing w:after="0" w:line="240" w:lineRule="auto"/>
              <w:jc w:val="right"/>
              <w:rPr>
                <w:rFonts w:eastAsia="Times New Roman" w:cs="Times New Roman"/>
                <w:sz w:val="18"/>
                <w:szCs w:val="18"/>
                <w:lang w:eastAsia="pt-BR"/>
              </w:rPr>
            </w:pPr>
            <w:r w:rsidRPr="00C14E5E">
              <w:rPr>
                <w:rFonts w:eastAsia="Times New Roman" w:cs="Times New Roman"/>
                <w:sz w:val="18"/>
                <w:szCs w:val="18"/>
                <w:lang w:eastAsia="pt-BR"/>
              </w:rPr>
              <w:t>3,0</w:t>
            </w:r>
          </w:p>
        </w:tc>
        <w:tc>
          <w:tcPr>
            <w:tcW w:w="1191" w:type="dxa"/>
            <w:shd w:val="clear" w:color="auto" w:fill="F2F2F2" w:themeFill="background1" w:themeFillShade="F2"/>
            <w:vAlign w:val="center"/>
          </w:tcPr>
          <w:p w14:paraId="69590C51" w14:textId="56EAF729" w:rsidR="000169F2" w:rsidRPr="00102756" w:rsidRDefault="30C8F692"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3</w:t>
            </w:r>
            <w:r w:rsidR="35D20B97" w:rsidRPr="68783CE5">
              <w:rPr>
                <w:rFonts w:eastAsia="Times New Roman" w:cs="Times New Roman"/>
                <w:sz w:val="18"/>
                <w:szCs w:val="18"/>
                <w:lang w:eastAsia="pt-BR"/>
              </w:rPr>
              <w:t>6.</w:t>
            </w:r>
            <w:r w:rsidR="0717FE70" w:rsidRPr="68783CE5">
              <w:rPr>
                <w:rFonts w:eastAsia="Times New Roman" w:cs="Times New Roman"/>
                <w:sz w:val="18"/>
                <w:szCs w:val="18"/>
                <w:lang w:eastAsia="pt-BR"/>
              </w:rPr>
              <w:t>4</w:t>
            </w:r>
            <w:r w:rsidR="35D20B97" w:rsidRPr="68783CE5">
              <w:rPr>
                <w:rFonts w:eastAsia="Times New Roman" w:cs="Times New Roman"/>
                <w:sz w:val="18"/>
                <w:szCs w:val="18"/>
                <w:lang w:eastAsia="pt-BR"/>
              </w:rPr>
              <w:t>7</w:t>
            </w:r>
            <w:r w:rsidR="22AA1B8C" w:rsidRPr="68783CE5">
              <w:rPr>
                <w:rFonts w:eastAsia="Times New Roman" w:cs="Times New Roman"/>
                <w:sz w:val="18"/>
                <w:szCs w:val="18"/>
                <w:lang w:eastAsia="pt-BR"/>
              </w:rPr>
              <w:t>0</w:t>
            </w:r>
          </w:p>
        </w:tc>
        <w:tc>
          <w:tcPr>
            <w:tcW w:w="1305" w:type="dxa"/>
            <w:shd w:val="clear" w:color="auto" w:fill="F2F2F2" w:themeFill="background1" w:themeFillShade="F2"/>
            <w:vAlign w:val="center"/>
          </w:tcPr>
          <w:p w14:paraId="183A7883" w14:textId="2DA83861" w:rsidR="000169F2" w:rsidRPr="00102756" w:rsidRDefault="4E315C00"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w:t>
            </w:r>
            <w:r w:rsidR="35D20B97" w:rsidRPr="68783CE5">
              <w:rPr>
                <w:rFonts w:eastAsia="Times New Roman" w:cs="Times New Roman"/>
                <w:sz w:val="18"/>
                <w:szCs w:val="18"/>
                <w:lang w:eastAsia="pt-BR"/>
              </w:rPr>
              <w:t>.4</w:t>
            </w:r>
            <w:r w:rsidR="5F91F956" w:rsidRPr="68783CE5">
              <w:rPr>
                <w:rFonts w:eastAsia="Times New Roman" w:cs="Times New Roman"/>
                <w:sz w:val="18"/>
                <w:szCs w:val="18"/>
                <w:lang w:eastAsia="pt-BR"/>
              </w:rPr>
              <w:t>23</w:t>
            </w:r>
            <w:r w:rsidR="35D20B97" w:rsidRPr="68783CE5">
              <w:rPr>
                <w:rFonts w:eastAsia="Times New Roman" w:cs="Times New Roman"/>
                <w:sz w:val="18"/>
                <w:szCs w:val="18"/>
                <w:lang w:eastAsia="pt-BR"/>
              </w:rPr>
              <w:t>,</w:t>
            </w:r>
            <w:r w:rsidR="085801F5" w:rsidRPr="68783CE5">
              <w:rPr>
                <w:rFonts w:eastAsia="Times New Roman" w:cs="Times New Roman"/>
                <w:sz w:val="18"/>
                <w:szCs w:val="18"/>
                <w:lang w:eastAsia="pt-BR"/>
              </w:rPr>
              <w:t>8</w:t>
            </w:r>
          </w:p>
        </w:tc>
        <w:tc>
          <w:tcPr>
            <w:tcW w:w="1777" w:type="dxa"/>
            <w:shd w:val="clear" w:color="auto" w:fill="F2F2F2" w:themeFill="background1" w:themeFillShade="F2"/>
            <w:vAlign w:val="center"/>
          </w:tcPr>
          <w:p w14:paraId="162E0173" w14:textId="49114F33" w:rsidR="000169F2" w:rsidRPr="00EA2AF3" w:rsidRDefault="48E5D1DE"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42</w:t>
            </w:r>
            <w:r w:rsidR="35D20B97" w:rsidRPr="68783CE5">
              <w:rPr>
                <w:rFonts w:eastAsia="Times New Roman" w:cs="Times New Roman"/>
                <w:sz w:val="18"/>
                <w:szCs w:val="18"/>
                <w:lang w:eastAsia="pt-BR"/>
              </w:rPr>
              <w:t>,</w:t>
            </w:r>
            <w:r w:rsidR="6BBEE9DF" w:rsidRPr="68783CE5">
              <w:rPr>
                <w:rFonts w:eastAsia="Times New Roman" w:cs="Times New Roman"/>
                <w:sz w:val="18"/>
                <w:szCs w:val="18"/>
                <w:lang w:eastAsia="pt-BR"/>
              </w:rPr>
              <w:t>7</w:t>
            </w:r>
          </w:p>
        </w:tc>
      </w:tr>
      <w:tr w:rsidR="000169F2" w:rsidRPr="00102756" w14:paraId="60A57167" w14:textId="77777777" w:rsidTr="6F4BDE0C">
        <w:trPr>
          <w:trHeight w:val="20"/>
          <w:jc w:val="center"/>
        </w:trPr>
        <w:tc>
          <w:tcPr>
            <w:tcW w:w="780" w:type="dxa"/>
            <w:shd w:val="clear" w:color="auto" w:fill="auto"/>
            <w:vAlign w:val="center"/>
          </w:tcPr>
          <w:p w14:paraId="0768BE7C"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D</w:t>
            </w:r>
          </w:p>
        </w:tc>
        <w:tc>
          <w:tcPr>
            <w:tcW w:w="1034" w:type="dxa"/>
            <w:shd w:val="clear" w:color="auto" w:fill="auto"/>
            <w:vAlign w:val="center"/>
          </w:tcPr>
          <w:p w14:paraId="58605C29" w14:textId="77777777" w:rsidR="000169F2" w:rsidRPr="003C2F89" w:rsidRDefault="000169F2" w:rsidP="003C5519">
            <w:pPr>
              <w:spacing w:after="0" w:line="240" w:lineRule="auto"/>
              <w:jc w:val="right"/>
              <w:rPr>
                <w:rFonts w:eastAsia="Times New Roman" w:cs="Times New Roman"/>
                <w:sz w:val="18"/>
                <w:szCs w:val="18"/>
                <w:lang w:eastAsia="pt-BR"/>
              </w:rPr>
            </w:pPr>
            <w:r w:rsidRPr="00C14E5E">
              <w:rPr>
                <w:rFonts w:eastAsia="Times New Roman" w:cs="Times New Roman"/>
                <w:sz w:val="18"/>
                <w:szCs w:val="18"/>
                <w:lang w:eastAsia="pt-BR"/>
              </w:rPr>
              <w:t>10</w:t>
            </w:r>
            <w:r>
              <w:rPr>
                <w:rFonts w:eastAsia="Times New Roman" w:cs="Times New Roman"/>
                <w:sz w:val="18"/>
                <w:szCs w:val="18"/>
                <w:lang w:eastAsia="pt-BR"/>
              </w:rPr>
              <w:t>,0</w:t>
            </w:r>
          </w:p>
        </w:tc>
        <w:tc>
          <w:tcPr>
            <w:tcW w:w="1191" w:type="dxa"/>
            <w:vAlign w:val="center"/>
          </w:tcPr>
          <w:p w14:paraId="03BC64D1" w14:textId="30FBD52E" w:rsidR="000169F2" w:rsidRPr="003C2F89" w:rsidRDefault="35D20B9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158EAAC6" w:rsidRPr="68783CE5">
              <w:rPr>
                <w:rFonts w:eastAsia="Times New Roman" w:cs="Times New Roman"/>
                <w:sz w:val="18"/>
                <w:szCs w:val="18"/>
                <w:lang w:eastAsia="pt-BR"/>
              </w:rPr>
              <w:t>1</w:t>
            </w:r>
            <w:r w:rsidRPr="68783CE5">
              <w:rPr>
                <w:rFonts w:eastAsia="Times New Roman" w:cs="Times New Roman"/>
                <w:sz w:val="18"/>
                <w:szCs w:val="18"/>
                <w:lang w:eastAsia="pt-BR"/>
              </w:rPr>
              <w:t>.</w:t>
            </w:r>
            <w:r w:rsidR="34F754D3" w:rsidRPr="68783CE5">
              <w:rPr>
                <w:rFonts w:eastAsia="Times New Roman" w:cs="Times New Roman"/>
                <w:sz w:val="18"/>
                <w:szCs w:val="18"/>
                <w:lang w:eastAsia="pt-BR"/>
              </w:rPr>
              <w:t>292</w:t>
            </w:r>
          </w:p>
        </w:tc>
        <w:tc>
          <w:tcPr>
            <w:tcW w:w="1305" w:type="dxa"/>
            <w:shd w:val="clear" w:color="auto" w:fill="auto"/>
            <w:vAlign w:val="center"/>
          </w:tcPr>
          <w:p w14:paraId="6D746A2F" w14:textId="3EA70E3E" w:rsidR="000169F2" w:rsidRPr="007C2CBD" w:rsidRDefault="26C384BD"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7</w:t>
            </w:r>
            <w:r w:rsidR="35D20B97" w:rsidRPr="68783CE5">
              <w:rPr>
                <w:rFonts w:eastAsia="Times New Roman" w:cs="Times New Roman"/>
                <w:sz w:val="18"/>
                <w:szCs w:val="18"/>
                <w:lang w:eastAsia="pt-BR"/>
              </w:rPr>
              <w:t>99</w:t>
            </w:r>
            <w:r w:rsidR="3E56A0F4" w:rsidRPr="68783CE5">
              <w:rPr>
                <w:rFonts w:eastAsia="Times New Roman" w:cs="Times New Roman"/>
                <w:sz w:val="18"/>
                <w:szCs w:val="18"/>
                <w:lang w:eastAsia="pt-BR"/>
              </w:rPr>
              <w:t>,0</w:t>
            </w:r>
          </w:p>
        </w:tc>
        <w:tc>
          <w:tcPr>
            <w:tcW w:w="1777" w:type="dxa"/>
            <w:vAlign w:val="center"/>
          </w:tcPr>
          <w:p w14:paraId="261A791F" w14:textId="465F9B1C" w:rsidR="000169F2" w:rsidRPr="00EA2AF3" w:rsidRDefault="4B324841"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7</w:t>
            </w:r>
            <w:r w:rsidR="35D20B97" w:rsidRPr="68783CE5">
              <w:rPr>
                <w:rFonts w:eastAsia="Times New Roman" w:cs="Times New Roman"/>
                <w:sz w:val="18"/>
                <w:szCs w:val="18"/>
                <w:lang w:eastAsia="pt-BR"/>
              </w:rPr>
              <w:t>9,</w:t>
            </w:r>
            <w:r w:rsidR="0968DCE3" w:rsidRPr="68783CE5">
              <w:rPr>
                <w:rFonts w:eastAsia="Times New Roman" w:cs="Times New Roman"/>
                <w:sz w:val="18"/>
                <w:szCs w:val="18"/>
                <w:lang w:eastAsia="pt-BR"/>
              </w:rPr>
              <w:t>9</w:t>
            </w:r>
          </w:p>
        </w:tc>
      </w:tr>
      <w:tr w:rsidR="000169F2" w:rsidRPr="00102756" w14:paraId="44EA5918" w14:textId="77777777" w:rsidTr="6F4BDE0C">
        <w:trPr>
          <w:trHeight w:val="20"/>
          <w:jc w:val="center"/>
        </w:trPr>
        <w:tc>
          <w:tcPr>
            <w:tcW w:w="780" w:type="dxa"/>
            <w:shd w:val="clear" w:color="auto" w:fill="F2F2F2" w:themeFill="background1" w:themeFillShade="F2"/>
            <w:vAlign w:val="center"/>
          </w:tcPr>
          <w:p w14:paraId="45FC5FC6"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E</w:t>
            </w:r>
          </w:p>
        </w:tc>
        <w:tc>
          <w:tcPr>
            <w:tcW w:w="1034" w:type="dxa"/>
            <w:shd w:val="clear" w:color="auto" w:fill="F2F2F2" w:themeFill="background1" w:themeFillShade="F2"/>
            <w:vAlign w:val="center"/>
          </w:tcPr>
          <w:p w14:paraId="7DF30338" w14:textId="77777777" w:rsidR="000169F2" w:rsidRPr="003C2F89" w:rsidRDefault="000169F2" w:rsidP="003C5519">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30,0</w:t>
            </w:r>
          </w:p>
        </w:tc>
        <w:tc>
          <w:tcPr>
            <w:tcW w:w="1191" w:type="dxa"/>
            <w:shd w:val="clear" w:color="auto" w:fill="F2F2F2" w:themeFill="background1" w:themeFillShade="F2"/>
            <w:vAlign w:val="center"/>
          </w:tcPr>
          <w:p w14:paraId="6ECF88CE" w14:textId="1793EEF3" w:rsidR="000169F2" w:rsidRPr="003C2F89" w:rsidRDefault="35D20B9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6C36ECE4" w:rsidRPr="68783CE5">
              <w:rPr>
                <w:rFonts w:eastAsia="Times New Roman" w:cs="Times New Roman"/>
                <w:sz w:val="18"/>
                <w:szCs w:val="18"/>
                <w:lang w:eastAsia="pt-BR"/>
              </w:rPr>
              <w:t>1</w:t>
            </w:r>
            <w:r w:rsidRPr="68783CE5">
              <w:rPr>
                <w:rFonts w:eastAsia="Times New Roman" w:cs="Times New Roman"/>
                <w:sz w:val="18"/>
                <w:szCs w:val="18"/>
                <w:lang w:eastAsia="pt-BR"/>
              </w:rPr>
              <w:t>.</w:t>
            </w:r>
            <w:r w:rsidR="68CBFC08" w:rsidRPr="68783CE5">
              <w:rPr>
                <w:rFonts w:eastAsia="Times New Roman" w:cs="Times New Roman"/>
                <w:sz w:val="18"/>
                <w:szCs w:val="18"/>
                <w:lang w:eastAsia="pt-BR"/>
              </w:rPr>
              <w:t>65</w:t>
            </w:r>
            <w:r w:rsidRPr="68783CE5">
              <w:rPr>
                <w:rFonts w:eastAsia="Times New Roman" w:cs="Times New Roman"/>
                <w:sz w:val="18"/>
                <w:szCs w:val="18"/>
                <w:lang w:eastAsia="pt-BR"/>
              </w:rPr>
              <w:t>5</w:t>
            </w:r>
          </w:p>
        </w:tc>
        <w:tc>
          <w:tcPr>
            <w:tcW w:w="1305" w:type="dxa"/>
            <w:shd w:val="clear" w:color="auto" w:fill="F2F2F2" w:themeFill="background1" w:themeFillShade="F2"/>
            <w:vAlign w:val="center"/>
          </w:tcPr>
          <w:p w14:paraId="2AC044A4" w14:textId="02BD3440" w:rsidR="000169F2" w:rsidRPr="007C2CBD" w:rsidRDefault="27B1DCE6"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888</w:t>
            </w:r>
            <w:r w:rsidR="35D20B97" w:rsidRPr="68783CE5">
              <w:rPr>
                <w:rFonts w:eastAsia="Times New Roman" w:cs="Times New Roman"/>
                <w:sz w:val="18"/>
                <w:szCs w:val="18"/>
                <w:lang w:eastAsia="pt-BR"/>
              </w:rPr>
              <w:t>,</w:t>
            </w:r>
            <w:r w:rsidR="1C95AD8D" w:rsidRPr="68783CE5">
              <w:rPr>
                <w:rFonts w:eastAsia="Times New Roman" w:cs="Times New Roman"/>
                <w:sz w:val="18"/>
                <w:szCs w:val="18"/>
                <w:lang w:eastAsia="pt-BR"/>
              </w:rPr>
              <w:t>2</w:t>
            </w:r>
          </w:p>
        </w:tc>
        <w:tc>
          <w:tcPr>
            <w:tcW w:w="1777" w:type="dxa"/>
            <w:shd w:val="clear" w:color="auto" w:fill="F2F2F2" w:themeFill="background1" w:themeFillShade="F2"/>
            <w:vAlign w:val="center"/>
          </w:tcPr>
          <w:p w14:paraId="2D162085" w14:textId="3FE01591" w:rsidR="000169F2" w:rsidRPr="00EA2AF3" w:rsidRDefault="35D20B9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59FD54E2" w:rsidRPr="68783CE5">
              <w:rPr>
                <w:rFonts w:eastAsia="Times New Roman" w:cs="Times New Roman"/>
                <w:sz w:val="18"/>
                <w:szCs w:val="18"/>
                <w:lang w:eastAsia="pt-BR"/>
              </w:rPr>
              <w:t>66</w:t>
            </w:r>
            <w:r w:rsidRPr="68783CE5">
              <w:rPr>
                <w:rFonts w:eastAsia="Times New Roman" w:cs="Times New Roman"/>
                <w:sz w:val="18"/>
                <w:szCs w:val="18"/>
                <w:lang w:eastAsia="pt-BR"/>
              </w:rPr>
              <w:t>,</w:t>
            </w:r>
            <w:r w:rsidR="26EB49CC" w:rsidRPr="68783CE5">
              <w:rPr>
                <w:rFonts w:eastAsia="Times New Roman" w:cs="Times New Roman"/>
                <w:sz w:val="18"/>
                <w:szCs w:val="18"/>
                <w:lang w:eastAsia="pt-BR"/>
              </w:rPr>
              <w:t>4</w:t>
            </w:r>
          </w:p>
        </w:tc>
      </w:tr>
      <w:tr w:rsidR="000169F2" w:rsidRPr="00102756" w14:paraId="34DA94D9" w14:textId="77777777" w:rsidTr="6F4BDE0C">
        <w:trPr>
          <w:trHeight w:val="20"/>
          <w:jc w:val="center"/>
        </w:trPr>
        <w:tc>
          <w:tcPr>
            <w:tcW w:w="780" w:type="dxa"/>
            <w:shd w:val="clear" w:color="auto" w:fill="auto"/>
            <w:vAlign w:val="center"/>
          </w:tcPr>
          <w:p w14:paraId="6D68D232"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F</w:t>
            </w:r>
          </w:p>
        </w:tc>
        <w:tc>
          <w:tcPr>
            <w:tcW w:w="1034" w:type="dxa"/>
            <w:shd w:val="clear" w:color="auto" w:fill="auto"/>
            <w:vAlign w:val="center"/>
          </w:tcPr>
          <w:p w14:paraId="6954B841" w14:textId="77777777" w:rsidR="000169F2" w:rsidRPr="003C2F89" w:rsidRDefault="000169F2" w:rsidP="003C5519">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50,0</w:t>
            </w:r>
          </w:p>
        </w:tc>
        <w:tc>
          <w:tcPr>
            <w:tcW w:w="1191" w:type="dxa"/>
            <w:shd w:val="clear" w:color="auto" w:fill="auto"/>
            <w:vAlign w:val="center"/>
          </w:tcPr>
          <w:p w14:paraId="722D8B9F" w14:textId="721069F8" w:rsidR="000169F2" w:rsidRPr="003C2F89" w:rsidRDefault="35D20B9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27AFA371" w:rsidRPr="68783CE5">
              <w:rPr>
                <w:rFonts w:eastAsia="Times New Roman" w:cs="Times New Roman"/>
                <w:sz w:val="18"/>
                <w:szCs w:val="18"/>
                <w:lang w:eastAsia="pt-BR"/>
              </w:rPr>
              <w:t>8</w:t>
            </w:r>
            <w:r w:rsidRPr="68783CE5">
              <w:rPr>
                <w:rFonts w:eastAsia="Times New Roman" w:cs="Times New Roman"/>
                <w:sz w:val="18"/>
                <w:szCs w:val="18"/>
                <w:lang w:eastAsia="pt-BR"/>
              </w:rPr>
              <w:t>.</w:t>
            </w:r>
            <w:r w:rsidR="392C7F5F" w:rsidRPr="68783CE5">
              <w:rPr>
                <w:rFonts w:eastAsia="Times New Roman" w:cs="Times New Roman"/>
                <w:sz w:val="18"/>
                <w:szCs w:val="18"/>
                <w:lang w:eastAsia="pt-BR"/>
              </w:rPr>
              <w:t>580</w:t>
            </w:r>
          </w:p>
        </w:tc>
        <w:tc>
          <w:tcPr>
            <w:tcW w:w="1305" w:type="dxa"/>
            <w:shd w:val="clear" w:color="auto" w:fill="auto"/>
            <w:vAlign w:val="center"/>
          </w:tcPr>
          <w:p w14:paraId="5852562F" w14:textId="7DC6E5F8" w:rsidR="000169F2" w:rsidRPr="007C2CBD" w:rsidRDefault="5FE3533F"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1.269</w:t>
            </w:r>
            <w:r w:rsidR="35D20B97" w:rsidRPr="68783CE5">
              <w:rPr>
                <w:rFonts w:eastAsia="Times New Roman" w:cs="Times New Roman"/>
                <w:sz w:val="18"/>
                <w:szCs w:val="18"/>
                <w:lang w:eastAsia="pt-BR"/>
              </w:rPr>
              <w:t>,</w:t>
            </w:r>
            <w:r w:rsidR="6F631B89" w:rsidRPr="68783CE5">
              <w:rPr>
                <w:rFonts w:eastAsia="Times New Roman" w:cs="Times New Roman"/>
                <w:sz w:val="18"/>
                <w:szCs w:val="18"/>
                <w:lang w:eastAsia="pt-BR"/>
              </w:rPr>
              <w:t>0</w:t>
            </w:r>
          </w:p>
        </w:tc>
        <w:tc>
          <w:tcPr>
            <w:tcW w:w="1777" w:type="dxa"/>
            <w:vAlign w:val="center"/>
          </w:tcPr>
          <w:p w14:paraId="69C139FD" w14:textId="088271AC" w:rsidR="000169F2" w:rsidRPr="00EA2AF3" w:rsidRDefault="248C4681"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634,5</w:t>
            </w:r>
          </w:p>
        </w:tc>
      </w:tr>
      <w:tr w:rsidR="000169F2" w:rsidRPr="00102756" w14:paraId="60221921" w14:textId="77777777" w:rsidTr="6F4BDE0C">
        <w:trPr>
          <w:trHeight w:val="20"/>
          <w:jc w:val="center"/>
        </w:trPr>
        <w:tc>
          <w:tcPr>
            <w:tcW w:w="780" w:type="dxa"/>
            <w:shd w:val="clear" w:color="auto" w:fill="F2F2F2" w:themeFill="background1" w:themeFillShade="F2"/>
            <w:vAlign w:val="center"/>
          </w:tcPr>
          <w:p w14:paraId="408D1EED"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G</w:t>
            </w:r>
          </w:p>
        </w:tc>
        <w:tc>
          <w:tcPr>
            <w:tcW w:w="1034" w:type="dxa"/>
            <w:shd w:val="clear" w:color="auto" w:fill="F2F2F2" w:themeFill="background1" w:themeFillShade="F2"/>
            <w:vAlign w:val="center"/>
          </w:tcPr>
          <w:p w14:paraId="00E838A0" w14:textId="77777777" w:rsidR="000169F2" w:rsidRPr="00102756" w:rsidRDefault="000169F2" w:rsidP="003C5519">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70,0</w:t>
            </w:r>
          </w:p>
        </w:tc>
        <w:tc>
          <w:tcPr>
            <w:tcW w:w="1191" w:type="dxa"/>
            <w:shd w:val="clear" w:color="auto" w:fill="F2F2F2" w:themeFill="background1" w:themeFillShade="F2"/>
            <w:vAlign w:val="center"/>
          </w:tcPr>
          <w:p w14:paraId="67D11363" w14:textId="5675F998" w:rsidR="000169F2" w:rsidRPr="003C2F89" w:rsidRDefault="35D20B97"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3394B2DF" w:rsidRPr="68783CE5">
              <w:rPr>
                <w:rFonts w:eastAsia="Times New Roman" w:cs="Times New Roman"/>
                <w:sz w:val="18"/>
                <w:szCs w:val="18"/>
                <w:lang w:eastAsia="pt-BR"/>
              </w:rPr>
              <w:t>9</w:t>
            </w:r>
            <w:r w:rsidRPr="68783CE5">
              <w:rPr>
                <w:rFonts w:eastAsia="Times New Roman" w:cs="Times New Roman"/>
                <w:sz w:val="18"/>
                <w:szCs w:val="18"/>
                <w:lang w:eastAsia="pt-BR"/>
              </w:rPr>
              <w:t>.</w:t>
            </w:r>
            <w:r w:rsidR="10BE575D" w:rsidRPr="68783CE5">
              <w:rPr>
                <w:rFonts w:eastAsia="Times New Roman" w:cs="Times New Roman"/>
                <w:sz w:val="18"/>
                <w:szCs w:val="18"/>
                <w:lang w:eastAsia="pt-BR"/>
              </w:rPr>
              <w:t>83</w:t>
            </w:r>
            <w:r w:rsidRPr="68783CE5">
              <w:rPr>
                <w:rFonts w:eastAsia="Times New Roman" w:cs="Times New Roman"/>
                <w:sz w:val="18"/>
                <w:szCs w:val="18"/>
                <w:lang w:eastAsia="pt-BR"/>
              </w:rPr>
              <w:t>1</w:t>
            </w:r>
          </w:p>
        </w:tc>
        <w:tc>
          <w:tcPr>
            <w:tcW w:w="1305" w:type="dxa"/>
            <w:shd w:val="clear" w:color="auto" w:fill="F2F2F2" w:themeFill="background1" w:themeFillShade="F2"/>
            <w:vAlign w:val="center"/>
          </w:tcPr>
          <w:p w14:paraId="5AE19ED2" w14:textId="28B896B9" w:rsidR="000169F2" w:rsidRPr="003C2F89" w:rsidRDefault="1D713AA1"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1.274,4</w:t>
            </w:r>
          </w:p>
        </w:tc>
        <w:tc>
          <w:tcPr>
            <w:tcW w:w="1777" w:type="dxa"/>
            <w:shd w:val="clear" w:color="auto" w:fill="F2F2F2" w:themeFill="background1" w:themeFillShade="F2"/>
            <w:vAlign w:val="center"/>
          </w:tcPr>
          <w:p w14:paraId="1C96CC23" w14:textId="2F5FDEAA" w:rsidR="000169F2" w:rsidRPr="00EA2AF3" w:rsidRDefault="67149C9D"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892,0</w:t>
            </w:r>
          </w:p>
        </w:tc>
      </w:tr>
      <w:tr w:rsidR="000169F2" w:rsidRPr="00102756" w14:paraId="57F8D195" w14:textId="77777777" w:rsidTr="6F4BDE0C">
        <w:trPr>
          <w:trHeight w:val="20"/>
          <w:jc w:val="center"/>
        </w:trPr>
        <w:tc>
          <w:tcPr>
            <w:tcW w:w="780" w:type="dxa"/>
            <w:shd w:val="clear" w:color="auto" w:fill="auto"/>
            <w:vAlign w:val="center"/>
          </w:tcPr>
          <w:p w14:paraId="172AEC98" w14:textId="77777777" w:rsidR="000169F2" w:rsidRPr="005322FA" w:rsidRDefault="000169F2" w:rsidP="003C5519">
            <w:pPr>
              <w:spacing w:after="0" w:line="240" w:lineRule="auto"/>
              <w:jc w:val="center"/>
              <w:rPr>
                <w:rFonts w:eastAsia="Times New Roman" w:cs="Times New Roman"/>
                <w:sz w:val="18"/>
                <w:szCs w:val="18"/>
                <w:lang w:eastAsia="pt-BR"/>
              </w:rPr>
            </w:pPr>
            <w:r w:rsidRPr="005322FA">
              <w:rPr>
                <w:rFonts w:eastAsia="Times New Roman" w:cs="Times New Roman"/>
                <w:sz w:val="18"/>
                <w:szCs w:val="18"/>
                <w:lang w:eastAsia="pt-BR"/>
              </w:rPr>
              <w:t>H</w:t>
            </w:r>
          </w:p>
        </w:tc>
        <w:tc>
          <w:tcPr>
            <w:tcW w:w="1034" w:type="dxa"/>
            <w:shd w:val="clear" w:color="auto" w:fill="auto"/>
            <w:vAlign w:val="center"/>
          </w:tcPr>
          <w:p w14:paraId="64C34262" w14:textId="77777777" w:rsidR="000169F2" w:rsidRPr="00102756" w:rsidRDefault="000169F2" w:rsidP="003C5519">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100,0</w:t>
            </w:r>
          </w:p>
        </w:tc>
        <w:tc>
          <w:tcPr>
            <w:tcW w:w="1191" w:type="dxa"/>
            <w:shd w:val="clear" w:color="auto" w:fill="auto"/>
            <w:vAlign w:val="center"/>
          </w:tcPr>
          <w:p w14:paraId="31D6882A" w14:textId="2D6E439A" w:rsidR="000169F2" w:rsidRPr="003C2F89" w:rsidRDefault="462D6BCA"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879</w:t>
            </w:r>
            <w:r w:rsidR="35D20B97" w:rsidRPr="68783CE5">
              <w:rPr>
                <w:rFonts w:eastAsia="Times New Roman" w:cs="Times New Roman"/>
                <w:sz w:val="18"/>
                <w:szCs w:val="18"/>
                <w:lang w:eastAsia="pt-BR"/>
              </w:rPr>
              <w:t>.5</w:t>
            </w:r>
            <w:r w:rsidR="14AC23F6" w:rsidRPr="68783CE5">
              <w:rPr>
                <w:rFonts w:eastAsia="Times New Roman" w:cs="Times New Roman"/>
                <w:sz w:val="18"/>
                <w:szCs w:val="18"/>
                <w:lang w:eastAsia="pt-BR"/>
              </w:rPr>
              <w:t>06</w:t>
            </w:r>
          </w:p>
        </w:tc>
        <w:tc>
          <w:tcPr>
            <w:tcW w:w="1305" w:type="dxa"/>
            <w:vAlign w:val="center"/>
          </w:tcPr>
          <w:p w14:paraId="0E326F94" w14:textId="17F1DD32" w:rsidR="000169F2" w:rsidRPr="007C2CBD" w:rsidRDefault="2AF1D054"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35D20B97" w:rsidRPr="68783CE5">
              <w:rPr>
                <w:rFonts w:eastAsia="Times New Roman" w:cs="Times New Roman"/>
                <w:sz w:val="18"/>
                <w:szCs w:val="18"/>
                <w:lang w:eastAsia="pt-BR"/>
              </w:rPr>
              <w:t>5.</w:t>
            </w:r>
            <w:r w:rsidR="24F8680F" w:rsidRPr="68783CE5">
              <w:rPr>
                <w:rFonts w:eastAsia="Times New Roman" w:cs="Times New Roman"/>
                <w:sz w:val="18"/>
                <w:szCs w:val="18"/>
                <w:lang w:eastAsia="pt-BR"/>
              </w:rPr>
              <w:t>750</w:t>
            </w:r>
            <w:r w:rsidR="35D20B97" w:rsidRPr="68783CE5">
              <w:rPr>
                <w:rFonts w:eastAsia="Times New Roman" w:cs="Times New Roman"/>
                <w:sz w:val="18"/>
                <w:szCs w:val="18"/>
                <w:lang w:eastAsia="pt-BR"/>
              </w:rPr>
              <w:t>,7</w:t>
            </w:r>
          </w:p>
        </w:tc>
        <w:tc>
          <w:tcPr>
            <w:tcW w:w="1777" w:type="dxa"/>
            <w:vAlign w:val="center"/>
          </w:tcPr>
          <w:p w14:paraId="3FEF3CB5" w14:textId="00C9A624" w:rsidR="000169F2" w:rsidRPr="00EA2AF3" w:rsidRDefault="319A6228" w:rsidP="003C5519">
            <w:pPr>
              <w:spacing w:after="0" w:line="240" w:lineRule="auto"/>
              <w:jc w:val="right"/>
              <w:rPr>
                <w:rFonts w:eastAsia="Times New Roman" w:cs="Times New Roman"/>
                <w:sz w:val="18"/>
                <w:szCs w:val="18"/>
                <w:lang w:eastAsia="pt-BR"/>
              </w:rPr>
            </w:pPr>
            <w:r w:rsidRPr="68783CE5">
              <w:rPr>
                <w:rFonts w:eastAsia="Times New Roman" w:cs="Times New Roman"/>
                <w:sz w:val="18"/>
                <w:szCs w:val="18"/>
                <w:lang w:eastAsia="pt-BR"/>
              </w:rPr>
              <w:t>2</w:t>
            </w:r>
            <w:r w:rsidR="35D20B97" w:rsidRPr="68783CE5">
              <w:rPr>
                <w:rFonts w:eastAsia="Times New Roman" w:cs="Times New Roman"/>
                <w:sz w:val="18"/>
                <w:szCs w:val="18"/>
                <w:lang w:eastAsia="pt-BR"/>
              </w:rPr>
              <w:t>5.</w:t>
            </w:r>
            <w:r w:rsidR="1F6F0340" w:rsidRPr="68783CE5">
              <w:rPr>
                <w:rFonts w:eastAsia="Times New Roman" w:cs="Times New Roman"/>
                <w:sz w:val="18"/>
                <w:szCs w:val="18"/>
                <w:lang w:eastAsia="pt-BR"/>
              </w:rPr>
              <w:t>75</w:t>
            </w:r>
            <w:r w:rsidR="585C24CA" w:rsidRPr="68783CE5">
              <w:rPr>
                <w:rFonts w:eastAsia="Times New Roman" w:cs="Times New Roman"/>
                <w:sz w:val="18"/>
                <w:szCs w:val="18"/>
                <w:lang w:eastAsia="pt-BR"/>
              </w:rPr>
              <w:t>0</w:t>
            </w:r>
            <w:r w:rsidR="35D20B97" w:rsidRPr="68783CE5">
              <w:rPr>
                <w:rFonts w:eastAsia="Times New Roman" w:cs="Times New Roman"/>
                <w:sz w:val="18"/>
                <w:szCs w:val="18"/>
                <w:lang w:eastAsia="pt-BR"/>
              </w:rPr>
              <w:t>,</w:t>
            </w:r>
            <w:r w:rsidR="582CD259" w:rsidRPr="68783CE5">
              <w:rPr>
                <w:rFonts w:eastAsia="Times New Roman" w:cs="Times New Roman"/>
                <w:sz w:val="18"/>
                <w:szCs w:val="18"/>
                <w:lang w:eastAsia="pt-BR"/>
              </w:rPr>
              <w:t>7</w:t>
            </w:r>
          </w:p>
        </w:tc>
      </w:tr>
      <w:tr w:rsidR="005322FA" w:rsidRPr="00DB29BF" w14:paraId="1BE63D15" w14:textId="77777777" w:rsidTr="6F4BDE0C">
        <w:trPr>
          <w:trHeight w:val="20"/>
          <w:jc w:val="center"/>
        </w:trPr>
        <w:tc>
          <w:tcPr>
            <w:tcW w:w="1814" w:type="dxa"/>
            <w:gridSpan w:val="2"/>
            <w:tcBorders>
              <w:bottom w:val="nil"/>
            </w:tcBorders>
            <w:shd w:val="clear" w:color="auto" w:fill="7F7F7F" w:themeFill="text1" w:themeFillTint="80"/>
            <w:vAlign w:val="center"/>
          </w:tcPr>
          <w:p w14:paraId="627317B9" w14:textId="497BB3D9" w:rsidR="005322FA" w:rsidRPr="00DB29BF" w:rsidRDefault="005322FA" w:rsidP="005322FA">
            <w:pPr>
              <w:spacing w:after="0" w:line="240" w:lineRule="auto"/>
              <w:rPr>
                <w:rFonts w:eastAsia="Times New Roman" w:cs="Times New Roman"/>
                <w:b/>
                <w:color w:val="FFFFFF" w:themeColor="background1"/>
                <w:sz w:val="18"/>
                <w:szCs w:val="18"/>
                <w:lang w:eastAsia="pt-BR"/>
              </w:rPr>
            </w:pPr>
            <w:r w:rsidRPr="00DB29BF">
              <w:rPr>
                <w:rFonts w:eastAsia="Times New Roman" w:cs="Times New Roman"/>
                <w:b/>
                <w:color w:val="FFFFFF" w:themeColor="background1"/>
                <w:sz w:val="18"/>
                <w:szCs w:val="18"/>
                <w:lang w:eastAsia="pt-BR"/>
              </w:rPr>
              <w:t>Total</w:t>
            </w:r>
          </w:p>
        </w:tc>
        <w:tc>
          <w:tcPr>
            <w:tcW w:w="1191" w:type="dxa"/>
            <w:tcBorders>
              <w:bottom w:val="nil"/>
            </w:tcBorders>
            <w:shd w:val="clear" w:color="auto" w:fill="7F7F7F" w:themeFill="text1" w:themeFillTint="80"/>
            <w:vAlign w:val="center"/>
          </w:tcPr>
          <w:p w14:paraId="7461F815" w14:textId="4EA204F6" w:rsidR="005322FA" w:rsidRPr="00DB29BF" w:rsidRDefault="13754780" w:rsidP="003C5519">
            <w:pPr>
              <w:spacing w:after="0" w:line="240" w:lineRule="auto"/>
              <w:jc w:val="right"/>
              <w:rPr>
                <w:rFonts w:eastAsia="Times New Roman" w:cs="Times New Roman"/>
                <w:b/>
                <w:color w:val="FFFFFF" w:themeColor="background1"/>
                <w:sz w:val="18"/>
                <w:szCs w:val="18"/>
                <w:lang w:eastAsia="pt-BR"/>
              </w:rPr>
            </w:pPr>
            <w:r w:rsidRPr="00DB29BF">
              <w:rPr>
                <w:rFonts w:eastAsia="Times New Roman" w:cs="Times New Roman"/>
                <w:b/>
                <w:color w:val="FFFFFF" w:themeColor="background1"/>
                <w:sz w:val="18"/>
                <w:szCs w:val="18"/>
                <w:lang w:eastAsia="pt-BR"/>
              </w:rPr>
              <w:t>1.</w:t>
            </w:r>
            <w:r w:rsidR="63DE8C6A" w:rsidRPr="00DB29BF">
              <w:rPr>
                <w:rFonts w:eastAsia="Times New Roman" w:cs="Times New Roman"/>
                <w:b/>
                <w:color w:val="FFFFFF" w:themeColor="background1"/>
                <w:sz w:val="18"/>
                <w:szCs w:val="18"/>
                <w:lang w:eastAsia="pt-BR"/>
              </w:rPr>
              <w:t>9</w:t>
            </w:r>
            <w:r w:rsidRPr="00DB29BF">
              <w:rPr>
                <w:rFonts w:eastAsia="Times New Roman" w:cs="Times New Roman"/>
                <w:b/>
                <w:color w:val="FFFFFF" w:themeColor="background1"/>
                <w:sz w:val="18"/>
                <w:szCs w:val="18"/>
                <w:lang w:eastAsia="pt-BR"/>
              </w:rPr>
              <w:t>5</w:t>
            </w:r>
            <w:r w:rsidR="60C3CB60" w:rsidRPr="00DB29BF">
              <w:rPr>
                <w:rFonts w:eastAsia="Times New Roman" w:cs="Times New Roman"/>
                <w:b/>
                <w:color w:val="FFFFFF" w:themeColor="background1"/>
                <w:sz w:val="18"/>
                <w:szCs w:val="18"/>
                <w:lang w:eastAsia="pt-BR"/>
              </w:rPr>
              <w:t>2</w:t>
            </w:r>
            <w:r w:rsidRPr="00DB29BF">
              <w:rPr>
                <w:rFonts w:eastAsia="Times New Roman" w:cs="Times New Roman"/>
                <w:b/>
                <w:color w:val="FFFFFF" w:themeColor="background1"/>
                <w:sz w:val="18"/>
                <w:szCs w:val="18"/>
                <w:lang w:eastAsia="pt-BR"/>
              </w:rPr>
              <w:t>.</w:t>
            </w:r>
            <w:r w:rsidR="54B9D2F8" w:rsidRPr="00DB29BF">
              <w:rPr>
                <w:rFonts w:eastAsia="Times New Roman" w:cs="Times New Roman"/>
                <w:b/>
                <w:color w:val="FFFFFF" w:themeColor="background1"/>
                <w:sz w:val="18"/>
                <w:szCs w:val="18"/>
                <w:lang w:eastAsia="pt-BR"/>
              </w:rPr>
              <w:t>20</w:t>
            </w:r>
            <w:r w:rsidRPr="00DB29BF">
              <w:rPr>
                <w:rFonts w:eastAsia="Times New Roman" w:cs="Times New Roman"/>
                <w:b/>
                <w:color w:val="FFFFFF" w:themeColor="background1"/>
                <w:sz w:val="18"/>
                <w:szCs w:val="18"/>
                <w:lang w:eastAsia="pt-BR"/>
              </w:rPr>
              <w:t>7</w:t>
            </w:r>
          </w:p>
        </w:tc>
        <w:tc>
          <w:tcPr>
            <w:tcW w:w="1305" w:type="dxa"/>
            <w:tcBorders>
              <w:bottom w:val="nil"/>
            </w:tcBorders>
            <w:shd w:val="clear" w:color="auto" w:fill="7F7F7F" w:themeFill="text1" w:themeFillTint="80"/>
            <w:vAlign w:val="center"/>
          </w:tcPr>
          <w:p w14:paraId="6D7742B3" w14:textId="251AAF9B" w:rsidR="005322FA" w:rsidRPr="00DB29BF" w:rsidRDefault="2BFF276A" w:rsidP="003C5519">
            <w:pPr>
              <w:spacing w:after="0" w:line="240" w:lineRule="auto"/>
              <w:jc w:val="right"/>
              <w:rPr>
                <w:rFonts w:eastAsia="Times New Roman" w:cs="Times New Roman"/>
                <w:b/>
                <w:color w:val="FFFFFF" w:themeColor="background1"/>
                <w:sz w:val="18"/>
                <w:szCs w:val="18"/>
                <w:lang w:eastAsia="pt-BR"/>
              </w:rPr>
            </w:pPr>
            <w:r w:rsidRPr="00DB29BF">
              <w:rPr>
                <w:rFonts w:eastAsia="Times New Roman" w:cs="Times New Roman"/>
                <w:b/>
                <w:color w:val="FFFFFF" w:themeColor="background1"/>
                <w:sz w:val="18"/>
                <w:szCs w:val="18"/>
                <w:lang w:eastAsia="pt-BR"/>
              </w:rPr>
              <w:t>69</w:t>
            </w:r>
            <w:r w:rsidR="13754780" w:rsidRPr="00DB29BF">
              <w:rPr>
                <w:rFonts w:eastAsia="Times New Roman" w:cs="Times New Roman"/>
                <w:b/>
                <w:color w:val="FFFFFF" w:themeColor="background1"/>
                <w:sz w:val="18"/>
                <w:szCs w:val="18"/>
                <w:lang w:eastAsia="pt-BR"/>
              </w:rPr>
              <w:t>.</w:t>
            </w:r>
            <w:r w:rsidR="2CDB72CB" w:rsidRPr="00DB29BF">
              <w:rPr>
                <w:rFonts w:eastAsia="Times New Roman" w:cs="Times New Roman"/>
                <w:b/>
                <w:color w:val="FFFFFF" w:themeColor="background1"/>
                <w:sz w:val="18"/>
                <w:szCs w:val="18"/>
                <w:lang w:eastAsia="pt-BR"/>
              </w:rPr>
              <w:t>38</w:t>
            </w:r>
            <w:r w:rsidR="50EEC1FB" w:rsidRPr="00DB29BF">
              <w:rPr>
                <w:rFonts w:eastAsia="Times New Roman" w:cs="Times New Roman"/>
                <w:b/>
                <w:color w:val="FFFFFF" w:themeColor="background1"/>
                <w:sz w:val="18"/>
                <w:szCs w:val="18"/>
                <w:lang w:eastAsia="pt-BR"/>
              </w:rPr>
              <w:t>2</w:t>
            </w:r>
            <w:r w:rsidR="13754780" w:rsidRPr="00DB29BF">
              <w:rPr>
                <w:rFonts w:eastAsia="Times New Roman" w:cs="Times New Roman"/>
                <w:b/>
                <w:color w:val="FFFFFF" w:themeColor="background1"/>
                <w:sz w:val="18"/>
                <w:szCs w:val="18"/>
                <w:lang w:eastAsia="pt-BR"/>
              </w:rPr>
              <w:t>,</w:t>
            </w:r>
            <w:r w:rsidR="47AC5079" w:rsidRPr="00DB29BF">
              <w:rPr>
                <w:rFonts w:eastAsia="Times New Roman" w:cs="Times New Roman"/>
                <w:b/>
                <w:color w:val="FFFFFF" w:themeColor="background1"/>
                <w:sz w:val="18"/>
                <w:szCs w:val="18"/>
                <w:lang w:eastAsia="pt-BR"/>
              </w:rPr>
              <w:t>0</w:t>
            </w:r>
          </w:p>
        </w:tc>
        <w:tc>
          <w:tcPr>
            <w:tcW w:w="1777" w:type="dxa"/>
            <w:tcBorders>
              <w:bottom w:val="nil"/>
            </w:tcBorders>
            <w:shd w:val="clear" w:color="auto" w:fill="7F7F7F" w:themeFill="text1" w:themeFillTint="80"/>
            <w:vAlign w:val="center"/>
          </w:tcPr>
          <w:p w14:paraId="1346BDA6" w14:textId="57AC68EB" w:rsidR="005322FA" w:rsidRPr="00DB29BF" w:rsidRDefault="5A809375" w:rsidP="003C5519">
            <w:pPr>
              <w:spacing w:after="0" w:line="240" w:lineRule="auto"/>
              <w:jc w:val="right"/>
              <w:rPr>
                <w:rFonts w:eastAsia="Times New Roman" w:cs="Times New Roman"/>
                <w:b/>
                <w:color w:val="FFFFFF" w:themeColor="background1"/>
                <w:sz w:val="18"/>
                <w:szCs w:val="18"/>
                <w:lang w:eastAsia="pt-BR"/>
              </w:rPr>
            </w:pPr>
            <w:r w:rsidRPr="00DB29BF">
              <w:rPr>
                <w:rFonts w:eastAsia="Times New Roman" w:cs="Times New Roman"/>
                <w:b/>
                <w:color w:val="FFFFFF" w:themeColor="background1"/>
                <w:sz w:val="18"/>
                <w:szCs w:val="18"/>
                <w:lang w:eastAsia="pt-BR"/>
              </w:rPr>
              <w:t>2</w:t>
            </w:r>
            <w:r w:rsidR="13754780" w:rsidRPr="00DB29BF">
              <w:rPr>
                <w:rFonts w:eastAsia="Times New Roman" w:cs="Times New Roman"/>
                <w:b/>
                <w:color w:val="FFFFFF" w:themeColor="background1"/>
                <w:sz w:val="18"/>
                <w:szCs w:val="18"/>
                <w:lang w:eastAsia="pt-BR"/>
              </w:rPr>
              <w:t>7.8</w:t>
            </w:r>
            <w:r w:rsidR="2408002E" w:rsidRPr="00DB29BF">
              <w:rPr>
                <w:rFonts w:eastAsia="Times New Roman" w:cs="Times New Roman"/>
                <w:b/>
                <w:color w:val="FFFFFF" w:themeColor="background1"/>
                <w:sz w:val="18"/>
                <w:szCs w:val="18"/>
                <w:lang w:eastAsia="pt-BR"/>
              </w:rPr>
              <w:t>59,9</w:t>
            </w:r>
          </w:p>
        </w:tc>
      </w:tr>
      <w:tr w:rsidR="000169F2" w:rsidRPr="00102756" w14:paraId="32CB9578" w14:textId="77777777" w:rsidTr="6F4BDE0C">
        <w:trPr>
          <w:trHeight w:val="80"/>
          <w:jc w:val="center"/>
        </w:trPr>
        <w:tc>
          <w:tcPr>
            <w:tcW w:w="6087" w:type="dxa"/>
            <w:gridSpan w:val="5"/>
            <w:tcBorders>
              <w:top w:val="nil"/>
              <w:left w:val="nil"/>
              <w:bottom w:val="nil"/>
              <w:right w:val="nil"/>
            </w:tcBorders>
            <w:shd w:val="clear" w:color="auto" w:fill="auto"/>
            <w:vAlign w:val="center"/>
          </w:tcPr>
          <w:p w14:paraId="6CF80AF4" w14:textId="279E6F95" w:rsidR="00214D0B" w:rsidRPr="00BE58DA" w:rsidRDefault="720A728E" w:rsidP="68783CE5">
            <w:pPr>
              <w:spacing w:after="0" w:line="240" w:lineRule="auto"/>
              <w:rPr>
                <w:i/>
                <w:iCs/>
                <w:sz w:val="16"/>
                <w:szCs w:val="16"/>
              </w:rPr>
            </w:pPr>
            <w:proofErr w:type="gramStart"/>
            <w:r w:rsidRPr="68783CE5">
              <w:rPr>
                <w:i/>
                <w:iCs/>
                <w:sz w:val="16"/>
                <w:szCs w:val="16"/>
                <w:vertAlign w:val="superscript"/>
              </w:rPr>
              <w:t>1</w:t>
            </w:r>
            <w:proofErr w:type="gramEnd"/>
            <w:r w:rsidR="20B08F66" w:rsidRPr="68783CE5">
              <w:rPr>
                <w:i/>
                <w:iCs/>
                <w:sz w:val="16"/>
                <w:szCs w:val="16"/>
                <w:vertAlign w:val="superscript"/>
              </w:rPr>
              <w:t xml:space="preserve"> </w:t>
            </w:r>
            <w:r w:rsidRPr="68783CE5">
              <w:rPr>
                <w:i/>
                <w:iCs/>
                <w:sz w:val="16"/>
                <w:szCs w:val="16"/>
              </w:rPr>
              <w:t>Posição em 31/12/20</w:t>
            </w:r>
            <w:r w:rsidR="62516994" w:rsidRPr="68783CE5">
              <w:rPr>
                <w:i/>
                <w:iCs/>
                <w:sz w:val="16"/>
                <w:szCs w:val="16"/>
              </w:rPr>
              <w:t>20</w:t>
            </w:r>
            <w:r w:rsidRPr="68783CE5">
              <w:rPr>
                <w:i/>
                <w:iCs/>
                <w:sz w:val="16"/>
                <w:szCs w:val="16"/>
              </w:rPr>
              <w:t>.</w:t>
            </w:r>
          </w:p>
          <w:p w14:paraId="6AC215CF" w14:textId="02C916F9" w:rsidR="000169F2" w:rsidRPr="004B6E08" w:rsidRDefault="000169F2" w:rsidP="00214D0B">
            <w:pPr>
              <w:spacing w:after="0" w:line="240" w:lineRule="auto"/>
              <w:rPr>
                <w:rFonts w:cstheme="minorHAnsi"/>
                <w:sz w:val="18"/>
                <w:szCs w:val="18"/>
              </w:rPr>
            </w:pPr>
            <w:r w:rsidRPr="00BE58DA">
              <w:rPr>
                <w:b/>
                <w:i/>
                <w:sz w:val="16"/>
                <w:szCs w:val="16"/>
              </w:rPr>
              <w:t>Fonte e Elaboração</w:t>
            </w:r>
            <w:r w:rsidRPr="00BE58DA">
              <w:rPr>
                <w:i/>
                <w:sz w:val="16"/>
                <w:szCs w:val="16"/>
              </w:rPr>
              <w:t>: FNDE</w:t>
            </w:r>
            <w:r w:rsidR="00214D0B" w:rsidRPr="00BE58DA">
              <w:rPr>
                <w:i/>
                <w:sz w:val="16"/>
                <w:szCs w:val="16"/>
              </w:rPr>
              <w:t>.</w:t>
            </w:r>
          </w:p>
        </w:tc>
      </w:tr>
    </w:tbl>
    <w:p w14:paraId="16C9DB5C" w14:textId="77777777" w:rsidR="00650476" w:rsidRPr="0022645B" w:rsidRDefault="00650476" w:rsidP="00650476">
      <w:pPr>
        <w:pStyle w:val="Corpodetexto"/>
        <w:spacing w:line="240" w:lineRule="auto"/>
        <w:jc w:val="both"/>
        <w:rPr>
          <w:rFonts w:cstheme="minorHAnsi"/>
          <w:color w:val="000000" w:themeColor="text1"/>
          <w:sz w:val="24"/>
          <w:szCs w:val="24"/>
        </w:rPr>
      </w:pPr>
    </w:p>
    <w:p w14:paraId="7C016B4B" w14:textId="6B9292EE" w:rsidR="00C56ED5" w:rsidRPr="00353D69" w:rsidRDefault="00E8439E" w:rsidP="68783CE5">
      <w:pPr>
        <w:pStyle w:val="Corpodetexto"/>
        <w:spacing w:line="240" w:lineRule="auto"/>
        <w:ind w:firstLine="1418"/>
        <w:jc w:val="both"/>
        <w:rPr>
          <w:color w:val="000000" w:themeColor="text1"/>
          <w:sz w:val="24"/>
          <w:szCs w:val="24"/>
        </w:rPr>
      </w:pPr>
      <w:r w:rsidRPr="00353D69">
        <w:rPr>
          <w:color w:val="000000" w:themeColor="text1"/>
          <w:sz w:val="24"/>
          <w:szCs w:val="24"/>
        </w:rPr>
        <w:lastRenderedPageBreak/>
        <w:t>O valor do ajuste para perdas foi fortemente impactado pela elevação da quantidade de contratos que passaram da fase de carência para a fase de amortização no exercício. Ao final de 20</w:t>
      </w:r>
      <w:r w:rsidR="79611E0B" w:rsidRPr="00353D69">
        <w:rPr>
          <w:color w:val="000000" w:themeColor="text1"/>
          <w:sz w:val="24"/>
          <w:szCs w:val="24"/>
        </w:rPr>
        <w:t>20</w:t>
      </w:r>
      <w:r w:rsidRPr="00353D69">
        <w:rPr>
          <w:color w:val="000000" w:themeColor="text1"/>
          <w:sz w:val="24"/>
          <w:szCs w:val="24"/>
        </w:rPr>
        <w:t>, 1,</w:t>
      </w:r>
      <w:r w:rsidR="353754A9" w:rsidRPr="00353D69">
        <w:rPr>
          <w:color w:val="000000" w:themeColor="text1"/>
          <w:sz w:val="24"/>
          <w:szCs w:val="24"/>
        </w:rPr>
        <w:t>96</w:t>
      </w:r>
      <w:r w:rsidRPr="00353D69">
        <w:rPr>
          <w:color w:val="000000" w:themeColor="text1"/>
          <w:sz w:val="24"/>
          <w:szCs w:val="24"/>
        </w:rPr>
        <w:t xml:space="preserve"> milhão de contratos estavam em amortização, com saldo devedor total de R$ </w:t>
      </w:r>
      <w:r w:rsidR="74DBC403" w:rsidRPr="00353D69">
        <w:rPr>
          <w:color w:val="000000" w:themeColor="text1"/>
          <w:sz w:val="24"/>
          <w:szCs w:val="24"/>
        </w:rPr>
        <w:t>69</w:t>
      </w:r>
      <w:r w:rsidRPr="00353D69">
        <w:rPr>
          <w:color w:val="000000" w:themeColor="text1"/>
          <w:sz w:val="24"/>
          <w:szCs w:val="24"/>
        </w:rPr>
        <w:t>,</w:t>
      </w:r>
      <w:r w:rsidR="49BF8004" w:rsidRPr="00353D69">
        <w:rPr>
          <w:color w:val="000000" w:themeColor="text1"/>
          <w:sz w:val="24"/>
          <w:szCs w:val="24"/>
        </w:rPr>
        <w:t>5</w:t>
      </w:r>
      <w:r w:rsidRPr="00353D69">
        <w:rPr>
          <w:color w:val="000000" w:themeColor="text1"/>
          <w:sz w:val="24"/>
          <w:szCs w:val="24"/>
        </w:rPr>
        <w:t xml:space="preserve"> bilhões, o que representa aumento de </w:t>
      </w:r>
      <w:r w:rsidR="11097BEB" w:rsidRPr="00353D69">
        <w:rPr>
          <w:color w:val="000000" w:themeColor="text1"/>
          <w:sz w:val="24"/>
          <w:szCs w:val="24"/>
        </w:rPr>
        <w:t>23</w:t>
      </w:r>
      <w:r w:rsidRPr="00353D69">
        <w:rPr>
          <w:color w:val="000000" w:themeColor="text1"/>
          <w:sz w:val="24"/>
          <w:szCs w:val="24"/>
        </w:rPr>
        <w:t>,</w:t>
      </w:r>
      <w:r w:rsidR="6242EA6A" w:rsidRPr="00353D69">
        <w:rPr>
          <w:color w:val="000000" w:themeColor="text1"/>
          <w:sz w:val="24"/>
          <w:szCs w:val="24"/>
        </w:rPr>
        <w:t>8</w:t>
      </w:r>
      <w:r w:rsidRPr="00353D69">
        <w:rPr>
          <w:color w:val="000000" w:themeColor="text1"/>
          <w:sz w:val="24"/>
          <w:szCs w:val="24"/>
        </w:rPr>
        <w:t xml:space="preserve">% e de </w:t>
      </w:r>
      <w:r w:rsidR="6648E8FB" w:rsidRPr="00353D69">
        <w:rPr>
          <w:color w:val="000000" w:themeColor="text1"/>
          <w:sz w:val="24"/>
          <w:szCs w:val="24"/>
        </w:rPr>
        <w:t>51</w:t>
      </w:r>
      <w:r w:rsidRPr="00353D69">
        <w:rPr>
          <w:color w:val="000000" w:themeColor="text1"/>
          <w:sz w:val="24"/>
          <w:szCs w:val="24"/>
        </w:rPr>
        <w:t>,</w:t>
      </w:r>
      <w:r w:rsidR="2C26AF9E" w:rsidRPr="00353D69">
        <w:rPr>
          <w:color w:val="000000" w:themeColor="text1"/>
          <w:sz w:val="24"/>
          <w:szCs w:val="24"/>
        </w:rPr>
        <w:t>3</w:t>
      </w:r>
      <w:r w:rsidRPr="00353D69">
        <w:rPr>
          <w:color w:val="000000" w:themeColor="text1"/>
          <w:sz w:val="24"/>
          <w:szCs w:val="24"/>
        </w:rPr>
        <w:t xml:space="preserve">%, respectivamente, em relação à quantidade e saldo </w:t>
      </w:r>
      <w:proofErr w:type="gramStart"/>
      <w:r w:rsidRPr="00353D69">
        <w:rPr>
          <w:color w:val="000000" w:themeColor="text1"/>
          <w:sz w:val="24"/>
          <w:szCs w:val="24"/>
        </w:rPr>
        <w:t>devedor observados ao final do exercício de 201</w:t>
      </w:r>
      <w:r w:rsidR="62C35771" w:rsidRPr="00353D69">
        <w:rPr>
          <w:color w:val="000000" w:themeColor="text1"/>
          <w:sz w:val="24"/>
          <w:szCs w:val="24"/>
        </w:rPr>
        <w:t>9</w:t>
      </w:r>
      <w:proofErr w:type="gramEnd"/>
      <w:r w:rsidRPr="00353D69">
        <w:rPr>
          <w:color w:val="000000" w:themeColor="text1"/>
          <w:sz w:val="24"/>
          <w:szCs w:val="24"/>
        </w:rPr>
        <w:t>.</w:t>
      </w:r>
    </w:p>
    <w:p w14:paraId="78424D21" w14:textId="26D0451B" w:rsidR="00D714CA" w:rsidRPr="002E09EA" w:rsidRDefault="00A8246A" w:rsidP="002E09EA">
      <w:pPr>
        <w:pStyle w:val="Ttulo4"/>
        <w:keepLines/>
        <w:numPr>
          <w:ilvl w:val="3"/>
          <w:numId w:val="36"/>
        </w:numPr>
        <w:spacing w:before="240" w:after="120"/>
        <w:ind w:left="862" w:hanging="862"/>
        <w:jc w:val="left"/>
        <w:rPr>
          <w:rFonts w:asciiTheme="minorHAnsi" w:hAnsiTheme="minorHAnsi"/>
        </w:rPr>
      </w:pPr>
      <w:r w:rsidRPr="002E09EA">
        <w:rPr>
          <w:rFonts w:asciiTheme="minorHAnsi" w:hAnsiTheme="minorHAnsi"/>
        </w:rPr>
        <w:t>Medidas de mitigação</w:t>
      </w:r>
      <w:r w:rsidR="00655540" w:rsidRPr="002E09EA">
        <w:rPr>
          <w:rFonts w:asciiTheme="minorHAnsi" w:hAnsiTheme="minorHAnsi"/>
        </w:rPr>
        <w:t xml:space="preserve"> do risco de crédito</w:t>
      </w:r>
    </w:p>
    <w:p w14:paraId="4A835910" w14:textId="1F363857" w:rsidR="002A37F2" w:rsidRPr="00353D69" w:rsidRDefault="006C3100" w:rsidP="00776D22">
      <w:pPr>
        <w:pStyle w:val="Corpodetexto"/>
        <w:ind w:firstLine="1418"/>
        <w:jc w:val="both"/>
        <w:rPr>
          <w:color w:val="000000" w:themeColor="text1"/>
          <w:sz w:val="24"/>
          <w:szCs w:val="24"/>
        </w:rPr>
      </w:pPr>
      <w:r w:rsidRPr="00353D69">
        <w:rPr>
          <w:color w:val="000000" w:themeColor="text1"/>
          <w:sz w:val="24"/>
          <w:szCs w:val="24"/>
        </w:rPr>
        <w:t>O</w:t>
      </w:r>
      <w:r w:rsidR="000C764D" w:rsidRPr="00353D69">
        <w:rPr>
          <w:color w:val="000000" w:themeColor="text1"/>
          <w:sz w:val="24"/>
          <w:szCs w:val="24"/>
        </w:rPr>
        <w:t>s contratos de crédito do Fies contam com instrumentos mitigadores do risco, como fiança convencional, fiança solidária e o Fundo de Garantia de Operações de Crédito Educativo (FGEDUC). Do total de contratos por modalidades de garantias, observa-se que 67% da carteira de contratos do Fies é garantida exclusivamente pelo FGEDUC e, se considerada a cobertura concomitante com fiança, esse percentual garantido pelo Fundo de Garantia representa 78% da carteira de financiamentos concedidos a partir de 2010</w:t>
      </w:r>
      <w:r w:rsidR="00776D22" w:rsidRPr="00353D69">
        <w:rPr>
          <w:color w:val="000000" w:themeColor="text1"/>
          <w:sz w:val="24"/>
          <w:szCs w:val="24"/>
        </w:rPr>
        <w:t xml:space="preserve"> (</w:t>
      </w:r>
      <w:r w:rsidR="00776D22" w:rsidRPr="00353D69">
        <w:rPr>
          <w:color w:val="000000" w:themeColor="text1"/>
          <w:sz w:val="24"/>
          <w:szCs w:val="24"/>
        </w:rPr>
        <w:fldChar w:fldCharType="begin"/>
      </w:r>
      <w:r w:rsidR="00776D22" w:rsidRPr="00353D69">
        <w:rPr>
          <w:color w:val="000000" w:themeColor="text1"/>
          <w:sz w:val="24"/>
          <w:szCs w:val="24"/>
        </w:rPr>
        <w:instrText xml:space="preserve"> REF _Ref35249462  \* MERGEFORMAT </w:instrText>
      </w:r>
      <w:r w:rsidR="00776D22" w:rsidRPr="00353D69">
        <w:rPr>
          <w:color w:val="000000" w:themeColor="text1"/>
          <w:sz w:val="24"/>
          <w:szCs w:val="24"/>
        </w:rPr>
        <w:fldChar w:fldCharType="separate"/>
      </w:r>
      <w:r w:rsidR="00304F5F" w:rsidRPr="00304F5F">
        <w:rPr>
          <w:color w:val="000000" w:themeColor="text1"/>
          <w:sz w:val="24"/>
          <w:szCs w:val="24"/>
        </w:rPr>
        <w:t>Tabela 72</w:t>
      </w:r>
      <w:r w:rsidR="00776D22" w:rsidRPr="00353D69">
        <w:rPr>
          <w:color w:val="000000" w:themeColor="text1"/>
          <w:sz w:val="24"/>
          <w:szCs w:val="24"/>
        </w:rPr>
        <w:fldChar w:fldCharType="end"/>
      </w:r>
      <w:r w:rsidR="000D17A6" w:rsidRPr="00353D69">
        <w:rPr>
          <w:color w:val="000000" w:themeColor="text1"/>
          <w:sz w:val="24"/>
          <w:szCs w:val="24"/>
        </w:rPr>
        <w:t>).</w:t>
      </w:r>
      <w:bookmarkStart w:id="458" w:name="_Hlk4057387"/>
    </w:p>
    <w:p w14:paraId="55D5659F" w14:textId="0BFC1960" w:rsidR="000D17A6" w:rsidRPr="0022645B" w:rsidRDefault="000D17A6" w:rsidP="00857593">
      <w:pPr>
        <w:pStyle w:val="Legenda"/>
        <w:spacing w:before="240" w:after="120"/>
        <w:jc w:val="center"/>
        <w:rPr>
          <w:rFonts w:asciiTheme="minorHAnsi" w:hAnsiTheme="minorHAnsi"/>
          <w:i w:val="0"/>
          <w:color w:val="auto"/>
          <w:sz w:val="22"/>
          <w:szCs w:val="22"/>
        </w:rPr>
      </w:pPr>
      <w:bookmarkStart w:id="459" w:name="_Ref4162118"/>
      <w:bookmarkStart w:id="460" w:name="_Ref35249462"/>
      <w:bookmarkStart w:id="461" w:name="_Toc5027626"/>
      <w:bookmarkStart w:id="462" w:name="_Toc69121418"/>
      <w:r w:rsidRPr="00776D22">
        <w:rPr>
          <w:rFonts w:asciiTheme="minorHAnsi" w:hAnsiTheme="minorHAnsi"/>
          <w:i w:val="0"/>
          <w:color w:val="auto"/>
          <w:sz w:val="22"/>
          <w:szCs w:val="22"/>
        </w:rPr>
        <w:t xml:space="preserve">Tabela </w:t>
      </w:r>
      <w:r w:rsidRPr="00776D22">
        <w:rPr>
          <w:rFonts w:asciiTheme="minorHAnsi" w:hAnsiTheme="minorHAnsi"/>
          <w:i w:val="0"/>
          <w:color w:val="auto"/>
          <w:sz w:val="22"/>
          <w:szCs w:val="22"/>
        </w:rPr>
        <w:fldChar w:fldCharType="begin"/>
      </w:r>
      <w:r w:rsidRPr="00776D22">
        <w:rPr>
          <w:rFonts w:asciiTheme="minorHAnsi" w:hAnsiTheme="minorHAnsi"/>
          <w:i w:val="0"/>
          <w:color w:val="auto"/>
          <w:sz w:val="22"/>
          <w:szCs w:val="22"/>
        </w:rPr>
        <w:instrText xml:space="preserve"> SEQ Tabela \* ARABIC </w:instrText>
      </w:r>
      <w:r w:rsidRPr="00776D22">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72</w:t>
      </w:r>
      <w:r w:rsidRPr="00776D22">
        <w:rPr>
          <w:rFonts w:asciiTheme="minorHAnsi" w:hAnsiTheme="minorHAnsi"/>
          <w:i w:val="0"/>
          <w:color w:val="auto"/>
          <w:sz w:val="22"/>
          <w:szCs w:val="22"/>
        </w:rPr>
        <w:fldChar w:fldCharType="end"/>
      </w:r>
      <w:bookmarkEnd w:id="459"/>
      <w:bookmarkEnd w:id="460"/>
      <w:r w:rsidR="00FA00D9">
        <w:rPr>
          <w:rFonts w:asciiTheme="minorHAnsi" w:hAnsiTheme="minorHAnsi"/>
          <w:i w:val="0"/>
          <w:color w:val="auto"/>
          <w:sz w:val="22"/>
          <w:szCs w:val="22"/>
        </w:rPr>
        <w:t xml:space="preserve"> -</w:t>
      </w:r>
      <w:r w:rsidRPr="00776D22">
        <w:rPr>
          <w:rFonts w:asciiTheme="minorHAnsi" w:hAnsiTheme="minorHAnsi"/>
          <w:i w:val="0"/>
          <w:color w:val="auto"/>
          <w:sz w:val="22"/>
          <w:szCs w:val="22"/>
        </w:rPr>
        <w:t xml:space="preserve"> </w:t>
      </w:r>
      <w:r w:rsidR="00FC363A" w:rsidRPr="00776D22">
        <w:rPr>
          <w:rFonts w:asciiTheme="minorHAnsi" w:hAnsiTheme="minorHAnsi"/>
          <w:i w:val="0"/>
          <w:color w:val="auto"/>
          <w:sz w:val="22"/>
          <w:szCs w:val="22"/>
        </w:rPr>
        <w:t>Contratos e valor da dívida, segundo m</w:t>
      </w:r>
      <w:r w:rsidRPr="00776D22">
        <w:rPr>
          <w:rFonts w:asciiTheme="minorHAnsi" w:hAnsiTheme="minorHAnsi"/>
          <w:i w:val="0"/>
          <w:color w:val="auto"/>
          <w:sz w:val="22"/>
          <w:szCs w:val="22"/>
        </w:rPr>
        <w:t xml:space="preserve">odalidade de </w:t>
      </w:r>
      <w:proofErr w:type="gramStart"/>
      <w:r w:rsidR="00FC363A" w:rsidRPr="00776D22">
        <w:rPr>
          <w:rFonts w:asciiTheme="minorHAnsi" w:hAnsiTheme="minorHAnsi"/>
          <w:i w:val="0"/>
          <w:color w:val="auto"/>
          <w:sz w:val="22"/>
          <w:szCs w:val="22"/>
        </w:rPr>
        <w:t>g</w:t>
      </w:r>
      <w:r w:rsidRPr="00776D22">
        <w:rPr>
          <w:rFonts w:asciiTheme="minorHAnsi" w:hAnsiTheme="minorHAnsi"/>
          <w:i w:val="0"/>
          <w:color w:val="auto"/>
          <w:sz w:val="22"/>
          <w:szCs w:val="22"/>
        </w:rPr>
        <w:t>arantia</w:t>
      </w:r>
      <w:bookmarkEnd w:id="461"/>
      <w:bookmarkEnd w:id="462"/>
      <w:proofErr w:type="gramEnd"/>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66"/>
        <w:gridCol w:w="1191"/>
        <w:gridCol w:w="1368"/>
      </w:tblGrid>
      <w:tr w:rsidR="00F14FE5" w:rsidRPr="00BE58DA" w14:paraId="53C67787" w14:textId="77777777" w:rsidTr="00701D74">
        <w:trPr>
          <w:trHeight w:val="20"/>
          <w:tblHeader/>
          <w:jc w:val="center"/>
        </w:trPr>
        <w:tc>
          <w:tcPr>
            <w:tcW w:w="0" w:type="auto"/>
            <w:gridSpan w:val="3"/>
            <w:tcBorders>
              <w:top w:val="nil"/>
              <w:left w:val="nil"/>
              <w:bottom w:val="nil"/>
              <w:right w:val="nil"/>
            </w:tcBorders>
            <w:shd w:val="clear" w:color="auto" w:fill="auto"/>
            <w:vAlign w:val="center"/>
          </w:tcPr>
          <w:bookmarkEnd w:id="458"/>
          <w:p w14:paraId="1BEC5004" w14:textId="0706329E" w:rsidR="00F14FE5" w:rsidRPr="00BE58DA" w:rsidRDefault="00F14FE5" w:rsidP="00930226">
            <w:pPr>
              <w:spacing w:after="0" w:line="240" w:lineRule="auto"/>
              <w:jc w:val="right"/>
              <w:rPr>
                <w:i/>
                <w:sz w:val="16"/>
                <w:szCs w:val="16"/>
              </w:rPr>
            </w:pPr>
            <w:r w:rsidRPr="00BE58DA">
              <w:rPr>
                <w:i/>
                <w:sz w:val="16"/>
                <w:szCs w:val="16"/>
              </w:rPr>
              <w:t>Em</w:t>
            </w:r>
            <w:r w:rsidR="00930226">
              <w:rPr>
                <w:i/>
                <w:sz w:val="16"/>
                <w:szCs w:val="16"/>
              </w:rPr>
              <w:t xml:space="preserve"> R$</w:t>
            </w:r>
            <w:r w:rsidRPr="00BE58DA">
              <w:rPr>
                <w:i/>
                <w:sz w:val="16"/>
                <w:szCs w:val="16"/>
              </w:rPr>
              <w:t xml:space="preserve"> milhões</w:t>
            </w:r>
          </w:p>
        </w:tc>
      </w:tr>
      <w:tr w:rsidR="00F14FE5" w:rsidRPr="001621C4" w14:paraId="6A749712" w14:textId="77777777" w:rsidTr="00701D74">
        <w:trPr>
          <w:trHeight w:val="20"/>
          <w:tblHeader/>
          <w:jc w:val="center"/>
        </w:trPr>
        <w:tc>
          <w:tcPr>
            <w:tcW w:w="0" w:type="auto"/>
            <w:tcBorders>
              <w:top w:val="nil"/>
            </w:tcBorders>
            <w:shd w:val="clear" w:color="auto" w:fill="404040" w:themeFill="text1" w:themeFillTint="BF"/>
            <w:vAlign w:val="center"/>
          </w:tcPr>
          <w:p w14:paraId="7FE45A38" w14:textId="77777777" w:rsidR="00F14FE5" w:rsidRPr="001621C4" w:rsidRDefault="00F14FE5" w:rsidP="003C5519">
            <w:pPr>
              <w:spacing w:after="0" w:line="240" w:lineRule="auto"/>
              <w:jc w:val="center"/>
              <w:rPr>
                <w:rFonts w:eastAsia="Times New Roman" w:cs="Times New Roman"/>
                <w:b/>
                <w:bCs/>
                <w:color w:val="FFFFFF" w:themeColor="background1"/>
                <w:sz w:val="18"/>
                <w:szCs w:val="18"/>
                <w:lang w:eastAsia="pt-BR"/>
              </w:rPr>
            </w:pPr>
            <w:r w:rsidRPr="001621C4">
              <w:rPr>
                <w:rFonts w:eastAsia="Times New Roman" w:cs="Times New Roman"/>
                <w:b/>
                <w:bCs/>
                <w:color w:val="FFFFFF" w:themeColor="background1"/>
                <w:sz w:val="18"/>
                <w:szCs w:val="18"/>
                <w:lang w:eastAsia="pt-BR"/>
              </w:rPr>
              <w:t>Tipo de Garantia</w:t>
            </w:r>
          </w:p>
        </w:tc>
        <w:tc>
          <w:tcPr>
            <w:tcW w:w="0" w:type="auto"/>
            <w:tcBorders>
              <w:top w:val="nil"/>
            </w:tcBorders>
            <w:shd w:val="clear" w:color="auto" w:fill="404040" w:themeFill="text1" w:themeFillTint="BF"/>
            <w:vAlign w:val="center"/>
          </w:tcPr>
          <w:p w14:paraId="027D4DA2" w14:textId="77777777" w:rsidR="009E36FD" w:rsidRPr="001621C4" w:rsidRDefault="009E36FD" w:rsidP="009E36FD">
            <w:pPr>
              <w:spacing w:after="0" w:line="240" w:lineRule="auto"/>
              <w:jc w:val="center"/>
              <w:rPr>
                <w:rFonts w:eastAsia="Times New Roman" w:cs="Times New Roman"/>
                <w:b/>
                <w:bCs/>
                <w:color w:val="FFFFFF" w:themeColor="background1"/>
                <w:sz w:val="18"/>
                <w:szCs w:val="18"/>
                <w:lang w:eastAsia="pt-BR"/>
              </w:rPr>
            </w:pPr>
            <w:r w:rsidRPr="001621C4">
              <w:rPr>
                <w:rFonts w:eastAsia="Times New Roman" w:cs="Times New Roman"/>
                <w:b/>
                <w:bCs/>
                <w:color w:val="FFFFFF" w:themeColor="background1"/>
                <w:sz w:val="18"/>
                <w:szCs w:val="18"/>
                <w:lang w:eastAsia="pt-BR"/>
              </w:rPr>
              <w:t>Quantidade</w:t>
            </w:r>
          </w:p>
          <w:p w14:paraId="766610EC" w14:textId="14C61B4F" w:rsidR="00F14FE5" w:rsidRPr="001621C4" w:rsidRDefault="009E36FD" w:rsidP="003C5519">
            <w:pPr>
              <w:spacing w:after="0" w:line="240" w:lineRule="auto"/>
              <w:jc w:val="center"/>
              <w:rPr>
                <w:rFonts w:eastAsia="Times New Roman" w:cs="Times New Roman"/>
                <w:b/>
                <w:bCs/>
                <w:color w:val="FFFFFF" w:themeColor="background1"/>
                <w:sz w:val="18"/>
                <w:szCs w:val="18"/>
                <w:lang w:eastAsia="pt-BR"/>
              </w:rPr>
            </w:pPr>
            <w:proofErr w:type="gramStart"/>
            <w:r w:rsidRPr="001621C4">
              <w:rPr>
                <w:rFonts w:eastAsia="Times New Roman" w:cs="Times New Roman"/>
                <w:b/>
                <w:bCs/>
                <w:color w:val="FFFFFF" w:themeColor="background1"/>
                <w:sz w:val="18"/>
                <w:szCs w:val="18"/>
                <w:lang w:eastAsia="pt-BR"/>
              </w:rPr>
              <w:t>de</w:t>
            </w:r>
            <w:proofErr w:type="gramEnd"/>
            <w:r w:rsidRPr="001621C4">
              <w:rPr>
                <w:rFonts w:eastAsia="Times New Roman" w:cs="Times New Roman"/>
                <w:b/>
                <w:bCs/>
                <w:color w:val="FFFFFF" w:themeColor="background1"/>
                <w:sz w:val="18"/>
                <w:szCs w:val="18"/>
                <w:lang w:eastAsia="pt-BR"/>
              </w:rPr>
              <w:t xml:space="preserve"> </w:t>
            </w:r>
            <w:r w:rsidR="00F14FE5" w:rsidRPr="001621C4">
              <w:rPr>
                <w:rFonts w:eastAsia="Times New Roman" w:cs="Times New Roman"/>
                <w:b/>
                <w:bCs/>
                <w:color w:val="FFFFFF" w:themeColor="background1"/>
                <w:sz w:val="18"/>
                <w:szCs w:val="18"/>
                <w:lang w:eastAsia="pt-BR"/>
              </w:rPr>
              <w:t>Contratos</w:t>
            </w:r>
            <w:r w:rsidR="00C64FD1" w:rsidRPr="001621C4">
              <w:rPr>
                <w:rFonts w:eastAsia="Times New Roman" w:cs="Times New Roman"/>
                <w:b/>
                <w:bCs/>
                <w:color w:val="FFFFFF" w:themeColor="background1"/>
                <w:sz w:val="18"/>
                <w:szCs w:val="18"/>
                <w:vertAlign w:val="superscript"/>
                <w:lang w:eastAsia="pt-BR"/>
              </w:rPr>
              <w:t xml:space="preserve"> 1</w:t>
            </w:r>
          </w:p>
        </w:tc>
        <w:tc>
          <w:tcPr>
            <w:tcW w:w="0" w:type="auto"/>
            <w:tcBorders>
              <w:top w:val="nil"/>
            </w:tcBorders>
            <w:shd w:val="clear" w:color="auto" w:fill="404040" w:themeFill="text1" w:themeFillTint="BF"/>
            <w:vAlign w:val="center"/>
          </w:tcPr>
          <w:p w14:paraId="4F85E8B0" w14:textId="6B7B4031" w:rsidR="009E36FD" w:rsidRPr="001621C4" w:rsidRDefault="00F14FE5" w:rsidP="009E36FD">
            <w:pPr>
              <w:spacing w:after="0" w:line="240" w:lineRule="auto"/>
              <w:jc w:val="center"/>
              <w:rPr>
                <w:rFonts w:eastAsia="Times New Roman" w:cs="Times New Roman"/>
                <w:b/>
                <w:bCs/>
                <w:color w:val="FFFFFF" w:themeColor="background1"/>
                <w:sz w:val="18"/>
                <w:szCs w:val="18"/>
                <w:lang w:eastAsia="pt-BR"/>
              </w:rPr>
            </w:pPr>
            <w:r w:rsidRPr="001621C4">
              <w:rPr>
                <w:rFonts w:eastAsia="Times New Roman" w:cs="Times New Roman"/>
                <w:b/>
                <w:bCs/>
                <w:color w:val="FFFFFF" w:themeColor="background1"/>
                <w:sz w:val="18"/>
                <w:szCs w:val="18"/>
                <w:lang w:eastAsia="pt-BR"/>
              </w:rPr>
              <w:t>Valor da Dívida</w:t>
            </w:r>
            <w:r w:rsidR="00C64FD1" w:rsidRPr="001621C4">
              <w:rPr>
                <w:rFonts w:eastAsia="Times New Roman" w:cs="Times New Roman"/>
                <w:b/>
                <w:bCs/>
                <w:color w:val="FFFFFF" w:themeColor="background1"/>
                <w:sz w:val="18"/>
                <w:szCs w:val="18"/>
                <w:vertAlign w:val="superscript"/>
                <w:lang w:eastAsia="pt-BR"/>
              </w:rPr>
              <w:t xml:space="preserve"> </w:t>
            </w:r>
            <w:proofErr w:type="gramStart"/>
            <w:r w:rsidR="00C64FD1" w:rsidRPr="001621C4">
              <w:rPr>
                <w:rFonts w:eastAsia="Times New Roman" w:cs="Times New Roman"/>
                <w:b/>
                <w:bCs/>
                <w:color w:val="FFFFFF" w:themeColor="background1"/>
                <w:sz w:val="18"/>
                <w:szCs w:val="18"/>
                <w:vertAlign w:val="superscript"/>
                <w:lang w:eastAsia="pt-BR"/>
              </w:rPr>
              <w:t>2</w:t>
            </w:r>
            <w:proofErr w:type="gramEnd"/>
          </w:p>
          <w:p w14:paraId="44A4343B" w14:textId="5F3C8020" w:rsidR="00F14FE5" w:rsidRPr="001621C4" w:rsidRDefault="009E36FD" w:rsidP="003C5519">
            <w:pPr>
              <w:spacing w:after="0" w:line="240" w:lineRule="auto"/>
              <w:jc w:val="center"/>
              <w:rPr>
                <w:rFonts w:eastAsia="Times New Roman" w:cs="Times New Roman"/>
                <w:b/>
                <w:bCs/>
                <w:color w:val="FFFFFF" w:themeColor="background1"/>
                <w:sz w:val="18"/>
                <w:szCs w:val="18"/>
                <w:lang w:eastAsia="pt-BR"/>
              </w:rPr>
            </w:pPr>
            <w:r w:rsidRPr="001621C4">
              <w:rPr>
                <w:rFonts w:eastAsia="Times New Roman" w:cs="Times New Roman"/>
                <w:b/>
                <w:bCs/>
                <w:color w:val="FFFFFF" w:themeColor="background1"/>
                <w:sz w:val="18"/>
                <w:szCs w:val="18"/>
                <w:lang w:eastAsia="pt-BR"/>
              </w:rPr>
              <w:t>(Em R$ milhões)</w:t>
            </w:r>
          </w:p>
        </w:tc>
      </w:tr>
      <w:tr w:rsidR="00F14FE5" w:rsidRPr="00804DC2" w14:paraId="6C6587B3" w14:textId="77777777" w:rsidTr="00B27FAE">
        <w:trPr>
          <w:trHeight w:val="20"/>
          <w:jc w:val="center"/>
        </w:trPr>
        <w:tc>
          <w:tcPr>
            <w:tcW w:w="0" w:type="auto"/>
            <w:shd w:val="clear" w:color="auto" w:fill="F2F2F2" w:themeFill="background1" w:themeFillShade="F2"/>
            <w:vAlign w:val="center"/>
          </w:tcPr>
          <w:p w14:paraId="15D46D00" w14:textId="77777777" w:rsidR="00F14FE5" w:rsidRPr="007674CC" w:rsidRDefault="00F14FE5" w:rsidP="002630E1">
            <w:pPr>
              <w:spacing w:after="0" w:line="240" w:lineRule="auto"/>
              <w:rPr>
                <w:rFonts w:eastAsia="Times New Roman" w:cs="Times New Roman"/>
                <w:sz w:val="18"/>
                <w:szCs w:val="18"/>
                <w:lang w:eastAsia="pt-BR"/>
              </w:rPr>
            </w:pPr>
            <w:r w:rsidRPr="007674CC">
              <w:rPr>
                <w:rFonts w:eastAsia="Times New Roman" w:cs="Times New Roman"/>
                <w:sz w:val="18"/>
                <w:szCs w:val="18"/>
                <w:lang w:eastAsia="pt-BR"/>
              </w:rPr>
              <w:t>FGEDUC</w:t>
            </w:r>
          </w:p>
        </w:tc>
        <w:tc>
          <w:tcPr>
            <w:tcW w:w="0" w:type="auto"/>
            <w:shd w:val="clear" w:color="auto" w:fill="F2F2F2" w:themeFill="background1" w:themeFillShade="F2"/>
            <w:vAlign w:val="center"/>
          </w:tcPr>
          <w:p w14:paraId="11665C37" w14:textId="4AE53DE9" w:rsidR="00F14FE5" w:rsidRPr="00F81F43" w:rsidRDefault="00F14FE5" w:rsidP="003C5519">
            <w:pPr>
              <w:spacing w:after="0" w:line="240" w:lineRule="auto"/>
              <w:jc w:val="right"/>
              <w:rPr>
                <w:rFonts w:eastAsia="Times New Roman" w:cs="Times New Roman"/>
                <w:sz w:val="18"/>
                <w:szCs w:val="18"/>
                <w:lang w:eastAsia="pt-BR"/>
              </w:rPr>
            </w:pPr>
            <w:r w:rsidRPr="338E4D87">
              <w:rPr>
                <w:rFonts w:eastAsia="Times New Roman" w:cs="Times New Roman"/>
                <w:sz w:val="18"/>
                <w:szCs w:val="18"/>
                <w:lang w:eastAsia="pt-BR"/>
              </w:rPr>
              <w:t>1.6</w:t>
            </w:r>
            <w:r w:rsidR="01D816E0" w:rsidRPr="338E4D87">
              <w:rPr>
                <w:rFonts w:eastAsia="Times New Roman" w:cs="Times New Roman"/>
                <w:sz w:val="18"/>
                <w:szCs w:val="18"/>
                <w:lang w:eastAsia="pt-BR"/>
              </w:rPr>
              <w:t>89</w:t>
            </w:r>
            <w:r w:rsidRPr="338E4D87">
              <w:rPr>
                <w:rFonts w:eastAsia="Times New Roman" w:cs="Times New Roman"/>
                <w:sz w:val="18"/>
                <w:szCs w:val="18"/>
                <w:lang w:eastAsia="pt-BR"/>
              </w:rPr>
              <w:t>.</w:t>
            </w:r>
            <w:r w:rsidR="00CCD0D0" w:rsidRPr="338E4D87">
              <w:rPr>
                <w:rFonts w:eastAsia="Times New Roman" w:cs="Times New Roman"/>
                <w:sz w:val="18"/>
                <w:szCs w:val="18"/>
                <w:lang w:eastAsia="pt-BR"/>
              </w:rPr>
              <w:t>661</w:t>
            </w:r>
          </w:p>
        </w:tc>
        <w:tc>
          <w:tcPr>
            <w:tcW w:w="0" w:type="auto"/>
            <w:shd w:val="clear" w:color="auto" w:fill="F2F2F2" w:themeFill="background1" w:themeFillShade="F2"/>
          </w:tcPr>
          <w:p w14:paraId="1EEC5AD6" w14:textId="13A31167" w:rsidR="00F14FE5" w:rsidRPr="00F81F43" w:rsidRDefault="00F14FE5" w:rsidP="003C5519">
            <w:pPr>
              <w:spacing w:after="0" w:line="240" w:lineRule="auto"/>
              <w:jc w:val="right"/>
              <w:rPr>
                <w:rFonts w:eastAsia="Times New Roman" w:cs="Times New Roman"/>
                <w:sz w:val="18"/>
                <w:szCs w:val="18"/>
                <w:lang w:eastAsia="pt-BR"/>
              </w:rPr>
            </w:pPr>
            <w:r w:rsidRPr="338E4D87">
              <w:rPr>
                <w:rFonts w:eastAsia="Times New Roman" w:cs="Times New Roman"/>
                <w:sz w:val="18"/>
                <w:szCs w:val="18"/>
                <w:lang w:eastAsia="pt-BR"/>
              </w:rPr>
              <w:t>6</w:t>
            </w:r>
            <w:r w:rsidR="318AF57B" w:rsidRPr="338E4D87">
              <w:rPr>
                <w:rFonts w:eastAsia="Times New Roman" w:cs="Times New Roman"/>
                <w:sz w:val="18"/>
                <w:szCs w:val="18"/>
                <w:lang w:eastAsia="pt-BR"/>
              </w:rPr>
              <w:t>8</w:t>
            </w:r>
            <w:r w:rsidRPr="338E4D87">
              <w:rPr>
                <w:rFonts w:eastAsia="Times New Roman" w:cs="Times New Roman"/>
                <w:sz w:val="18"/>
                <w:szCs w:val="18"/>
                <w:lang w:eastAsia="pt-BR"/>
              </w:rPr>
              <w:t>.</w:t>
            </w:r>
            <w:r w:rsidR="54A98EE8" w:rsidRPr="338E4D87">
              <w:rPr>
                <w:rFonts w:eastAsia="Times New Roman" w:cs="Times New Roman"/>
                <w:sz w:val="18"/>
                <w:szCs w:val="18"/>
                <w:lang w:eastAsia="pt-BR"/>
              </w:rPr>
              <w:t>9</w:t>
            </w:r>
            <w:r w:rsidRPr="338E4D87">
              <w:rPr>
                <w:rFonts w:eastAsia="Times New Roman" w:cs="Times New Roman"/>
                <w:sz w:val="18"/>
                <w:szCs w:val="18"/>
                <w:lang w:eastAsia="pt-BR"/>
              </w:rPr>
              <w:t>4</w:t>
            </w:r>
            <w:r w:rsidR="4D809C66" w:rsidRPr="338E4D87">
              <w:rPr>
                <w:rFonts w:eastAsia="Times New Roman" w:cs="Times New Roman"/>
                <w:sz w:val="18"/>
                <w:szCs w:val="18"/>
                <w:lang w:eastAsia="pt-BR"/>
              </w:rPr>
              <w:t>9</w:t>
            </w:r>
            <w:r w:rsidRPr="338E4D87">
              <w:rPr>
                <w:rFonts w:eastAsia="Times New Roman" w:cs="Times New Roman"/>
                <w:sz w:val="18"/>
                <w:szCs w:val="18"/>
                <w:lang w:eastAsia="pt-BR"/>
              </w:rPr>
              <w:t>,3</w:t>
            </w:r>
          </w:p>
        </w:tc>
      </w:tr>
      <w:tr w:rsidR="00F14FE5" w:rsidRPr="00804DC2" w14:paraId="43E81461" w14:textId="77777777" w:rsidTr="00B27FAE">
        <w:trPr>
          <w:trHeight w:val="20"/>
          <w:jc w:val="center"/>
        </w:trPr>
        <w:tc>
          <w:tcPr>
            <w:tcW w:w="0" w:type="auto"/>
            <w:shd w:val="clear" w:color="auto" w:fill="auto"/>
            <w:vAlign w:val="center"/>
          </w:tcPr>
          <w:p w14:paraId="0E13D491" w14:textId="77777777" w:rsidR="00F14FE5" w:rsidRPr="007674CC" w:rsidRDefault="00F14FE5" w:rsidP="002630E1">
            <w:pPr>
              <w:spacing w:after="0" w:line="240" w:lineRule="auto"/>
              <w:rPr>
                <w:rFonts w:eastAsia="Times New Roman" w:cs="Times New Roman"/>
                <w:sz w:val="18"/>
                <w:szCs w:val="18"/>
                <w:lang w:eastAsia="pt-BR"/>
              </w:rPr>
            </w:pPr>
            <w:r w:rsidRPr="007674CC">
              <w:rPr>
                <w:rFonts w:eastAsia="Times New Roman" w:cs="Times New Roman"/>
                <w:sz w:val="18"/>
                <w:szCs w:val="18"/>
                <w:lang w:eastAsia="pt-BR"/>
              </w:rPr>
              <w:t>FGEDUC + FIANÇA</w:t>
            </w:r>
          </w:p>
        </w:tc>
        <w:tc>
          <w:tcPr>
            <w:tcW w:w="0" w:type="auto"/>
            <w:shd w:val="clear" w:color="auto" w:fill="auto"/>
            <w:vAlign w:val="center"/>
          </w:tcPr>
          <w:p w14:paraId="29CE7FF1" w14:textId="6DE716D0" w:rsidR="00F14FE5" w:rsidRPr="00F81F43" w:rsidRDefault="00F14FE5" w:rsidP="003C5519">
            <w:pPr>
              <w:spacing w:after="0" w:line="240" w:lineRule="auto"/>
              <w:jc w:val="right"/>
              <w:rPr>
                <w:rFonts w:eastAsia="Times New Roman" w:cs="Times New Roman"/>
                <w:sz w:val="18"/>
                <w:szCs w:val="18"/>
                <w:lang w:eastAsia="pt-BR"/>
              </w:rPr>
            </w:pPr>
            <w:r w:rsidRPr="338E4D87">
              <w:rPr>
                <w:rFonts w:eastAsia="Times New Roman" w:cs="Times New Roman"/>
                <w:sz w:val="18"/>
                <w:szCs w:val="18"/>
                <w:lang w:eastAsia="pt-BR"/>
              </w:rPr>
              <w:t>26</w:t>
            </w:r>
            <w:r w:rsidR="3D1349C6" w:rsidRPr="338E4D87">
              <w:rPr>
                <w:rFonts w:eastAsia="Times New Roman" w:cs="Times New Roman"/>
                <w:sz w:val="18"/>
                <w:szCs w:val="18"/>
                <w:lang w:eastAsia="pt-BR"/>
              </w:rPr>
              <w:t>4</w:t>
            </w:r>
            <w:r w:rsidRPr="338E4D87">
              <w:rPr>
                <w:rFonts w:eastAsia="Times New Roman" w:cs="Times New Roman"/>
                <w:sz w:val="18"/>
                <w:szCs w:val="18"/>
                <w:lang w:eastAsia="pt-BR"/>
              </w:rPr>
              <w:t>.3</w:t>
            </w:r>
            <w:r w:rsidR="0F5393B0" w:rsidRPr="338E4D87">
              <w:rPr>
                <w:rFonts w:eastAsia="Times New Roman" w:cs="Times New Roman"/>
                <w:sz w:val="18"/>
                <w:szCs w:val="18"/>
                <w:lang w:eastAsia="pt-BR"/>
              </w:rPr>
              <w:t>40</w:t>
            </w:r>
          </w:p>
        </w:tc>
        <w:tc>
          <w:tcPr>
            <w:tcW w:w="0" w:type="auto"/>
          </w:tcPr>
          <w:p w14:paraId="720EFC0B" w14:textId="5B5EF1B8" w:rsidR="00F14FE5" w:rsidRPr="00F81F43" w:rsidRDefault="00F14FE5" w:rsidP="003C5519">
            <w:pPr>
              <w:spacing w:after="0" w:line="240" w:lineRule="auto"/>
              <w:jc w:val="right"/>
              <w:rPr>
                <w:rFonts w:eastAsia="Times New Roman" w:cs="Times New Roman"/>
                <w:sz w:val="18"/>
                <w:szCs w:val="18"/>
                <w:lang w:eastAsia="pt-BR"/>
              </w:rPr>
            </w:pPr>
            <w:r w:rsidRPr="338E4D87">
              <w:rPr>
                <w:rFonts w:eastAsia="Times New Roman" w:cs="Times New Roman"/>
                <w:sz w:val="18"/>
                <w:szCs w:val="18"/>
                <w:lang w:eastAsia="pt-BR"/>
              </w:rPr>
              <w:t>1</w:t>
            </w:r>
            <w:r w:rsidR="6859BDB4" w:rsidRPr="338E4D87">
              <w:rPr>
                <w:rFonts w:eastAsia="Times New Roman" w:cs="Times New Roman"/>
                <w:sz w:val="18"/>
                <w:szCs w:val="18"/>
                <w:lang w:eastAsia="pt-BR"/>
              </w:rPr>
              <w:t>5</w:t>
            </w:r>
            <w:r w:rsidRPr="338E4D87">
              <w:rPr>
                <w:rFonts w:eastAsia="Times New Roman" w:cs="Times New Roman"/>
                <w:sz w:val="18"/>
                <w:szCs w:val="18"/>
                <w:lang w:eastAsia="pt-BR"/>
              </w:rPr>
              <w:t>.9</w:t>
            </w:r>
            <w:r w:rsidR="5FD91BB0" w:rsidRPr="338E4D87">
              <w:rPr>
                <w:rFonts w:eastAsia="Times New Roman" w:cs="Times New Roman"/>
                <w:sz w:val="18"/>
                <w:szCs w:val="18"/>
                <w:lang w:eastAsia="pt-BR"/>
              </w:rPr>
              <w:t>6</w:t>
            </w:r>
            <w:r w:rsidRPr="338E4D87">
              <w:rPr>
                <w:rFonts w:eastAsia="Times New Roman" w:cs="Times New Roman"/>
                <w:sz w:val="18"/>
                <w:szCs w:val="18"/>
                <w:lang w:eastAsia="pt-BR"/>
              </w:rPr>
              <w:t>0,</w:t>
            </w:r>
            <w:r w:rsidR="1F7005C1" w:rsidRPr="338E4D87">
              <w:rPr>
                <w:rFonts w:eastAsia="Times New Roman" w:cs="Times New Roman"/>
                <w:sz w:val="18"/>
                <w:szCs w:val="18"/>
                <w:lang w:eastAsia="pt-BR"/>
              </w:rPr>
              <w:t>8</w:t>
            </w:r>
          </w:p>
        </w:tc>
      </w:tr>
      <w:tr w:rsidR="00F14FE5" w:rsidRPr="00804DC2" w14:paraId="5A354AAD" w14:textId="77777777" w:rsidTr="00B27FAE">
        <w:trPr>
          <w:trHeight w:val="20"/>
          <w:jc w:val="center"/>
        </w:trPr>
        <w:tc>
          <w:tcPr>
            <w:tcW w:w="0" w:type="auto"/>
            <w:shd w:val="clear" w:color="auto" w:fill="F2F2F2" w:themeFill="background1" w:themeFillShade="F2"/>
            <w:vAlign w:val="center"/>
          </w:tcPr>
          <w:p w14:paraId="396293BF" w14:textId="77777777" w:rsidR="00F14FE5" w:rsidRPr="007674CC" w:rsidRDefault="00F14FE5" w:rsidP="002630E1">
            <w:pPr>
              <w:spacing w:after="0" w:line="240" w:lineRule="auto"/>
              <w:rPr>
                <w:rFonts w:eastAsia="Times New Roman" w:cs="Times New Roman"/>
                <w:sz w:val="18"/>
                <w:szCs w:val="18"/>
                <w:lang w:eastAsia="pt-BR"/>
              </w:rPr>
            </w:pPr>
            <w:r w:rsidRPr="007674CC">
              <w:rPr>
                <w:rFonts w:eastAsia="Times New Roman" w:cs="Times New Roman"/>
                <w:sz w:val="18"/>
                <w:szCs w:val="18"/>
                <w:lang w:eastAsia="pt-BR"/>
              </w:rPr>
              <w:t>FIANÇA</w:t>
            </w:r>
          </w:p>
        </w:tc>
        <w:tc>
          <w:tcPr>
            <w:tcW w:w="0" w:type="auto"/>
            <w:shd w:val="clear" w:color="auto" w:fill="F2F2F2" w:themeFill="background1" w:themeFillShade="F2"/>
            <w:vAlign w:val="center"/>
          </w:tcPr>
          <w:p w14:paraId="15CADD4E" w14:textId="49675618" w:rsidR="00F14FE5" w:rsidRPr="00F81F43" w:rsidRDefault="00F14FE5" w:rsidP="003C5519">
            <w:pPr>
              <w:spacing w:after="0" w:line="240" w:lineRule="auto"/>
              <w:jc w:val="right"/>
              <w:rPr>
                <w:rFonts w:eastAsia="Times New Roman" w:cs="Times New Roman"/>
                <w:sz w:val="18"/>
                <w:szCs w:val="18"/>
                <w:lang w:eastAsia="pt-BR"/>
              </w:rPr>
            </w:pPr>
            <w:r w:rsidRPr="338E4D87">
              <w:rPr>
                <w:rFonts w:eastAsia="Times New Roman" w:cs="Times New Roman"/>
                <w:sz w:val="18"/>
                <w:szCs w:val="18"/>
                <w:lang w:eastAsia="pt-BR"/>
              </w:rPr>
              <w:t>5</w:t>
            </w:r>
            <w:r w:rsidR="01871ECB" w:rsidRPr="338E4D87">
              <w:rPr>
                <w:rFonts w:eastAsia="Times New Roman" w:cs="Times New Roman"/>
                <w:sz w:val="18"/>
                <w:szCs w:val="18"/>
                <w:lang w:eastAsia="pt-BR"/>
              </w:rPr>
              <w:t>39</w:t>
            </w:r>
            <w:r w:rsidRPr="338E4D87">
              <w:rPr>
                <w:rFonts w:eastAsia="Times New Roman" w:cs="Times New Roman"/>
                <w:sz w:val="18"/>
                <w:szCs w:val="18"/>
                <w:lang w:eastAsia="pt-BR"/>
              </w:rPr>
              <w:t>.70</w:t>
            </w:r>
            <w:r w:rsidR="7D65D20C" w:rsidRPr="338E4D87">
              <w:rPr>
                <w:rFonts w:eastAsia="Times New Roman" w:cs="Times New Roman"/>
                <w:sz w:val="18"/>
                <w:szCs w:val="18"/>
                <w:lang w:eastAsia="pt-BR"/>
              </w:rPr>
              <w:t>3</w:t>
            </w:r>
          </w:p>
        </w:tc>
        <w:tc>
          <w:tcPr>
            <w:tcW w:w="0" w:type="auto"/>
            <w:shd w:val="clear" w:color="auto" w:fill="F2F2F2" w:themeFill="background1" w:themeFillShade="F2"/>
          </w:tcPr>
          <w:p w14:paraId="2298C7CA" w14:textId="5F9DDBFA" w:rsidR="00F14FE5" w:rsidRPr="00F81F43" w:rsidRDefault="00F14FE5" w:rsidP="003C5519">
            <w:pPr>
              <w:spacing w:after="0" w:line="240" w:lineRule="auto"/>
              <w:jc w:val="right"/>
              <w:rPr>
                <w:rFonts w:eastAsia="Times New Roman" w:cs="Times New Roman"/>
                <w:sz w:val="18"/>
                <w:szCs w:val="18"/>
                <w:lang w:eastAsia="pt-BR"/>
              </w:rPr>
            </w:pPr>
            <w:r w:rsidRPr="338E4D87">
              <w:rPr>
                <w:rFonts w:eastAsia="Times New Roman" w:cs="Times New Roman"/>
                <w:sz w:val="18"/>
                <w:szCs w:val="18"/>
                <w:lang w:eastAsia="pt-BR"/>
              </w:rPr>
              <w:t>2</w:t>
            </w:r>
            <w:r w:rsidR="3255C6F2" w:rsidRPr="338E4D87">
              <w:rPr>
                <w:rFonts w:eastAsia="Times New Roman" w:cs="Times New Roman"/>
                <w:sz w:val="18"/>
                <w:szCs w:val="18"/>
                <w:lang w:eastAsia="pt-BR"/>
              </w:rPr>
              <w:t>4</w:t>
            </w:r>
            <w:r w:rsidRPr="338E4D87">
              <w:rPr>
                <w:rFonts w:eastAsia="Times New Roman" w:cs="Times New Roman"/>
                <w:sz w:val="18"/>
                <w:szCs w:val="18"/>
                <w:lang w:eastAsia="pt-BR"/>
              </w:rPr>
              <w:t>.</w:t>
            </w:r>
            <w:r w:rsidR="264914D5" w:rsidRPr="338E4D87">
              <w:rPr>
                <w:rFonts w:eastAsia="Times New Roman" w:cs="Times New Roman"/>
                <w:sz w:val="18"/>
                <w:szCs w:val="18"/>
                <w:lang w:eastAsia="pt-BR"/>
              </w:rPr>
              <w:t>341</w:t>
            </w:r>
            <w:r w:rsidRPr="338E4D87">
              <w:rPr>
                <w:rFonts w:eastAsia="Times New Roman" w:cs="Times New Roman"/>
                <w:sz w:val="18"/>
                <w:szCs w:val="18"/>
                <w:lang w:eastAsia="pt-BR"/>
              </w:rPr>
              <w:t>,</w:t>
            </w:r>
            <w:r w:rsidR="17E013F3" w:rsidRPr="338E4D87">
              <w:rPr>
                <w:rFonts w:eastAsia="Times New Roman" w:cs="Times New Roman"/>
                <w:sz w:val="18"/>
                <w:szCs w:val="18"/>
                <w:lang w:eastAsia="pt-BR"/>
              </w:rPr>
              <w:t>2</w:t>
            </w:r>
          </w:p>
        </w:tc>
      </w:tr>
      <w:tr w:rsidR="00F14FE5" w:rsidRPr="001621C4" w14:paraId="18CAC7E3" w14:textId="77777777" w:rsidTr="00B27FAE">
        <w:trPr>
          <w:trHeight w:val="20"/>
          <w:jc w:val="center"/>
        </w:trPr>
        <w:tc>
          <w:tcPr>
            <w:tcW w:w="0" w:type="auto"/>
            <w:tcBorders>
              <w:bottom w:val="single" w:sz="4" w:space="0" w:color="BFBFBF" w:themeColor="background1" w:themeShade="BF"/>
            </w:tcBorders>
            <w:shd w:val="clear" w:color="auto" w:fill="7F7F7F" w:themeFill="text1" w:themeFillTint="80"/>
            <w:vAlign w:val="center"/>
          </w:tcPr>
          <w:p w14:paraId="497EB4D3" w14:textId="77777777" w:rsidR="00F14FE5" w:rsidRPr="001621C4" w:rsidRDefault="00F14FE5" w:rsidP="002630E1">
            <w:pPr>
              <w:spacing w:after="0" w:line="240" w:lineRule="auto"/>
              <w:rPr>
                <w:rFonts w:eastAsia="Times New Roman" w:cs="Times New Roman"/>
                <w:b/>
                <w:bCs/>
                <w:color w:val="FFFFFF" w:themeColor="background1"/>
                <w:sz w:val="18"/>
                <w:szCs w:val="18"/>
                <w:lang w:eastAsia="pt-BR"/>
              </w:rPr>
            </w:pPr>
            <w:r w:rsidRPr="001621C4">
              <w:rPr>
                <w:rFonts w:eastAsia="Times New Roman" w:cs="Times New Roman"/>
                <w:b/>
                <w:bCs/>
                <w:color w:val="FFFFFF" w:themeColor="background1"/>
                <w:sz w:val="18"/>
                <w:szCs w:val="18"/>
                <w:lang w:eastAsia="pt-BR"/>
              </w:rPr>
              <w:t>Total</w:t>
            </w:r>
          </w:p>
        </w:tc>
        <w:tc>
          <w:tcPr>
            <w:tcW w:w="0" w:type="auto"/>
            <w:tcBorders>
              <w:bottom w:val="single" w:sz="4" w:space="0" w:color="BFBFBF" w:themeColor="background1" w:themeShade="BF"/>
            </w:tcBorders>
            <w:shd w:val="clear" w:color="auto" w:fill="7F7F7F" w:themeFill="text1" w:themeFillTint="80"/>
            <w:vAlign w:val="center"/>
          </w:tcPr>
          <w:p w14:paraId="1CEBE4A9" w14:textId="4BD4DF21" w:rsidR="00F14FE5" w:rsidRPr="001621C4" w:rsidRDefault="00F14FE5" w:rsidP="003C5519">
            <w:pPr>
              <w:spacing w:after="0" w:line="240" w:lineRule="auto"/>
              <w:jc w:val="right"/>
              <w:rPr>
                <w:rFonts w:eastAsia="Times New Roman" w:cs="Times New Roman"/>
                <w:b/>
                <w:bCs/>
                <w:color w:val="FFFFFF" w:themeColor="background1"/>
                <w:sz w:val="18"/>
                <w:szCs w:val="18"/>
                <w:lang w:eastAsia="pt-BR"/>
              </w:rPr>
            </w:pPr>
            <w:r w:rsidRPr="001621C4">
              <w:rPr>
                <w:rFonts w:eastAsia="Times New Roman" w:cs="Times New Roman"/>
                <w:b/>
                <w:bCs/>
                <w:color w:val="FFFFFF" w:themeColor="background1"/>
                <w:sz w:val="18"/>
                <w:szCs w:val="18"/>
                <w:lang w:eastAsia="pt-BR"/>
              </w:rPr>
              <w:t>2.</w:t>
            </w:r>
            <w:r w:rsidR="2DE1C512" w:rsidRPr="001621C4">
              <w:rPr>
                <w:rFonts w:eastAsia="Times New Roman" w:cs="Times New Roman"/>
                <w:b/>
                <w:bCs/>
                <w:color w:val="FFFFFF" w:themeColor="background1"/>
                <w:sz w:val="18"/>
                <w:szCs w:val="18"/>
                <w:lang w:eastAsia="pt-BR"/>
              </w:rPr>
              <w:t>49</w:t>
            </w:r>
            <w:r w:rsidRPr="001621C4">
              <w:rPr>
                <w:rFonts w:eastAsia="Times New Roman" w:cs="Times New Roman"/>
                <w:b/>
                <w:bCs/>
                <w:color w:val="FFFFFF" w:themeColor="background1"/>
                <w:sz w:val="18"/>
                <w:szCs w:val="18"/>
                <w:lang w:eastAsia="pt-BR"/>
              </w:rPr>
              <w:t>3.</w:t>
            </w:r>
            <w:r w:rsidR="11C80909" w:rsidRPr="001621C4">
              <w:rPr>
                <w:rFonts w:eastAsia="Times New Roman" w:cs="Times New Roman"/>
                <w:b/>
                <w:bCs/>
                <w:color w:val="FFFFFF" w:themeColor="background1"/>
                <w:sz w:val="18"/>
                <w:szCs w:val="18"/>
                <w:lang w:eastAsia="pt-BR"/>
              </w:rPr>
              <w:t>704</w:t>
            </w:r>
          </w:p>
        </w:tc>
        <w:tc>
          <w:tcPr>
            <w:tcW w:w="0" w:type="auto"/>
            <w:tcBorders>
              <w:bottom w:val="single" w:sz="4" w:space="0" w:color="BFBFBF" w:themeColor="background1" w:themeShade="BF"/>
            </w:tcBorders>
            <w:shd w:val="clear" w:color="auto" w:fill="7F7F7F" w:themeFill="text1" w:themeFillTint="80"/>
          </w:tcPr>
          <w:p w14:paraId="20AFF15A" w14:textId="1C823AB0" w:rsidR="00F14FE5" w:rsidRPr="001621C4" w:rsidRDefault="00F14FE5" w:rsidP="003C5519">
            <w:pPr>
              <w:spacing w:after="0" w:line="240" w:lineRule="auto"/>
              <w:jc w:val="right"/>
              <w:rPr>
                <w:rFonts w:eastAsia="Times New Roman" w:cs="Times New Roman"/>
                <w:b/>
                <w:bCs/>
                <w:color w:val="FFFFFF" w:themeColor="background1"/>
                <w:sz w:val="18"/>
                <w:szCs w:val="18"/>
                <w:lang w:eastAsia="pt-BR"/>
              </w:rPr>
            </w:pPr>
            <w:r w:rsidRPr="001621C4">
              <w:rPr>
                <w:rFonts w:eastAsia="Times New Roman" w:cs="Times New Roman"/>
                <w:b/>
                <w:bCs/>
                <w:color w:val="FFFFFF" w:themeColor="background1"/>
                <w:sz w:val="18"/>
                <w:szCs w:val="18"/>
                <w:lang w:eastAsia="pt-BR"/>
              </w:rPr>
              <w:t>10</w:t>
            </w:r>
            <w:r w:rsidR="034EDB14" w:rsidRPr="001621C4">
              <w:rPr>
                <w:rFonts w:eastAsia="Times New Roman" w:cs="Times New Roman"/>
                <w:b/>
                <w:bCs/>
                <w:color w:val="FFFFFF" w:themeColor="background1"/>
                <w:sz w:val="18"/>
                <w:szCs w:val="18"/>
                <w:lang w:eastAsia="pt-BR"/>
              </w:rPr>
              <w:t>9</w:t>
            </w:r>
            <w:r w:rsidRPr="001621C4">
              <w:rPr>
                <w:rFonts w:eastAsia="Times New Roman" w:cs="Times New Roman"/>
                <w:b/>
                <w:bCs/>
                <w:color w:val="FFFFFF" w:themeColor="background1"/>
                <w:sz w:val="18"/>
                <w:szCs w:val="18"/>
                <w:lang w:eastAsia="pt-BR"/>
              </w:rPr>
              <w:t>.</w:t>
            </w:r>
            <w:r w:rsidR="298A8DC1" w:rsidRPr="001621C4">
              <w:rPr>
                <w:rFonts w:eastAsia="Times New Roman" w:cs="Times New Roman"/>
                <w:b/>
                <w:bCs/>
                <w:color w:val="FFFFFF" w:themeColor="background1"/>
                <w:sz w:val="18"/>
                <w:szCs w:val="18"/>
                <w:lang w:eastAsia="pt-BR"/>
              </w:rPr>
              <w:t>2</w:t>
            </w:r>
            <w:r w:rsidRPr="001621C4">
              <w:rPr>
                <w:rFonts w:eastAsia="Times New Roman" w:cs="Times New Roman"/>
                <w:b/>
                <w:bCs/>
                <w:color w:val="FFFFFF" w:themeColor="background1"/>
                <w:sz w:val="18"/>
                <w:szCs w:val="18"/>
                <w:lang w:eastAsia="pt-BR"/>
              </w:rPr>
              <w:t>5</w:t>
            </w:r>
            <w:r w:rsidR="03474ECB" w:rsidRPr="001621C4">
              <w:rPr>
                <w:rFonts w:eastAsia="Times New Roman" w:cs="Times New Roman"/>
                <w:b/>
                <w:bCs/>
                <w:color w:val="FFFFFF" w:themeColor="background1"/>
                <w:sz w:val="18"/>
                <w:szCs w:val="18"/>
                <w:lang w:eastAsia="pt-BR"/>
              </w:rPr>
              <w:t>1</w:t>
            </w:r>
            <w:r w:rsidRPr="001621C4">
              <w:rPr>
                <w:rFonts w:eastAsia="Times New Roman" w:cs="Times New Roman"/>
                <w:b/>
                <w:bCs/>
                <w:color w:val="FFFFFF" w:themeColor="background1"/>
                <w:sz w:val="18"/>
                <w:szCs w:val="18"/>
                <w:lang w:eastAsia="pt-BR"/>
              </w:rPr>
              <w:t>,</w:t>
            </w:r>
            <w:r w:rsidR="68122665" w:rsidRPr="001621C4">
              <w:rPr>
                <w:rFonts w:eastAsia="Times New Roman" w:cs="Times New Roman"/>
                <w:b/>
                <w:bCs/>
                <w:color w:val="FFFFFF" w:themeColor="background1"/>
                <w:sz w:val="18"/>
                <w:szCs w:val="18"/>
                <w:lang w:eastAsia="pt-BR"/>
              </w:rPr>
              <w:t>3</w:t>
            </w:r>
          </w:p>
        </w:tc>
      </w:tr>
      <w:tr w:rsidR="00F14FE5" w:rsidRPr="001621C4" w14:paraId="7F4DC162" w14:textId="77777777" w:rsidTr="00E14DD8">
        <w:trPr>
          <w:trHeight w:val="419"/>
          <w:jc w:val="center"/>
        </w:trPr>
        <w:tc>
          <w:tcPr>
            <w:tcW w:w="0" w:type="auto"/>
            <w:gridSpan w:val="3"/>
            <w:tcBorders>
              <w:top w:val="single" w:sz="4" w:space="0" w:color="BFBFBF" w:themeColor="background1" w:themeShade="BF"/>
              <w:left w:val="nil"/>
              <w:bottom w:val="nil"/>
              <w:right w:val="nil"/>
            </w:tcBorders>
            <w:shd w:val="clear" w:color="auto" w:fill="auto"/>
            <w:vAlign w:val="center"/>
          </w:tcPr>
          <w:p w14:paraId="1EA03BF9" w14:textId="1A6D2ED9" w:rsidR="009E36FD" w:rsidRPr="001621C4" w:rsidRDefault="009E36FD" w:rsidP="009E36FD">
            <w:pPr>
              <w:spacing w:after="0" w:line="240" w:lineRule="auto"/>
              <w:rPr>
                <w:i/>
                <w:sz w:val="16"/>
                <w:szCs w:val="16"/>
              </w:rPr>
            </w:pPr>
            <w:proofErr w:type="gramStart"/>
            <w:r w:rsidRPr="001621C4">
              <w:rPr>
                <w:i/>
                <w:sz w:val="16"/>
                <w:szCs w:val="16"/>
                <w:vertAlign w:val="superscript"/>
              </w:rPr>
              <w:t>1</w:t>
            </w:r>
            <w:proofErr w:type="gramEnd"/>
            <w:r w:rsidRPr="001621C4">
              <w:rPr>
                <w:i/>
                <w:sz w:val="16"/>
                <w:szCs w:val="16"/>
                <w:vertAlign w:val="superscript"/>
              </w:rPr>
              <w:t xml:space="preserve"> </w:t>
            </w:r>
            <w:r w:rsidRPr="001621C4">
              <w:rPr>
                <w:i/>
                <w:sz w:val="16"/>
                <w:szCs w:val="16"/>
              </w:rPr>
              <w:t>Contratos assinados</w:t>
            </w:r>
            <w:r w:rsidR="006B7EDD" w:rsidRPr="001621C4">
              <w:rPr>
                <w:i/>
                <w:sz w:val="16"/>
                <w:szCs w:val="16"/>
              </w:rPr>
              <w:t xml:space="preserve"> a partir</w:t>
            </w:r>
            <w:r w:rsidRPr="001621C4">
              <w:rPr>
                <w:i/>
                <w:sz w:val="16"/>
                <w:szCs w:val="16"/>
              </w:rPr>
              <w:t xml:space="preserve"> de 15/1/2010.</w:t>
            </w:r>
          </w:p>
          <w:p w14:paraId="04298D03" w14:textId="0E724B61" w:rsidR="009E36FD" w:rsidRPr="001621C4" w:rsidRDefault="009E36FD" w:rsidP="009E36FD">
            <w:pPr>
              <w:spacing w:after="0" w:line="240" w:lineRule="auto"/>
              <w:rPr>
                <w:i/>
                <w:sz w:val="16"/>
                <w:szCs w:val="16"/>
              </w:rPr>
            </w:pPr>
            <w:proofErr w:type="gramStart"/>
            <w:r w:rsidRPr="001621C4">
              <w:rPr>
                <w:i/>
                <w:sz w:val="16"/>
                <w:szCs w:val="16"/>
                <w:vertAlign w:val="superscript"/>
              </w:rPr>
              <w:t>2</w:t>
            </w:r>
            <w:proofErr w:type="gramEnd"/>
            <w:r w:rsidRPr="001621C4">
              <w:rPr>
                <w:i/>
                <w:sz w:val="16"/>
                <w:szCs w:val="16"/>
                <w:vertAlign w:val="superscript"/>
              </w:rPr>
              <w:t xml:space="preserve"> </w:t>
            </w:r>
            <w:r w:rsidRPr="001621C4">
              <w:rPr>
                <w:i/>
                <w:sz w:val="16"/>
                <w:szCs w:val="16"/>
              </w:rPr>
              <w:t>Posição em 31/12/</w:t>
            </w:r>
            <w:r w:rsidRPr="001621C4">
              <w:rPr>
                <w:i/>
                <w:iCs/>
                <w:sz w:val="16"/>
                <w:szCs w:val="16"/>
              </w:rPr>
              <w:t>20</w:t>
            </w:r>
            <w:r w:rsidR="2AA07BD8" w:rsidRPr="001621C4">
              <w:rPr>
                <w:i/>
                <w:iCs/>
                <w:sz w:val="16"/>
                <w:szCs w:val="16"/>
              </w:rPr>
              <w:t>20</w:t>
            </w:r>
            <w:r w:rsidRPr="001621C4">
              <w:rPr>
                <w:i/>
                <w:sz w:val="16"/>
                <w:szCs w:val="16"/>
              </w:rPr>
              <w:t>.</w:t>
            </w:r>
          </w:p>
          <w:p w14:paraId="08D21A75" w14:textId="49135F7E" w:rsidR="00F14FE5" w:rsidRPr="001621C4" w:rsidRDefault="00B27FAE" w:rsidP="003C5519">
            <w:pPr>
              <w:spacing w:after="0"/>
              <w:rPr>
                <w:sz w:val="16"/>
                <w:szCs w:val="16"/>
              </w:rPr>
            </w:pPr>
            <w:r w:rsidRPr="001621C4">
              <w:rPr>
                <w:b/>
                <w:i/>
                <w:sz w:val="16"/>
                <w:szCs w:val="16"/>
              </w:rPr>
              <w:t>Fonte e Elaboração</w:t>
            </w:r>
            <w:r w:rsidRPr="001621C4">
              <w:rPr>
                <w:i/>
                <w:sz w:val="16"/>
                <w:szCs w:val="16"/>
              </w:rPr>
              <w:t>: FNDE</w:t>
            </w:r>
            <w:r w:rsidR="009E36FD" w:rsidRPr="001621C4">
              <w:rPr>
                <w:i/>
                <w:sz w:val="16"/>
                <w:szCs w:val="16"/>
              </w:rPr>
              <w:t>.</w:t>
            </w:r>
          </w:p>
        </w:tc>
      </w:tr>
    </w:tbl>
    <w:p w14:paraId="2AB454B5" w14:textId="77777777" w:rsidR="00FC363A" w:rsidRPr="0022645B" w:rsidRDefault="00FC363A" w:rsidP="00100813">
      <w:pPr>
        <w:pStyle w:val="Corpodetexto"/>
        <w:spacing w:line="240" w:lineRule="auto"/>
        <w:jc w:val="both"/>
        <w:rPr>
          <w:rFonts w:cstheme="minorHAnsi"/>
          <w:color w:val="000000" w:themeColor="text1"/>
          <w:sz w:val="24"/>
          <w:szCs w:val="24"/>
        </w:rPr>
      </w:pPr>
    </w:p>
    <w:p w14:paraId="63226637" w14:textId="56DAB6E4" w:rsidR="000D17A6" w:rsidRPr="00353D69" w:rsidRDefault="000D17A6" w:rsidP="00100813">
      <w:pPr>
        <w:pStyle w:val="Corpodetexto"/>
        <w:spacing w:line="240" w:lineRule="auto"/>
        <w:ind w:firstLine="1418"/>
        <w:jc w:val="both"/>
        <w:rPr>
          <w:color w:val="000000" w:themeColor="text1"/>
          <w:sz w:val="24"/>
          <w:szCs w:val="24"/>
        </w:rPr>
      </w:pPr>
      <w:r w:rsidRPr="00353D69">
        <w:rPr>
          <w:color w:val="000000" w:themeColor="text1"/>
          <w:sz w:val="24"/>
          <w:szCs w:val="24"/>
        </w:rPr>
        <w:t>Os contratos de financiamento formalizados até 2009 não contam com cobertura de fundo garantidor e, portanto, são garantidos exclusivamente por fiança convencional ou por fiança solidária.</w:t>
      </w:r>
    </w:p>
    <w:p w14:paraId="009E1829" w14:textId="4B8B5CA3" w:rsidR="00C6095F" w:rsidRPr="00353D69" w:rsidRDefault="00C6095F" w:rsidP="00100813">
      <w:pPr>
        <w:pStyle w:val="Corpodetexto"/>
        <w:spacing w:line="240" w:lineRule="auto"/>
        <w:ind w:firstLine="1418"/>
        <w:jc w:val="both"/>
        <w:rPr>
          <w:color w:val="000000" w:themeColor="text1"/>
          <w:sz w:val="24"/>
          <w:szCs w:val="24"/>
        </w:rPr>
      </w:pPr>
      <w:r w:rsidRPr="00353D69">
        <w:rPr>
          <w:color w:val="000000" w:themeColor="text1"/>
          <w:sz w:val="24"/>
          <w:szCs w:val="24"/>
        </w:rPr>
        <w:t xml:space="preserve">Dentre as medidas adotadas com vistas a mitigar o risco fiscal, acrescenta-se que, por meio da Resolução </w:t>
      </w:r>
      <w:r w:rsidR="00C60D61">
        <w:rPr>
          <w:color w:val="000000" w:themeColor="text1"/>
          <w:sz w:val="24"/>
          <w:szCs w:val="24"/>
        </w:rPr>
        <w:t>CG-</w:t>
      </w:r>
      <w:proofErr w:type="gramStart"/>
      <w:r w:rsidR="00C60D61">
        <w:rPr>
          <w:color w:val="000000" w:themeColor="text1"/>
          <w:sz w:val="24"/>
          <w:szCs w:val="24"/>
        </w:rPr>
        <w:t>FIES</w:t>
      </w:r>
      <w:proofErr w:type="gramEnd"/>
      <w:r w:rsidR="005C67C1" w:rsidRPr="00353D69">
        <w:rPr>
          <w:color w:val="000000" w:themeColor="text1"/>
          <w:sz w:val="24"/>
          <w:szCs w:val="24"/>
        </w:rPr>
        <w:t xml:space="preserve"> </w:t>
      </w:r>
      <w:r w:rsidRPr="00353D69">
        <w:rPr>
          <w:color w:val="000000" w:themeColor="text1"/>
          <w:sz w:val="24"/>
          <w:szCs w:val="24"/>
        </w:rPr>
        <w:t>nº 28, de 31 de outubro de 2018, o CG-Fies estabeleceu os critérios e procedimentos para permitir a renegociação pelos agentes financeiros do Fies das dívidas vencidas há mais de 90 dias na fase de amortização abrangendo os contratos formalizados até 2017.</w:t>
      </w:r>
    </w:p>
    <w:p w14:paraId="4F0480C7" w14:textId="186D0892" w:rsidR="00D068FC" w:rsidRPr="00353D69" w:rsidRDefault="00D068FC" w:rsidP="338E4D87">
      <w:pPr>
        <w:pStyle w:val="Corpodetexto"/>
        <w:spacing w:line="240" w:lineRule="auto"/>
        <w:ind w:firstLine="1418"/>
        <w:jc w:val="both"/>
        <w:rPr>
          <w:rFonts w:ascii="Calibri" w:eastAsia="Calibri" w:hAnsi="Calibri" w:cs="Calibri"/>
          <w:color w:val="000000" w:themeColor="text1"/>
          <w:sz w:val="24"/>
          <w:szCs w:val="24"/>
        </w:rPr>
      </w:pPr>
      <w:r w:rsidRPr="00353D69">
        <w:rPr>
          <w:color w:val="000000" w:themeColor="text1"/>
          <w:sz w:val="24"/>
          <w:szCs w:val="24"/>
        </w:rPr>
        <w:t xml:space="preserve">No primeiro semestre de 2019, o Fies possuía mais de 500 mil estudantes com atraso no pagamento das prestações superior a 90 dias. Nos termos aprovados pelo CG-Fies, </w:t>
      </w:r>
      <w:r w:rsidR="6497EFF7" w:rsidRPr="00353D69">
        <w:rPr>
          <w:rFonts w:ascii="Calibri" w:eastAsia="Calibri" w:hAnsi="Calibri" w:cs="Calibri"/>
          <w:color w:val="000000" w:themeColor="text1"/>
          <w:sz w:val="24"/>
          <w:szCs w:val="24"/>
        </w:rPr>
        <w:t xml:space="preserve">para os financiamentos vencidos e não pagos até a data de 10 de julho de 2020, foi permitida a renegociação desses contratos, com parcelamento mínimo conforme os casos elencados em seu art. 2º. </w:t>
      </w:r>
      <w:proofErr w:type="gramStart"/>
      <w:r w:rsidR="6497EFF7" w:rsidRPr="00353D69">
        <w:rPr>
          <w:rFonts w:ascii="Calibri" w:eastAsia="Calibri" w:hAnsi="Calibri" w:cs="Calibri"/>
          <w:color w:val="000000" w:themeColor="text1"/>
          <w:sz w:val="24"/>
          <w:szCs w:val="24"/>
        </w:rPr>
        <w:t>Cerca de 11,7</w:t>
      </w:r>
      <w:proofErr w:type="gramEnd"/>
      <w:r w:rsidR="6497EFF7" w:rsidRPr="00353D69">
        <w:rPr>
          <w:rFonts w:ascii="Calibri" w:eastAsia="Calibri" w:hAnsi="Calibri" w:cs="Calibri"/>
          <w:color w:val="000000" w:themeColor="text1"/>
          <w:sz w:val="24"/>
          <w:szCs w:val="24"/>
        </w:rPr>
        <w:t xml:space="preserve"> mil estudantes renegociaram seus débitos com o Fies.</w:t>
      </w:r>
    </w:p>
    <w:p w14:paraId="15A2DDBE" w14:textId="77777777" w:rsidR="00666B31" w:rsidRPr="00353D69" w:rsidRDefault="00666B31" w:rsidP="00100813">
      <w:pPr>
        <w:pStyle w:val="Corpodetexto"/>
        <w:spacing w:line="240" w:lineRule="auto"/>
        <w:ind w:firstLine="1418"/>
        <w:jc w:val="both"/>
        <w:rPr>
          <w:color w:val="000000" w:themeColor="text1"/>
          <w:sz w:val="24"/>
          <w:szCs w:val="24"/>
        </w:rPr>
      </w:pPr>
      <w:r w:rsidRPr="00353D69">
        <w:rPr>
          <w:color w:val="000000" w:themeColor="text1"/>
          <w:sz w:val="24"/>
          <w:szCs w:val="24"/>
        </w:rPr>
        <w:t>A partir de 2018, a oferta de novos financiamentos foi condicionada à adesão das entidades mantenedoras de instituições de ensino ao novo modelo do financiamento estudantil (Novo Fies) e ao Fundo Garantidor do Fies (FG-Fies), pois a oferta de vagas anuais passou a ser fixada pelo CG-Fies, de acordo com o Plano Trienal elaborado pelo Grupo Técnico do Comitê, condicionada à realização dos aportes da União previstos na Lei do Fies.</w:t>
      </w:r>
    </w:p>
    <w:p w14:paraId="54ADDF2C" w14:textId="626B7F76" w:rsidR="00622F64" w:rsidRPr="00353D69" w:rsidRDefault="00622F64" w:rsidP="00100813">
      <w:pPr>
        <w:pStyle w:val="Corpodetexto"/>
        <w:spacing w:line="240" w:lineRule="auto"/>
        <w:ind w:firstLine="1418"/>
        <w:jc w:val="both"/>
        <w:rPr>
          <w:color w:val="000000" w:themeColor="text1"/>
          <w:sz w:val="24"/>
          <w:szCs w:val="24"/>
        </w:rPr>
      </w:pPr>
      <w:r w:rsidRPr="00353D69">
        <w:rPr>
          <w:color w:val="000000" w:themeColor="text1"/>
          <w:sz w:val="24"/>
          <w:szCs w:val="24"/>
        </w:rPr>
        <w:t xml:space="preserve">Nesse contexto, já foram realizados três aportes de R$ 500 milhões por parte do Governo Federal ao FG-Fies, que conta também com a contribuição das instituições de ensino, na condição de cotistas do Fundo, cujo percentual médio é da ordem de 16% do valor dos repasses. </w:t>
      </w:r>
      <w:proofErr w:type="gramStart"/>
      <w:r w:rsidRPr="00353D69">
        <w:rPr>
          <w:color w:val="000000" w:themeColor="text1"/>
          <w:sz w:val="24"/>
          <w:szCs w:val="24"/>
        </w:rPr>
        <w:t>O saldo devedor dos contratos formalizados no âmbito do Novo Fies</w:t>
      </w:r>
      <w:proofErr w:type="gramEnd"/>
      <w:r w:rsidRPr="00353D69">
        <w:rPr>
          <w:color w:val="000000" w:themeColor="text1"/>
          <w:sz w:val="24"/>
          <w:szCs w:val="24"/>
        </w:rPr>
        <w:t xml:space="preserve">, a partir de 2018, alcançou, em </w:t>
      </w:r>
      <w:r w:rsidRPr="00353D69">
        <w:rPr>
          <w:color w:val="000000" w:themeColor="text1"/>
          <w:sz w:val="24"/>
          <w:szCs w:val="24"/>
        </w:rPr>
        <w:lastRenderedPageBreak/>
        <w:t>dezembro de 20</w:t>
      </w:r>
      <w:r w:rsidR="1B202DA1" w:rsidRPr="00353D69">
        <w:rPr>
          <w:color w:val="000000" w:themeColor="text1"/>
          <w:sz w:val="24"/>
          <w:szCs w:val="24"/>
        </w:rPr>
        <w:t>20</w:t>
      </w:r>
      <w:r w:rsidRPr="00353D69">
        <w:rPr>
          <w:color w:val="000000" w:themeColor="text1"/>
          <w:sz w:val="24"/>
          <w:szCs w:val="24"/>
        </w:rPr>
        <w:t xml:space="preserve">, o valor de R$ </w:t>
      </w:r>
      <w:r w:rsidR="07BC75CF" w:rsidRPr="00353D69">
        <w:rPr>
          <w:color w:val="000000" w:themeColor="text1"/>
          <w:sz w:val="24"/>
          <w:szCs w:val="24"/>
        </w:rPr>
        <w:t>4</w:t>
      </w:r>
      <w:r w:rsidRPr="00353D69">
        <w:rPr>
          <w:color w:val="000000" w:themeColor="text1"/>
          <w:sz w:val="24"/>
          <w:szCs w:val="24"/>
        </w:rPr>
        <w:t>,</w:t>
      </w:r>
      <w:r w:rsidR="5CF4AB0E" w:rsidRPr="00353D69">
        <w:rPr>
          <w:color w:val="000000" w:themeColor="text1"/>
          <w:sz w:val="24"/>
          <w:szCs w:val="24"/>
        </w:rPr>
        <w:t>5</w:t>
      </w:r>
      <w:r w:rsidRPr="00353D69">
        <w:rPr>
          <w:color w:val="000000" w:themeColor="text1"/>
          <w:sz w:val="24"/>
          <w:szCs w:val="24"/>
        </w:rPr>
        <w:t xml:space="preserve"> bilhões, com comprometimento futuro de desembolso estimado da ordem de R$ 6,</w:t>
      </w:r>
      <w:r w:rsidR="5CE7C4DF" w:rsidRPr="00353D69">
        <w:rPr>
          <w:color w:val="000000" w:themeColor="text1"/>
          <w:sz w:val="24"/>
          <w:szCs w:val="24"/>
        </w:rPr>
        <w:t>3</w:t>
      </w:r>
      <w:r w:rsidRPr="00353D69">
        <w:rPr>
          <w:color w:val="000000" w:themeColor="text1"/>
          <w:sz w:val="24"/>
          <w:szCs w:val="24"/>
        </w:rPr>
        <w:t xml:space="preserve"> bilhões, se forem cumpridas as exigências para a realização dos aditamentos semestrais do financiamento por parte dos estudantes financiados e das instituições de ensino.</w:t>
      </w:r>
    </w:p>
    <w:p w14:paraId="0B43EE34" w14:textId="0CA85C34" w:rsidR="000D17A6" w:rsidRPr="00353D69" w:rsidRDefault="008F6976" w:rsidP="00100813">
      <w:pPr>
        <w:pStyle w:val="Corpodetexto"/>
        <w:spacing w:line="240" w:lineRule="auto"/>
        <w:ind w:firstLine="1418"/>
        <w:jc w:val="both"/>
        <w:rPr>
          <w:color w:val="000000" w:themeColor="text1"/>
          <w:sz w:val="24"/>
          <w:szCs w:val="24"/>
        </w:rPr>
      </w:pPr>
      <w:r w:rsidRPr="00353D69">
        <w:rPr>
          <w:color w:val="000000" w:themeColor="text1"/>
          <w:sz w:val="24"/>
          <w:szCs w:val="24"/>
        </w:rPr>
        <w:t xml:space="preserve">Foram </w:t>
      </w:r>
      <w:proofErr w:type="gramStart"/>
      <w:r w:rsidRPr="00353D69">
        <w:rPr>
          <w:color w:val="000000" w:themeColor="text1"/>
          <w:sz w:val="24"/>
          <w:szCs w:val="24"/>
        </w:rPr>
        <w:t>implementadas</w:t>
      </w:r>
      <w:proofErr w:type="gramEnd"/>
      <w:r w:rsidRPr="00353D69">
        <w:rPr>
          <w:color w:val="000000" w:themeColor="text1"/>
          <w:sz w:val="24"/>
          <w:szCs w:val="24"/>
        </w:rPr>
        <w:t xml:space="preserve"> medidas que contribuirão para mitigar o risco fiscal ocasionado até então pelo Fies, notadamente relacionadas ao compartilhamento do risco do crédito com as entidades mantenedoras e a mecanismos para garantir o retorno do financiamento, como:</w:t>
      </w:r>
    </w:p>
    <w:p w14:paraId="48160826" w14:textId="77777777" w:rsidR="000D17A6" w:rsidRPr="00353D69" w:rsidRDefault="000D17A6" w:rsidP="338E4D87">
      <w:pPr>
        <w:pStyle w:val="Corpodetexto"/>
        <w:widowControl w:val="0"/>
        <w:numPr>
          <w:ilvl w:val="0"/>
          <w:numId w:val="21"/>
        </w:numPr>
        <w:autoSpaceDE w:val="0"/>
        <w:autoSpaceDN w:val="0"/>
        <w:spacing w:line="240" w:lineRule="auto"/>
        <w:ind w:left="1775" w:hanging="357"/>
        <w:jc w:val="both"/>
        <w:rPr>
          <w:color w:val="000000" w:themeColor="text1"/>
          <w:sz w:val="24"/>
          <w:szCs w:val="24"/>
        </w:rPr>
      </w:pPr>
      <w:r w:rsidRPr="00353D69">
        <w:rPr>
          <w:color w:val="000000" w:themeColor="text1"/>
          <w:sz w:val="24"/>
          <w:szCs w:val="24"/>
        </w:rPr>
        <w:t>Contribuições para o FG-Fies em percentual proporcional à inadimplência observada na carteira de cada instituição de ensino;</w:t>
      </w:r>
    </w:p>
    <w:p w14:paraId="104369AE" w14:textId="77777777" w:rsidR="000D17A6" w:rsidRPr="00353D69" w:rsidRDefault="000D17A6" w:rsidP="338E4D87">
      <w:pPr>
        <w:pStyle w:val="Corpodetexto"/>
        <w:widowControl w:val="0"/>
        <w:numPr>
          <w:ilvl w:val="0"/>
          <w:numId w:val="21"/>
        </w:numPr>
        <w:autoSpaceDE w:val="0"/>
        <w:autoSpaceDN w:val="0"/>
        <w:spacing w:line="240" w:lineRule="auto"/>
        <w:ind w:left="1775" w:hanging="357"/>
        <w:jc w:val="both"/>
        <w:rPr>
          <w:color w:val="000000" w:themeColor="text1"/>
          <w:sz w:val="24"/>
          <w:szCs w:val="24"/>
        </w:rPr>
      </w:pPr>
      <w:r w:rsidRPr="00353D69">
        <w:rPr>
          <w:color w:val="000000" w:themeColor="text1"/>
          <w:sz w:val="24"/>
          <w:szCs w:val="24"/>
        </w:rPr>
        <w:t>Ausência de carência após a conclusão do curso;</w:t>
      </w:r>
    </w:p>
    <w:p w14:paraId="053A03D1" w14:textId="77777777" w:rsidR="000D17A6" w:rsidRPr="00353D69" w:rsidRDefault="000D17A6" w:rsidP="338E4D87">
      <w:pPr>
        <w:pStyle w:val="Corpodetexto"/>
        <w:widowControl w:val="0"/>
        <w:numPr>
          <w:ilvl w:val="0"/>
          <w:numId w:val="21"/>
        </w:numPr>
        <w:autoSpaceDE w:val="0"/>
        <w:autoSpaceDN w:val="0"/>
        <w:spacing w:line="240" w:lineRule="auto"/>
        <w:ind w:left="1775" w:hanging="357"/>
        <w:jc w:val="both"/>
        <w:rPr>
          <w:color w:val="000000" w:themeColor="text1"/>
          <w:sz w:val="24"/>
          <w:szCs w:val="24"/>
        </w:rPr>
      </w:pPr>
      <w:r w:rsidRPr="00353D69">
        <w:rPr>
          <w:color w:val="000000" w:themeColor="text1"/>
          <w:sz w:val="24"/>
          <w:szCs w:val="24"/>
        </w:rPr>
        <w:t>Pagamento consignado em folha e vinculado à renda do estudante financiado;</w:t>
      </w:r>
    </w:p>
    <w:p w14:paraId="1DB126F8" w14:textId="77777777" w:rsidR="000D17A6" w:rsidRPr="00353D69" w:rsidRDefault="000D17A6" w:rsidP="338E4D87">
      <w:pPr>
        <w:pStyle w:val="Corpodetexto"/>
        <w:widowControl w:val="0"/>
        <w:numPr>
          <w:ilvl w:val="0"/>
          <w:numId w:val="21"/>
        </w:numPr>
        <w:autoSpaceDE w:val="0"/>
        <w:autoSpaceDN w:val="0"/>
        <w:spacing w:line="240" w:lineRule="auto"/>
        <w:ind w:left="1775" w:hanging="357"/>
        <w:jc w:val="both"/>
        <w:rPr>
          <w:color w:val="000000" w:themeColor="text1"/>
          <w:sz w:val="24"/>
          <w:szCs w:val="24"/>
        </w:rPr>
      </w:pPr>
      <w:r w:rsidRPr="00353D69">
        <w:rPr>
          <w:color w:val="000000" w:themeColor="text1"/>
          <w:sz w:val="24"/>
          <w:szCs w:val="24"/>
        </w:rPr>
        <w:t>Possibilidade de renegociação do saldo devedor;</w:t>
      </w:r>
    </w:p>
    <w:p w14:paraId="3030BADB" w14:textId="77777777" w:rsidR="000D17A6" w:rsidRPr="00353D69" w:rsidRDefault="000D17A6" w:rsidP="338E4D87">
      <w:pPr>
        <w:pStyle w:val="Corpodetexto"/>
        <w:widowControl w:val="0"/>
        <w:numPr>
          <w:ilvl w:val="0"/>
          <w:numId w:val="21"/>
        </w:numPr>
        <w:autoSpaceDE w:val="0"/>
        <w:autoSpaceDN w:val="0"/>
        <w:spacing w:line="240" w:lineRule="auto"/>
        <w:ind w:left="1775" w:hanging="357"/>
        <w:jc w:val="both"/>
        <w:rPr>
          <w:color w:val="000000" w:themeColor="text1"/>
          <w:sz w:val="24"/>
          <w:szCs w:val="24"/>
        </w:rPr>
      </w:pPr>
      <w:r w:rsidRPr="00353D69">
        <w:rPr>
          <w:color w:val="000000" w:themeColor="text1"/>
          <w:sz w:val="24"/>
          <w:szCs w:val="24"/>
        </w:rPr>
        <w:t xml:space="preserve">Coparticipação paga pelo estudante diretamente ao Agente Financeiro; </w:t>
      </w:r>
      <w:proofErr w:type="gramStart"/>
      <w:r w:rsidRPr="00353D69">
        <w:rPr>
          <w:color w:val="000000" w:themeColor="text1"/>
          <w:sz w:val="24"/>
          <w:szCs w:val="24"/>
        </w:rPr>
        <w:t>e</w:t>
      </w:r>
      <w:proofErr w:type="gramEnd"/>
    </w:p>
    <w:p w14:paraId="587D3754" w14:textId="77777777" w:rsidR="000D17A6" w:rsidRPr="00353D69" w:rsidRDefault="000D17A6" w:rsidP="338E4D87">
      <w:pPr>
        <w:pStyle w:val="Corpodetexto"/>
        <w:widowControl w:val="0"/>
        <w:numPr>
          <w:ilvl w:val="0"/>
          <w:numId w:val="21"/>
        </w:numPr>
        <w:autoSpaceDE w:val="0"/>
        <w:autoSpaceDN w:val="0"/>
        <w:spacing w:before="240" w:line="240" w:lineRule="auto"/>
        <w:ind w:left="1775" w:hanging="357"/>
        <w:jc w:val="both"/>
        <w:rPr>
          <w:color w:val="000000" w:themeColor="text1"/>
          <w:sz w:val="24"/>
          <w:szCs w:val="24"/>
        </w:rPr>
      </w:pPr>
      <w:r w:rsidRPr="00353D69">
        <w:rPr>
          <w:color w:val="000000" w:themeColor="text1"/>
          <w:sz w:val="24"/>
          <w:szCs w:val="24"/>
        </w:rPr>
        <w:t>Seguro prestamista para assegurar a liquidação do financiamento no caso de falecimento ou invalidez permanente do estudante financiado.</w:t>
      </w:r>
    </w:p>
    <w:p w14:paraId="4083BE2B" w14:textId="03AFAB37" w:rsidR="000D17A6" w:rsidRPr="00353D69" w:rsidRDefault="00BA7250" w:rsidP="00F978F0">
      <w:pPr>
        <w:pStyle w:val="Corpodetexto"/>
        <w:spacing w:before="240" w:line="240" w:lineRule="auto"/>
        <w:ind w:firstLine="1418"/>
        <w:jc w:val="both"/>
        <w:rPr>
          <w:color w:val="000000" w:themeColor="text1"/>
          <w:sz w:val="24"/>
          <w:szCs w:val="24"/>
        </w:rPr>
      </w:pPr>
      <w:r w:rsidRPr="00353D69">
        <w:rPr>
          <w:color w:val="000000" w:themeColor="text1"/>
          <w:sz w:val="24"/>
          <w:szCs w:val="24"/>
        </w:rPr>
        <w:t>Esse conjunto de alterações visa atender ao primado da sustentabilidade do Fundo em obediência aos princípios e normativos sobre responsabilidade fiscal, conforme recomendado pelo Tribunal de Contas da União, como também contribuir para o atingimento das metas relativas à educação superior do Plano Nacional de Educação (PNE) 2014-2024.</w:t>
      </w:r>
    </w:p>
    <w:p w14:paraId="05481122" w14:textId="77777777" w:rsidR="002A37F2" w:rsidRPr="00353D69" w:rsidRDefault="002A37F2" w:rsidP="00F978F0">
      <w:pPr>
        <w:pStyle w:val="Corpodetexto"/>
        <w:spacing w:before="240" w:line="240" w:lineRule="auto"/>
        <w:ind w:firstLine="1418"/>
        <w:jc w:val="both"/>
        <w:rPr>
          <w:rFonts w:cstheme="minorHAnsi"/>
          <w:color w:val="000000" w:themeColor="text1"/>
          <w:sz w:val="24"/>
          <w:szCs w:val="24"/>
        </w:rPr>
      </w:pPr>
    </w:p>
    <w:p w14:paraId="724FC39A" w14:textId="31AC29BD" w:rsidR="00265031" w:rsidRPr="00A050BC" w:rsidRDefault="00265031" w:rsidP="002E09EA">
      <w:pPr>
        <w:pStyle w:val="Ttulo4"/>
        <w:keepLines/>
        <w:numPr>
          <w:ilvl w:val="3"/>
          <w:numId w:val="36"/>
        </w:numPr>
        <w:spacing w:before="240" w:after="120"/>
        <w:ind w:left="862" w:hanging="862"/>
        <w:jc w:val="left"/>
        <w:rPr>
          <w:rFonts w:asciiTheme="minorHAnsi" w:hAnsiTheme="minorHAnsi"/>
        </w:rPr>
      </w:pPr>
      <w:r w:rsidRPr="0EDB2EA1">
        <w:rPr>
          <w:rFonts w:asciiTheme="minorHAnsi" w:hAnsiTheme="minorHAnsi"/>
        </w:rPr>
        <w:t xml:space="preserve">Aspectos fiscais e </w:t>
      </w:r>
      <w:r w:rsidR="00655540" w:rsidRPr="0EDB2EA1">
        <w:rPr>
          <w:rFonts w:asciiTheme="minorHAnsi" w:hAnsiTheme="minorHAnsi"/>
        </w:rPr>
        <w:t>o</w:t>
      </w:r>
      <w:r w:rsidRPr="0EDB2EA1">
        <w:rPr>
          <w:rFonts w:asciiTheme="minorHAnsi" w:hAnsiTheme="minorHAnsi"/>
        </w:rPr>
        <w:t>rçamentários</w:t>
      </w:r>
      <w:r w:rsidR="470EDC4B" w:rsidRPr="0EDB2EA1">
        <w:rPr>
          <w:rFonts w:asciiTheme="minorHAnsi" w:hAnsiTheme="minorHAnsi"/>
        </w:rPr>
        <w:t xml:space="preserve"> </w:t>
      </w:r>
    </w:p>
    <w:p w14:paraId="690D157B" w14:textId="195FE5E2" w:rsidR="00BA7250" w:rsidRPr="00353D69" w:rsidRDefault="75BDA119" w:rsidP="009C29BB">
      <w:pPr>
        <w:pStyle w:val="Corpodetexto"/>
        <w:spacing w:line="240" w:lineRule="auto"/>
        <w:ind w:firstLine="1418"/>
        <w:jc w:val="both"/>
        <w:rPr>
          <w:color w:val="000000" w:themeColor="text1"/>
          <w:sz w:val="24"/>
          <w:szCs w:val="24"/>
        </w:rPr>
      </w:pPr>
      <w:r w:rsidRPr="00353D69">
        <w:rPr>
          <w:color w:val="000000" w:themeColor="text1"/>
          <w:sz w:val="24"/>
          <w:szCs w:val="24"/>
        </w:rPr>
        <w:t xml:space="preserve">A despesa específica com a oferta de novos financiamentos no âmbito do Fies, incluindo o aditamento de renovação semestral dos contratos, corre à conta da Ação 00IG - Concessão de Financiamento Estudantil e está estimada, para o período de </w:t>
      </w:r>
      <w:r w:rsidR="2CC37DED" w:rsidRPr="00353D69">
        <w:rPr>
          <w:color w:val="000000" w:themeColor="text1"/>
          <w:sz w:val="24"/>
          <w:szCs w:val="24"/>
        </w:rPr>
        <w:t>202</w:t>
      </w:r>
      <w:r w:rsidR="0C440F10" w:rsidRPr="00353D69">
        <w:rPr>
          <w:color w:val="000000" w:themeColor="text1"/>
          <w:sz w:val="24"/>
          <w:szCs w:val="24"/>
        </w:rPr>
        <w:t>1</w:t>
      </w:r>
      <w:r w:rsidRPr="00353D69">
        <w:rPr>
          <w:color w:val="000000" w:themeColor="text1"/>
          <w:sz w:val="24"/>
          <w:szCs w:val="24"/>
        </w:rPr>
        <w:t xml:space="preserve"> a 2023, conforme </w:t>
      </w:r>
      <w:r w:rsidR="009C29BB" w:rsidRPr="00353D69">
        <w:rPr>
          <w:color w:val="000000" w:themeColor="text1"/>
          <w:sz w:val="24"/>
          <w:szCs w:val="24"/>
        </w:rPr>
        <w:fldChar w:fldCharType="begin"/>
      </w:r>
      <w:r w:rsidR="009C29BB" w:rsidRPr="00353D69">
        <w:rPr>
          <w:color w:val="000000" w:themeColor="text1"/>
          <w:sz w:val="24"/>
          <w:szCs w:val="24"/>
        </w:rPr>
        <w:instrText xml:space="preserve"> REF _Ref35251953  \* MERGEFORMAT </w:instrText>
      </w:r>
      <w:r w:rsidR="009C29BB" w:rsidRPr="00353D69">
        <w:rPr>
          <w:color w:val="000000" w:themeColor="text1"/>
          <w:sz w:val="24"/>
          <w:szCs w:val="24"/>
        </w:rPr>
        <w:fldChar w:fldCharType="separate"/>
      </w:r>
      <w:r w:rsidR="00304F5F" w:rsidRPr="00304F5F">
        <w:rPr>
          <w:color w:val="000000" w:themeColor="text1"/>
          <w:sz w:val="24"/>
          <w:szCs w:val="24"/>
        </w:rPr>
        <w:t>Tabela 73</w:t>
      </w:r>
      <w:r w:rsidR="009C29BB" w:rsidRPr="00353D69">
        <w:rPr>
          <w:color w:val="000000" w:themeColor="text1"/>
          <w:sz w:val="24"/>
          <w:szCs w:val="24"/>
        </w:rPr>
        <w:fldChar w:fldCharType="end"/>
      </w:r>
      <w:r w:rsidR="00F46D9D" w:rsidRPr="00353D69">
        <w:rPr>
          <w:color w:val="000000" w:themeColor="text1"/>
          <w:sz w:val="24"/>
          <w:szCs w:val="24"/>
        </w:rPr>
        <w:t>.</w:t>
      </w:r>
    </w:p>
    <w:p w14:paraId="5BC95324" w14:textId="12AF7530" w:rsidR="00721950" w:rsidRPr="00353D69" w:rsidRDefault="00721950" w:rsidP="00EC16B3">
      <w:pPr>
        <w:pStyle w:val="Legenda"/>
        <w:spacing w:before="240" w:after="120"/>
        <w:jc w:val="center"/>
        <w:rPr>
          <w:rFonts w:asciiTheme="minorHAnsi" w:hAnsiTheme="minorHAnsi"/>
          <w:i w:val="0"/>
          <w:color w:val="000000" w:themeColor="text1"/>
          <w:sz w:val="22"/>
          <w:szCs w:val="22"/>
        </w:rPr>
      </w:pPr>
      <w:bookmarkStart w:id="463" w:name="_Ref35251953"/>
      <w:bookmarkStart w:id="464" w:name="_Toc69121419"/>
      <w:r w:rsidRPr="00353D69">
        <w:rPr>
          <w:rFonts w:asciiTheme="minorHAnsi" w:hAnsiTheme="minorHAnsi"/>
          <w:i w:val="0"/>
          <w:color w:val="000000" w:themeColor="text1"/>
          <w:sz w:val="22"/>
          <w:szCs w:val="22"/>
        </w:rPr>
        <w:t xml:space="preserve">Tabela </w:t>
      </w:r>
      <w:r w:rsidRPr="00353D69">
        <w:rPr>
          <w:rFonts w:asciiTheme="minorHAnsi" w:hAnsiTheme="minorHAnsi"/>
          <w:i w:val="0"/>
          <w:color w:val="000000" w:themeColor="text1"/>
          <w:sz w:val="22"/>
          <w:szCs w:val="22"/>
        </w:rPr>
        <w:fldChar w:fldCharType="begin"/>
      </w:r>
      <w:r w:rsidRPr="0022645B">
        <w:rPr>
          <w:rFonts w:asciiTheme="minorHAnsi" w:hAnsiTheme="minorHAnsi"/>
          <w:i w:val="0"/>
          <w:color w:val="auto"/>
          <w:sz w:val="22"/>
          <w:szCs w:val="22"/>
        </w:rPr>
        <w:instrText xml:space="preserve"> SEQ Tabela \* ARABIC </w:instrText>
      </w:r>
      <w:r w:rsidRPr="00353D69">
        <w:rPr>
          <w:rFonts w:asciiTheme="minorHAnsi" w:hAnsiTheme="minorHAnsi"/>
          <w:i w:val="0"/>
          <w:color w:val="000000" w:themeColor="text1"/>
          <w:sz w:val="22"/>
          <w:szCs w:val="22"/>
        </w:rPr>
        <w:fldChar w:fldCharType="separate"/>
      </w:r>
      <w:r w:rsidR="00304F5F">
        <w:rPr>
          <w:rFonts w:asciiTheme="minorHAnsi" w:hAnsiTheme="minorHAnsi"/>
          <w:i w:val="0"/>
          <w:noProof/>
          <w:color w:val="auto"/>
          <w:sz w:val="22"/>
          <w:szCs w:val="22"/>
        </w:rPr>
        <w:t>73</w:t>
      </w:r>
      <w:r w:rsidRPr="00353D69">
        <w:rPr>
          <w:rFonts w:asciiTheme="minorHAnsi" w:hAnsiTheme="minorHAnsi"/>
          <w:i w:val="0"/>
          <w:color w:val="000000" w:themeColor="text1"/>
          <w:sz w:val="22"/>
          <w:szCs w:val="22"/>
        </w:rPr>
        <w:fldChar w:fldCharType="end"/>
      </w:r>
      <w:bookmarkEnd w:id="463"/>
      <w:r w:rsidRPr="00353D69">
        <w:rPr>
          <w:rFonts w:asciiTheme="minorHAnsi" w:hAnsiTheme="minorHAnsi"/>
          <w:i w:val="0"/>
          <w:color w:val="000000" w:themeColor="text1"/>
          <w:sz w:val="22"/>
          <w:szCs w:val="22"/>
        </w:rPr>
        <w:t xml:space="preserve"> </w:t>
      </w:r>
      <w:r w:rsidR="0047016D" w:rsidRPr="00353D69">
        <w:rPr>
          <w:rFonts w:asciiTheme="minorHAnsi" w:hAnsiTheme="minorHAnsi"/>
          <w:i w:val="0"/>
          <w:color w:val="000000" w:themeColor="text1"/>
          <w:sz w:val="22"/>
          <w:szCs w:val="22"/>
        </w:rPr>
        <w:t>-</w:t>
      </w:r>
      <w:r w:rsidRPr="00353D69">
        <w:rPr>
          <w:rFonts w:asciiTheme="minorHAnsi" w:hAnsiTheme="minorHAnsi"/>
          <w:i w:val="0"/>
          <w:color w:val="000000" w:themeColor="text1"/>
          <w:sz w:val="22"/>
          <w:szCs w:val="22"/>
        </w:rPr>
        <w:t xml:space="preserve"> </w:t>
      </w:r>
      <w:proofErr w:type="gramStart"/>
      <w:r w:rsidR="0047016D" w:rsidRPr="00353D69">
        <w:rPr>
          <w:rFonts w:asciiTheme="minorHAnsi" w:hAnsiTheme="minorHAnsi"/>
          <w:i w:val="0"/>
          <w:color w:val="000000" w:themeColor="text1"/>
          <w:sz w:val="22"/>
          <w:szCs w:val="22"/>
        </w:rPr>
        <w:t>Estimativa</w:t>
      </w:r>
      <w:proofErr w:type="gramEnd"/>
      <w:r w:rsidR="0047016D" w:rsidRPr="00353D69">
        <w:rPr>
          <w:rFonts w:asciiTheme="minorHAnsi" w:hAnsiTheme="minorHAnsi"/>
          <w:i w:val="0"/>
          <w:color w:val="000000" w:themeColor="text1"/>
          <w:sz w:val="22"/>
          <w:szCs w:val="22"/>
        </w:rPr>
        <w:t xml:space="preserve"> de d</w:t>
      </w:r>
      <w:r w:rsidR="00B47B57" w:rsidRPr="00353D69">
        <w:rPr>
          <w:rFonts w:asciiTheme="minorHAnsi" w:hAnsiTheme="minorHAnsi"/>
          <w:i w:val="0"/>
          <w:color w:val="000000" w:themeColor="text1"/>
          <w:sz w:val="22"/>
          <w:szCs w:val="22"/>
        </w:rPr>
        <w:t xml:space="preserve">esembolso </w:t>
      </w:r>
      <w:r w:rsidR="00F46D9D" w:rsidRPr="00353D69">
        <w:rPr>
          <w:rFonts w:asciiTheme="minorHAnsi" w:hAnsiTheme="minorHAnsi"/>
          <w:i w:val="0"/>
          <w:color w:val="000000" w:themeColor="text1"/>
          <w:sz w:val="22"/>
          <w:szCs w:val="22"/>
        </w:rPr>
        <w:t xml:space="preserve">para o período de </w:t>
      </w:r>
      <w:r w:rsidR="00B47B57" w:rsidRPr="00353D69">
        <w:rPr>
          <w:rFonts w:asciiTheme="minorHAnsi" w:hAnsiTheme="minorHAnsi"/>
          <w:i w:val="0"/>
          <w:color w:val="000000" w:themeColor="text1"/>
          <w:sz w:val="22"/>
          <w:szCs w:val="22"/>
        </w:rPr>
        <w:t>202</w:t>
      </w:r>
      <w:r w:rsidR="125F4FAE" w:rsidRPr="00353D69">
        <w:rPr>
          <w:rFonts w:asciiTheme="minorHAnsi" w:hAnsiTheme="minorHAnsi"/>
          <w:i w:val="0"/>
          <w:color w:val="000000" w:themeColor="text1"/>
          <w:sz w:val="22"/>
          <w:szCs w:val="22"/>
        </w:rPr>
        <w:t>1</w:t>
      </w:r>
      <w:r w:rsidR="00F46D9D" w:rsidRPr="00353D69">
        <w:rPr>
          <w:rFonts w:asciiTheme="minorHAnsi" w:hAnsiTheme="minorHAnsi"/>
          <w:i w:val="0"/>
          <w:color w:val="000000" w:themeColor="text1"/>
          <w:sz w:val="22"/>
          <w:szCs w:val="22"/>
        </w:rPr>
        <w:t xml:space="preserve"> a</w:t>
      </w:r>
      <w:r w:rsidR="5143D26B" w:rsidRPr="00353D69">
        <w:rPr>
          <w:rFonts w:asciiTheme="minorHAnsi" w:hAnsiTheme="minorHAnsi"/>
          <w:i w:val="0"/>
          <w:color w:val="000000" w:themeColor="text1"/>
          <w:sz w:val="22"/>
          <w:szCs w:val="22"/>
        </w:rPr>
        <w:t xml:space="preserve"> </w:t>
      </w:r>
      <w:r w:rsidR="00B47B57" w:rsidRPr="00353D69">
        <w:rPr>
          <w:rFonts w:asciiTheme="minorHAnsi" w:hAnsiTheme="minorHAnsi"/>
          <w:i w:val="0"/>
          <w:color w:val="000000" w:themeColor="text1"/>
          <w:sz w:val="22"/>
          <w:szCs w:val="22"/>
        </w:rPr>
        <w:t>2023</w:t>
      </w:r>
      <w:r w:rsidR="00BA2968" w:rsidRPr="00353D69">
        <w:rPr>
          <w:rFonts w:asciiTheme="minorHAnsi" w:hAnsiTheme="minorHAnsi"/>
          <w:i w:val="0"/>
          <w:color w:val="000000" w:themeColor="text1"/>
          <w:sz w:val="22"/>
          <w:szCs w:val="22"/>
        </w:rPr>
        <w:t xml:space="preserve">, segundo ano </w:t>
      </w:r>
      <w:r w:rsidR="002A0071" w:rsidRPr="00353D69">
        <w:rPr>
          <w:rFonts w:asciiTheme="minorHAnsi" w:hAnsiTheme="minorHAnsi"/>
          <w:i w:val="0"/>
          <w:color w:val="000000" w:themeColor="text1"/>
          <w:sz w:val="22"/>
          <w:szCs w:val="22"/>
        </w:rPr>
        <w:t>do contrato</w:t>
      </w:r>
      <w:bookmarkEnd w:id="464"/>
    </w:p>
    <w:tbl>
      <w:tblPr>
        <w:tblW w:w="421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846"/>
        <w:gridCol w:w="777"/>
        <w:gridCol w:w="780"/>
        <w:gridCol w:w="810"/>
      </w:tblGrid>
      <w:tr w:rsidR="00D87D17" w:rsidRPr="00F60800" w14:paraId="033C80F2" w14:textId="77777777" w:rsidTr="00793C89">
        <w:trPr>
          <w:trHeight w:val="20"/>
          <w:tblHeader/>
          <w:jc w:val="center"/>
        </w:trPr>
        <w:tc>
          <w:tcPr>
            <w:tcW w:w="4213" w:type="dxa"/>
            <w:gridSpan w:val="4"/>
            <w:tcBorders>
              <w:top w:val="nil"/>
              <w:left w:val="nil"/>
              <w:bottom w:val="nil"/>
              <w:right w:val="nil"/>
            </w:tcBorders>
            <w:shd w:val="clear" w:color="auto" w:fill="auto"/>
          </w:tcPr>
          <w:p w14:paraId="02D01183" w14:textId="7BF788BA" w:rsidR="00D87D17" w:rsidRPr="00353D69" w:rsidRDefault="00D87D17" w:rsidP="00930226">
            <w:pPr>
              <w:spacing w:after="0" w:line="240" w:lineRule="auto"/>
              <w:jc w:val="right"/>
              <w:rPr>
                <w:i/>
                <w:color w:val="000000" w:themeColor="text1"/>
                <w:sz w:val="16"/>
                <w:szCs w:val="16"/>
              </w:rPr>
            </w:pPr>
            <w:r w:rsidRPr="00353D69">
              <w:rPr>
                <w:i/>
                <w:color w:val="000000" w:themeColor="text1"/>
                <w:sz w:val="16"/>
                <w:szCs w:val="16"/>
              </w:rPr>
              <w:t xml:space="preserve">Em </w:t>
            </w:r>
            <w:r>
              <w:rPr>
                <w:i/>
                <w:color w:val="000000" w:themeColor="text1"/>
                <w:sz w:val="16"/>
                <w:szCs w:val="16"/>
              </w:rPr>
              <w:t xml:space="preserve">R$ </w:t>
            </w:r>
            <w:r w:rsidRPr="00353D69">
              <w:rPr>
                <w:i/>
                <w:color w:val="000000" w:themeColor="text1"/>
                <w:sz w:val="16"/>
                <w:szCs w:val="16"/>
              </w:rPr>
              <w:t>milhões</w:t>
            </w:r>
          </w:p>
        </w:tc>
      </w:tr>
      <w:tr w:rsidR="009569D9" w:rsidRPr="00D87D17" w14:paraId="7570E705" w14:textId="77777777" w:rsidTr="6F4BDE0C">
        <w:trPr>
          <w:trHeight w:val="20"/>
          <w:tblHeader/>
          <w:jc w:val="center"/>
        </w:trPr>
        <w:tc>
          <w:tcPr>
            <w:tcW w:w="1846" w:type="dxa"/>
            <w:tcBorders>
              <w:top w:val="nil"/>
            </w:tcBorders>
            <w:shd w:val="clear" w:color="auto" w:fill="404040" w:themeFill="text1" w:themeFillTint="BF"/>
          </w:tcPr>
          <w:p w14:paraId="432B79CA" w14:textId="77777777" w:rsidR="009569D9" w:rsidRPr="00D87D17" w:rsidRDefault="009569D9" w:rsidP="003C5519">
            <w:pPr>
              <w:spacing w:after="0" w:line="240" w:lineRule="auto"/>
              <w:jc w:val="center"/>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Ano do contrato</w:t>
            </w:r>
          </w:p>
        </w:tc>
        <w:tc>
          <w:tcPr>
            <w:tcW w:w="777" w:type="dxa"/>
            <w:tcBorders>
              <w:top w:val="nil"/>
            </w:tcBorders>
            <w:shd w:val="clear" w:color="auto" w:fill="404040" w:themeFill="text1" w:themeFillTint="BF"/>
          </w:tcPr>
          <w:p w14:paraId="7DF5A52E" w14:textId="77777777" w:rsidR="009569D9" w:rsidRPr="00D87D17" w:rsidRDefault="009569D9" w:rsidP="003C5519">
            <w:pPr>
              <w:spacing w:after="0" w:line="240" w:lineRule="auto"/>
              <w:jc w:val="center"/>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2021</w:t>
            </w:r>
          </w:p>
        </w:tc>
        <w:tc>
          <w:tcPr>
            <w:tcW w:w="780" w:type="dxa"/>
            <w:tcBorders>
              <w:top w:val="nil"/>
            </w:tcBorders>
            <w:shd w:val="clear" w:color="auto" w:fill="404040" w:themeFill="text1" w:themeFillTint="BF"/>
          </w:tcPr>
          <w:p w14:paraId="53CEC308" w14:textId="77777777" w:rsidR="009569D9" w:rsidRPr="00D87D17" w:rsidRDefault="009569D9" w:rsidP="003C5519">
            <w:pPr>
              <w:spacing w:after="0" w:line="240" w:lineRule="auto"/>
              <w:jc w:val="center"/>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2022</w:t>
            </w:r>
          </w:p>
        </w:tc>
        <w:tc>
          <w:tcPr>
            <w:tcW w:w="810" w:type="dxa"/>
            <w:tcBorders>
              <w:top w:val="nil"/>
            </w:tcBorders>
            <w:shd w:val="clear" w:color="auto" w:fill="404040" w:themeFill="text1" w:themeFillTint="BF"/>
          </w:tcPr>
          <w:p w14:paraId="3E1CE458" w14:textId="77777777" w:rsidR="009569D9" w:rsidRPr="00D87D17" w:rsidRDefault="009569D9" w:rsidP="003C5519">
            <w:pPr>
              <w:spacing w:after="0" w:line="240" w:lineRule="auto"/>
              <w:jc w:val="center"/>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2023</w:t>
            </w:r>
          </w:p>
        </w:tc>
      </w:tr>
      <w:tr w:rsidR="009569D9" w:rsidRPr="00102756" w14:paraId="32350BD4" w14:textId="77777777" w:rsidTr="6F4BDE0C">
        <w:trPr>
          <w:trHeight w:val="20"/>
          <w:jc w:val="center"/>
        </w:trPr>
        <w:tc>
          <w:tcPr>
            <w:tcW w:w="1846" w:type="dxa"/>
            <w:shd w:val="clear" w:color="auto" w:fill="F2F2F2" w:themeFill="background1" w:themeFillShade="F2"/>
            <w:vAlign w:val="center"/>
          </w:tcPr>
          <w:p w14:paraId="075BAFF8" w14:textId="77777777" w:rsidR="009569D9" w:rsidRPr="00353D69" w:rsidRDefault="009569D9" w:rsidP="003C5519">
            <w:pPr>
              <w:spacing w:after="0" w:line="240" w:lineRule="auto"/>
              <w:jc w:val="center"/>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2010-2017</w:t>
            </w:r>
          </w:p>
        </w:tc>
        <w:tc>
          <w:tcPr>
            <w:tcW w:w="777" w:type="dxa"/>
            <w:shd w:val="clear" w:color="auto" w:fill="F2F2F2" w:themeFill="background1" w:themeFillShade="F2"/>
          </w:tcPr>
          <w:p w14:paraId="69F5B174" w14:textId="77777777" w:rsidR="009569D9" w:rsidRPr="00353D69" w:rsidRDefault="009569D9"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2.531,1</w:t>
            </w:r>
          </w:p>
        </w:tc>
        <w:tc>
          <w:tcPr>
            <w:tcW w:w="780" w:type="dxa"/>
            <w:shd w:val="clear" w:color="auto" w:fill="F2F2F2" w:themeFill="background1" w:themeFillShade="F2"/>
          </w:tcPr>
          <w:p w14:paraId="11A591F9" w14:textId="77777777" w:rsidR="009569D9" w:rsidRPr="00353D69" w:rsidRDefault="009569D9"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1.050,8</w:t>
            </w:r>
          </w:p>
        </w:tc>
        <w:tc>
          <w:tcPr>
            <w:tcW w:w="810" w:type="dxa"/>
            <w:shd w:val="clear" w:color="auto" w:fill="F2F2F2" w:themeFill="background1" w:themeFillShade="F2"/>
          </w:tcPr>
          <w:p w14:paraId="17DDC757" w14:textId="77777777" w:rsidR="009569D9" w:rsidRPr="00353D69" w:rsidRDefault="009569D9"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224</w:t>
            </w:r>
          </w:p>
        </w:tc>
      </w:tr>
      <w:tr w:rsidR="009569D9" w:rsidRPr="00102756" w14:paraId="22886A05" w14:textId="77777777" w:rsidTr="6F4BDE0C">
        <w:trPr>
          <w:trHeight w:val="20"/>
          <w:jc w:val="center"/>
        </w:trPr>
        <w:tc>
          <w:tcPr>
            <w:tcW w:w="1846" w:type="dxa"/>
            <w:shd w:val="clear" w:color="auto" w:fill="auto"/>
            <w:vAlign w:val="center"/>
          </w:tcPr>
          <w:p w14:paraId="381398D6" w14:textId="77777777" w:rsidR="009569D9" w:rsidRPr="00353D69" w:rsidRDefault="009569D9" w:rsidP="003C5519">
            <w:pPr>
              <w:spacing w:after="0" w:line="240" w:lineRule="auto"/>
              <w:jc w:val="center"/>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2018-2023</w:t>
            </w:r>
          </w:p>
        </w:tc>
        <w:tc>
          <w:tcPr>
            <w:tcW w:w="777" w:type="dxa"/>
          </w:tcPr>
          <w:p w14:paraId="09BD7627" w14:textId="286CCD24" w:rsidR="009569D9" w:rsidRPr="00353D69" w:rsidRDefault="009569D9"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5.</w:t>
            </w:r>
            <w:r w:rsidR="0BE74CC7" w:rsidRPr="00353D69">
              <w:rPr>
                <w:rFonts w:eastAsia="Times New Roman" w:cs="Times New Roman"/>
                <w:color w:val="000000" w:themeColor="text1"/>
                <w:sz w:val="18"/>
                <w:szCs w:val="18"/>
                <w:lang w:eastAsia="pt-BR"/>
              </w:rPr>
              <w:t>950</w:t>
            </w:r>
            <w:r w:rsidRPr="00353D69">
              <w:rPr>
                <w:rFonts w:eastAsia="Times New Roman" w:cs="Times New Roman"/>
                <w:color w:val="000000" w:themeColor="text1"/>
                <w:sz w:val="18"/>
                <w:szCs w:val="18"/>
                <w:lang w:eastAsia="pt-BR"/>
              </w:rPr>
              <w:t>,</w:t>
            </w:r>
            <w:r w:rsidR="4DE4EFDF" w:rsidRPr="00353D69">
              <w:rPr>
                <w:rFonts w:eastAsia="Times New Roman" w:cs="Times New Roman"/>
                <w:color w:val="000000" w:themeColor="text1"/>
                <w:sz w:val="18"/>
                <w:szCs w:val="18"/>
                <w:lang w:eastAsia="pt-BR"/>
              </w:rPr>
              <w:t>5</w:t>
            </w:r>
          </w:p>
        </w:tc>
        <w:tc>
          <w:tcPr>
            <w:tcW w:w="780" w:type="dxa"/>
          </w:tcPr>
          <w:p w14:paraId="446A6B4B" w14:textId="19B0BF74" w:rsidR="009569D9" w:rsidRPr="00353D69" w:rsidRDefault="009569D9"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6.222,</w:t>
            </w:r>
            <w:r w:rsidR="20972BE5" w:rsidRPr="00353D69">
              <w:rPr>
                <w:rFonts w:eastAsia="Times New Roman" w:cs="Times New Roman"/>
                <w:color w:val="000000" w:themeColor="text1"/>
                <w:sz w:val="18"/>
                <w:szCs w:val="18"/>
                <w:lang w:eastAsia="pt-BR"/>
              </w:rPr>
              <w:t>4</w:t>
            </w:r>
          </w:p>
        </w:tc>
        <w:tc>
          <w:tcPr>
            <w:tcW w:w="810" w:type="dxa"/>
          </w:tcPr>
          <w:p w14:paraId="41A2EDC5" w14:textId="77777777" w:rsidR="009569D9" w:rsidRPr="00353D69" w:rsidRDefault="009569D9"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6.341,0</w:t>
            </w:r>
          </w:p>
        </w:tc>
      </w:tr>
      <w:tr w:rsidR="009569D9" w:rsidRPr="00D87D17" w14:paraId="0B732CC0" w14:textId="77777777" w:rsidTr="6F4BDE0C">
        <w:trPr>
          <w:trHeight w:val="20"/>
          <w:jc w:val="center"/>
        </w:trPr>
        <w:tc>
          <w:tcPr>
            <w:tcW w:w="1846" w:type="dxa"/>
            <w:tcBorders>
              <w:bottom w:val="nil"/>
            </w:tcBorders>
            <w:shd w:val="clear" w:color="auto" w:fill="7F7F7F" w:themeFill="text1" w:themeFillTint="80"/>
            <w:vAlign w:val="center"/>
          </w:tcPr>
          <w:p w14:paraId="66581848" w14:textId="77777777" w:rsidR="009569D9" w:rsidRPr="00D87D17" w:rsidRDefault="009569D9" w:rsidP="003C5519">
            <w:pPr>
              <w:spacing w:after="0" w:line="240" w:lineRule="auto"/>
              <w:jc w:val="center"/>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Exposição Total</w:t>
            </w:r>
          </w:p>
        </w:tc>
        <w:tc>
          <w:tcPr>
            <w:tcW w:w="777" w:type="dxa"/>
            <w:tcBorders>
              <w:bottom w:val="nil"/>
            </w:tcBorders>
            <w:shd w:val="clear" w:color="auto" w:fill="7F7F7F" w:themeFill="text1" w:themeFillTint="80"/>
          </w:tcPr>
          <w:p w14:paraId="4564AEB3" w14:textId="07C6C30F" w:rsidR="009569D9" w:rsidRPr="00D87D17" w:rsidRDefault="009569D9" w:rsidP="003C5519">
            <w:pPr>
              <w:spacing w:after="0" w:line="240" w:lineRule="auto"/>
              <w:jc w:val="right"/>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8.</w:t>
            </w:r>
            <w:r w:rsidR="09BD64FD" w:rsidRPr="00D87D17">
              <w:rPr>
                <w:rFonts w:eastAsia="Times New Roman" w:cs="Times New Roman"/>
                <w:b/>
                <w:bCs/>
                <w:color w:val="FFFFFF" w:themeColor="background1"/>
                <w:sz w:val="18"/>
                <w:szCs w:val="18"/>
                <w:lang w:eastAsia="pt-BR"/>
              </w:rPr>
              <w:t>481</w:t>
            </w:r>
            <w:r w:rsidRPr="00D87D17">
              <w:rPr>
                <w:rFonts w:eastAsia="Times New Roman" w:cs="Times New Roman"/>
                <w:b/>
                <w:bCs/>
                <w:color w:val="FFFFFF" w:themeColor="background1"/>
                <w:sz w:val="18"/>
                <w:szCs w:val="18"/>
                <w:lang w:eastAsia="pt-BR"/>
              </w:rPr>
              <w:t>,</w:t>
            </w:r>
            <w:r w:rsidR="3A746BE2" w:rsidRPr="00D87D17">
              <w:rPr>
                <w:rFonts w:eastAsia="Times New Roman" w:cs="Times New Roman"/>
                <w:b/>
                <w:bCs/>
                <w:color w:val="FFFFFF" w:themeColor="background1"/>
                <w:sz w:val="18"/>
                <w:szCs w:val="18"/>
                <w:lang w:eastAsia="pt-BR"/>
              </w:rPr>
              <w:t>6</w:t>
            </w:r>
          </w:p>
        </w:tc>
        <w:tc>
          <w:tcPr>
            <w:tcW w:w="780" w:type="dxa"/>
            <w:tcBorders>
              <w:bottom w:val="nil"/>
            </w:tcBorders>
            <w:shd w:val="clear" w:color="auto" w:fill="7F7F7F" w:themeFill="text1" w:themeFillTint="80"/>
          </w:tcPr>
          <w:p w14:paraId="428EECC2" w14:textId="77777777" w:rsidR="009569D9" w:rsidRPr="00D87D17" w:rsidRDefault="009569D9" w:rsidP="003C5519">
            <w:pPr>
              <w:spacing w:after="0" w:line="240" w:lineRule="auto"/>
              <w:jc w:val="right"/>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7.273,2</w:t>
            </w:r>
          </w:p>
        </w:tc>
        <w:tc>
          <w:tcPr>
            <w:tcW w:w="810" w:type="dxa"/>
            <w:tcBorders>
              <w:bottom w:val="nil"/>
            </w:tcBorders>
            <w:shd w:val="clear" w:color="auto" w:fill="7F7F7F" w:themeFill="text1" w:themeFillTint="80"/>
          </w:tcPr>
          <w:p w14:paraId="001D9F41" w14:textId="77777777" w:rsidR="009569D9" w:rsidRPr="00D87D17" w:rsidRDefault="009569D9" w:rsidP="003C5519">
            <w:pPr>
              <w:spacing w:after="0" w:line="240" w:lineRule="auto"/>
              <w:jc w:val="right"/>
              <w:rPr>
                <w:rFonts w:eastAsia="Times New Roman" w:cs="Times New Roman"/>
                <w:b/>
                <w:bCs/>
                <w:color w:val="FFFFFF" w:themeColor="background1"/>
                <w:sz w:val="18"/>
                <w:szCs w:val="18"/>
                <w:lang w:eastAsia="pt-BR"/>
              </w:rPr>
            </w:pPr>
            <w:r w:rsidRPr="00D87D17">
              <w:rPr>
                <w:rFonts w:eastAsia="Times New Roman" w:cs="Times New Roman"/>
                <w:b/>
                <w:bCs/>
                <w:color w:val="FFFFFF" w:themeColor="background1"/>
                <w:sz w:val="18"/>
                <w:szCs w:val="18"/>
                <w:lang w:eastAsia="pt-BR"/>
              </w:rPr>
              <w:t>6.565,0</w:t>
            </w:r>
          </w:p>
        </w:tc>
      </w:tr>
      <w:tr w:rsidR="00D87D17" w:rsidRPr="00D87D17" w14:paraId="5DB80F24" w14:textId="77777777" w:rsidTr="00D87D17">
        <w:trPr>
          <w:trHeight w:val="20"/>
          <w:jc w:val="center"/>
        </w:trPr>
        <w:tc>
          <w:tcPr>
            <w:tcW w:w="4213" w:type="dxa"/>
            <w:gridSpan w:val="4"/>
            <w:tcBorders>
              <w:top w:val="nil"/>
              <w:left w:val="nil"/>
              <w:bottom w:val="nil"/>
              <w:right w:val="nil"/>
            </w:tcBorders>
            <w:shd w:val="clear" w:color="auto" w:fill="auto"/>
          </w:tcPr>
          <w:p w14:paraId="2D84E0FD" w14:textId="4A27AADE" w:rsidR="00D87D17" w:rsidRPr="00D87D17" w:rsidRDefault="00D87D17" w:rsidP="00D87D17">
            <w:pPr>
              <w:spacing w:after="0" w:line="240" w:lineRule="auto"/>
              <w:rPr>
                <w:rFonts w:eastAsia="Times New Roman" w:cs="Times New Roman"/>
                <w:b/>
                <w:i/>
                <w:color w:val="000000" w:themeColor="text1"/>
                <w:sz w:val="16"/>
                <w:szCs w:val="16"/>
                <w:lang w:eastAsia="pt-BR"/>
              </w:rPr>
            </w:pPr>
            <w:r w:rsidRPr="00D87D17">
              <w:rPr>
                <w:b/>
                <w:i/>
                <w:color w:val="000000" w:themeColor="text1"/>
                <w:sz w:val="16"/>
                <w:szCs w:val="16"/>
              </w:rPr>
              <w:t>Fonte e Elaboração</w:t>
            </w:r>
            <w:r w:rsidRPr="00D87D17">
              <w:rPr>
                <w:i/>
                <w:color w:val="000000" w:themeColor="text1"/>
                <w:sz w:val="16"/>
                <w:szCs w:val="16"/>
              </w:rPr>
              <w:t>: FNDE</w:t>
            </w:r>
          </w:p>
        </w:tc>
      </w:tr>
    </w:tbl>
    <w:p w14:paraId="0D6D61C1" w14:textId="77777777" w:rsidR="00C23564" w:rsidRPr="00353D69" w:rsidRDefault="00C23564" w:rsidP="002029A1">
      <w:pPr>
        <w:pStyle w:val="Corpodetexto"/>
        <w:spacing w:line="240" w:lineRule="auto"/>
        <w:ind w:firstLine="1418"/>
        <w:jc w:val="both"/>
        <w:rPr>
          <w:color w:val="000000" w:themeColor="text1"/>
          <w:sz w:val="24"/>
          <w:szCs w:val="24"/>
        </w:rPr>
      </w:pPr>
    </w:p>
    <w:p w14:paraId="0C197BEC" w14:textId="4E60184D" w:rsidR="000E073B" w:rsidRPr="00353D69" w:rsidRDefault="002029A1" w:rsidP="148BC5DC">
      <w:pPr>
        <w:pStyle w:val="Corpodetexto"/>
        <w:spacing w:line="240" w:lineRule="auto"/>
        <w:ind w:firstLine="1418"/>
        <w:jc w:val="both"/>
        <w:rPr>
          <w:color w:val="000000" w:themeColor="text1"/>
          <w:sz w:val="24"/>
          <w:szCs w:val="24"/>
        </w:rPr>
      </w:pPr>
      <w:r w:rsidRPr="00353D69">
        <w:rPr>
          <w:color w:val="000000" w:themeColor="text1"/>
          <w:sz w:val="24"/>
          <w:szCs w:val="24"/>
        </w:rPr>
        <w:t xml:space="preserve">O decréscimo observado na estimativa dos recursos para fazer frente aos dispêndios relacionados aos aditamentos de renovação semestral (contratos de 2010 a 2017) é motivado pela redução da quantidade de contratos na fase de utilização, </w:t>
      </w:r>
      <w:r w:rsidR="00826255" w:rsidRPr="00353D69">
        <w:rPr>
          <w:color w:val="000000" w:themeColor="text1"/>
          <w:sz w:val="24"/>
          <w:szCs w:val="24"/>
        </w:rPr>
        <w:t>o que</w:t>
      </w:r>
      <w:r w:rsidRPr="00353D69">
        <w:rPr>
          <w:color w:val="000000" w:themeColor="text1"/>
          <w:sz w:val="24"/>
          <w:szCs w:val="24"/>
        </w:rPr>
        <w:t xml:space="preserve"> gera desembolsos do Fies para pagamento dos encargos educacionais financiados às instituições de ensino.</w:t>
      </w:r>
      <w:r w:rsidR="005D55BE" w:rsidRPr="00353D69">
        <w:rPr>
          <w:color w:val="000000" w:themeColor="text1"/>
          <w:sz w:val="24"/>
          <w:szCs w:val="24"/>
        </w:rPr>
        <w:t xml:space="preserve"> Por outro lado, </w:t>
      </w:r>
      <w:proofErr w:type="gramStart"/>
      <w:r w:rsidR="005D55BE" w:rsidRPr="00353D69">
        <w:rPr>
          <w:color w:val="000000" w:themeColor="text1"/>
          <w:sz w:val="24"/>
          <w:szCs w:val="24"/>
        </w:rPr>
        <w:t>os recursos orçamentários estimados para fazer frente aos dispêndios relacionados às contratações do Novo Fies</w:t>
      </w:r>
      <w:proofErr w:type="gramEnd"/>
      <w:r w:rsidR="005D55BE" w:rsidRPr="00353D69">
        <w:rPr>
          <w:color w:val="000000" w:themeColor="text1"/>
          <w:sz w:val="24"/>
          <w:szCs w:val="24"/>
        </w:rPr>
        <w:t xml:space="preserve"> (contratos de 2018 a 2023) apresenta</w:t>
      </w:r>
      <w:r w:rsidR="00D31DD6" w:rsidRPr="00353D69">
        <w:rPr>
          <w:color w:val="000000" w:themeColor="text1"/>
          <w:sz w:val="24"/>
          <w:szCs w:val="24"/>
        </w:rPr>
        <w:t>m</w:t>
      </w:r>
      <w:r w:rsidR="005D55BE" w:rsidRPr="00353D69">
        <w:rPr>
          <w:color w:val="000000" w:themeColor="text1"/>
          <w:sz w:val="24"/>
          <w:szCs w:val="24"/>
        </w:rPr>
        <w:t xml:space="preserve"> crescimento </w:t>
      </w:r>
      <w:r w:rsidR="00A210F9" w:rsidRPr="00353D69">
        <w:rPr>
          <w:color w:val="000000" w:themeColor="text1"/>
          <w:sz w:val="24"/>
          <w:szCs w:val="24"/>
        </w:rPr>
        <w:t xml:space="preserve">constante </w:t>
      </w:r>
      <w:r w:rsidR="005D55BE" w:rsidRPr="00353D69">
        <w:rPr>
          <w:color w:val="000000" w:themeColor="text1"/>
          <w:sz w:val="24"/>
          <w:szCs w:val="24"/>
        </w:rPr>
        <w:t>ao longo dos anos, dada a oferta equânime de vagas a cada ano</w:t>
      </w:r>
      <w:r w:rsidR="00043423" w:rsidRPr="00353D69">
        <w:rPr>
          <w:color w:val="000000" w:themeColor="text1"/>
          <w:sz w:val="24"/>
          <w:szCs w:val="24"/>
        </w:rPr>
        <w:t>.</w:t>
      </w:r>
    </w:p>
    <w:p w14:paraId="021677DF" w14:textId="4E16EE22" w:rsidR="00F43DB8" w:rsidRPr="00353D69" w:rsidRDefault="0011767C" w:rsidP="25917DB9">
      <w:pPr>
        <w:pStyle w:val="Corpodetexto"/>
        <w:spacing w:line="240" w:lineRule="auto"/>
        <w:ind w:firstLine="1418"/>
        <w:jc w:val="both"/>
        <w:rPr>
          <w:color w:val="000000" w:themeColor="text1"/>
          <w:sz w:val="24"/>
          <w:szCs w:val="24"/>
        </w:rPr>
      </w:pPr>
      <w:r w:rsidRPr="00353D69">
        <w:rPr>
          <w:color w:val="000000" w:themeColor="text1"/>
          <w:sz w:val="24"/>
          <w:szCs w:val="24"/>
        </w:rPr>
        <w:lastRenderedPageBreak/>
        <w:t>Em 20</w:t>
      </w:r>
      <w:r w:rsidR="2F30A719" w:rsidRPr="00353D69">
        <w:rPr>
          <w:color w:val="000000" w:themeColor="text1"/>
          <w:sz w:val="24"/>
          <w:szCs w:val="24"/>
        </w:rPr>
        <w:t>20</w:t>
      </w:r>
      <w:r w:rsidRPr="00353D69">
        <w:rPr>
          <w:color w:val="000000" w:themeColor="text1"/>
          <w:sz w:val="24"/>
          <w:szCs w:val="24"/>
        </w:rPr>
        <w:t xml:space="preserve">, as receitas arrecadadas do Fies relativas ao capital (amortização) e aos juros do financiamento estudantil alcançaram R$ </w:t>
      </w:r>
      <w:r w:rsidR="5ACB8CA1" w:rsidRPr="00353D69">
        <w:rPr>
          <w:color w:val="000000" w:themeColor="text1"/>
          <w:sz w:val="24"/>
          <w:szCs w:val="24"/>
        </w:rPr>
        <w:t>3</w:t>
      </w:r>
      <w:r w:rsidRPr="00353D69">
        <w:rPr>
          <w:color w:val="000000" w:themeColor="text1"/>
          <w:sz w:val="24"/>
          <w:szCs w:val="24"/>
        </w:rPr>
        <w:t>,</w:t>
      </w:r>
      <w:r w:rsidR="1D9E1022" w:rsidRPr="00353D69">
        <w:rPr>
          <w:color w:val="000000" w:themeColor="text1"/>
          <w:sz w:val="24"/>
          <w:szCs w:val="24"/>
        </w:rPr>
        <w:t>2</w:t>
      </w:r>
      <w:r w:rsidRPr="00353D69">
        <w:rPr>
          <w:color w:val="000000" w:themeColor="text1"/>
          <w:sz w:val="24"/>
          <w:szCs w:val="24"/>
        </w:rPr>
        <w:t xml:space="preserve"> bilhões frente a R$ 2,</w:t>
      </w:r>
      <w:r w:rsidR="2DB3B131" w:rsidRPr="00353D69">
        <w:rPr>
          <w:color w:val="000000" w:themeColor="text1"/>
          <w:sz w:val="24"/>
          <w:szCs w:val="24"/>
        </w:rPr>
        <w:t>7</w:t>
      </w:r>
      <w:r w:rsidRPr="00353D69">
        <w:rPr>
          <w:color w:val="000000" w:themeColor="text1"/>
          <w:sz w:val="24"/>
          <w:szCs w:val="24"/>
        </w:rPr>
        <w:t xml:space="preserve"> bilhões em 201</w:t>
      </w:r>
      <w:r w:rsidR="5B409A47" w:rsidRPr="00353D69">
        <w:rPr>
          <w:color w:val="000000" w:themeColor="text1"/>
          <w:sz w:val="24"/>
          <w:szCs w:val="24"/>
        </w:rPr>
        <w:t>9</w:t>
      </w:r>
      <w:r w:rsidRPr="00353D69">
        <w:rPr>
          <w:color w:val="000000" w:themeColor="text1"/>
          <w:sz w:val="24"/>
          <w:szCs w:val="24"/>
        </w:rPr>
        <w:t xml:space="preserve">, representando crescimento de </w:t>
      </w:r>
      <w:r w:rsidR="7F003E14" w:rsidRPr="00353D69">
        <w:rPr>
          <w:color w:val="000000" w:themeColor="text1"/>
          <w:sz w:val="24"/>
          <w:szCs w:val="24"/>
        </w:rPr>
        <w:t>18,6</w:t>
      </w:r>
      <w:r w:rsidRPr="00353D69">
        <w:rPr>
          <w:color w:val="000000" w:themeColor="text1"/>
          <w:sz w:val="24"/>
          <w:szCs w:val="24"/>
        </w:rPr>
        <w:t xml:space="preserve">% em relação ao ano anterior, conforme discriminado </w:t>
      </w:r>
      <w:r w:rsidR="003E0AC6" w:rsidRPr="00353D69">
        <w:rPr>
          <w:color w:val="000000" w:themeColor="text1"/>
          <w:sz w:val="24"/>
          <w:szCs w:val="24"/>
        </w:rPr>
        <w:t xml:space="preserve">na </w:t>
      </w:r>
      <w:r w:rsidRPr="00353D69">
        <w:rPr>
          <w:color w:val="000000" w:themeColor="text1"/>
          <w:sz w:val="24"/>
          <w:szCs w:val="24"/>
        </w:rPr>
        <w:fldChar w:fldCharType="begin"/>
      </w:r>
      <w:r w:rsidRPr="00353D69">
        <w:rPr>
          <w:color w:val="000000" w:themeColor="text1"/>
          <w:sz w:val="24"/>
          <w:szCs w:val="24"/>
        </w:rPr>
        <w:instrText xml:space="preserve"> REF _Ref35252433  \* MERGEFORMAT </w:instrText>
      </w:r>
      <w:r w:rsidRPr="00353D69">
        <w:rPr>
          <w:color w:val="000000" w:themeColor="text1"/>
          <w:sz w:val="24"/>
          <w:szCs w:val="24"/>
        </w:rPr>
        <w:fldChar w:fldCharType="separate"/>
      </w:r>
      <w:r w:rsidR="00304F5F" w:rsidRPr="00304F5F">
        <w:rPr>
          <w:color w:val="000000" w:themeColor="text1"/>
          <w:sz w:val="24"/>
          <w:szCs w:val="24"/>
        </w:rPr>
        <w:t>Tabela 74</w:t>
      </w:r>
      <w:r w:rsidRPr="00353D69">
        <w:rPr>
          <w:color w:val="000000" w:themeColor="text1"/>
          <w:sz w:val="24"/>
          <w:szCs w:val="24"/>
        </w:rPr>
        <w:fldChar w:fldCharType="end"/>
      </w:r>
      <w:r w:rsidR="002A0071" w:rsidRPr="00353D69">
        <w:rPr>
          <w:color w:val="000000" w:themeColor="text1"/>
          <w:sz w:val="24"/>
          <w:szCs w:val="24"/>
        </w:rPr>
        <w:t>.</w:t>
      </w:r>
    </w:p>
    <w:p w14:paraId="369E20B8" w14:textId="13E277FB" w:rsidR="0011767C" w:rsidRPr="00353D69" w:rsidRDefault="0011767C" w:rsidP="25917DB9">
      <w:pPr>
        <w:pStyle w:val="Legenda"/>
        <w:spacing w:before="240" w:after="120"/>
        <w:jc w:val="center"/>
        <w:rPr>
          <w:rFonts w:asciiTheme="minorHAnsi" w:hAnsiTheme="minorHAnsi"/>
          <w:i w:val="0"/>
          <w:color w:val="000000" w:themeColor="text1"/>
          <w:sz w:val="22"/>
          <w:szCs w:val="22"/>
        </w:rPr>
      </w:pPr>
      <w:bookmarkStart w:id="465" w:name="_Ref35252433"/>
      <w:bookmarkStart w:id="466" w:name="_Toc69121420"/>
      <w:r w:rsidRPr="00353D69">
        <w:rPr>
          <w:rFonts w:asciiTheme="minorHAnsi" w:hAnsiTheme="minorHAnsi"/>
          <w:i w:val="0"/>
          <w:color w:val="000000" w:themeColor="text1"/>
          <w:sz w:val="22"/>
          <w:szCs w:val="22"/>
        </w:rPr>
        <w:t xml:space="preserve">Tabela </w:t>
      </w:r>
      <w:r w:rsidRPr="00353D69">
        <w:rPr>
          <w:rFonts w:asciiTheme="minorHAnsi" w:hAnsiTheme="minorHAnsi"/>
          <w:i w:val="0"/>
          <w:color w:val="000000" w:themeColor="text1"/>
          <w:sz w:val="22"/>
          <w:szCs w:val="22"/>
        </w:rPr>
        <w:fldChar w:fldCharType="begin"/>
      </w:r>
      <w:r w:rsidRPr="25917DB9">
        <w:rPr>
          <w:rFonts w:asciiTheme="minorHAnsi" w:hAnsiTheme="minorHAnsi"/>
          <w:i w:val="0"/>
          <w:iCs w:val="0"/>
          <w:color w:val="auto"/>
          <w:sz w:val="22"/>
          <w:szCs w:val="22"/>
        </w:rPr>
        <w:instrText xml:space="preserve"> SEQ Tabela \* ARABIC </w:instrText>
      </w:r>
      <w:r w:rsidRPr="00353D69">
        <w:rPr>
          <w:rFonts w:asciiTheme="minorHAnsi" w:hAnsiTheme="minorHAnsi"/>
          <w:i w:val="0"/>
          <w:color w:val="000000" w:themeColor="text1"/>
          <w:sz w:val="22"/>
          <w:szCs w:val="22"/>
        </w:rPr>
        <w:fldChar w:fldCharType="separate"/>
      </w:r>
      <w:r w:rsidR="00304F5F">
        <w:rPr>
          <w:rFonts w:asciiTheme="minorHAnsi" w:hAnsiTheme="minorHAnsi"/>
          <w:i w:val="0"/>
          <w:iCs w:val="0"/>
          <w:noProof/>
          <w:color w:val="auto"/>
          <w:sz w:val="22"/>
          <w:szCs w:val="22"/>
        </w:rPr>
        <w:t>74</w:t>
      </w:r>
      <w:r w:rsidRPr="00353D69">
        <w:rPr>
          <w:rFonts w:asciiTheme="minorHAnsi" w:hAnsiTheme="minorHAnsi"/>
          <w:i w:val="0"/>
          <w:color w:val="000000" w:themeColor="text1"/>
          <w:sz w:val="22"/>
          <w:szCs w:val="22"/>
        </w:rPr>
        <w:fldChar w:fldCharType="end"/>
      </w:r>
      <w:bookmarkEnd w:id="465"/>
      <w:r w:rsidRPr="00353D69">
        <w:rPr>
          <w:rFonts w:asciiTheme="minorHAnsi" w:hAnsiTheme="minorHAnsi"/>
          <w:i w:val="0"/>
          <w:color w:val="000000" w:themeColor="text1"/>
          <w:sz w:val="22"/>
          <w:szCs w:val="22"/>
        </w:rPr>
        <w:t xml:space="preserve"> - </w:t>
      </w:r>
      <w:r w:rsidR="001557F4" w:rsidRPr="00353D69">
        <w:rPr>
          <w:rFonts w:asciiTheme="minorHAnsi" w:hAnsiTheme="minorHAnsi"/>
          <w:i w:val="0"/>
          <w:color w:val="000000" w:themeColor="text1"/>
          <w:sz w:val="22"/>
          <w:szCs w:val="22"/>
        </w:rPr>
        <w:t xml:space="preserve">Comparação entre as receitas estimadas e realizadas segundo natureza, por </w:t>
      </w:r>
      <w:proofErr w:type="gramStart"/>
      <w:r w:rsidR="001557F4" w:rsidRPr="00353D69">
        <w:rPr>
          <w:rFonts w:asciiTheme="minorHAnsi" w:hAnsiTheme="minorHAnsi"/>
          <w:i w:val="0"/>
          <w:color w:val="000000" w:themeColor="text1"/>
          <w:sz w:val="22"/>
          <w:szCs w:val="22"/>
        </w:rPr>
        <w:t>ano</w:t>
      </w:r>
      <w:bookmarkEnd w:id="466"/>
      <w:proofErr w:type="gramEnd"/>
    </w:p>
    <w:tbl>
      <w:tblPr>
        <w:tblStyle w:val="Tabelacomgrade"/>
        <w:tblW w:w="596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31"/>
        <w:gridCol w:w="318"/>
        <w:gridCol w:w="810"/>
        <w:gridCol w:w="810"/>
      </w:tblGrid>
      <w:tr w:rsidR="00B8065F" w:rsidRPr="00A07FD1" w14:paraId="0F552FEE" w14:textId="77777777" w:rsidTr="71B7BA98">
        <w:trPr>
          <w:tblHeader/>
          <w:jc w:val="center"/>
        </w:trPr>
        <w:tc>
          <w:tcPr>
            <w:tcW w:w="5969" w:type="dxa"/>
            <w:gridSpan w:val="4"/>
            <w:tcBorders>
              <w:top w:val="nil"/>
              <w:left w:val="nil"/>
              <w:bottom w:val="single" w:sz="4" w:space="0" w:color="BFBFBF" w:themeColor="background1" w:themeShade="BF"/>
              <w:right w:val="nil"/>
            </w:tcBorders>
            <w:shd w:val="clear" w:color="auto" w:fill="FFFFFF" w:themeFill="background1"/>
            <w:vAlign w:val="center"/>
          </w:tcPr>
          <w:p w14:paraId="06E1610F" w14:textId="1CECCBD2" w:rsidR="00B8065F" w:rsidRPr="00084CA6" w:rsidRDefault="00930226" w:rsidP="006A6DEA">
            <w:pPr>
              <w:pStyle w:val="Corpodetexto"/>
              <w:spacing w:after="0"/>
              <w:jc w:val="right"/>
              <w:rPr>
                <w:color w:val="404040" w:themeColor="text1" w:themeTint="BF"/>
                <w:sz w:val="16"/>
                <w:szCs w:val="16"/>
              </w:rPr>
            </w:pPr>
            <w:r>
              <w:rPr>
                <w:i/>
                <w:sz w:val="16"/>
                <w:szCs w:val="16"/>
              </w:rPr>
              <w:t xml:space="preserve">Em R$ milhões </w:t>
            </w:r>
          </w:p>
        </w:tc>
      </w:tr>
      <w:tr w:rsidR="00B8065F" w:rsidRPr="003E4DDA" w14:paraId="2841B6F0" w14:textId="77777777" w:rsidTr="71B7BA98">
        <w:trPr>
          <w:tblHeader/>
          <w:jc w:val="center"/>
        </w:trPr>
        <w:tc>
          <w:tcPr>
            <w:tcW w:w="4035" w:type="dxa"/>
            <w:vMerge w:val="restart"/>
            <w:tcBorders>
              <w:top w:val="single" w:sz="4" w:space="0" w:color="BFBFBF" w:themeColor="background1" w:themeShade="BF"/>
            </w:tcBorders>
            <w:shd w:val="clear" w:color="auto" w:fill="404040" w:themeFill="text1" w:themeFillTint="BF"/>
            <w:vAlign w:val="center"/>
          </w:tcPr>
          <w:p w14:paraId="200BA4AE" w14:textId="50F2B5F0" w:rsidR="00B8065F" w:rsidRPr="008410D4" w:rsidRDefault="00B8065F" w:rsidP="006A6DEA">
            <w:pPr>
              <w:pStyle w:val="Corpodetexto"/>
              <w:spacing w:after="0"/>
              <w:jc w:val="center"/>
              <w:rPr>
                <w:color w:val="FFFFFF" w:themeColor="background1"/>
                <w:sz w:val="20"/>
                <w:szCs w:val="20"/>
              </w:rPr>
            </w:pPr>
            <w:r w:rsidRPr="7120BA48">
              <w:rPr>
                <w:rFonts w:eastAsia="Times New Roman" w:cs="Times New Roman"/>
                <w:b/>
                <w:color w:val="FFFFFF" w:themeColor="background1"/>
                <w:sz w:val="20"/>
                <w:szCs w:val="20"/>
                <w:lang w:eastAsia="pt-BR"/>
              </w:rPr>
              <w:t>Natureza da Receita</w:t>
            </w:r>
          </w:p>
        </w:tc>
        <w:tc>
          <w:tcPr>
            <w:tcW w:w="1934" w:type="dxa"/>
            <w:gridSpan w:val="3"/>
            <w:tcBorders>
              <w:top w:val="single" w:sz="4" w:space="0" w:color="BFBFBF" w:themeColor="background1" w:themeShade="BF"/>
            </w:tcBorders>
            <w:shd w:val="clear" w:color="auto" w:fill="404040" w:themeFill="text1" w:themeFillTint="BF"/>
            <w:vAlign w:val="center"/>
          </w:tcPr>
          <w:p w14:paraId="12C7597B" w14:textId="1864F338" w:rsidR="00930292" w:rsidRPr="008410D4" w:rsidRDefault="00930292" w:rsidP="006A6DEA">
            <w:pPr>
              <w:pStyle w:val="Corpodetexto"/>
              <w:spacing w:after="0"/>
              <w:jc w:val="center"/>
              <w:rPr>
                <w:rFonts w:eastAsia="Times New Roman" w:cs="Times New Roman"/>
                <w:b/>
                <w:color w:val="FFFFFF" w:themeColor="background1"/>
                <w:sz w:val="20"/>
                <w:szCs w:val="20"/>
                <w:lang w:eastAsia="pt-BR"/>
              </w:rPr>
            </w:pPr>
            <w:r w:rsidRPr="7120BA48">
              <w:rPr>
                <w:rFonts w:eastAsia="Times New Roman" w:cs="Times New Roman"/>
                <w:b/>
                <w:color w:val="FFFFFF" w:themeColor="background1"/>
                <w:sz w:val="20"/>
                <w:szCs w:val="20"/>
                <w:lang w:eastAsia="pt-BR"/>
              </w:rPr>
              <w:t>Receita</w:t>
            </w:r>
          </w:p>
          <w:p w14:paraId="463B51DE" w14:textId="0C02C1C3" w:rsidR="00B8065F" w:rsidRPr="008410D4" w:rsidRDefault="0041671D" w:rsidP="006A6DEA">
            <w:pPr>
              <w:pStyle w:val="Corpodetexto"/>
              <w:spacing w:after="0"/>
              <w:jc w:val="center"/>
              <w:rPr>
                <w:rFonts w:eastAsia="Times New Roman" w:cs="Times New Roman"/>
                <w:color w:val="FFFFFF" w:themeColor="background1"/>
                <w:sz w:val="20"/>
                <w:szCs w:val="20"/>
                <w:lang w:eastAsia="pt-BR"/>
              </w:rPr>
            </w:pPr>
            <w:r w:rsidRPr="7120BA48">
              <w:rPr>
                <w:rFonts w:eastAsia="Times New Roman" w:cs="Times New Roman"/>
                <w:color w:val="FFFFFF" w:themeColor="background1"/>
                <w:sz w:val="20"/>
                <w:szCs w:val="20"/>
                <w:lang w:eastAsia="pt-BR"/>
              </w:rPr>
              <w:t>Estimada</w:t>
            </w:r>
            <w:r w:rsidR="00C36395" w:rsidRPr="7120BA48">
              <w:rPr>
                <w:rFonts w:eastAsia="Times New Roman" w:cs="Times New Roman"/>
                <w:color w:val="FFFFFF" w:themeColor="background1"/>
                <w:sz w:val="20"/>
                <w:szCs w:val="20"/>
                <w:lang w:eastAsia="pt-BR"/>
              </w:rPr>
              <w:t xml:space="preserve"> (E)</w:t>
            </w:r>
          </w:p>
          <w:p w14:paraId="57B079E9" w14:textId="35EF8198" w:rsidR="00B8065F" w:rsidRPr="008410D4" w:rsidRDefault="0041671D" w:rsidP="006A6DEA">
            <w:pPr>
              <w:pStyle w:val="Corpodetexto"/>
              <w:spacing w:after="0"/>
              <w:jc w:val="center"/>
              <w:rPr>
                <w:color w:val="FFFFFF" w:themeColor="background1"/>
                <w:sz w:val="20"/>
                <w:szCs w:val="20"/>
              </w:rPr>
            </w:pPr>
            <w:r w:rsidRPr="7120BA48">
              <w:rPr>
                <w:rFonts w:eastAsia="Times New Roman" w:cs="Times New Roman"/>
                <w:color w:val="FFFFFF" w:themeColor="background1"/>
                <w:sz w:val="20"/>
                <w:szCs w:val="20"/>
                <w:lang w:eastAsia="pt-BR"/>
              </w:rPr>
              <w:t>Realizada</w:t>
            </w:r>
            <w:r w:rsidR="00C36395" w:rsidRPr="7120BA48">
              <w:rPr>
                <w:rFonts w:eastAsia="Times New Roman" w:cs="Times New Roman"/>
                <w:color w:val="FFFFFF" w:themeColor="background1"/>
                <w:sz w:val="20"/>
                <w:szCs w:val="20"/>
                <w:lang w:eastAsia="pt-BR"/>
              </w:rPr>
              <w:t xml:space="preserve"> (R)</w:t>
            </w:r>
          </w:p>
        </w:tc>
      </w:tr>
      <w:tr w:rsidR="00C36395" w:rsidRPr="003E4DDA" w14:paraId="1AA74AB4" w14:textId="77777777" w:rsidTr="71B7BA98">
        <w:trPr>
          <w:tblHeader/>
          <w:jc w:val="center"/>
        </w:trPr>
        <w:tc>
          <w:tcPr>
            <w:tcW w:w="4035" w:type="dxa"/>
            <w:vMerge/>
            <w:vAlign w:val="center"/>
          </w:tcPr>
          <w:p w14:paraId="458F1E37" w14:textId="3766EB2B" w:rsidR="00C36395" w:rsidRPr="008410D4" w:rsidRDefault="00C36395" w:rsidP="00C36395">
            <w:pPr>
              <w:pStyle w:val="Corpodetexto"/>
              <w:spacing w:after="0"/>
              <w:jc w:val="center"/>
              <w:rPr>
                <w:rFonts w:cstheme="minorHAnsi"/>
                <w:color w:val="FFFFFF" w:themeColor="background1"/>
                <w:sz w:val="20"/>
                <w:szCs w:val="20"/>
              </w:rPr>
            </w:pPr>
          </w:p>
        </w:tc>
        <w:tc>
          <w:tcPr>
            <w:tcW w:w="314" w:type="dxa"/>
            <w:shd w:val="clear" w:color="auto" w:fill="404040" w:themeFill="text1" w:themeFillTint="BF"/>
            <w:vAlign w:val="center"/>
          </w:tcPr>
          <w:p w14:paraId="0CC8D238" w14:textId="27F3190D" w:rsidR="00C36395" w:rsidRPr="008410D4" w:rsidRDefault="00C36395" w:rsidP="00C36395">
            <w:pPr>
              <w:pStyle w:val="Corpodetexto"/>
              <w:spacing w:after="0"/>
              <w:jc w:val="center"/>
              <w:rPr>
                <w:color w:val="FFFFFF" w:themeColor="background1"/>
                <w:sz w:val="20"/>
                <w:szCs w:val="20"/>
              </w:rPr>
            </w:pPr>
          </w:p>
        </w:tc>
        <w:tc>
          <w:tcPr>
            <w:tcW w:w="810" w:type="dxa"/>
            <w:shd w:val="clear" w:color="auto" w:fill="404040" w:themeFill="text1" w:themeFillTint="BF"/>
            <w:vAlign w:val="center"/>
          </w:tcPr>
          <w:p w14:paraId="1E86ED6A" w14:textId="75C9B336" w:rsidR="00C36395" w:rsidRPr="00D902DF" w:rsidRDefault="3863107E" w:rsidP="00C36395">
            <w:pPr>
              <w:pStyle w:val="Corpodetexto"/>
              <w:spacing w:after="0"/>
              <w:jc w:val="center"/>
              <w:rPr>
                <w:b/>
                <w:bCs/>
                <w:color w:val="FFFFFF" w:themeColor="background1"/>
                <w:sz w:val="20"/>
                <w:szCs w:val="20"/>
              </w:rPr>
            </w:pPr>
            <w:r w:rsidRPr="00D902DF">
              <w:rPr>
                <w:b/>
                <w:bCs/>
                <w:color w:val="FFFFFF" w:themeColor="background1"/>
                <w:sz w:val="20"/>
                <w:szCs w:val="20"/>
              </w:rPr>
              <w:t>201</w:t>
            </w:r>
            <w:r w:rsidR="36107E43" w:rsidRPr="00D902DF">
              <w:rPr>
                <w:b/>
                <w:bCs/>
                <w:color w:val="FFFFFF" w:themeColor="background1"/>
                <w:sz w:val="20"/>
                <w:szCs w:val="20"/>
              </w:rPr>
              <w:t>9</w:t>
            </w:r>
          </w:p>
        </w:tc>
        <w:tc>
          <w:tcPr>
            <w:tcW w:w="810" w:type="dxa"/>
            <w:shd w:val="clear" w:color="auto" w:fill="404040" w:themeFill="text1" w:themeFillTint="BF"/>
            <w:vAlign w:val="center"/>
          </w:tcPr>
          <w:p w14:paraId="394EAF49" w14:textId="24E3E027" w:rsidR="00C36395" w:rsidRPr="00D902DF" w:rsidRDefault="3863107E" w:rsidP="00C36395">
            <w:pPr>
              <w:pStyle w:val="Corpodetexto"/>
              <w:spacing w:after="0"/>
              <w:jc w:val="center"/>
              <w:rPr>
                <w:b/>
                <w:bCs/>
                <w:color w:val="FFFFFF" w:themeColor="background1"/>
                <w:sz w:val="20"/>
                <w:szCs w:val="20"/>
              </w:rPr>
            </w:pPr>
            <w:r w:rsidRPr="00D902DF">
              <w:rPr>
                <w:b/>
                <w:bCs/>
                <w:color w:val="FFFFFF" w:themeColor="background1"/>
                <w:sz w:val="20"/>
                <w:szCs w:val="20"/>
              </w:rPr>
              <w:t>20</w:t>
            </w:r>
            <w:r w:rsidR="26A29825" w:rsidRPr="00D902DF">
              <w:rPr>
                <w:b/>
                <w:bCs/>
                <w:color w:val="FFFFFF" w:themeColor="background1"/>
                <w:sz w:val="20"/>
                <w:szCs w:val="20"/>
              </w:rPr>
              <w:t>20</w:t>
            </w:r>
          </w:p>
        </w:tc>
      </w:tr>
      <w:tr w:rsidR="00C36395" w:rsidRPr="003E4DDA" w14:paraId="7A75CDB2" w14:textId="77777777" w:rsidTr="71B7BA98">
        <w:trPr>
          <w:jc w:val="center"/>
        </w:trPr>
        <w:tc>
          <w:tcPr>
            <w:tcW w:w="4035" w:type="dxa"/>
            <w:vAlign w:val="center"/>
          </w:tcPr>
          <w:p w14:paraId="6A33AA23" w14:textId="2861C5E1" w:rsidR="00C36395" w:rsidRPr="00D902DF" w:rsidRDefault="00C36395" w:rsidP="00C36395">
            <w:pPr>
              <w:pStyle w:val="Corpodetexto"/>
              <w:spacing w:after="0"/>
              <w:jc w:val="both"/>
              <w:rPr>
                <w:bCs/>
                <w:color w:val="404040" w:themeColor="text1" w:themeTint="BF"/>
                <w:sz w:val="18"/>
                <w:szCs w:val="18"/>
              </w:rPr>
            </w:pPr>
            <w:r w:rsidRPr="00D902DF">
              <w:rPr>
                <w:rFonts w:eastAsia="Times New Roman" w:cs="Times New Roman"/>
                <w:bCs/>
                <w:color w:val="404040" w:themeColor="text1" w:themeTint="BF"/>
                <w:sz w:val="18"/>
                <w:szCs w:val="18"/>
                <w:lang w:eastAsia="pt-BR"/>
              </w:rPr>
              <w:t xml:space="preserve">Retorno de operações, juros e encargos </w:t>
            </w:r>
            <w:proofErr w:type="gramStart"/>
            <w:r w:rsidRPr="00D902DF">
              <w:rPr>
                <w:rFonts w:eastAsia="Times New Roman" w:cs="Times New Roman"/>
                <w:bCs/>
                <w:color w:val="404040" w:themeColor="text1" w:themeTint="BF"/>
                <w:sz w:val="18"/>
                <w:szCs w:val="18"/>
                <w:lang w:eastAsia="pt-BR"/>
              </w:rPr>
              <w:t>financeiros</w:t>
            </w:r>
            <w:proofErr w:type="gramEnd"/>
          </w:p>
        </w:tc>
        <w:tc>
          <w:tcPr>
            <w:tcW w:w="314" w:type="dxa"/>
          </w:tcPr>
          <w:p w14:paraId="294DC8D4" w14:textId="77777777" w:rsidR="00C36395" w:rsidRDefault="004720B5" w:rsidP="004720B5">
            <w:pPr>
              <w:pStyle w:val="Corpodetexto"/>
              <w:spacing w:after="0"/>
              <w:jc w:val="center"/>
              <w:rPr>
                <w:color w:val="404040" w:themeColor="text1" w:themeTint="BF"/>
                <w:sz w:val="18"/>
                <w:szCs w:val="18"/>
              </w:rPr>
            </w:pPr>
            <w:r w:rsidRPr="7120BA48">
              <w:rPr>
                <w:color w:val="404040" w:themeColor="text1" w:themeTint="BF"/>
                <w:sz w:val="18"/>
                <w:szCs w:val="18"/>
              </w:rPr>
              <w:t>E</w:t>
            </w:r>
          </w:p>
          <w:p w14:paraId="5A6B64BA" w14:textId="281E3972" w:rsidR="004720B5" w:rsidRPr="003E4DDA" w:rsidRDefault="004720B5" w:rsidP="004720B5">
            <w:pPr>
              <w:pStyle w:val="Corpodetexto"/>
              <w:spacing w:after="0"/>
              <w:jc w:val="center"/>
              <w:rPr>
                <w:color w:val="404040" w:themeColor="text1" w:themeTint="BF"/>
                <w:sz w:val="18"/>
                <w:szCs w:val="18"/>
              </w:rPr>
            </w:pPr>
            <w:r w:rsidRPr="7120BA48">
              <w:rPr>
                <w:color w:val="404040" w:themeColor="text1" w:themeTint="BF"/>
                <w:sz w:val="18"/>
                <w:szCs w:val="18"/>
              </w:rPr>
              <w:t>R</w:t>
            </w:r>
          </w:p>
        </w:tc>
        <w:tc>
          <w:tcPr>
            <w:tcW w:w="810" w:type="dxa"/>
          </w:tcPr>
          <w:p w14:paraId="1A03C26E" w14:textId="77777777" w:rsidR="00C36395" w:rsidRPr="003E4DDA" w:rsidRDefault="4487DE8F" w:rsidP="25917DB9">
            <w:pPr>
              <w:pStyle w:val="Corpodetexto"/>
              <w:spacing w:after="0"/>
              <w:jc w:val="right"/>
              <w:rPr>
                <w:color w:val="404040" w:themeColor="text1" w:themeTint="BF"/>
                <w:sz w:val="18"/>
                <w:szCs w:val="18"/>
              </w:rPr>
            </w:pPr>
            <w:r w:rsidRPr="25917DB9">
              <w:rPr>
                <w:color w:val="404040" w:themeColor="text1" w:themeTint="BF"/>
                <w:sz w:val="18"/>
                <w:szCs w:val="18"/>
              </w:rPr>
              <w:t>620,8</w:t>
            </w:r>
          </w:p>
          <w:p w14:paraId="5B130004" w14:textId="47744123" w:rsidR="00C36395" w:rsidRPr="003E4DDA" w:rsidRDefault="4487DE8F" w:rsidP="00C36395">
            <w:pPr>
              <w:pStyle w:val="Corpodetexto"/>
              <w:spacing w:after="0"/>
              <w:jc w:val="right"/>
              <w:rPr>
                <w:color w:val="404040" w:themeColor="text1" w:themeTint="BF"/>
                <w:sz w:val="18"/>
                <w:szCs w:val="18"/>
              </w:rPr>
            </w:pPr>
            <w:r w:rsidRPr="25917DB9">
              <w:rPr>
                <w:color w:val="404040" w:themeColor="text1" w:themeTint="BF"/>
                <w:sz w:val="18"/>
                <w:szCs w:val="18"/>
              </w:rPr>
              <w:t>1.118,</w:t>
            </w:r>
            <w:r w:rsidR="20BCD956" w:rsidRPr="25917DB9">
              <w:rPr>
                <w:color w:val="404040" w:themeColor="text1" w:themeTint="BF"/>
                <w:sz w:val="18"/>
                <w:szCs w:val="18"/>
              </w:rPr>
              <w:t>2</w:t>
            </w:r>
          </w:p>
        </w:tc>
        <w:tc>
          <w:tcPr>
            <w:tcW w:w="810" w:type="dxa"/>
          </w:tcPr>
          <w:p w14:paraId="1F52026A" w14:textId="096AAAA2" w:rsidR="00C36395" w:rsidRDefault="4487DE8F" w:rsidP="00C36395">
            <w:pPr>
              <w:pStyle w:val="Corpodetexto"/>
              <w:spacing w:after="0"/>
              <w:jc w:val="right"/>
              <w:rPr>
                <w:color w:val="404040" w:themeColor="text1" w:themeTint="BF"/>
                <w:sz w:val="18"/>
                <w:szCs w:val="18"/>
              </w:rPr>
            </w:pPr>
            <w:r w:rsidRPr="25917DB9">
              <w:rPr>
                <w:color w:val="404040" w:themeColor="text1" w:themeTint="BF"/>
                <w:sz w:val="18"/>
                <w:szCs w:val="18"/>
              </w:rPr>
              <w:t>729</w:t>
            </w:r>
            <w:r w:rsidR="3863107E" w:rsidRPr="25917DB9">
              <w:rPr>
                <w:color w:val="404040" w:themeColor="text1" w:themeTint="BF"/>
                <w:sz w:val="18"/>
                <w:szCs w:val="18"/>
              </w:rPr>
              <w:t>,</w:t>
            </w:r>
            <w:r w:rsidR="0CF2988A" w:rsidRPr="25917DB9">
              <w:rPr>
                <w:color w:val="404040" w:themeColor="text1" w:themeTint="BF"/>
                <w:sz w:val="18"/>
                <w:szCs w:val="18"/>
              </w:rPr>
              <w:t>2</w:t>
            </w:r>
          </w:p>
          <w:p w14:paraId="02F48A99" w14:textId="372EE945" w:rsidR="00C36395" w:rsidRPr="003E4DDA" w:rsidRDefault="3863107E" w:rsidP="00C36395">
            <w:pPr>
              <w:pStyle w:val="Corpodetexto"/>
              <w:spacing w:after="0"/>
              <w:jc w:val="right"/>
              <w:rPr>
                <w:color w:val="404040" w:themeColor="text1" w:themeTint="BF"/>
                <w:sz w:val="18"/>
                <w:szCs w:val="18"/>
              </w:rPr>
            </w:pPr>
            <w:r w:rsidRPr="25917DB9">
              <w:rPr>
                <w:color w:val="404040" w:themeColor="text1" w:themeTint="BF"/>
                <w:sz w:val="18"/>
                <w:szCs w:val="18"/>
              </w:rPr>
              <w:t>1.</w:t>
            </w:r>
            <w:r w:rsidR="7087E772" w:rsidRPr="25917DB9">
              <w:rPr>
                <w:color w:val="404040" w:themeColor="text1" w:themeTint="BF"/>
                <w:sz w:val="18"/>
                <w:szCs w:val="18"/>
              </w:rPr>
              <w:t>363,6</w:t>
            </w:r>
          </w:p>
        </w:tc>
      </w:tr>
      <w:tr w:rsidR="00C36395" w:rsidRPr="003E4DDA" w14:paraId="274273D1" w14:textId="77777777" w:rsidTr="71B7BA98">
        <w:trPr>
          <w:jc w:val="center"/>
        </w:trPr>
        <w:tc>
          <w:tcPr>
            <w:tcW w:w="4035" w:type="dxa"/>
            <w:tcBorders>
              <w:bottom w:val="single" w:sz="4" w:space="0" w:color="BFBFBF" w:themeColor="background1" w:themeShade="BF"/>
            </w:tcBorders>
            <w:vAlign w:val="center"/>
          </w:tcPr>
          <w:p w14:paraId="146115C3" w14:textId="49F101D5" w:rsidR="00C36395" w:rsidRPr="00D902DF" w:rsidRDefault="00C36395" w:rsidP="00C36395">
            <w:pPr>
              <w:pStyle w:val="Corpodetexto"/>
              <w:spacing w:after="0"/>
              <w:jc w:val="both"/>
              <w:rPr>
                <w:bCs/>
                <w:color w:val="404040" w:themeColor="text1" w:themeTint="BF"/>
                <w:sz w:val="18"/>
                <w:szCs w:val="18"/>
              </w:rPr>
            </w:pPr>
            <w:r w:rsidRPr="00D902DF">
              <w:rPr>
                <w:rFonts w:eastAsia="Times New Roman" w:cs="Times New Roman"/>
                <w:bCs/>
                <w:color w:val="404040" w:themeColor="text1" w:themeTint="BF"/>
                <w:sz w:val="18"/>
                <w:szCs w:val="18"/>
                <w:lang w:eastAsia="pt-BR"/>
              </w:rPr>
              <w:t>Amortização de financiamento</w:t>
            </w:r>
          </w:p>
        </w:tc>
        <w:tc>
          <w:tcPr>
            <w:tcW w:w="314" w:type="dxa"/>
            <w:tcBorders>
              <w:bottom w:val="single" w:sz="4" w:space="0" w:color="BFBFBF" w:themeColor="background1" w:themeShade="BF"/>
            </w:tcBorders>
          </w:tcPr>
          <w:p w14:paraId="2244A196" w14:textId="77777777" w:rsidR="00C36395" w:rsidRDefault="004720B5" w:rsidP="004720B5">
            <w:pPr>
              <w:pStyle w:val="Corpodetexto"/>
              <w:spacing w:after="0"/>
              <w:jc w:val="center"/>
              <w:rPr>
                <w:color w:val="404040" w:themeColor="text1" w:themeTint="BF"/>
                <w:sz w:val="18"/>
                <w:szCs w:val="18"/>
              </w:rPr>
            </w:pPr>
            <w:r w:rsidRPr="7120BA48">
              <w:rPr>
                <w:color w:val="404040" w:themeColor="text1" w:themeTint="BF"/>
                <w:sz w:val="18"/>
                <w:szCs w:val="18"/>
              </w:rPr>
              <w:t>E</w:t>
            </w:r>
          </w:p>
          <w:p w14:paraId="24B9DE11" w14:textId="3DF7AD71" w:rsidR="004720B5" w:rsidRDefault="004720B5" w:rsidP="004720B5">
            <w:pPr>
              <w:pStyle w:val="Corpodetexto"/>
              <w:spacing w:after="0"/>
              <w:jc w:val="center"/>
              <w:rPr>
                <w:color w:val="404040" w:themeColor="text1" w:themeTint="BF"/>
                <w:sz w:val="18"/>
                <w:szCs w:val="18"/>
              </w:rPr>
            </w:pPr>
            <w:r w:rsidRPr="7120BA48">
              <w:rPr>
                <w:color w:val="404040" w:themeColor="text1" w:themeTint="BF"/>
                <w:sz w:val="18"/>
                <w:szCs w:val="18"/>
              </w:rPr>
              <w:t>R</w:t>
            </w:r>
          </w:p>
        </w:tc>
        <w:tc>
          <w:tcPr>
            <w:tcW w:w="810" w:type="dxa"/>
            <w:tcBorders>
              <w:bottom w:val="single" w:sz="4" w:space="0" w:color="BFBFBF" w:themeColor="background1" w:themeShade="BF"/>
            </w:tcBorders>
          </w:tcPr>
          <w:p w14:paraId="440C778F" w14:textId="77777777" w:rsidR="00C36395" w:rsidRPr="003E4DDA" w:rsidRDefault="3AFC49E4" w:rsidP="25917DB9">
            <w:pPr>
              <w:pStyle w:val="Corpodetexto"/>
              <w:spacing w:after="0"/>
              <w:jc w:val="right"/>
              <w:rPr>
                <w:color w:val="404040" w:themeColor="text1" w:themeTint="BF"/>
                <w:sz w:val="18"/>
                <w:szCs w:val="18"/>
              </w:rPr>
            </w:pPr>
            <w:r w:rsidRPr="25917DB9">
              <w:rPr>
                <w:color w:val="404040" w:themeColor="text1" w:themeTint="BF"/>
                <w:sz w:val="18"/>
                <w:szCs w:val="18"/>
              </w:rPr>
              <w:t>1.183,6</w:t>
            </w:r>
          </w:p>
          <w:p w14:paraId="6B8C9A33" w14:textId="6BA1B450" w:rsidR="00C36395" w:rsidRPr="003E4DDA" w:rsidRDefault="3AFC49E4" w:rsidP="00C36395">
            <w:pPr>
              <w:pStyle w:val="Corpodetexto"/>
              <w:spacing w:after="0"/>
              <w:jc w:val="right"/>
              <w:rPr>
                <w:color w:val="404040" w:themeColor="text1" w:themeTint="BF"/>
                <w:sz w:val="18"/>
                <w:szCs w:val="18"/>
              </w:rPr>
            </w:pPr>
            <w:r w:rsidRPr="25917DB9">
              <w:rPr>
                <w:color w:val="404040" w:themeColor="text1" w:themeTint="BF"/>
                <w:sz w:val="18"/>
                <w:szCs w:val="18"/>
              </w:rPr>
              <w:t>1.621,6</w:t>
            </w:r>
          </w:p>
        </w:tc>
        <w:tc>
          <w:tcPr>
            <w:tcW w:w="810" w:type="dxa"/>
            <w:tcBorders>
              <w:bottom w:val="single" w:sz="4" w:space="0" w:color="BFBFBF" w:themeColor="background1" w:themeShade="BF"/>
            </w:tcBorders>
          </w:tcPr>
          <w:p w14:paraId="383BEA24" w14:textId="0A405AEC" w:rsidR="00C36395" w:rsidRDefault="3863107E" w:rsidP="00C36395">
            <w:pPr>
              <w:pStyle w:val="Corpodetexto"/>
              <w:spacing w:after="0"/>
              <w:jc w:val="right"/>
              <w:rPr>
                <w:color w:val="404040" w:themeColor="text1" w:themeTint="BF"/>
                <w:sz w:val="18"/>
                <w:szCs w:val="18"/>
              </w:rPr>
            </w:pPr>
            <w:r w:rsidRPr="25917DB9">
              <w:rPr>
                <w:color w:val="404040" w:themeColor="text1" w:themeTint="BF"/>
                <w:sz w:val="18"/>
                <w:szCs w:val="18"/>
              </w:rPr>
              <w:t>1.</w:t>
            </w:r>
            <w:r w:rsidR="6EB23CC4" w:rsidRPr="25917DB9">
              <w:rPr>
                <w:color w:val="404040" w:themeColor="text1" w:themeTint="BF"/>
                <w:sz w:val="18"/>
                <w:szCs w:val="18"/>
              </w:rPr>
              <w:t>095</w:t>
            </w:r>
            <w:r w:rsidRPr="25917DB9">
              <w:rPr>
                <w:color w:val="404040" w:themeColor="text1" w:themeTint="BF"/>
                <w:sz w:val="18"/>
                <w:szCs w:val="18"/>
              </w:rPr>
              <w:t>,</w:t>
            </w:r>
            <w:r w:rsidR="567DB299" w:rsidRPr="25917DB9">
              <w:rPr>
                <w:color w:val="404040" w:themeColor="text1" w:themeTint="BF"/>
                <w:sz w:val="18"/>
                <w:szCs w:val="18"/>
              </w:rPr>
              <w:t>4</w:t>
            </w:r>
          </w:p>
          <w:p w14:paraId="0C0497DB" w14:textId="24475AF0" w:rsidR="00C36395" w:rsidRPr="003E4DDA" w:rsidRDefault="3863107E" w:rsidP="00C36395">
            <w:pPr>
              <w:pStyle w:val="Corpodetexto"/>
              <w:spacing w:after="0"/>
              <w:jc w:val="right"/>
              <w:rPr>
                <w:color w:val="404040" w:themeColor="text1" w:themeTint="BF"/>
                <w:sz w:val="18"/>
                <w:szCs w:val="18"/>
              </w:rPr>
            </w:pPr>
            <w:r w:rsidRPr="25917DB9">
              <w:rPr>
                <w:color w:val="404040" w:themeColor="text1" w:themeTint="BF"/>
                <w:sz w:val="18"/>
                <w:szCs w:val="18"/>
              </w:rPr>
              <w:t>1.</w:t>
            </w:r>
            <w:r w:rsidR="6B6952DE" w:rsidRPr="25917DB9">
              <w:rPr>
                <w:color w:val="404040" w:themeColor="text1" w:themeTint="BF"/>
                <w:sz w:val="18"/>
                <w:szCs w:val="18"/>
              </w:rPr>
              <w:t>887</w:t>
            </w:r>
            <w:r w:rsidRPr="25917DB9">
              <w:rPr>
                <w:color w:val="404040" w:themeColor="text1" w:themeTint="BF"/>
                <w:sz w:val="18"/>
                <w:szCs w:val="18"/>
              </w:rPr>
              <w:t>,</w:t>
            </w:r>
            <w:r w:rsidR="072882AB" w:rsidRPr="25917DB9">
              <w:rPr>
                <w:color w:val="404040" w:themeColor="text1" w:themeTint="BF"/>
                <w:sz w:val="18"/>
                <w:szCs w:val="18"/>
              </w:rPr>
              <w:t>5</w:t>
            </w:r>
          </w:p>
        </w:tc>
      </w:tr>
      <w:tr w:rsidR="00C36395" w:rsidRPr="00D902DF" w14:paraId="40ED3300" w14:textId="77777777" w:rsidTr="00404A24">
        <w:trPr>
          <w:trHeight w:val="503"/>
          <w:jc w:val="center"/>
        </w:trPr>
        <w:tc>
          <w:tcPr>
            <w:tcW w:w="4035" w:type="dxa"/>
            <w:tcBorders>
              <w:bottom w:val="single" w:sz="4" w:space="0" w:color="BFBFBF" w:themeColor="background1" w:themeShade="BF"/>
            </w:tcBorders>
            <w:shd w:val="clear" w:color="auto" w:fill="7F7F7F" w:themeFill="text1" w:themeFillTint="80"/>
            <w:vAlign w:val="center"/>
          </w:tcPr>
          <w:p w14:paraId="3BB43791" w14:textId="3C0A7828" w:rsidR="00C36395" w:rsidRPr="00D902DF" w:rsidRDefault="00C36395" w:rsidP="00C36395">
            <w:pPr>
              <w:pStyle w:val="Corpodetexto"/>
              <w:spacing w:after="0"/>
              <w:rPr>
                <w:rFonts w:eastAsia="Times New Roman" w:cs="Times New Roman"/>
                <w:b/>
                <w:bCs/>
                <w:color w:val="FFFFFF" w:themeColor="background1"/>
                <w:sz w:val="18"/>
                <w:szCs w:val="18"/>
                <w:lang w:eastAsia="pt-BR"/>
              </w:rPr>
            </w:pPr>
            <w:r w:rsidRPr="00D902DF">
              <w:rPr>
                <w:rFonts w:eastAsia="Times New Roman" w:cs="Times New Roman"/>
                <w:b/>
                <w:bCs/>
                <w:color w:val="FFFFFF" w:themeColor="background1"/>
                <w:sz w:val="18"/>
                <w:szCs w:val="18"/>
                <w:lang w:eastAsia="pt-BR"/>
              </w:rPr>
              <w:t>Total</w:t>
            </w:r>
          </w:p>
        </w:tc>
        <w:tc>
          <w:tcPr>
            <w:tcW w:w="314" w:type="dxa"/>
            <w:tcBorders>
              <w:bottom w:val="single" w:sz="4" w:space="0" w:color="BFBFBF" w:themeColor="background1" w:themeShade="BF"/>
            </w:tcBorders>
            <w:shd w:val="clear" w:color="auto" w:fill="7F7F7F" w:themeFill="text1" w:themeFillTint="80"/>
          </w:tcPr>
          <w:p w14:paraId="00D3A924" w14:textId="77777777" w:rsidR="00C36395" w:rsidRPr="00D902DF" w:rsidRDefault="004720B5" w:rsidP="004720B5">
            <w:pPr>
              <w:pStyle w:val="Corpodetexto"/>
              <w:spacing w:after="0"/>
              <w:jc w:val="center"/>
              <w:rPr>
                <w:b/>
                <w:bCs/>
                <w:color w:val="FFFFFF" w:themeColor="background1"/>
                <w:sz w:val="18"/>
                <w:szCs w:val="18"/>
              </w:rPr>
            </w:pPr>
            <w:r w:rsidRPr="00D902DF">
              <w:rPr>
                <w:b/>
                <w:bCs/>
                <w:color w:val="FFFFFF" w:themeColor="background1"/>
                <w:sz w:val="18"/>
                <w:szCs w:val="18"/>
              </w:rPr>
              <w:t>E</w:t>
            </w:r>
          </w:p>
          <w:p w14:paraId="3AEAE145" w14:textId="530C6E6B" w:rsidR="004720B5" w:rsidRPr="00D902DF" w:rsidRDefault="004720B5" w:rsidP="004720B5">
            <w:pPr>
              <w:pStyle w:val="Corpodetexto"/>
              <w:spacing w:after="0"/>
              <w:jc w:val="center"/>
              <w:rPr>
                <w:b/>
                <w:bCs/>
                <w:color w:val="FFFFFF" w:themeColor="background1"/>
                <w:sz w:val="18"/>
                <w:szCs w:val="18"/>
              </w:rPr>
            </w:pPr>
            <w:r w:rsidRPr="00D902DF">
              <w:rPr>
                <w:b/>
                <w:bCs/>
                <w:color w:val="FFFFFF" w:themeColor="background1"/>
                <w:sz w:val="18"/>
                <w:szCs w:val="18"/>
              </w:rPr>
              <w:t>R</w:t>
            </w:r>
          </w:p>
        </w:tc>
        <w:tc>
          <w:tcPr>
            <w:tcW w:w="810" w:type="dxa"/>
            <w:tcBorders>
              <w:bottom w:val="single" w:sz="4" w:space="0" w:color="BFBFBF" w:themeColor="background1" w:themeShade="BF"/>
            </w:tcBorders>
            <w:shd w:val="clear" w:color="auto" w:fill="7F7F7F" w:themeFill="text1" w:themeFillTint="80"/>
          </w:tcPr>
          <w:p w14:paraId="6898639D" w14:textId="77777777" w:rsidR="00C36395" w:rsidRPr="00D902DF" w:rsidRDefault="5147C695" w:rsidP="25917DB9">
            <w:pPr>
              <w:pStyle w:val="Corpodetexto"/>
              <w:spacing w:after="0"/>
              <w:jc w:val="right"/>
              <w:rPr>
                <w:b/>
                <w:bCs/>
                <w:color w:val="FFFFFF" w:themeColor="background1"/>
                <w:sz w:val="18"/>
                <w:szCs w:val="18"/>
              </w:rPr>
            </w:pPr>
            <w:r w:rsidRPr="00D902DF">
              <w:rPr>
                <w:b/>
                <w:bCs/>
                <w:color w:val="FFFFFF" w:themeColor="background1"/>
                <w:sz w:val="18"/>
                <w:szCs w:val="18"/>
              </w:rPr>
              <w:t>1.804,4</w:t>
            </w:r>
          </w:p>
          <w:p w14:paraId="0BC4913E" w14:textId="5E640032" w:rsidR="00C36395" w:rsidRPr="00D902DF" w:rsidRDefault="5147C695" w:rsidP="00C36395">
            <w:pPr>
              <w:pStyle w:val="Corpodetexto"/>
              <w:spacing w:after="0"/>
              <w:jc w:val="right"/>
              <w:rPr>
                <w:b/>
                <w:bCs/>
                <w:color w:val="FFFFFF" w:themeColor="background1"/>
                <w:sz w:val="18"/>
                <w:szCs w:val="18"/>
              </w:rPr>
            </w:pPr>
            <w:r w:rsidRPr="00D902DF">
              <w:rPr>
                <w:b/>
                <w:bCs/>
                <w:color w:val="FFFFFF" w:themeColor="background1"/>
                <w:sz w:val="18"/>
                <w:szCs w:val="18"/>
              </w:rPr>
              <w:t>2.739,8</w:t>
            </w:r>
          </w:p>
        </w:tc>
        <w:tc>
          <w:tcPr>
            <w:tcW w:w="810" w:type="dxa"/>
            <w:tcBorders>
              <w:bottom w:val="single" w:sz="4" w:space="0" w:color="BFBFBF" w:themeColor="background1" w:themeShade="BF"/>
            </w:tcBorders>
            <w:shd w:val="clear" w:color="auto" w:fill="7F7F7F" w:themeFill="text1" w:themeFillTint="80"/>
          </w:tcPr>
          <w:p w14:paraId="313CA88F" w14:textId="28529E3D" w:rsidR="00C36395" w:rsidRPr="00D902DF" w:rsidRDefault="3863107E" w:rsidP="00C36395">
            <w:pPr>
              <w:pStyle w:val="Corpodetexto"/>
              <w:spacing w:after="0"/>
              <w:jc w:val="right"/>
              <w:rPr>
                <w:b/>
                <w:bCs/>
                <w:color w:val="FFFFFF" w:themeColor="background1"/>
                <w:sz w:val="18"/>
                <w:szCs w:val="18"/>
              </w:rPr>
            </w:pPr>
            <w:r w:rsidRPr="00D902DF">
              <w:rPr>
                <w:b/>
                <w:bCs/>
                <w:color w:val="FFFFFF" w:themeColor="background1"/>
                <w:sz w:val="18"/>
                <w:szCs w:val="18"/>
              </w:rPr>
              <w:t>1.8</w:t>
            </w:r>
            <w:r w:rsidR="4D54B510" w:rsidRPr="00D902DF">
              <w:rPr>
                <w:b/>
                <w:bCs/>
                <w:color w:val="FFFFFF" w:themeColor="background1"/>
                <w:sz w:val="18"/>
                <w:szCs w:val="18"/>
              </w:rPr>
              <w:t>2</w:t>
            </w:r>
            <w:r w:rsidRPr="00D902DF">
              <w:rPr>
                <w:b/>
                <w:bCs/>
                <w:color w:val="FFFFFF" w:themeColor="background1"/>
                <w:sz w:val="18"/>
                <w:szCs w:val="18"/>
              </w:rPr>
              <w:t>4,</w:t>
            </w:r>
            <w:r w:rsidR="35F923EA" w:rsidRPr="00D902DF">
              <w:rPr>
                <w:b/>
                <w:bCs/>
                <w:color w:val="FFFFFF" w:themeColor="background1"/>
                <w:sz w:val="18"/>
                <w:szCs w:val="18"/>
              </w:rPr>
              <w:t>6</w:t>
            </w:r>
          </w:p>
          <w:p w14:paraId="0F04A9A7" w14:textId="7E593EBC" w:rsidR="00C36395" w:rsidRPr="00D902DF" w:rsidRDefault="35F923EA" w:rsidP="00C36395">
            <w:pPr>
              <w:pStyle w:val="Corpodetexto"/>
              <w:spacing w:after="0"/>
              <w:jc w:val="right"/>
              <w:rPr>
                <w:b/>
                <w:bCs/>
                <w:color w:val="FFFFFF" w:themeColor="background1"/>
                <w:sz w:val="18"/>
                <w:szCs w:val="18"/>
              </w:rPr>
            </w:pPr>
            <w:r w:rsidRPr="00D902DF">
              <w:rPr>
                <w:b/>
                <w:bCs/>
                <w:color w:val="FFFFFF" w:themeColor="background1"/>
                <w:sz w:val="18"/>
                <w:szCs w:val="18"/>
              </w:rPr>
              <w:t>3</w:t>
            </w:r>
            <w:r w:rsidR="3863107E" w:rsidRPr="00D902DF">
              <w:rPr>
                <w:b/>
                <w:bCs/>
                <w:color w:val="FFFFFF" w:themeColor="background1"/>
                <w:sz w:val="18"/>
                <w:szCs w:val="18"/>
              </w:rPr>
              <w:t>.</w:t>
            </w:r>
            <w:r w:rsidR="1E1C6348" w:rsidRPr="00D902DF">
              <w:rPr>
                <w:b/>
                <w:bCs/>
                <w:color w:val="FFFFFF" w:themeColor="background1"/>
                <w:sz w:val="18"/>
                <w:szCs w:val="18"/>
              </w:rPr>
              <w:t>251</w:t>
            </w:r>
            <w:r w:rsidR="3863107E" w:rsidRPr="00D902DF">
              <w:rPr>
                <w:b/>
                <w:bCs/>
                <w:color w:val="FFFFFF" w:themeColor="background1"/>
                <w:sz w:val="18"/>
                <w:szCs w:val="18"/>
              </w:rPr>
              <w:t>,</w:t>
            </w:r>
            <w:r w:rsidR="6FE33A76" w:rsidRPr="00D902DF">
              <w:rPr>
                <w:b/>
                <w:bCs/>
                <w:color w:val="FFFFFF" w:themeColor="background1"/>
                <w:sz w:val="18"/>
                <w:szCs w:val="18"/>
              </w:rPr>
              <w:t>1</w:t>
            </w:r>
          </w:p>
        </w:tc>
      </w:tr>
      <w:tr w:rsidR="00C36395" w:rsidRPr="003123A0" w14:paraId="1BC3E642" w14:textId="77777777" w:rsidTr="71B7BA98">
        <w:trPr>
          <w:jc w:val="center"/>
        </w:trPr>
        <w:tc>
          <w:tcPr>
            <w:tcW w:w="5969" w:type="dxa"/>
            <w:gridSpan w:val="4"/>
            <w:tcBorders>
              <w:top w:val="single" w:sz="4" w:space="0" w:color="BFBFBF" w:themeColor="background1" w:themeShade="BF"/>
              <w:left w:val="nil"/>
              <w:bottom w:val="nil"/>
              <w:right w:val="nil"/>
            </w:tcBorders>
          </w:tcPr>
          <w:p w14:paraId="39701434" w14:textId="5ED51470" w:rsidR="00C36395" w:rsidRPr="00084CA6" w:rsidRDefault="00C36395" w:rsidP="00C36395">
            <w:pPr>
              <w:pStyle w:val="Corpodetexto"/>
              <w:spacing w:after="0"/>
              <w:rPr>
                <w:color w:val="404040" w:themeColor="text1" w:themeTint="BF"/>
                <w:sz w:val="16"/>
                <w:szCs w:val="16"/>
              </w:rPr>
            </w:pPr>
            <w:r w:rsidRPr="7120BA48">
              <w:rPr>
                <w:b/>
                <w:i/>
                <w:sz w:val="16"/>
                <w:szCs w:val="16"/>
              </w:rPr>
              <w:t>Fonte</w:t>
            </w:r>
            <w:r w:rsidRPr="7120BA48">
              <w:rPr>
                <w:i/>
                <w:sz w:val="16"/>
                <w:szCs w:val="16"/>
              </w:rPr>
              <w:t xml:space="preserve">: FNDE. </w:t>
            </w:r>
            <w:r w:rsidRPr="00A14568">
              <w:rPr>
                <w:b/>
                <w:i/>
                <w:sz w:val="16"/>
                <w:szCs w:val="16"/>
              </w:rPr>
              <w:t>Elaboração</w:t>
            </w:r>
            <w:r w:rsidRPr="7120BA48">
              <w:rPr>
                <w:i/>
                <w:sz w:val="16"/>
                <w:szCs w:val="16"/>
              </w:rPr>
              <w:t>: STN/ME</w:t>
            </w:r>
          </w:p>
        </w:tc>
      </w:tr>
    </w:tbl>
    <w:p w14:paraId="6BD6AA51" w14:textId="77777777" w:rsidR="00337BCA" w:rsidRDefault="00337BCA" w:rsidP="00776BEB">
      <w:pPr>
        <w:pStyle w:val="Corpodetexto"/>
        <w:spacing w:line="240" w:lineRule="auto"/>
        <w:jc w:val="both"/>
        <w:rPr>
          <w:color w:val="00B050"/>
          <w:sz w:val="24"/>
          <w:szCs w:val="24"/>
        </w:rPr>
      </w:pPr>
    </w:p>
    <w:p w14:paraId="5479F19A" w14:textId="7CF0685C" w:rsidR="00F43DB8" w:rsidRPr="00353D69" w:rsidRDefault="00F43DB8" w:rsidP="25917DB9">
      <w:pPr>
        <w:pStyle w:val="Corpodetexto"/>
        <w:spacing w:line="240" w:lineRule="auto"/>
        <w:ind w:firstLine="1418"/>
        <w:jc w:val="both"/>
        <w:rPr>
          <w:color w:val="000000" w:themeColor="text1"/>
          <w:sz w:val="24"/>
          <w:szCs w:val="24"/>
        </w:rPr>
      </w:pPr>
      <w:r w:rsidRPr="00353D69">
        <w:rPr>
          <w:color w:val="000000" w:themeColor="text1"/>
          <w:sz w:val="24"/>
          <w:szCs w:val="24"/>
        </w:rPr>
        <w:t xml:space="preserve">A </w:t>
      </w:r>
      <w:r w:rsidRPr="00353D69">
        <w:rPr>
          <w:color w:val="000000" w:themeColor="text1"/>
          <w:sz w:val="24"/>
          <w:szCs w:val="24"/>
        </w:rPr>
        <w:fldChar w:fldCharType="begin"/>
      </w:r>
      <w:r w:rsidRPr="00353D69">
        <w:rPr>
          <w:color w:val="000000" w:themeColor="text1"/>
          <w:sz w:val="24"/>
          <w:szCs w:val="24"/>
        </w:rPr>
        <w:instrText xml:space="preserve"> REF _Ref35252594  \* MERGEFORMAT </w:instrText>
      </w:r>
      <w:r w:rsidRPr="00353D69">
        <w:rPr>
          <w:color w:val="000000" w:themeColor="text1"/>
          <w:sz w:val="24"/>
          <w:szCs w:val="24"/>
        </w:rPr>
        <w:fldChar w:fldCharType="separate"/>
      </w:r>
      <w:r w:rsidR="00304F5F" w:rsidRPr="00304F5F">
        <w:rPr>
          <w:color w:val="000000" w:themeColor="text1"/>
          <w:sz w:val="24"/>
          <w:szCs w:val="24"/>
        </w:rPr>
        <w:t>Tabela 75</w:t>
      </w:r>
      <w:r w:rsidRPr="00353D69">
        <w:rPr>
          <w:color w:val="000000" w:themeColor="text1"/>
          <w:sz w:val="24"/>
          <w:szCs w:val="24"/>
        </w:rPr>
        <w:fldChar w:fldCharType="end"/>
      </w:r>
      <w:r w:rsidR="00E12566" w:rsidRPr="00353D69">
        <w:rPr>
          <w:color w:val="000000" w:themeColor="text1"/>
          <w:sz w:val="24"/>
          <w:szCs w:val="24"/>
        </w:rPr>
        <w:t xml:space="preserve"> </w:t>
      </w:r>
      <w:r w:rsidR="00E2328A" w:rsidRPr="00353D69">
        <w:rPr>
          <w:color w:val="000000" w:themeColor="text1"/>
          <w:sz w:val="24"/>
          <w:szCs w:val="24"/>
        </w:rPr>
        <w:t>apresenta</w:t>
      </w:r>
      <w:r w:rsidRPr="00353D69">
        <w:rPr>
          <w:color w:val="000000" w:themeColor="text1"/>
          <w:sz w:val="24"/>
          <w:szCs w:val="24"/>
        </w:rPr>
        <w:t xml:space="preserve"> a comparação entre os valores estimados na Lei Orçamentária Anual (LOA) e aqueles efetivamente realizados (desembolso) no âmbito da Ação 00IG nos últimos três exercícios.</w:t>
      </w:r>
    </w:p>
    <w:p w14:paraId="3AF93030" w14:textId="37075F4A" w:rsidR="00885E76" w:rsidRPr="00353D69" w:rsidRDefault="00885E76" w:rsidP="25917DB9">
      <w:pPr>
        <w:pStyle w:val="Legenda"/>
        <w:spacing w:after="120"/>
        <w:jc w:val="center"/>
        <w:rPr>
          <w:rFonts w:asciiTheme="minorHAnsi" w:hAnsiTheme="minorHAnsi"/>
          <w:i w:val="0"/>
          <w:color w:val="000000" w:themeColor="text1"/>
          <w:sz w:val="22"/>
          <w:szCs w:val="22"/>
        </w:rPr>
      </w:pPr>
      <w:bookmarkStart w:id="467" w:name="_Ref35252594"/>
      <w:bookmarkStart w:id="468" w:name="_Toc69121421"/>
      <w:r w:rsidRPr="00353D69">
        <w:rPr>
          <w:rFonts w:asciiTheme="minorHAnsi" w:hAnsiTheme="minorHAnsi"/>
          <w:i w:val="0"/>
          <w:color w:val="000000" w:themeColor="text1"/>
          <w:sz w:val="22"/>
          <w:szCs w:val="22"/>
        </w:rPr>
        <w:t xml:space="preserve">Tabela </w:t>
      </w:r>
      <w:r w:rsidRPr="00353D69">
        <w:rPr>
          <w:rFonts w:asciiTheme="minorHAnsi" w:hAnsiTheme="minorHAnsi"/>
          <w:i w:val="0"/>
          <w:color w:val="000000" w:themeColor="text1"/>
          <w:sz w:val="22"/>
          <w:szCs w:val="22"/>
        </w:rPr>
        <w:fldChar w:fldCharType="begin"/>
      </w:r>
      <w:r w:rsidRPr="25917DB9">
        <w:rPr>
          <w:rFonts w:asciiTheme="minorHAnsi" w:hAnsiTheme="minorHAnsi"/>
          <w:i w:val="0"/>
          <w:iCs w:val="0"/>
          <w:color w:val="auto"/>
          <w:sz w:val="22"/>
          <w:szCs w:val="22"/>
        </w:rPr>
        <w:instrText xml:space="preserve"> SEQ Tabela \* ARABIC </w:instrText>
      </w:r>
      <w:r w:rsidRPr="00353D69">
        <w:rPr>
          <w:rFonts w:asciiTheme="minorHAnsi" w:hAnsiTheme="minorHAnsi"/>
          <w:i w:val="0"/>
          <w:color w:val="000000" w:themeColor="text1"/>
          <w:sz w:val="22"/>
          <w:szCs w:val="22"/>
        </w:rPr>
        <w:fldChar w:fldCharType="separate"/>
      </w:r>
      <w:r w:rsidR="00304F5F">
        <w:rPr>
          <w:rFonts w:asciiTheme="minorHAnsi" w:hAnsiTheme="minorHAnsi"/>
          <w:i w:val="0"/>
          <w:iCs w:val="0"/>
          <w:noProof/>
          <w:color w:val="auto"/>
          <w:sz w:val="22"/>
          <w:szCs w:val="22"/>
        </w:rPr>
        <w:t>75</w:t>
      </w:r>
      <w:r w:rsidRPr="00353D69">
        <w:rPr>
          <w:rFonts w:asciiTheme="minorHAnsi" w:hAnsiTheme="minorHAnsi"/>
          <w:i w:val="0"/>
          <w:color w:val="000000" w:themeColor="text1"/>
          <w:sz w:val="22"/>
          <w:szCs w:val="22"/>
        </w:rPr>
        <w:fldChar w:fldCharType="end"/>
      </w:r>
      <w:bookmarkEnd w:id="467"/>
      <w:r w:rsidRPr="00353D69">
        <w:rPr>
          <w:rFonts w:asciiTheme="minorHAnsi" w:hAnsiTheme="minorHAnsi"/>
          <w:i w:val="0"/>
          <w:color w:val="000000" w:themeColor="text1"/>
          <w:sz w:val="22"/>
          <w:szCs w:val="22"/>
        </w:rPr>
        <w:t xml:space="preserve"> </w:t>
      </w:r>
      <w:r w:rsidR="00DA20FF" w:rsidRPr="00353D69">
        <w:rPr>
          <w:rFonts w:asciiTheme="minorHAnsi" w:hAnsiTheme="minorHAnsi"/>
          <w:i w:val="0"/>
          <w:color w:val="000000" w:themeColor="text1"/>
          <w:sz w:val="22"/>
          <w:szCs w:val="22"/>
        </w:rPr>
        <w:t>-</w:t>
      </w:r>
      <w:r w:rsidRPr="00353D69">
        <w:rPr>
          <w:rFonts w:asciiTheme="minorHAnsi" w:hAnsiTheme="minorHAnsi"/>
          <w:i w:val="0"/>
          <w:color w:val="000000" w:themeColor="text1"/>
          <w:sz w:val="22"/>
          <w:szCs w:val="22"/>
        </w:rPr>
        <w:t xml:space="preserve"> </w:t>
      </w:r>
      <w:r w:rsidR="004A1165" w:rsidRPr="00353D69">
        <w:rPr>
          <w:rFonts w:asciiTheme="minorHAnsi" w:hAnsiTheme="minorHAnsi"/>
          <w:i w:val="0"/>
          <w:color w:val="000000" w:themeColor="text1"/>
          <w:sz w:val="22"/>
          <w:szCs w:val="22"/>
        </w:rPr>
        <w:t>Compara</w:t>
      </w:r>
      <w:r w:rsidR="00DA20FF" w:rsidRPr="00353D69">
        <w:rPr>
          <w:rFonts w:asciiTheme="minorHAnsi" w:hAnsiTheme="minorHAnsi"/>
          <w:i w:val="0"/>
          <w:color w:val="000000" w:themeColor="text1"/>
          <w:sz w:val="22"/>
          <w:szCs w:val="22"/>
        </w:rPr>
        <w:t>ção entre o d</w:t>
      </w:r>
      <w:r w:rsidR="00E12566" w:rsidRPr="00353D69">
        <w:rPr>
          <w:rFonts w:asciiTheme="minorHAnsi" w:hAnsiTheme="minorHAnsi"/>
          <w:i w:val="0"/>
          <w:color w:val="000000" w:themeColor="text1"/>
          <w:sz w:val="22"/>
          <w:szCs w:val="22"/>
        </w:rPr>
        <w:t xml:space="preserve">esembolso estimado </w:t>
      </w:r>
      <w:r w:rsidR="00DA20FF" w:rsidRPr="00353D69">
        <w:rPr>
          <w:rFonts w:asciiTheme="minorHAnsi" w:hAnsiTheme="minorHAnsi"/>
          <w:i w:val="0"/>
          <w:color w:val="000000" w:themeColor="text1"/>
          <w:sz w:val="22"/>
          <w:szCs w:val="22"/>
        </w:rPr>
        <w:t>e</w:t>
      </w:r>
      <w:r w:rsidR="00E12566" w:rsidRPr="00353D69">
        <w:rPr>
          <w:rFonts w:asciiTheme="minorHAnsi" w:hAnsiTheme="minorHAnsi"/>
          <w:i w:val="0"/>
          <w:color w:val="000000" w:themeColor="text1"/>
          <w:sz w:val="22"/>
          <w:szCs w:val="22"/>
        </w:rPr>
        <w:t xml:space="preserve"> realizado</w:t>
      </w:r>
      <w:r w:rsidR="00DA20FF" w:rsidRPr="00353D69">
        <w:rPr>
          <w:rFonts w:asciiTheme="minorHAnsi" w:hAnsiTheme="minorHAnsi"/>
          <w:i w:val="0"/>
          <w:color w:val="000000" w:themeColor="text1"/>
          <w:sz w:val="22"/>
          <w:szCs w:val="22"/>
        </w:rPr>
        <w:t xml:space="preserve">, por </w:t>
      </w:r>
      <w:proofErr w:type="gramStart"/>
      <w:r w:rsidR="00DA20FF" w:rsidRPr="00353D69">
        <w:rPr>
          <w:rFonts w:asciiTheme="minorHAnsi" w:hAnsiTheme="minorHAnsi"/>
          <w:i w:val="0"/>
          <w:color w:val="000000" w:themeColor="text1"/>
          <w:sz w:val="22"/>
          <w:szCs w:val="22"/>
        </w:rPr>
        <w:t>ano</w:t>
      </w:r>
      <w:bookmarkEnd w:id="468"/>
      <w:proofErr w:type="gramEnd"/>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11"/>
        <w:gridCol w:w="778"/>
        <w:gridCol w:w="778"/>
        <w:gridCol w:w="687"/>
      </w:tblGrid>
      <w:tr w:rsidR="002A6732" w:rsidRPr="00F60800" w14:paraId="10FE8A68" w14:textId="77777777" w:rsidTr="007522E1">
        <w:trPr>
          <w:trHeight w:val="20"/>
          <w:tblHeader/>
          <w:jc w:val="center"/>
        </w:trPr>
        <w:tc>
          <w:tcPr>
            <w:tcW w:w="0" w:type="auto"/>
            <w:gridSpan w:val="4"/>
            <w:tcBorders>
              <w:top w:val="nil"/>
              <w:left w:val="nil"/>
              <w:bottom w:val="nil"/>
              <w:right w:val="nil"/>
            </w:tcBorders>
            <w:shd w:val="clear" w:color="auto" w:fill="auto"/>
          </w:tcPr>
          <w:p w14:paraId="58CECF96" w14:textId="6F023FC9" w:rsidR="002A6732" w:rsidRPr="00353D69" w:rsidRDefault="002A6732" w:rsidP="00930226">
            <w:pPr>
              <w:spacing w:after="0" w:line="240" w:lineRule="auto"/>
              <w:jc w:val="right"/>
              <w:rPr>
                <w:i/>
                <w:color w:val="000000" w:themeColor="text1"/>
                <w:sz w:val="16"/>
                <w:szCs w:val="16"/>
              </w:rPr>
            </w:pPr>
            <w:r w:rsidRPr="00353D69">
              <w:rPr>
                <w:i/>
                <w:color w:val="000000" w:themeColor="text1"/>
                <w:sz w:val="16"/>
                <w:szCs w:val="16"/>
              </w:rPr>
              <w:t xml:space="preserve">Em </w:t>
            </w:r>
            <w:r w:rsidR="00930226">
              <w:rPr>
                <w:i/>
                <w:color w:val="000000" w:themeColor="text1"/>
                <w:sz w:val="16"/>
                <w:szCs w:val="16"/>
              </w:rPr>
              <w:t xml:space="preserve">R$ </w:t>
            </w:r>
            <w:r w:rsidRPr="00353D69">
              <w:rPr>
                <w:i/>
                <w:color w:val="000000" w:themeColor="text1"/>
                <w:sz w:val="16"/>
                <w:szCs w:val="16"/>
              </w:rPr>
              <w:t>milhões</w:t>
            </w:r>
          </w:p>
        </w:tc>
      </w:tr>
      <w:tr w:rsidR="00E36E4B" w:rsidRPr="00F60800" w14:paraId="2D8861DD" w14:textId="77777777" w:rsidTr="007522E1">
        <w:trPr>
          <w:trHeight w:val="20"/>
          <w:tblHeader/>
          <w:jc w:val="center"/>
        </w:trPr>
        <w:tc>
          <w:tcPr>
            <w:tcW w:w="0" w:type="auto"/>
            <w:tcBorders>
              <w:top w:val="nil"/>
            </w:tcBorders>
            <w:shd w:val="clear" w:color="auto" w:fill="404040" w:themeFill="text1" w:themeFillTint="BF"/>
          </w:tcPr>
          <w:p w14:paraId="10107440" w14:textId="77777777" w:rsidR="00E36E4B" w:rsidRPr="00404A24" w:rsidRDefault="00E36E4B" w:rsidP="003C5519">
            <w:pPr>
              <w:spacing w:after="0" w:line="240" w:lineRule="auto"/>
              <w:jc w:val="center"/>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 xml:space="preserve">Ano </w:t>
            </w:r>
          </w:p>
        </w:tc>
        <w:tc>
          <w:tcPr>
            <w:tcW w:w="0" w:type="auto"/>
            <w:tcBorders>
              <w:top w:val="nil"/>
            </w:tcBorders>
            <w:shd w:val="clear" w:color="auto" w:fill="404040" w:themeFill="text1" w:themeFillTint="BF"/>
          </w:tcPr>
          <w:p w14:paraId="62488521" w14:textId="5DACF156" w:rsidR="00E36E4B" w:rsidRPr="00404A24" w:rsidRDefault="7BEB389B" w:rsidP="003C5519">
            <w:pPr>
              <w:spacing w:after="0" w:line="240" w:lineRule="auto"/>
              <w:jc w:val="center"/>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201</w:t>
            </w:r>
            <w:r w:rsidR="40315C32" w:rsidRPr="00404A24">
              <w:rPr>
                <w:rFonts w:eastAsia="Times New Roman" w:cs="Times New Roman"/>
                <w:b/>
                <w:color w:val="FFFFFF" w:themeColor="background1"/>
                <w:sz w:val="20"/>
                <w:szCs w:val="20"/>
                <w:lang w:eastAsia="pt-BR"/>
              </w:rPr>
              <w:t>8</w:t>
            </w:r>
          </w:p>
        </w:tc>
        <w:tc>
          <w:tcPr>
            <w:tcW w:w="0" w:type="auto"/>
            <w:tcBorders>
              <w:top w:val="nil"/>
            </w:tcBorders>
            <w:shd w:val="clear" w:color="auto" w:fill="404040" w:themeFill="text1" w:themeFillTint="BF"/>
          </w:tcPr>
          <w:p w14:paraId="13282094" w14:textId="719605BD" w:rsidR="00E36E4B" w:rsidRPr="00404A24" w:rsidRDefault="7BEB389B" w:rsidP="003C5519">
            <w:pPr>
              <w:spacing w:after="0" w:line="240" w:lineRule="auto"/>
              <w:jc w:val="center"/>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201</w:t>
            </w:r>
            <w:r w:rsidR="6A0C5C73" w:rsidRPr="00404A24">
              <w:rPr>
                <w:rFonts w:eastAsia="Times New Roman" w:cs="Times New Roman"/>
                <w:b/>
                <w:color w:val="FFFFFF" w:themeColor="background1"/>
                <w:sz w:val="20"/>
                <w:szCs w:val="20"/>
                <w:lang w:eastAsia="pt-BR"/>
              </w:rPr>
              <w:t>9</w:t>
            </w:r>
          </w:p>
        </w:tc>
        <w:tc>
          <w:tcPr>
            <w:tcW w:w="0" w:type="auto"/>
            <w:tcBorders>
              <w:top w:val="nil"/>
            </w:tcBorders>
            <w:shd w:val="clear" w:color="auto" w:fill="404040" w:themeFill="text1" w:themeFillTint="BF"/>
          </w:tcPr>
          <w:p w14:paraId="05767C3A" w14:textId="235AEBCF" w:rsidR="00E36E4B" w:rsidRPr="00404A24" w:rsidRDefault="7BEB389B" w:rsidP="003C5519">
            <w:pPr>
              <w:spacing w:after="0" w:line="240" w:lineRule="auto"/>
              <w:jc w:val="center"/>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20</w:t>
            </w:r>
            <w:r w:rsidR="3BD5E8F6" w:rsidRPr="00404A24">
              <w:rPr>
                <w:rFonts w:eastAsia="Times New Roman" w:cs="Times New Roman"/>
                <w:b/>
                <w:color w:val="FFFFFF" w:themeColor="background1"/>
                <w:sz w:val="20"/>
                <w:szCs w:val="20"/>
                <w:lang w:eastAsia="pt-BR"/>
              </w:rPr>
              <w:t>20</w:t>
            </w:r>
          </w:p>
        </w:tc>
      </w:tr>
      <w:tr w:rsidR="00E36E4B" w:rsidRPr="00102756" w14:paraId="542FBCF3" w14:textId="77777777" w:rsidTr="007522E1">
        <w:trPr>
          <w:trHeight w:val="20"/>
          <w:jc w:val="center"/>
        </w:trPr>
        <w:tc>
          <w:tcPr>
            <w:tcW w:w="0" w:type="auto"/>
            <w:shd w:val="clear" w:color="auto" w:fill="F2F2F2" w:themeFill="background1" w:themeFillShade="F2"/>
            <w:vAlign w:val="center"/>
          </w:tcPr>
          <w:p w14:paraId="641F15E1" w14:textId="77777777" w:rsidR="00E36E4B" w:rsidRPr="00353D69" w:rsidRDefault="00E36E4B" w:rsidP="002C64C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Estimado</w:t>
            </w:r>
          </w:p>
        </w:tc>
        <w:tc>
          <w:tcPr>
            <w:tcW w:w="0" w:type="auto"/>
            <w:shd w:val="clear" w:color="auto" w:fill="F2F2F2" w:themeFill="background1" w:themeFillShade="F2"/>
            <w:vAlign w:val="center"/>
          </w:tcPr>
          <w:p w14:paraId="1797343B" w14:textId="2F9EDEE4" w:rsidR="00E36E4B" w:rsidRPr="00353D69" w:rsidRDefault="7BEB389B"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1</w:t>
            </w:r>
            <w:r w:rsidR="0EEB92F6" w:rsidRPr="00353D69">
              <w:rPr>
                <w:rFonts w:eastAsia="Times New Roman" w:cs="Times New Roman"/>
                <w:color w:val="000000" w:themeColor="text1"/>
                <w:sz w:val="18"/>
                <w:szCs w:val="18"/>
                <w:lang w:eastAsia="pt-BR"/>
              </w:rPr>
              <w:t>7</w:t>
            </w:r>
            <w:r w:rsidRPr="00353D69">
              <w:rPr>
                <w:rFonts w:eastAsia="Times New Roman" w:cs="Times New Roman"/>
                <w:color w:val="000000" w:themeColor="text1"/>
                <w:sz w:val="18"/>
                <w:szCs w:val="18"/>
                <w:lang w:eastAsia="pt-BR"/>
              </w:rPr>
              <w:t>.</w:t>
            </w:r>
            <w:r w:rsidR="0E2B7FB5" w:rsidRPr="00353D69">
              <w:rPr>
                <w:rFonts w:eastAsia="Times New Roman" w:cs="Times New Roman"/>
                <w:color w:val="000000" w:themeColor="text1"/>
                <w:sz w:val="18"/>
                <w:szCs w:val="18"/>
                <w:lang w:eastAsia="pt-BR"/>
              </w:rPr>
              <w:t>74</w:t>
            </w:r>
            <w:r w:rsidRPr="00353D69">
              <w:rPr>
                <w:rFonts w:eastAsia="Times New Roman" w:cs="Times New Roman"/>
                <w:color w:val="000000" w:themeColor="text1"/>
                <w:sz w:val="18"/>
                <w:szCs w:val="18"/>
                <w:lang w:eastAsia="pt-BR"/>
              </w:rPr>
              <w:t>9,</w:t>
            </w:r>
            <w:r w:rsidR="3A7DE29C" w:rsidRPr="00353D69">
              <w:rPr>
                <w:rFonts w:eastAsia="Times New Roman" w:cs="Times New Roman"/>
                <w:color w:val="000000" w:themeColor="text1"/>
                <w:sz w:val="18"/>
                <w:szCs w:val="18"/>
                <w:lang w:eastAsia="pt-BR"/>
              </w:rPr>
              <w:t>2</w:t>
            </w:r>
          </w:p>
        </w:tc>
        <w:tc>
          <w:tcPr>
            <w:tcW w:w="0" w:type="auto"/>
            <w:shd w:val="clear" w:color="auto" w:fill="F2F2F2" w:themeFill="background1" w:themeFillShade="F2"/>
            <w:vAlign w:val="center"/>
          </w:tcPr>
          <w:p w14:paraId="1EBB6698" w14:textId="760DD087" w:rsidR="00E36E4B" w:rsidRPr="00353D69" w:rsidRDefault="7BEB389B"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1</w:t>
            </w:r>
            <w:r w:rsidR="224A6B2E" w:rsidRPr="00353D69">
              <w:rPr>
                <w:rFonts w:eastAsia="Times New Roman" w:cs="Times New Roman"/>
                <w:color w:val="000000" w:themeColor="text1"/>
                <w:sz w:val="18"/>
                <w:szCs w:val="18"/>
                <w:lang w:eastAsia="pt-BR"/>
              </w:rPr>
              <w:t>2</w:t>
            </w:r>
            <w:r w:rsidRPr="00353D69">
              <w:rPr>
                <w:rFonts w:eastAsia="Times New Roman" w:cs="Times New Roman"/>
                <w:color w:val="000000" w:themeColor="text1"/>
                <w:sz w:val="18"/>
                <w:szCs w:val="18"/>
                <w:lang w:eastAsia="pt-BR"/>
              </w:rPr>
              <w:t>.</w:t>
            </w:r>
            <w:r w:rsidR="7D7D5E3E" w:rsidRPr="00353D69">
              <w:rPr>
                <w:rFonts w:eastAsia="Times New Roman" w:cs="Times New Roman"/>
                <w:color w:val="000000" w:themeColor="text1"/>
                <w:sz w:val="18"/>
                <w:szCs w:val="18"/>
                <w:lang w:eastAsia="pt-BR"/>
              </w:rPr>
              <w:t>398</w:t>
            </w:r>
            <w:r w:rsidRPr="00353D69">
              <w:rPr>
                <w:rFonts w:eastAsia="Times New Roman" w:cs="Times New Roman"/>
                <w:color w:val="000000" w:themeColor="text1"/>
                <w:sz w:val="18"/>
                <w:szCs w:val="18"/>
                <w:lang w:eastAsia="pt-BR"/>
              </w:rPr>
              <w:t>,</w:t>
            </w:r>
            <w:r w:rsidR="394C27A6" w:rsidRPr="00353D69">
              <w:rPr>
                <w:rFonts w:eastAsia="Times New Roman" w:cs="Times New Roman"/>
                <w:color w:val="000000" w:themeColor="text1"/>
                <w:sz w:val="18"/>
                <w:szCs w:val="18"/>
                <w:lang w:eastAsia="pt-BR"/>
              </w:rPr>
              <w:t>5</w:t>
            </w:r>
          </w:p>
        </w:tc>
        <w:tc>
          <w:tcPr>
            <w:tcW w:w="0" w:type="auto"/>
            <w:shd w:val="clear" w:color="auto" w:fill="F2F2F2" w:themeFill="background1" w:themeFillShade="F2"/>
            <w:vAlign w:val="center"/>
          </w:tcPr>
          <w:p w14:paraId="165BA0AD" w14:textId="3D92E6C6" w:rsidR="00E36E4B" w:rsidRPr="00353D69" w:rsidRDefault="3A303398"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8</w:t>
            </w:r>
            <w:r w:rsidR="7BEB389B" w:rsidRPr="00353D69">
              <w:rPr>
                <w:rFonts w:eastAsia="Times New Roman" w:cs="Times New Roman"/>
                <w:color w:val="000000" w:themeColor="text1"/>
                <w:sz w:val="18"/>
                <w:szCs w:val="18"/>
                <w:lang w:eastAsia="pt-BR"/>
              </w:rPr>
              <w:t>.8</w:t>
            </w:r>
            <w:r w:rsidR="4F106299" w:rsidRPr="00353D69">
              <w:rPr>
                <w:rFonts w:eastAsia="Times New Roman" w:cs="Times New Roman"/>
                <w:color w:val="000000" w:themeColor="text1"/>
                <w:sz w:val="18"/>
                <w:szCs w:val="18"/>
                <w:lang w:eastAsia="pt-BR"/>
              </w:rPr>
              <w:t>60</w:t>
            </w:r>
            <w:r w:rsidR="7BEB389B" w:rsidRPr="00353D69">
              <w:rPr>
                <w:rFonts w:eastAsia="Times New Roman" w:cs="Times New Roman"/>
                <w:color w:val="000000" w:themeColor="text1"/>
                <w:sz w:val="18"/>
                <w:szCs w:val="18"/>
                <w:lang w:eastAsia="pt-BR"/>
              </w:rPr>
              <w:t>,5</w:t>
            </w:r>
          </w:p>
        </w:tc>
      </w:tr>
      <w:tr w:rsidR="00E36E4B" w:rsidRPr="00102756" w14:paraId="704112EC" w14:textId="77777777" w:rsidTr="007522E1">
        <w:trPr>
          <w:trHeight w:val="20"/>
          <w:jc w:val="center"/>
        </w:trPr>
        <w:tc>
          <w:tcPr>
            <w:tcW w:w="0" w:type="auto"/>
            <w:shd w:val="clear" w:color="auto" w:fill="auto"/>
            <w:vAlign w:val="center"/>
          </w:tcPr>
          <w:p w14:paraId="4670A7A5" w14:textId="77777777" w:rsidR="00E36E4B" w:rsidRPr="00353D69" w:rsidRDefault="00E36E4B" w:rsidP="002C64C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Realizado</w:t>
            </w:r>
          </w:p>
        </w:tc>
        <w:tc>
          <w:tcPr>
            <w:tcW w:w="0" w:type="auto"/>
            <w:shd w:val="clear" w:color="auto" w:fill="auto"/>
            <w:vAlign w:val="center"/>
          </w:tcPr>
          <w:p w14:paraId="6ADC37F6" w14:textId="4CFA44B5" w:rsidR="00E36E4B" w:rsidRPr="00353D69" w:rsidRDefault="7BEB389B"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1</w:t>
            </w:r>
            <w:r w:rsidR="0750D2B1" w:rsidRPr="00353D69">
              <w:rPr>
                <w:rFonts w:eastAsia="Times New Roman" w:cs="Times New Roman"/>
                <w:color w:val="000000" w:themeColor="text1"/>
                <w:sz w:val="18"/>
                <w:szCs w:val="18"/>
                <w:lang w:eastAsia="pt-BR"/>
              </w:rPr>
              <w:t>0</w:t>
            </w:r>
            <w:r w:rsidRPr="00353D69">
              <w:rPr>
                <w:rFonts w:eastAsia="Times New Roman" w:cs="Times New Roman"/>
                <w:color w:val="000000" w:themeColor="text1"/>
                <w:sz w:val="18"/>
                <w:szCs w:val="18"/>
                <w:lang w:eastAsia="pt-BR"/>
              </w:rPr>
              <w:t>.</w:t>
            </w:r>
            <w:r w:rsidR="266B2898" w:rsidRPr="00353D69">
              <w:rPr>
                <w:rFonts w:eastAsia="Times New Roman" w:cs="Times New Roman"/>
                <w:color w:val="000000" w:themeColor="text1"/>
                <w:sz w:val="18"/>
                <w:szCs w:val="18"/>
                <w:lang w:eastAsia="pt-BR"/>
              </w:rPr>
              <w:t>977</w:t>
            </w:r>
            <w:r w:rsidRPr="00353D69">
              <w:rPr>
                <w:rFonts w:eastAsia="Times New Roman" w:cs="Times New Roman"/>
                <w:color w:val="000000" w:themeColor="text1"/>
                <w:sz w:val="18"/>
                <w:szCs w:val="18"/>
                <w:lang w:eastAsia="pt-BR"/>
              </w:rPr>
              <w:t>,</w:t>
            </w:r>
            <w:r w:rsidR="142249F8" w:rsidRPr="00353D69">
              <w:rPr>
                <w:rFonts w:eastAsia="Times New Roman" w:cs="Times New Roman"/>
                <w:color w:val="000000" w:themeColor="text1"/>
                <w:sz w:val="18"/>
                <w:szCs w:val="18"/>
                <w:lang w:eastAsia="pt-BR"/>
              </w:rPr>
              <w:t>2</w:t>
            </w:r>
          </w:p>
        </w:tc>
        <w:tc>
          <w:tcPr>
            <w:tcW w:w="0" w:type="auto"/>
            <w:vAlign w:val="center"/>
          </w:tcPr>
          <w:p w14:paraId="1D5BBC19" w14:textId="5623C810" w:rsidR="00E36E4B" w:rsidRPr="00353D69" w:rsidRDefault="084ED5E0"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7</w:t>
            </w:r>
            <w:r w:rsidR="7BEB389B" w:rsidRPr="00353D69">
              <w:rPr>
                <w:rFonts w:eastAsia="Times New Roman" w:cs="Times New Roman"/>
                <w:color w:val="000000" w:themeColor="text1"/>
                <w:sz w:val="18"/>
                <w:szCs w:val="18"/>
                <w:lang w:eastAsia="pt-BR"/>
              </w:rPr>
              <w:t>.4</w:t>
            </w:r>
            <w:r w:rsidR="0FBDC05A" w:rsidRPr="00353D69">
              <w:rPr>
                <w:rFonts w:eastAsia="Times New Roman" w:cs="Times New Roman"/>
                <w:color w:val="000000" w:themeColor="text1"/>
                <w:sz w:val="18"/>
                <w:szCs w:val="18"/>
                <w:lang w:eastAsia="pt-BR"/>
              </w:rPr>
              <w:t>24</w:t>
            </w:r>
            <w:r w:rsidR="7BEB389B" w:rsidRPr="00353D69">
              <w:rPr>
                <w:rFonts w:eastAsia="Times New Roman" w:cs="Times New Roman"/>
                <w:color w:val="000000" w:themeColor="text1"/>
                <w:sz w:val="18"/>
                <w:szCs w:val="18"/>
                <w:lang w:eastAsia="pt-BR"/>
              </w:rPr>
              <w:t>,</w:t>
            </w:r>
            <w:r w:rsidR="316715ED" w:rsidRPr="00353D69">
              <w:rPr>
                <w:rFonts w:eastAsia="Times New Roman" w:cs="Times New Roman"/>
                <w:color w:val="000000" w:themeColor="text1"/>
                <w:sz w:val="18"/>
                <w:szCs w:val="18"/>
                <w:lang w:eastAsia="pt-BR"/>
              </w:rPr>
              <w:t>4</w:t>
            </w:r>
          </w:p>
        </w:tc>
        <w:tc>
          <w:tcPr>
            <w:tcW w:w="0" w:type="auto"/>
            <w:vAlign w:val="center"/>
          </w:tcPr>
          <w:p w14:paraId="634BDBEE" w14:textId="1CA2DE00" w:rsidR="00E36E4B" w:rsidRPr="00353D69" w:rsidRDefault="4E65C1AD"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3</w:t>
            </w:r>
            <w:r w:rsidR="7BEB389B" w:rsidRPr="00353D69">
              <w:rPr>
                <w:rFonts w:eastAsia="Times New Roman" w:cs="Times New Roman"/>
                <w:color w:val="000000" w:themeColor="text1"/>
                <w:sz w:val="18"/>
                <w:szCs w:val="18"/>
                <w:lang w:eastAsia="pt-BR"/>
              </w:rPr>
              <w:t>.</w:t>
            </w:r>
            <w:r w:rsidR="666C841B" w:rsidRPr="00353D69">
              <w:rPr>
                <w:rFonts w:eastAsia="Times New Roman" w:cs="Times New Roman"/>
                <w:color w:val="000000" w:themeColor="text1"/>
                <w:sz w:val="18"/>
                <w:szCs w:val="18"/>
                <w:lang w:eastAsia="pt-BR"/>
              </w:rPr>
              <w:t>31</w:t>
            </w:r>
            <w:r w:rsidR="41D75082" w:rsidRPr="00353D69">
              <w:rPr>
                <w:rFonts w:eastAsia="Times New Roman" w:cs="Times New Roman"/>
                <w:color w:val="000000" w:themeColor="text1"/>
                <w:sz w:val="18"/>
                <w:szCs w:val="18"/>
                <w:lang w:eastAsia="pt-BR"/>
              </w:rPr>
              <w:t>9</w:t>
            </w:r>
            <w:r w:rsidR="7BEB389B" w:rsidRPr="00353D69">
              <w:rPr>
                <w:rFonts w:eastAsia="Times New Roman" w:cs="Times New Roman"/>
                <w:color w:val="000000" w:themeColor="text1"/>
                <w:sz w:val="18"/>
                <w:szCs w:val="18"/>
                <w:lang w:eastAsia="pt-BR"/>
              </w:rPr>
              <w:t>,</w:t>
            </w:r>
            <w:r w:rsidR="09805ECB" w:rsidRPr="00353D69">
              <w:rPr>
                <w:rFonts w:eastAsia="Times New Roman" w:cs="Times New Roman"/>
                <w:color w:val="000000" w:themeColor="text1"/>
                <w:sz w:val="18"/>
                <w:szCs w:val="18"/>
                <w:lang w:eastAsia="pt-BR"/>
              </w:rPr>
              <w:t>3</w:t>
            </w:r>
          </w:p>
        </w:tc>
      </w:tr>
      <w:tr w:rsidR="00E36E4B" w:rsidRPr="007522E1" w14:paraId="586A60F6" w14:textId="77777777" w:rsidTr="007522E1">
        <w:trPr>
          <w:trHeight w:val="20"/>
          <w:jc w:val="center"/>
        </w:trPr>
        <w:tc>
          <w:tcPr>
            <w:tcW w:w="0" w:type="auto"/>
            <w:tcBorders>
              <w:bottom w:val="nil"/>
            </w:tcBorders>
            <w:shd w:val="clear" w:color="auto" w:fill="7F7F7F" w:themeFill="text1" w:themeFillTint="80"/>
            <w:vAlign w:val="center"/>
          </w:tcPr>
          <w:p w14:paraId="0B7FE34B" w14:textId="46AC8BCF" w:rsidR="00E36E4B" w:rsidRPr="007522E1" w:rsidRDefault="005B4BC0" w:rsidP="003C5519">
            <w:pPr>
              <w:spacing w:after="0" w:line="240" w:lineRule="auto"/>
              <w:jc w:val="center"/>
              <w:rPr>
                <w:rFonts w:eastAsia="Times New Roman" w:cs="Times New Roman"/>
                <w:b/>
                <w:bCs/>
                <w:color w:val="FFFFFF" w:themeColor="background1"/>
                <w:sz w:val="18"/>
                <w:szCs w:val="18"/>
                <w:lang w:eastAsia="pt-BR"/>
              </w:rPr>
            </w:pPr>
            <w:r w:rsidRPr="007522E1">
              <w:rPr>
                <w:rFonts w:eastAsia="Times New Roman" w:cs="Times New Roman"/>
                <w:b/>
                <w:bCs/>
                <w:color w:val="FFFFFF" w:themeColor="background1"/>
                <w:sz w:val="18"/>
                <w:szCs w:val="18"/>
                <w:lang w:eastAsia="pt-BR"/>
              </w:rPr>
              <w:t xml:space="preserve">Percentual </w:t>
            </w:r>
            <w:r w:rsidR="00E36E4B" w:rsidRPr="007522E1">
              <w:rPr>
                <w:rFonts w:eastAsia="Times New Roman" w:cs="Times New Roman"/>
                <w:b/>
                <w:bCs/>
                <w:color w:val="FFFFFF" w:themeColor="background1"/>
                <w:sz w:val="18"/>
                <w:szCs w:val="18"/>
                <w:lang w:eastAsia="pt-BR"/>
              </w:rPr>
              <w:t>de execução</w:t>
            </w:r>
          </w:p>
        </w:tc>
        <w:tc>
          <w:tcPr>
            <w:tcW w:w="0" w:type="auto"/>
            <w:tcBorders>
              <w:bottom w:val="nil"/>
            </w:tcBorders>
            <w:shd w:val="clear" w:color="auto" w:fill="7F7F7F" w:themeFill="text1" w:themeFillTint="80"/>
            <w:vAlign w:val="center"/>
          </w:tcPr>
          <w:p w14:paraId="443F7BF4" w14:textId="59440E81" w:rsidR="00E36E4B" w:rsidRPr="007522E1" w:rsidRDefault="2DBB3C1B" w:rsidP="003C5519">
            <w:pPr>
              <w:spacing w:after="0" w:line="240" w:lineRule="auto"/>
              <w:jc w:val="right"/>
              <w:rPr>
                <w:rFonts w:eastAsia="Times New Roman" w:cs="Times New Roman"/>
                <w:b/>
                <w:bCs/>
                <w:color w:val="FFFFFF" w:themeColor="background1"/>
                <w:sz w:val="18"/>
                <w:szCs w:val="18"/>
                <w:lang w:eastAsia="pt-BR"/>
              </w:rPr>
            </w:pPr>
            <w:r w:rsidRPr="007522E1">
              <w:rPr>
                <w:rFonts w:eastAsia="Times New Roman" w:cs="Times New Roman"/>
                <w:b/>
                <w:bCs/>
                <w:color w:val="FFFFFF" w:themeColor="background1"/>
                <w:sz w:val="18"/>
                <w:szCs w:val="18"/>
                <w:lang w:eastAsia="pt-BR"/>
              </w:rPr>
              <w:t>62</w:t>
            </w:r>
            <w:r w:rsidR="7BEB389B" w:rsidRPr="007522E1">
              <w:rPr>
                <w:rFonts w:eastAsia="Times New Roman" w:cs="Times New Roman"/>
                <w:b/>
                <w:bCs/>
                <w:color w:val="FFFFFF" w:themeColor="background1"/>
                <w:sz w:val="18"/>
                <w:szCs w:val="18"/>
                <w:lang w:eastAsia="pt-BR"/>
              </w:rPr>
              <w:t>%</w:t>
            </w:r>
          </w:p>
        </w:tc>
        <w:tc>
          <w:tcPr>
            <w:tcW w:w="0" w:type="auto"/>
            <w:tcBorders>
              <w:bottom w:val="nil"/>
            </w:tcBorders>
            <w:shd w:val="clear" w:color="auto" w:fill="7F7F7F" w:themeFill="text1" w:themeFillTint="80"/>
          </w:tcPr>
          <w:p w14:paraId="528312F6" w14:textId="76DFE081" w:rsidR="00E36E4B" w:rsidRPr="007522E1" w:rsidRDefault="7BEB389B" w:rsidP="003C5519">
            <w:pPr>
              <w:spacing w:after="0" w:line="240" w:lineRule="auto"/>
              <w:jc w:val="right"/>
              <w:rPr>
                <w:rFonts w:eastAsia="Times New Roman" w:cs="Times New Roman"/>
                <w:b/>
                <w:bCs/>
                <w:color w:val="FFFFFF" w:themeColor="background1"/>
                <w:sz w:val="18"/>
                <w:szCs w:val="18"/>
                <w:lang w:eastAsia="pt-BR"/>
              </w:rPr>
            </w:pPr>
            <w:r w:rsidRPr="007522E1">
              <w:rPr>
                <w:rFonts w:eastAsia="Times New Roman" w:cs="Times New Roman"/>
                <w:b/>
                <w:bCs/>
                <w:color w:val="FFFFFF" w:themeColor="background1"/>
                <w:sz w:val="18"/>
                <w:szCs w:val="18"/>
                <w:lang w:eastAsia="pt-BR"/>
              </w:rPr>
              <w:t>6</w:t>
            </w:r>
            <w:r w:rsidR="3C0A394B" w:rsidRPr="007522E1">
              <w:rPr>
                <w:rFonts w:eastAsia="Times New Roman" w:cs="Times New Roman"/>
                <w:b/>
                <w:bCs/>
                <w:color w:val="FFFFFF" w:themeColor="background1"/>
                <w:sz w:val="18"/>
                <w:szCs w:val="18"/>
                <w:lang w:eastAsia="pt-BR"/>
              </w:rPr>
              <w:t>0</w:t>
            </w:r>
            <w:r w:rsidRPr="007522E1">
              <w:rPr>
                <w:rFonts w:eastAsia="Times New Roman" w:cs="Times New Roman"/>
                <w:b/>
                <w:bCs/>
                <w:color w:val="FFFFFF" w:themeColor="background1"/>
                <w:sz w:val="18"/>
                <w:szCs w:val="18"/>
                <w:lang w:eastAsia="pt-BR"/>
              </w:rPr>
              <w:t>%</w:t>
            </w:r>
          </w:p>
        </w:tc>
        <w:tc>
          <w:tcPr>
            <w:tcW w:w="0" w:type="auto"/>
            <w:tcBorders>
              <w:bottom w:val="nil"/>
            </w:tcBorders>
            <w:shd w:val="clear" w:color="auto" w:fill="7F7F7F" w:themeFill="text1" w:themeFillTint="80"/>
          </w:tcPr>
          <w:p w14:paraId="097B409C" w14:textId="5AF57AE5" w:rsidR="00E36E4B" w:rsidRPr="007522E1" w:rsidRDefault="23B848E4" w:rsidP="003C5519">
            <w:pPr>
              <w:spacing w:after="0" w:line="240" w:lineRule="auto"/>
              <w:jc w:val="right"/>
              <w:rPr>
                <w:rFonts w:eastAsia="Times New Roman" w:cs="Times New Roman"/>
                <w:b/>
                <w:bCs/>
                <w:color w:val="FFFFFF" w:themeColor="background1"/>
                <w:sz w:val="18"/>
                <w:szCs w:val="18"/>
                <w:lang w:eastAsia="pt-BR"/>
              </w:rPr>
            </w:pPr>
            <w:r w:rsidRPr="007522E1">
              <w:rPr>
                <w:rFonts w:eastAsia="Times New Roman" w:cs="Times New Roman"/>
                <w:b/>
                <w:bCs/>
                <w:color w:val="FFFFFF" w:themeColor="background1"/>
                <w:sz w:val="18"/>
                <w:szCs w:val="18"/>
                <w:lang w:eastAsia="pt-BR"/>
              </w:rPr>
              <w:t>38</w:t>
            </w:r>
            <w:r w:rsidR="7BEB389B" w:rsidRPr="007522E1">
              <w:rPr>
                <w:rFonts w:eastAsia="Times New Roman" w:cs="Times New Roman"/>
                <w:b/>
                <w:bCs/>
                <w:color w:val="FFFFFF" w:themeColor="background1"/>
                <w:sz w:val="18"/>
                <w:szCs w:val="18"/>
                <w:lang w:eastAsia="pt-BR"/>
              </w:rPr>
              <w:t>%</w:t>
            </w:r>
          </w:p>
        </w:tc>
      </w:tr>
      <w:tr w:rsidR="00E36E4B" w:rsidRPr="00102756" w14:paraId="2C2E27E5" w14:textId="77777777" w:rsidTr="007522E1">
        <w:trPr>
          <w:trHeight w:val="20"/>
          <w:jc w:val="center"/>
        </w:trPr>
        <w:tc>
          <w:tcPr>
            <w:tcW w:w="0" w:type="auto"/>
            <w:gridSpan w:val="4"/>
            <w:tcBorders>
              <w:top w:val="nil"/>
              <w:left w:val="nil"/>
              <w:bottom w:val="nil"/>
              <w:right w:val="nil"/>
            </w:tcBorders>
            <w:shd w:val="clear" w:color="auto" w:fill="auto"/>
            <w:vAlign w:val="center"/>
          </w:tcPr>
          <w:p w14:paraId="794A2303" w14:textId="57A7C388" w:rsidR="00E36E4B" w:rsidRPr="00353D69" w:rsidRDefault="00F13AC0" w:rsidP="00F13AC0">
            <w:pPr>
              <w:spacing w:after="0" w:line="240" w:lineRule="auto"/>
              <w:rPr>
                <w:rFonts w:eastAsia="Times New Roman" w:cs="Times New Roman"/>
                <w:i/>
                <w:color w:val="000000" w:themeColor="text1"/>
                <w:sz w:val="16"/>
                <w:szCs w:val="16"/>
                <w:lang w:eastAsia="pt-BR"/>
              </w:rPr>
            </w:pPr>
            <w:r w:rsidRPr="00353D69">
              <w:rPr>
                <w:b/>
                <w:i/>
                <w:color w:val="000000" w:themeColor="text1"/>
                <w:sz w:val="16"/>
                <w:szCs w:val="16"/>
              </w:rPr>
              <w:t>Fonte e Elaboração</w:t>
            </w:r>
            <w:r w:rsidRPr="00353D69">
              <w:rPr>
                <w:i/>
                <w:color w:val="000000" w:themeColor="text1"/>
                <w:sz w:val="16"/>
                <w:szCs w:val="16"/>
              </w:rPr>
              <w:t>: FNDE</w:t>
            </w:r>
          </w:p>
        </w:tc>
      </w:tr>
    </w:tbl>
    <w:p w14:paraId="435C0EA5" w14:textId="7DBFDEAC" w:rsidR="71B7BA98" w:rsidRPr="00353D69" w:rsidRDefault="71B7BA98" w:rsidP="71B7BA98">
      <w:pPr>
        <w:pStyle w:val="Corpodetexto"/>
        <w:spacing w:line="240" w:lineRule="auto"/>
        <w:ind w:firstLine="1418"/>
        <w:jc w:val="both"/>
        <w:rPr>
          <w:rFonts w:ascii="Calibri" w:eastAsia="Calibri" w:hAnsi="Calibri" w:cs="Calibri"/>
          <w:color w:val="000000" w:themeColor="text1"/>
          <w:sz w:val="24"/>
          <w:szCs w:val="24"/>
        </w:rPr>
      </w:pPr>
    </w:p>
    <w:p w14:paraId="3DE106BF" w14:textId="24951060" w:rsidR="2E2C07D5" w:rsidRPr="00353D69" w:rsidRDefault="2E2C07D5" w:rsidP="71B7BA98">
      <w:pPr>
        <w:pStyle w:val="Corpodetexto"/>
        <w:spacing w:line="240" w:lineRule="auto"/>
        <w:ind w:firstLine="1418"/>
        <w:jc w:val="both"/>
        <w:rPr>
          <w:rFonts w:ascii="Calibri" w:eastAsia="Calibri" w:hAnsi="Calibri" w:cs="Calibri"/>
          <w:color w:val="000000" w:themeColor="text1"/>
          <w:sz w:val="24"/>
          <w:szCs w:val="24"/>
        </w:rPr>
      </w:pPr>
      <w:r w:rsidRPr="00353D69">
        <w:rPr>
          <w:rFonts w:ascii="Calibri" w:eastAsia="Calibri" w:hAnsi="Calibri" w:cs="Calibri"/>
          <w:color w:val="000000" w:themeColor="text1"/>
          <w:sz w:val="24"/>
          <w:szCs w:val="24"/>
        </w:rPr>
        <w:t>No exercício de 2020 o desembolso realizado ficou bem abaixo do estimado com o reforço da pandemia decretada no país, causando grande frustração no quantitativo de inscrições no FIES.</w:t>
      </w:r>
    </w:p>
    <w:p w14:paraId="7076D990" w14:textId="132FF5B0" w:rsidR="004252C6" w:rsidRPr="00353D69" w:rsidRDefault="00716CD2" w:rsidP="71B7BA98">
      <w:pPr>
        <w:pStyle w:val="Corpodetexto"/>
        <w:spacing w:line="240" w:lineRule="auto"/>
        <w:ind w:firstLine="1418"/>
        <w:jc w:val="both"/>
        <w:rPr>
          <w:color w:val="000000" w:themeColor="text1"/>
          <w:sz w:val="24"/>
          <w:szCs w:val="24"/>
        </w:rPr>
      </w:pPr>
      <w:r w:rsidRPr="00353D69">
        <w:rPr>
          <w:color w:val="000000" w:themeColor="text1"/>
          <w:sz w:val="24"/>
          <w:szCs w:val="24"/>
        </w:rPr>
        <w:t xml:space="preserve">O impacto primário total do Fies antigo é composto pelas despesas administrativas, pelos </w:t>
      </w:r>
      <w:proofErr w:type="gramStart"/>
      <w:r w:rsidRPr="00353D69">
        <w:rPr>
          <w:color w:val="000000" w:themeColor="text1"/>
          <w:sz w:val="24"/>
          <w:szCs w:val="24"/>
        </w:rPr>
        <w:t>aportes ao fundo garantidor</w:t>
      </w:r>
      <w:proofErr w:type="gramEnd"/>
      <w:r w:rsidRPr="00353D69">
        <w:rPr>
          <w:color w:val="000000" w:themeColor="text1"/>
          <w:sz w:val="24"/>
          <w:szCs w:val="24"/>
        </w:rPr>
        <w:t xml:space="preserve"> e pelo resultado primário do programa.</w:t>
      </w:r>
      <w:r w:rsidR="00A4428E" w:rsidRPr="00353D69">
        <w:rPr>
          <w:color w:val="000000" w:themeColor="text1"/>
          <w:sz w:val="24"/>
          <w:szCs w:val="24"/>
        </w:rPr>
        <w:t xml:space="preserve"> A despesa administrativa resulta do produto entre a remuneração paga ao agente financeiro – de R$ 25 por contrato em utilização ou carência e R$ 35 por contrato em amortização – pela projeção do número de contratos em cada fase, realizada a partir dos </w:t>
      </w:r>
      <w:proofErr w:type="spellStart"/>
      <w:r w:rsidR="00A4428E" w:rsidRPr="00353D69">
        <w:rPr>
          <w:color w:val="000000" w:themeColor="text1"/>
          <w:sz w:val="24"/>
          <w:szCs w:val="24"/>
        </w:rPr>
        <w:t>microdados</w:t>
      </w:r>
      <w:proofErr w:type="spellEnd"/>
      <w:r w:rsidR="00A4428E" w:rsidRPr="00353D69">
        <w:rPr>
          <w:color w:val="000000" w:themeColor="text1"/>
          <w:sz w:val="24"/>
          <w:szCs w:val="24"/>
        </w:rPr>
        <w:t xml:space="preserve"> do </w:t>
      </w:r>
      <w:proofErr w:type="spellStart"/>
      <w:proofErr w:type="gramStart"/>
      <w:r w:rsidR="00A4428E" w:rsidRPr="00353D69">
        <w:rPr>
          <w:color w:val="000000" w:themeColor="text1"/>
          <w:sz w:val="24"/>
          <w:szCs w:val="24"/>
        </w:rPr>
        <w:t>SisFIES</w:t>
      </w:r>
      <w:proofErr w:type="spellEnd"/>
      <w:proofErr w:type="gramEnd"/>
      <w:r w:rsidR="00A4428E" w:rsidRPr="00353D69">
        <w:rPr>
          <w:color w:val="000000" w:themeColor="text1"/>
          <w:sz w:val="24"/>
          <w:szCs w:val="24"/>
        </w:rPr>
        <w:t>.</w:t>
      </w:r>
      <w:r w:rsidR="006938CD" w:rsidRPr="00353D69">
        <w:rPr>
          <w:color w:val="000000" w:themeColor="text1"/>
          <w:sz w:val="24"/>
          <w:szCs w:val="24"/>
        </w:rPr>
        <w:t xml:space="preserve"> </w:t>
      </w:r>
      <w:r w:rsidR="00D7492B" w:rsidRPr="00353D69">
        <w:rPr>
          <w:color w:val="000000" w:themeColor="text1"/>
          <w:sz w:val="24"/>
          <w:szCs w:val="24"/>
        </w:rPr>
        <w:t>A</w:t>
      </w:r>
      <w:r w:rsidR="006938CD" w:rsidRPr="00353D69">
        <w:rPr>
          <w:color w:val="000000" w:themeColor="text1"/>
          <w:sz w:val="24"/>
          <w:szCs w:val="24"/>
        </w:rPr>
        <w:t xml:space="preserve"> </w:t>
      </w:r>
      <w:r w:rsidRPr="00353D69">
        <w:rPr>
          <w:color w:val="000000" w:themeColor="text1"/>
          <w:sz w:val="24"/>
          <w:szCs w:val="24"/>
        </w:rPr>
        <w:fldChar w:fldCharType="begin"/>
      </w:r>
      <w:r w:rsidRPr="00353D69">
        <w:rPr>
          <w:color w:val="000000" w:themeColor="text1"/>
          <w:sz w:val="24"/>
          <w:szCs w:val="24"/>
        </w:rPr>
        <w:instrText xml:space="preserve"> REF _Ref35253031  \* MERGEFORMAT </w:instrText>
      </w:r>
      <w:r w:rsidRPr="00353D69">
        <w:rPr>
          <w:color w:val="000000" w:themeColor="text1"/>
          <w:sz w:val="24"/>
          <w:szCs w:val="24"/>
        </w:rPr>
        <w:fldChar w:fldCharType="separate"/>
      </w:r>
      <w:r w:rsidR="00304F5F" w:rsidRPr="00304F5F">
        <w:rPr>
          <w:color w:val="000000" w:themeColor="text1"/>
          <w:sz w:val="24"/>
          <w:szCs w:val="24"/>
        </w:rPr>
        <w:t>Tabela 76</w:t>
      </w:r>
      <w:r w:rsidRPr="00353D69">
        <w:rPr>
          <w:color w:val="000000" w:themeColor="text1"/>
          <w:sz w:val="24"/>
          <w:szCs w:val="24"/>
        </w:rPr>
        <w:fldChar w:fldCharType="end"/>
      </w:r>
      <w:r w:rsidR="006938CD" w:rsidRPr="00353D69">
        <w:rPr>
          <w:color w:val="000000" w:themeColor="text1"/>
          <w:sz w:val="24"/>
          <w:szCs w:val="24"/>
        </w:rPr>
        <w:t xml:space="preserve"> apresentada </w:t>
      </w:r>
      <w:proofErr w:type="gramStart"/>
      <w:r w:rsidR="006938CD" w:rsidRPr="00353D69">
        <w:rPr>
          <w:color w:val="000000" w:themeColor="text1"/>
          <w:sz w:val="24"/>
          <w:szCs w:val="24"/>
        </w:rPr>
        <w:t>as</w:t>
      </w:r>
      <w:proofErr w:type="gramEnd"/>
      <w:r w:rsidR="006938CD" w:rsidRPr="00353D69">
        <w:rPr>
          <w:color w:val="000000" w:themeColor="text1"/>
          <w:sz w:val="24"/>
          <w:szCs w:val="24"/>
        </w:rPr>
        <w:t xml:space="preserve"> estimativas do impacto primário associados ao F</w:t>
      </w:r>
      <w:r w:rsidR="00A358B7" w:rsidRPr="00353D69">
        <w:rPr>
          <w:color w:val="000000" w:themeColor="text1"/>
          <w:sz w:val="24"/>
          <w:szCs w:val="24"/>
        </w:rPr>
        <w:t>ies</w:t>
      </w:r>
      <w:r w:rsidR="006938CD" w:rsidRPr="00353D69">
        <w:rPr>
          <w:color w:val="000000" w:themeColor="text1"/>
          <w:sz w:val="24"/>
          <w:szCs w:val="24"/>
        </w:rPr>
        <w:t>.</w:t>
      </w:r>
    </w:p>
    <w:p w14:paraId="769DF610" w14:textId="24FC5D40" w:rsidR="00DF18A0" w:rsidRPr="00353D69" w:rsidRDefault="00DF18A0" w:rsidP="71B7BA98">
      <w:pPr>
        <w:pStyle w:val="Legenda"/>
        <w:spacing w:before="240" w:after="120"/>
        <w:jc w:val="center"/>
        <w:rPr>
          <w:rFonts w:asciiTheme="minorHAnsi" w:hAnsiTheme="minorHAnsi"/>
          <w:i w:val="0"/>
          <w:color w:val="000000" w:themeColor="text1"/>
          <w:sz w:val="22"/>
          <w:szCs w:val="22"/>
        </w:rPr>
      </w:pPr>
      <w:bookmarkStart w:id="469" w:name="_Ref35253031"/>
      <w:bookmarkStart w:id="470" w:name="_Toc69121422"/>
      <w:r w:rsidRPr="00353D69">
        <w:rPr>
          <w:rFonts w:asciiTheme="minorHAnsi" w:hAnsiTheme="minorHAnsi"/>
          <w:i w:val="0"/>
          <w:color w:val="000000" w:themeColor="text1"/>
          <w:sz w:val="22"/>
          <w:szCs w:val="22"/>
        </w:rPr>
        <w:t xml:space="preserve">Tabela </w:t>
      </w:r>
      <w:r w:rsidRPr="00353D69">
        <w:rPr>
          <w:rFonts w:asciiTheme="minorHAnsi" w:hAnsiTheme="minorHAnsi"/>
          <w:i w:val="0"/>
          <w:color w:val="000000" w:themeColor="text1"/>
          <w:sz w:val="22"/>
          <w:szCs w:val="22"/>
        </w:rPr>
        <w:fldChar w:fldCharType="begin"/>
      </w:r>
      <w:r w:rsidRPr="71B7BA98">
        <w:rPr>
          <w:rFonts w:asciiTheme="minorHAnsi" w:hAnsiTheme="minorHAnsi"/>
          <w:i w:val="0"/>
          <w:iCs w:val="0"/>
          <w:color w:val="auto"/>
          <w:sz w:val="22"/>
          <w:szCs w:val="22"/>
        </w:rPr>
        <w:instrText xml:space="preserve"> SEQ Tabela \* ARABIC </w:instrText>
      </w:r>
      <w:r w:rsidRPr="00353D69">
        <w:rPr>
          <w:rFonts w:asciiTheme="minorHAnsi" w:hAnsiTheme="minorHAnsi"/>
          <w:i w:val="0"/>
          <w:color w:val="000000" w:themeColor="text1"/>
          <w:sz w:val="22"/>
          <w:szCs w:val="22"/>
        </w:rPr>
        <w:fldChar w:fldCharType="separate"/>
      </w:r>
      <w:r w:rsidR="00304F5F">
        <w:rPr>
          <w:rFonts w:asciiTheme="minorHAnsi" w:hAnsiTheme="minorHAnsi"/>
          <w:i w:val="0"/>
          <w:iCs w:val="0"/>
          <w:noProof/>
          <w:color w:val="auto"/>
          <w:sz w:val="22"/>
          <w:szCs w:val="22"/>
        </w:rPr>
        <w:t>76</w:t>
      </w:r>
      <w:r w:rsidRPr="00353D69">
        <w:rPr>
          <w:rFonts w:asciiTheme="minorHAnsi" w:hAnsiTheme="minorHAnsi"/>
          <w:i w:val="0"/>
          <w:color w:val="000000" w:themeColor="text1"/>
          <w:sz w:val="22"/>
          <w:szCs w:val="22"/>
        </w:rPr>
        <w:fldChar w:fldCharType="end"/>
      </w:r>
      <w:bookmarkEnd w:id="469"/>
      <w:r w:rsidR="00AA4AC8" w:rsidRPr="00353D69">
        <w:rPr>
          <w:rFonts w:asciiTheme="minorHAnsi" w:hAnsiTheme="minorHAnsi"/>
          <w:i w:val="0"/>
          <w:color w:val="000000" w:themeColor="text1"/>
          <w:sz w:val="22"/>
          <w:szCs w:val="22"/>
        </w:rPr>
        <w:t xml:space="preserve"> </w:t>
      </w:r>
      <w:r w:rsidR="00187928" w:rsidRPr="00353D69">
        <w:rPr>
          <w:rFonts w:asciiTheme="minorHAnsi" w:hAnsiTheme="minorHAnsi"/>
          <w:i w:val="0"/>
          <w:color w:val="000000" w:themeColor="text1"/>
          <w:sz w:val="22"/>
          <w:szCs w:val="22"/>
        </w:rPr>
        <w:t>-</w:t>
      </w:r>
      <w:r w:rsidRPr="00353D69">
        <w:rPr>
          <w:rFonts w:asciiTheme="minorHAnsi" w:hAnsiTheme="minorHAnsi"/>
          <w:i w:val="0"/>
          <w:color w:val="000000" w:themeColor="text1"/>
          <w:sz w:val="22"/>
          <w:szCs w:val="22"/>
        </w:rPr>
        <w:t xml:space="preserve"> </w:t>
      </w:r>
      <w:proofErr w:type="gramStart"/>
      <w:r w:rsidR="00187928" w:rsidRPr="00353D69">
        <w:rPr>
          <w:rFonts w:asciiTheme="minorHAnsi" w:hAnsiTheme="minorHAnsi"/>
          <w:i w:val="0"/>
          <w:color w:val="000000" w:themeColor="text1"/>
          <w:sz w:val="22"/>
          <w:szCs w:val="22"/>
        </w:rPr>
        <w:t xml:space="preserve">Estimativa de </w:t>
      </w:r>
      <w:r w:rsidR="00AA4AC8" w:rsidRPr="00353D69">
        <w:rPr>
          <w:rFonts w:asciiTheme="minorHAnsi" w:hAnsiTheme="minorHAnsi"/>
          <w:i w:val="0"/>
          <w:color w:val="000000" w:themeColor="text1"/>
          <w:sz w:val="22"/>
          <w:szCs w:val="22"/>
        </w:rPr>
        <w:t>impacto primário</w:t>
      </w:r>
      <w:r w:rsidR="00812286" w:rsidRPr="00353D69">
        <w:rPr>
          <w:rFonts w:asciiTheme="minorHAnsi" w:hAnsiTheme="minorHAnsi"/>
          <w:i w:val="0"/>
          <w:color w:val="000000" w:themeColor="text1"/>
          <w:sz w:val="22"/>
          <w:szCs w:val="22"/>
        </w:rPr>
        <w:t>, segundo programa, por exercício</w:t>
      </w:r>
      <w:bookmarkEnd w:id="470"/>
      <w:proofErr w:type="gramEnd"/>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52"/>
        <w:gridCol w:w="1843"/>
        <w:gridCol w:w="691"/>
        <w:gridCol w:w="691"/>
        <w:gridCol w:w="691"/>
      </w:tblGrid>
      <w:tr w:rsidR="00A5364F" w:rsidRPr="00084CA6" w14:paraId="700502AA" w14:textId="77777777" w:rsidTr="003D1098">
        <w:trPr>
          <w:trHeight w:val="20"/>
          <w:tblHeader/>
          <w:jc w:val="center"/>
        </w:trPr>
        <w:tc>
          <w:tcPr>
            <w:tcW w:w="0" w:type="auto"/>
            <w:gridSpan w:val="5"/>
            <w:tcBorders>
              <w:top w:val="nil"/>
              <w:left w:val="nil"/>
              <w:bottom w:val="single" w:sz="4" w:space="0" w:color="BFBFBF" w:themeColor="background1" w:themeShade="BF"/>
              <w:right w:val="nil"/>
            </w:tcBorders>
            <w:shd w:val="clear" w:color="auto" w:fill="auto"/>
            <w:vAlign w:val="center"/>
          </w:tcPr>
          <w:p w14:paraId="7CB2BCE1" w14:textId="733F2619" w:rsidR="00A5364F" w:rsidRPr="00353D69" w:rsidRDefault="007413C7" w:rsidP="00930226">
            <w:pPr>
              <w:spacing w:after="0" w:line="240" w:lineRule="auto"/>
              <w:jc w:val="right"/>
              <w:rPr>
                <w:rFonts w:eastAsia="Times New Roman" w:cs="Times New Roman"/>
                <w:b/>
                <w:color w:val="000000" w:themeColor="text1"/>
                <w:sz w:val="16"/>
                <w:szCs w:val="16"/>
                <w:lang w:eastAsia="pt-BR"/>
              </w:rPr>
            </w:pPr>
            <w:r w:rsidRPr="00353D69">
              <w:rPr>
                <w:i/>
                <w:color w:val="000000" w:themeColor="text1"/>
                <w:sz w:val="16"/>
                <w:szCs w:val="16"/>
              </w:rPr>
              <w:t xml:space="preserve">Em </w:t>
            </w:r>
            <w:r w:rsidR="00930226">
              <w:rPr>
                <w:i/>
                <w:color w:val="000000" w:themeColor="text1"/>
                <w:sz w:val="16"/>
                <w:szCs w:val="16"/>
              </w:rPr>
              <w:t xml:space="preserve">R$ </w:t>
            </w:r>
            <w:r w:rsidRPr="00353D69">
              <w:rPr>
                <w:i/>
                <w:color w:val="000000" w:themeColor="text1"/>
                <w:sz w:val="16"/>
                <w:szCs w:val="16"/>
              </w:rPr>
              <w:t>milhões</w:t>
            </w:r>
          </w:p>
        </w:tc>
      </w:tr>
      <w:tr w:rsidR="00F5104C" w:rsidRPr="00F60800" w14:paraId="4DACC03F" w14:textId="77777777" w:rsidTr="003D1098">
        <w:trPr>
          <w:trHeight w:val="20"/>
          <w:tblHeader/>
          <w:jc w:val="center"/>
        </w:trPr>
        <w:tc>
          <w:tcPr>
            <w:tcW w:w="0" w:type="auto"/>
            <w:tcBorders>
              <w:top w:val="single" w:sz="4" w:space="0" w:color="BFBFBF" w:themeColor="background1" w:themeShade="BF"/>
            </w:tcBorders>
            <w:shd w:val="clear" w:color="auto" w:fill="404040" w:themeFill="text1" w:themeFillTint="BF"/>
            <w:vAlign w:val="center"/>
          </w:tcPr>
          <w:p w14:paraId="59279B80" w14:textId="77777777" w:rsidR="00F5104C" w:rsidRPr="00404A24" w:rsidRDefault="00F5104C" w:rsidP="003D1098">
            <w:pPr>
              <w:spacing w:after="0" w:line="240" w:lineRule="auto"/>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Programa</w:t>
            </w:r>
          </w:p>
        </w:tc>
        <w:tc>
          <w:tcPr>
            <w:tcW w:w="0" w:type="auto"/>
            <w:tcBorders>
              <w:top w:val="single" w:sz="4" w:space="0" w:color="BFBFBF" w:themeColor="background1" w:themeShade="BF"/>
            </w:tcBorders>
            <w:shd w:val="clear" w:color="auto" w:fill="404040" w:themeFill="text1" w:themeFillTint="BF"/>
            <w:vAlign w:val="center"/>
          </w:tcPr>
          <w:p w14:paraId="5F8557A3" w14:textId="77777777" w:rsidR="00F5104C" w:rsidRPr="00404A24" w:rsidRDefault="00F5104C" w:rsidP="003D1098">
            <w:pPr>
              <w:spacing w:after="0" w:line="240" w:lineRule="auto"/>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Despesa</w:t>
            </w:r>
          </w:p>
        </w:tc>
        <w:tc>
          <w:tcPr>
            <w:tcW w:w="0" w:type="auto"/>
            <w:tcBorders>
              <w:top w:val="single" w:sz="4" w:space="0" w:color="BFBFBF" w:themeColor="background1" w:themeShade="BF"/>
            </w:tcBorders>
            <w:shd w:val="clear" w:color="auto" w:fill="404040" w:themeFill="text1" w:themeFillTint="BF"/>
            <w:vAlign w:val="center"/>
          </w:tcPr>
          <w:p w14:paraId="5D0402BE" w14:textId="5D9C939E" w:rsidR="00F5104C" w:rsidRPr="00404A24" w:rsidRDefault="375F111E" w:rsidP="003C5519">
            <w:pPr>
              <w:spacing w:after="0" w:line="240" w:lineRule="auto"/>
              <w:jc w:val="center"/>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202</w:t>
            </w:r>
            <w:r w:rsidR="54CBBFBE" w:rsidRPr="00404A24">
              <w:rPr>
                <w:rFonts w:eastAsia="Times New Roman" w:cs="Times New Roman"/>
                <w:b/>
                <w:color w:val="FFFFFF" w:themeColor="background1"/>
                <w:sz w:val="20"/>
                <w:szCs w:val="20"/>
                <w:lang w:eastAsia="pt-BR"/>
              </w:rPr>
              <w:t>1</w:t>
            </w:r>
          </w:p>
        </w:tc>
        <w:tc>
          <w:tcPr>
            <w:tcW w:w="0" w:type="auto"/>
            <w:tcBorders>
              <w:top w:val="single" w:sz="4" w:space="0" w:color="BFBFBF" w:themeColor="background1" w:themeShade="BF"/>
            </w:tcBorders>
            <w:shd w:val="clear" w:color="auto" w:fill="404040" w:themeFill="text1" w:themeFillTint="BF"/>
            <w:vAlign w:val="center"/>
          </w:tcPr>
          <w:p w14:paraId="7DEA291B" w14:textId="60B62298" w:rsidR="00F5104C" w:rsidRPr="00404A24" w:rsidRDefault="375F111E" w:rsidP="003C5519">
            <w:pPr>
              <w:spacing w:after="0" w:line="240" w:lineRule="auto"/>
              <w:jc w:val="center"/>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202</w:t>
            </w:r>
            <w:r w:rsidR="02CE61E5" w:rsidRPr="00404A24">
              <w:rPr>
                <w:rFonts w:eastAsia="Times New Roman" w:cs="Times New Roman"/>
                <w:b/>
                <w:color w:val="FFFFFF" w:themeColor="background1"/>
                <w:sz w:val="20"/>
                <w:szCs w:val="20"/>
                <w:lang w:eastAsia="pt-BR"/>
              </w:rPr>
              <w:t>2</w:t>
            </w:r>
          </w:p>
        </w:tc>
        <w:tc>
          <w:tcPr>
            <w:tcW w:w="0" w:type="auto"/>
            <w:tcBorders>
              <w:top w:val="single" w:sz="4" w:space="0" w:color="BFBFBF" w:themeColor="background1" w:themeShade="BF"/>
            </w:tcBorders>
            <w:shd w:val="clear" w:color="auto" w:fill="404040" w:themeFill="text1" w:themeFillTint="BF"/>
            <w:vAlign w:val="center"/>
          </w:tcPr>
          <w:p w14:paraId="1B37FB34" w14:textId="6BC95259" w:rsidR="00F5104C" w:rsidRPr="00404A24" w:rsidRDefault="375F111E" w:rsidP="003C5519">
            <w:pPr>
              <w:spacing w:after="0" w:line="240" w:lineRule="auto"/>
              <w:jc w:val="center"/>
              <w:rPr>
                <w:rFonts w:eastAsia="Times New Roman" w:cs="Times New Roman"/>
                <w:b/>
                <w:color w:val="FFFFFF" w:themeColor="background1"/>
                <w:sz w:val="20"/>
                <w:szCs w:val="20"/>
                <w:lang w:eastAsia="pt-BR"/>
              </w:rPr>
            </w:pPr>
            <w:r w:rsidRPr="00404A24">
              <w:rPr>
                <w:rFonts w:eastAsia="Times New Roman" w:cs="Times New Roman"/>
                <w:b/>
                <w:color w:val="FFFFFF" w:themeColor="background1"/>
                <w:sz w:val="20"/>
                <w:szCs w:val="20"/>
                <w:lang w:eastAsia="pt-BR"/>
              </w:rPr>
              <w:t>202</w:t>
            </w:r>
            <w:r w:rsidR="4A0092E8" w:rsidRPr="00404A24">
              <w:rPr>
                <w:rFonts w:eastAsia="Times New Roman" w:cs="Times New Roman"/>
                <w:b/>
                <w:color w:val="FFFFFF" w:themeColor="background1"/>
                <w:sz w:val="20"/>
                <w:szCs w:val="20"/>
                <w:lang w:eastAsia="pt-BR"/>
              </w:rPr>
              <w:t>3</w:t>
            </w:r>
          </w:p>
        </w:tc>
      </w:tr>
      <w:tr w:rsidR="00F5104C" w:rsidRPr="00102756" w14:paraId="29A97842" w14:textId="77777777" w:rsidTr="003D1098">
        <w:trPr>
          <w:trHeight w:val="20"/>
          <w:jc w:val="center"/>
        </w:trPr>
        <w:tc>
          <w:tcPr>
            <w:tcW w:w="0" w:type="auto"/>
            <w:shd w:val="clear" w:color="auto" w:fill="F2F2F2" w:themeFill="background1" w:themeFillShade="F2"/>
            <w:vAlign w:val="center"/>
          </w:tcPr>
          <w:p w14:paraId="7758203A" w14:textId="77777777" w:rsidR="00F5104C" w:rsidRPr="00353D69" w:rsidRDefault="00F5104C" w:rsidP="003D109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Fies antigo</w:t>
            </w:r>
          </w:p>
        </w:tc>
        <w:tc>
          <w:tcPr>
            <w:tcW w:w="0" w:type="auto"/>
            <w:shd w:val="clear" w:color="auto" w:fill="F2F2F2" w:themeFill="background1" w:themeFillShade="F2"/>
            <w:vAlign w:val="center"/>
          </w:tcPr>
          <w:p w14:paraId="0AD94E21" w14:textId="77777777" w:rsidR="00F5104C" w:rsidRPr="00353D69" w:rsidRDefault="00F5104C" w:rsidP="003D109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Despesa administrativa</w:t>
            </w:r>
          </w:p>
        </w:tc>
        <w:tc>
          <w:tcPr>
            <w:tcW w:w="0" w:type="auto"/>
            <w:shd w:val="clear" w:color="auto" w:fill="F2F2F2" w:themeFill="background1" w:themeFillShade="F2"/>
            <w:vAlign w:val="center"/>
          </w:tcPr>
          <w:p w14:paraId="35258B4C" w14:textId="02F20988" w:rsidR="00F5104C" w:rsidRPr="00353D69" w:rsidRDefault="360AF50E" w:rsidP="71B7BA98">
            <w:pPr>
              <w:spacing w:after="0" w:line="240" w:lineRule="auto"/>
              <w:jc w:val="right"/>
              <w:rPr>
                <w:color w:val="000000" w:themeColor="text1"/>
                <w:sz w:val="18"/>
                <w:szCs w:val="18"/>
                <w:lang w:eastAsia="pt-BR"/>
              </w:rPr>
            </w:pPr>
            <w:r w:rsidRPr="00353D69">
              <w:rPr>
                <w:color w:val="000000" w:themeColor="text1"/>
                <w:sz w:val="18"/>
                <w:szCs w:val="18"/>
              </w:rPr>
              <w:t>592,3</w:t>
            </w:r>
          </w:p>
        </w:tc>
        <w:tc>
          <w:tcPr>
            <w:tcW w:w="0" w:type="auto"/>
            <w:shd w:val="clear" w:color="auto" w:fill="F2F2F2" w:themeFill="background1" w:themeFillShade="F2"/>
            <w:vAlign w:val="center"/>
          </w:tcPr>
          <w:p w14:paraId="7C5DC357" w14:textId="72C0166F" w:rsidR="00F5104C" w:rsidRPr="00353D69" w:rsidRDefault="06ED7459"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613</w:t>
            </w:r>
            <w:r w:rsidR="375F111E" w:rsidRPr="00353D69">
              <w:rPr>
                <w:rFonts w:eastAsia="Times New Roman" w:cs="Times New Roman"/>
                <w:color w:val="000000" w:themeColor="text1"/>
                <w:sz w:val="18"/>
                <w:szCs w:val="18"/>
                <w:lang w:eastAsia="pt-BR"/>
              </w:rPr>
              <w:t>,</w:t>
            </w:r>
            <w:r w:rsidR="50C5E76C" w:rsidRPr="00353D69">
              <w:rPr>
                <w:rFonts w:eastAsia="Times New Roman" w:cs="Times New Roman"/>
                <w:color w:val="000000" w:themeColor="text1"/>
                <w:sz w:val="18"/>
                <w:szCs w:val="18"/>
                <w:lang w:eastAsia="pt-BR"/>
              </w:rPr>
              <w:t>9</w:t>
            </w:r>
          </w:p>
        </w:tc>
        <w:tc>
          <w:tcPr>
            <w:tcW w:w="0" w:type="auto"/>
            <w:shd w:val="clear" w:color="auto" w:fill="F2F2F2" w:themeFill="background1" w:themeFillShade="F2"/>
            <w:vAlign w:val="center"/>
          </w:tcPr>
          <w:p w14:paraId="341BCD8D" w14:textId="4436F887" w:rsidR="00F5104C" w:rsidRPr="00353D69" w:rsidRDefault="11C781DC"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617</w:t>
            </w:r>
            <w:r w:rsidR="375F111E" w:rsidRPr="00353D69">
              <w:rPr>
                <w:rFonts w:eastAsia="Times New Roman" w:cs="Times New Roman"/>
                <w:color w:val="000000" w:themeColor="text1"/>
                <w:sz w:val="18"/>
                <w:szCs w:val="18"/>
                <w:lang w:eastAsia="pt-BR"/>
              </w:rPr>
              <w:t>,</w:t>
            </w:r>
            <w:r w:rsidR="72827DF3" w:rsidRPr="00353D69">
              <w:rPr>
                <w:rFonts w:eastAsia="Times New Roman" w:cs="Times New Roman"/>
                <w:color w:val="000000" w:themeColor="text1"/>
                <w:sz w:val="18"/>
                <w:szCs w:val="18"/>
                <w:lang w:eastAsia="pt-BR"/>
              </w:rPr>
              <w:t>2</w:t>
            </w:r>
          </w:p>
        </w:tc>
      </w:tr>
      <w:tr w:rsidR="00F5104C" w:rsidRPr="00102756" w14:paraId="1315766A" w14:textId="77777777" w:rsidTr="003D1098">
        <w:trPr>
          <w:trHeight w:val="20"/>
          <w:jc w:val="center"/>
        </w:trPr>
        <w:tc>
          <w:tcPr>
            <w:tcW w:w="0" w:type="auto"/>
            <w:shd w:val="clear" w:color="auto" w:fill="auto"/>
            <w:vAlign w:val="center"/>
          </w:tcPr>
          <w:p w14:paraId="6577543D" w14:textId="77777777" w:rsidR="00F5104C" w:rsidRPr="00353D69" w:rsidRDefault="00F5104C" w:rsidP="003D109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Fies antigo</w:t>
            </w:r>
          </w:p>
        </w:tc>
        <w:tc>
          <w:tcPr>
            <w:tcW w:w="0" w:type="auto"/>
            <w:shd w:val="clear" w:color="auto" w:fill="auto"/>
            <w:vAlign w:val="center"/>
          </w:tcPr>
          <w:p w14:paraId="2DE7A751" w14:textId="2E8DBF71" w:rsidR="00F5104C" w:rsidRPr="00353D69" w:rsidRDefault="00F5104C" w:rsidP="003D109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Impacto primário</w:t>
            </w:r>
          </w:p>
        </w:tc>
        <w:tc>
          <w:tcPr>
            <w:tcW w:w="0" w:type="auto"/>
            <w:vAlign w:val="center"/>
          </w:tcPr>
          <w:p w14:paraId="4E8D9C6C" w14:textId="682B5440" w:rsidR="00F5104C" w:rsidRPr="00353D69" w:rsidRDefault="375F111E" w:rsidP="71B7BA98">
            <w:pPr>
              <w:spacing w:after="0" w:line="240" w:lineRule="auto"/>
              <w:jc w:val="right"/>
              <w:rPr>
                <w:color w:val="000000" w:themeColor="text1"/>
                <w:sz w:val="18"/>
                <w:szCs w:val="18"/>
                <w:lang w:eastAsia="pt-BR"/>
              </w:rPr>
            </w:pPr>
            <w:r w:rsidRPr="00353D69">
              <w:rPr>
                <w:color w:val="000000" w:themeColor="text1"/>
                <w:sz w:val="18"/>
                <w:szCs w:val="18"/>
              </w:rPr>
              <w:t>1.</w:t>
            </w:r>
            <w:r w:rsidR="343A12D7" w:rsidRPr="00353D69">
              <w:rPr>
                <w:color w:val="000000" w:themeColor="text1"/>
                <w:sz w:val="18"/>
                <w:szCs w:val="18"/>
              </w:rPr>
              <w:t>510</w:t>
            </w:r>
            <w:r w:rsidRPr="00353D69">
              <w:rPr>
                <w:color w:val="000000" w:themeColor="text1"/>
                <w:sz w:val="18"/>
                <w:szCs w:val="18"/>
              </w:rPr>
              <w:t>,</w:t>
            </w:r>
            <w:r w:rsidR="30E3CA98" w:rsidRPr="00353D69">
              <w:rPr>
                <w:color w:val="000000" w:themeColor="text1"/>
                <w:sz w:val="18"/>
                <w:szCs w:val="18"/>
              </w:rPr>
              <w:t>3</w:t>
            </w:r>
          </w:p>
        </w:tc>
        <w:tc>
          <w:tcPr>
            <w:tcW w:w="0" w:type="auto"/>
            <w:vAlign w:val="center"/>
          </w:tcPr>
          <w:p w14:paraId="29B6CA94" w14:textId="0FB874F2" w:rsidR="00F5104C" w:rsidRPr="00353D69" w:rsidRDefault="0F84A8B4"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1.392,7</w:t>
            </w:r>
          </w:p>
        </w:tc>
        <w:tc>
          <w:tcPr>
            <w:tcW w:w="0" w:type="auto"/>
            <w:vAlign w:val="center"/>
          </w:tcPr>
          <w:p w14:paraId="64866675" w14:textId="0A5E7490" w:rsidR="00F5104C" w:rsidRPr="00353D69" w:rsidRDefault="375F111E" w:rsidP="003C5519">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1.</w:t>
            </w:r>
            <w:r w:rsidR="2B1C3769" w:rsidRPr="00353D69">
              <w:rPr>
                <w:rFonts w:eastAsia="Times New Roman" w:cs="Times New Roman"/>
                <w:color w:val="000000" w:themeColor="text1"/>
                <w:sz w:val="18"/>
                <w:szCs w:val="18"/>
                <w:lang w:eastAsia="pt-BR"/>
              </w:rPr>
              <w:t>367</w:t>
            </w:r>
            <w:r w:rsidRPr="00353D69">
              <w:rPr>
                <w:rFonts w:eastAsia="Times New Roman" w:cs="Times New Roman"/>
                <w:color w:val="000000" w:themeColor="text1"/>
                <w:sz w:val="18"/>
                <w:szCs w:val="18"/>
                <w:lang w:eastAsia="pt-BR"/>
              </w:rPr>
              <w:t>,</w:t>
            </w:r>
            <w:r w:rsidR="2D923308" w:rsidRPr="00353D69">
              <w:rPr>
                <w:rFonts w:eastAsia="Times New Roman" w:cs="Times New Roman"/>
                <w:color w:val="000000" w:themeColor="text1"/>
                <w:sz w:val="18"/>
                <w:szCs w:val="18"/>
                <w:lang w:eastAsia="pt-BR"/>
              </w:rPr>
              <w:t>5</w:t>
            </w:r>
          </w:p>
        </w:tc>
      </w:tr>
      <w:tr w:rsidR="006B70FF" w:rsidRPr="00102756" w14:paraId="33329761" w14:textId="77777777" w:rsidTr="003D1098">
        <w:trPr>
          <w:trHeight w:val="20"/>
          <w:jc w:val="center"/>
        </w:trPr>
        <w:tc>
          <w:tcPr>
            <w:tcW w:w="0" w:type="auto"/>
            <w:tcBorders>
              <w:bottom w:val="single" w:sz="4" w:space="0" w:color="BFBFBF" w:themeColor="background1" w:themeShade="BF"/>
            </w:tcBorders>
            <w:shd w:val="clear" w:color="auto" w:fill="F2F2F2" w:themeFill="background1" w:themeFillShade="F2"/>
            <w:vAlign w:val="center"/>
          </w:tcPr>
          <w:p w14:paraId="47E9E300" w14:textId="77777777" w:rsidR="006B70FF" w:rsidRPr="00353D69" w:rsidRDefault="006B70FF" w:rsidP="003D109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Fies novo</w:t>
            </w:r>
          </w:p>
        </w:tc>
        <w:tc>
          <w:tcPr>
            <w:tcW w:w="0" w:type="auto"/>
            <w:tcBorders>
              <w:bottom w:val="single" w:sz="4" w:space="0" w:color="BFBFBF" w:themeColor="background1" w:themeShade="BF"/>
            </w:tcBorders>
            <w:shd w:val="clear" w:color="auto" w:fill="F2F2F2" w:themeFill="background1" w:themeFillShade="F2"/>
            <w:vAlign w:val="center"/>
          </w:tcPr>
          <w:p w14:paraId="72B664C4" w14:textId="77777777" w:rsidR="006B70FF" w:rsidRPr="00353D69" w:rsidRDefault="006B70FF" w:rsidP="003D1098">
            <w:pPr>
              <w:spacing w:after="0" w:line="240" w:lineRule="auto"/>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Aporte FG-</w:t>
            </w:r>
            <w:proofErr w:type="gramStart"/>
            <w:r w:rsidRPr="00353D69">
              <w:rPr>
                <w:rFonts w:eastAsia="Times New Roman" w:cs="Times New Roman"/>
                <w:color w:val="000000" w:themeColor="text1"/>
                <w:sz w:val="18"/>
                <w:szCs w:val="18"/>
                <w:lang w:eastAsia="pt-BR"/>
              </w:rPr>
              <w:t>Fies</w:t>
            </w:r>
            <w:proofErr w:type="gramEnd"/>
          </w:p>
        </w:tc>
        <w:tc>
          <w:tcPr>
            <w:tcW w:w="0" w:type="auto"/>
            <w:tcBorders>
              <w:bottom w:val="single" w:sz="4" w:space="0" w:color="BFBFBF" w:themeColor="background1" w:themeShade="BF"/>
            </w:tcBorders>
            <w:shd w:val="clear" w:color="auto" w:fill="F2F2F2" w:themeFill="background1" w:themeFillShade="F2"/>
          </w:tcPr>
          <w:p w14:paraId="5A44B760" w14:textId="77777777" w:rsidR="006B70FF" w:rsidRPr="00353D69" w:rsidRDefault="006B70FF" w:rsidP="00A07FD1">
            <w:pPr>
              <w:spacing w:after="0" w:line="240" w:lineRule="auto"/>
              <w:jc w:val="right"/>
              <w:rPr>
                <w:rFonts w:eastAsia="Times New Roman" w:cs="Times New Roman"/>
                <w:color w:val="000000" w:themeColor="text1"/>
                <w:sz w:val="18"/>
                <w:szCs w:val="18"/>
                <w:lang w:eastAsia="pt-BR"/>
              </w:rPr>
            </w:pPr>
            <w:r w:rsidRPr="00353D69">
              <w:rPr>
                <w:color w:val="000000" w:themeColor="text1"/>
                <w:sz w:val="18"/>
                <w:szCs w:val="18"/>
              </w:rPr>
              <w:t>500,0</w:t>
            </w:r>
          </w:p>
        </w:tc>
        <w:tc>
          <w:tcPr>
            <w:tcW w:w="0" w:type="auto"/>
            <w:tcBorders>
              <w:bottom w:val="single" w:sz="4" w:space="0" w:color="BFBFBF" w:themeColor="background1" w:themeShade="BF"/>
            </w:tcBorders>
            <w:shd w:val="clear" w:color="auto" w:fill="F2F2F2" w:themeFill="background1" w:themeFillShade="F2"/>
          </w:tcPr>
          <w:p w14:paraId="193BC79A" w14:textId="77777777" w:rsidR="006B70FF" w:rsidRPr="00353D69" w:rsidRDefault="006B70FF" w:rsidP="00A07FD1">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500,0</w:t>
            </w:r>
          </w:p>
        </w:tc>
        <w:tc>
          <w:tcPr>
            <w:tcW w:w="0" w:type="auto"/>
            <w:tcBorders>
              <w:bottom w:val="single" w:sz="4" w:space="0" w:color="BFBFBF" w:themeColor="background1" w:themeShade="BF"/>
            </w:tcBorders>
            <w:shd w:val="clear" w:color="auto" w:fill="F2F2F2" w:themeFill="background1" w:themeFillShade="F2"/>
          </w:tcPr>
          <w:p w14:paraId="25651DBD" w14:textId="77777777" w:rsidR="006B70FF" w:rsidRPr="00353D69" w:rsidRDefault="006B70FF" w:rsidP="00A07FD1">
            <w:pPr>
              <w:spacing w:after="0" w:line="240" w:lineRule="auto"/>
              <w:jc w:val="right"/>
              <w:rPr>
                <w:rFonts w:eastAsia="Times New Roman" w:cs="Times New Roman"/>
                <w:color w:val="000000" w:themeColor="text1"/>
                <w:sz w:val="18"/>
                <w:szCs w:val="18"/>
                <w:lang w:eastAsia="pt-BR"/>
              </w:rPr>
            </w:pPr>
            <w:r w:rsidRPr="00353D69">
              <w:rPr>
                <w:rFonts w:eastAsia="Times New Roman" w:cs="Times New Roman"/>
                <w:color w:val="000000" w:themeColor="text1"/>
                <w:sz w:val="18"/>
                <w:szCs w:val="18"/>
                <w:lang w:eastAsia="pt-BR"/>
              </w:rPr>
              <w:t>500,0</w:t>
            </w:r>
          </w:p>
        </w:tc>
      </w:tr>
      <w:tr w:rsidR="0031390C" w:rsidRPr="003D1098" w14:paraId="7BC8BFC6" w14:textId="77777777" w:rsidTr="003D1098">
        <w:trPr>
          <w:trHeight w:val="20"/>
          <w:jc w:val="center"/>
        </w:trPr>
        <w:tc>
          <w:tcPr>
            <w:tcW w:w="0" w:type="auto"/>
            <w:gridSpan w:val="2"/>
            <w:tcBorders>
              <w:bottom w:val="single" w:sz="4" w:space="0" w:color="BFBFBF" w:themeColor="background1" w:themeShade="BF"/>
            </w:tcBorders>
            <w:shd w:val="clear" w:color="auto" w:fill="7F7F7F" w:themeFill="text1" w:themeFillTint="80"/>
            <w:vAlign w:val="center"/>
          </w:tcPr>
          <w:p w14:paraId="11BA3B77" w14:textId="72B9FBD6" w:rsidR="00A57095" w:rsidRPr="003D1098" w:rsidRDefault="00A57095" w:rsidP="00A57095">
            <w:pPr>
              <w:spacing w:after="0" w:line="240" w:lineRule="auto"/>
              <w:rPr>
                <w:rFonts w:eastAsia="Times New Roman" w:cs="Times New Roman"/>
                <w:b/>
                <w:bCs/>
                <w:color w:val="FFFFFF" w:themeColor="background1"/>
                <w:sz w:val="18"/>
                <w:szCs w:val="18"/>
                <w:lang w:eastAsia="pt-BR"/>
              </w:rPr>
            </w:pPr>
            <w:r w:rsidRPr="003D1098">
              <w:rPr>
                <w:rFonts w:eastAsia="Times New Roman" w:cs="Times New Roman"/>
                <w:b/>
                <w:bCs/>
                <w:color w:val="FFFFFF" w:themeColor="background1"/>
                <w:sz w:val="18"/>
                <w:szCs w:val="18"/>
                <w:lang w:eastAsia="pt-BR"/>
              </w:rPr>
              <w:t>Total</w:t>
            </w:r>
          </w:p>
        </w:tc>
        <w:tc>
          <w:tcPr>
            <w:tcW w:w="0" w:type="auto"/>
            <w:tcBorders>
              <w:bottom w:val="single" w:sz="4" w:space="0" w:color="BFBFBF" w:themeColor="background1" w:themeShade="BF"/>
            </w:tcBorders>
            <w:shd w:val="clear" w:color="auto" w:fill="7F7F7F" w:themeFill="text1" w:themeFillTint="80"/>
            <w:vAlign w:val="center"/>
          </w:tcPr>
          <w:p w14:paraId="3087EDF8" w14:textId="681B328E" w:rsidR="00A57095" w:rsidRPr="003D1098" w:rsidRDefault="4EFAA47E" w:rsidP="71B7BA98">
            <w:pPr>
              <w:spacing w:after="0" w:line="240" w:lineRule="auto"/>
              <w:jc w:val="right"/>
              <w:rPr>
                <w:b/>
                <w:bCs/>
                <w:color w:val="FFFFFF" w:themeColor="background1"/>
                <w:sz w:val="18"/>
                <w:szCs w:val="18"/>
                <w:lang w:eastAsia="pt-BR"/>
              </w:rPr>
            </w:pPr>
            <w:r w:rsidRPr="003D1098">
              <w:rPr>
                <w:b/>
                <w:bCs/>
                <w:color w:val="FFFFFF" w:themeColor="background1"/>
                <w:sz w:val="18"/>
                <w:szCs w:val="18"/>
              </w:rPr>
              <w:t>2.6</w:t>
            </w:r>
            <w:r w:rsidR="169EACF0" w:rsidRPr="003D1098">
              <w:rPr>
                <w:b/>
                <w:bCs/>
                <w:color w:val="FFFFFF" w:themeColor="background1"/>
                <w:sz w:val="18"/>
                <w:szCs w:val="18"/>
              </w:rPr>
              <w:t>02</w:t>
            </w:r>
            <w:r w:rsidRPr="003D1098">
              <w:rPr>
                <w:b/>
                <w:bCs/>
                <w:color w:val="FFFFFF" w:themeColor="background1"/>
                <w:sz w:val="18"/>
                <w:szCs w:val="18"/>
              </w:rPr>
              <w:t>,</w:t>
            </w:r>
            <w:r w:rsidR="01D99481" w:rsidRPr="003D1098">
              <w:rPr>
                <w:b/>
                <w:bCs/>
                <w:color w:val="FFFFFF" w:themeColor="background1"/>
                <w:sz w:val="18"/>
                <w:szCs w:val="18"/>
              </w:rPr>
              <w:t>6</w:t>
            </w:r>
          </w:p>
        </w:tc>
        <w:tc>
          <w:tcPr>
            <w:tcW w:w="0" w:type="auto"/>
            <w:tcBorders>
              <w:bottom w:val="single" w:sz="4" w:space="0" w:color="BFBFBF" w:themeColor="background1" w:themeShade="BF"/>
            </w:tcBorders>
            <w:shd w:val="clear" w:color="auto" w:fill="7F7F7F" w:themeFill="text1" w:themeFillTint="80"/>
            <w:vAlign w:val="center"/>
          </w:tcPr>
          <w:p w14:paraId="69C0FD3C" w14:textId="07C43422" w:rsidR="00A57095" w:rsidRPr="003D1098" w:rsidRDefault="461F77A5" w:rsidP="00A57095">
            <w:pPr>
              <w:spacing w:after="0" w:line="240" w:lineRule="auto"/>
              <w:jc w:val="right"/>
              <w:rPr>
                <w:rFonts w:eastAsia="Times New Roman" w:cs="Times New Roman"/>
                <w:b/>
                <w:bCs/>
                <w:color w:val="FFFFFF" w:themeColor="background1"/>
                <w:sz w:val="18"/>
                <w:szCs w:val="18"/>
                <w:lang w:eastAsia="pt-BR"/>
              </w:rPr>
            </w:pPr>
            <w:r w:rsidRPr="003D1098">
              <w:rPr>
                <w:rFonts w:eastAsia="Times New Roman" w:cs="Times New Roman"/>
                <w:b/>
                <w:bCs/>
                <w:color w:val="FFFFFF" w:themeColor="background1"/>
                <w:sz w:val="18"/>
                <w:szCs w:val="18"/>
                <w:lang w:eastAsia="pt-BR"/>
              </w:rPr>
              <w:t>2.506,6</w:t>
            </w:r>
          </w:p>
        </w:tc>
        <w:tc>
          <w:tcPr>
            <w:tcW w:w="0" w:type="auto"/>
            <w:tcBorders>
              <w:bottom w:val="single" w:sz="4" w:space="0" w:color="BFBFBF" w:themeColor="background1" w:themeShade="BF"/>
            </w:tcBorders>
            <w:shd w:val="clear" w:color="auto" w:fill="7F7F7F" w:themeFill="text1" w:themeFillTint="80"/>
            <w:vAlign w:val="center"/>
          </w:tcPr>
          <w:p w14:paraId="2BBFE534" w14:textId="1726BFA5" w:rsidR="00A57095" w:rsidRPr="003D1098" w:rsidRDefault="4EFAA47E" w:rsidP="00A57095">
            <w:pPr>
              <w:spacing w:after="0" w:line="240" w:lineRule="auto"/>
              <w:jc w:val="right"/>
              <w:rPr>
                <w:rFonts w:eastAsia="Times New Roman" w:cs="Times New Roman"/>
                <w:b/>
                <w:bCs/>
                <w:color w:val="FFFFFF" w:themeColor="background1"/>
                <w:sz w:val="18"/>
                <w:szCs w:val="18"/>
                <w:lang w:eastAsia="pt-BR"/>
              </w:rPr>
            </w:pPr>
            <w:r w:rsidRPr="003D1098">
              <w:rPr>
                <w:rFonts w:eastAsia="Times New Roman" w:cs="Times New Roman"/>
                <w:b/>
                <w:bCs/>
                <w:color w:val="FFFFFF" w:themeColor="background1"/>
                <w:sz w:val="18"/>
                <w:szCs w:val="18"/>
                <w:lang w:eastAsia="pt-BR"/>
              </w:rPr>
              <w:t>2</w:t>
            </w:r>
            <w:r w:rsidR="4EB8CADA" w:rsidRPr="003D1098">
              <w:rPr>
                <w:rFonts w:eastAsia="Times New Roman" w:cs="Times New Roman"/>
                <w:b/>
                <w:bCs/>
                <w:color w:val="FFFFFF" w:themeColor="background1"/>
                <w:sz w:val="18"/>
                <w:szCs w:val="18"/>
                <w:lang w:eastAsia="pt-BR"/>
              </w:rPr>
              <w:t>.484,7</w:t>
            </w:r>
          </w:p>
        </w:tc>
      </w:tr>
      <w:tr w:rsidR="0031390C" w:rsidRPr="00102756" w14:paraId="0C534366" w14:textId="77777777" w:rsidTr="003D1098">
        <w:trPr>
          <w:trHeight w:val="20"/>
          <w:jc w:val="center"/>
        </w:trPr>
        <w:tc>
          <w:tcPr>
            <w:tcW w:w="0" w:type="auto"/>
            <w:gridSpan w:val="5"/>
            <w:tcBorders>
              <w:top w:val="single" w:sz="4" w:space="0" w:color="BFBFBF" w:themeColor="background1" w:themeShade="BF"/>
              <w:left w:val="nil"/>
              <w:bottom w:val="nil"/>
              <w:right w:val="nil"/>
            </w:tcBorders>
            <w:shd w:val="clear" w:color="auto" w:fill="auto"/>
            <w:vAlign w:val="center"/>
          </w:tcPr>
          <w:p w14:paraId="637B4D59" w14:textId="4CF12CDA" w:rsidR="0031390C" w:rsidRPr="00353D69" w:rsidRDefault="00182CD7" w:rsidP="00182CD7">
            <w:pPr>
              <w:spacing w:after="0" w:line="240" w:lineRule="auto"/>
              <w:rPr>
                <w:rFonts w:eastAsia="Times New Roman" w:cs="Times New Roman"/>
                <w:color w:val="000000" w:themeColor="text1"/>
                <w:sz w:val="16"/>
                <w:szCs w:val="16"/>
                <w:lang w:eastAsia="pt-BR"/>
              </w:rPr>
            </w:pPr>
            <w:r w:rsidRPr="00353D69">
              <w:rPr>
                <w:b/>
                <w:i/>
                <w:color w:val="000000" w:themeColor="text1"/>
                <w:sz w:val="16"/>
                <w:szCs w:val="16"/>
              </w:rPr>
              <w:t>Fonte e Elaboração</w:t>
            </w:r>
            <w:r w:rsidRPr="00353D69">
              <w:rPr>
                <w:i/>
                <w:color w:val="000000" w:themeColor="text1"/>
                <w:sz w:val="16"/>
                <w:szCs w:val="16"/>
              </w:rPr>
              <w:t>: FNDE</w:t>
            </w:r>
          </w:p>
        </w:tc>
      </w:tr>
    </w:tbl>
    <w:p w14:paraId="553F0105" w14:textId="77777777" w:rsidR="00C23564" w:rsidRPr="00353D69" w:rsidRDefault="00C23564" w:rsidP="006938CD">
      <w:pPr>
        <w:pStyle w:val="Corpodetexto"/>
        <w:spacing w:line="240" w:lineRule="auto"/>
        <w:ind w:firstLine="1418"/>
        <w:jc w:val="both"/>
        <w:rPr>
          <w:color w:val="000000" w:themeColor="text1"/>
          <w:sz w:val="24"/>
          <w:szCs w:val="24"/>
        </w:rPr>
      </w:pPr>
    </w:p>
    <w:p w14:paraId="2619CD57" w14:textId="2F836B81" w:rsidR="006938CD" w:rsidRPr="00353D69" w:rsidRDefault="006938CD" w:rsidP="71B7BA98">
      <w:pPr>
        <w:pStyle w:val="Corpodetexto"/>
        <w:spacing w:line="240" w:lineRule="auto"/>
        <w:ind w:firstLine="1418"/>
        <w:jc w:val="both"/>
        <w:rPr>
          <w:color w:val="000000" w:themeColor="text1"/>
          <w:sz w:val="24"/>
          <w:szCs w:val="24"/>
        </w:rPr>
      </w:pPr>
      <w:r w:rsidRPr="00353D69">
        <w:rPr>
          <w:color w:val="000000" w:themeColor="text1"/>
          <w:sz w:val="24"/>
          <w:szCs w:val="24"/>
        </w:rPr>
        <w:lastRenderedPageBreak/>
        <w:t xml:space="preserve">O subsídio implícito (benefício creditício) refere-se ao impacto nas contas públicas decorrente da diferença entre a taxa de juros que remunera os títulos do Tesouro Nacional (custo de oportunidade) e a taxa de juros cobrada nos financiamentos aos estudantes. O cálculo foi realizado conforme metodologia descrita na Portaria </w:t>
      </w:r>
      <w:r w:rsidR="5C8FD4B1" w:rsidRPr="00353D69">
        <w:rPr>
          <w:color w:val="000000" w:themeColor="text1"/>
          <w:sz w:val="24"/>
          <w:szCs w:val="24"/>
        </w:rPr>
        <w:t>ME</w:t>
      </w:r>
      <w:r w:rsidRPr="00353D69">
        <w:rPr>
          <w:color w:val="000000" w:themeColor="text1"/>
          <w:sz w:val="24"/>
          <w:szCs w:val="24"/>
        </w:rPr>
        <w:t xml:space="preserve"> nº 57, de 27/2/2013, que considera a diferença entre o saldo devedor efetivo e o saldo devedor que seria obtido caso a taxa de juros do programa fosse semelhante ao custo de oportunidade do Tesouro Nacional. </w:t>
      </w:r>
      <w:r w:rsidR="0034257F" w:rsidRPr="00353D69">
        <w:rPr>
          <w:color w:val="000000" w:themeColor="text1"/>
          <w:sz w:val="24"/>
          <w:szCs w:val="24"/>
        </w:rPr>
        <w:t xml:space="preserve">A </w:t>
      </w:r>
      <w:r w:rsidRPr="00353D69">
        <w:rPr>
          <w:color w:val="000000" w:themeColor="text1"/>
          <w:sz w:val="24"/>
          <w:szCs w:val="24"/>
        </w:rPr>
        <w:fldChar w:fldCharType="begin"/>
      </w:r>
      <w:r w:rsidRPr="00353D69">
        <w:rPr>
          <w:color w:val="000000" w:themeColor="text1"/>
          <w:sz w:val="24"/>
          <w:szCs w:val="24"/>
        </w:rPr>
        <w:instrText xml:space="preserve"> REF _Ref35872731  \* MERGEFORMAT </w:instrText>
      </w:r>
      <w:r w:rsidRPr="00353D69">
        <w:rPr>
          <w:color w:val="000000" w:themeColor="text1"/>
          <w:sz w:val="24"/>
          <w:szCs w:val="24"/>
        </w:rPr>
        <w:fldChar w:fldCharType="separate"/>
      </w:r>
      <w:r w:rsidR="00304F5F" w:rsidRPr="00304F5F">
        <w:rPr>
          <w:color w:val="000000" w:themeColor="text1"/>
          <w:sz w:val="24"/>
          <w:szCs w:val="24"/>
        </w:rPr>
        <w:t>Tabela 77</w:t>
      </w:r>
      <w:r w:rsidRPr="00353D69">
        <w:rPr>
          <w:color w:val="000000" w:themeColor="text1"/>
          <w:sz w:val="24"/>
          <w:szCs w:val="24"/>
        </w:rPr>
        <w:fldChar w:fldCharType="end"/>
      </w:r>
      <w:r w:rsidR="0034257F" w:rsidRPr="00353D69">
        <w:rPr>
          <w:color w:val="000000" w:themeColor="text1"/>
          <w:sz w:val="24"/>
          <w:szCs w:val="24"/>
        </w:rPr>
        <w:t xml:space="preserve"> </w:t>
      </w:r>
      <w:r w:rsidRPr="00353D69">
        <w:rPr>
          <w:color w:val="000000" w:themeColor="text1"/>
          <w:sz w:val="24"/>
          <w:szCs w:val="24"/>
        </w:rPr>
        <w:t xml:space="preserve">apresenta as estimativas do </w:t>
      </w:r>
      <w:r w:rsidR="00FE54E0" w:rsidRPr="00353D69">
        <w:rPr>
          <w:color w:val="000000" w:themeColor="text1"/>
          <w:sz w:val="24"/>
          <w:szCs w:val="24"/>
        </w:rPr>
        <w:t>subsídio</w:t>
      </w:r>
      <w:r w:rsidRPr="00353D69">
        <w:rPr>
          <w:color w:val="000000" w:themeColor="text1"/>
          <w:sz w:val="24"/>
          <w:szCs w:val="24"/>
        </w:rPr>
        <w:t xml:space="preserve"> implícito associados ao F</w:t>
      </w:r>
      <w:r w:rsidR="00A67ECD" w:rsidRPr="00353D69">
        <w:rPr>
          <w:color w:val="000000" w:themeColor="text1"/>
          <w:sz w:val="24"/>
          <w:szCs w:val="24"/>
        </w:rPr>
        <w:t>ies</w:t>
      </w:r>
      <w:r w:rsidRPr="00353D69">
        <w:rPr>
          <w:color w:val="000000" w:themeColor="text1"/>
          <w:sz w:val="24"/>
          <w:szCs w:val="24"/>
        </w:rPr>
        <w:t>.</w:t>
      </w:r>
    </w:p>
    <w:p w14:paraId="6395B2A8" w14:textId="14FA0446" w:rsidR="00841C63" w:rsidRPr="0043155F" w:rsidRDefault="0043155F" w:rsidP="0043155F">
      <w:pPr>
        <w:pStyle w:val="Legenda"/>
        <w:spacing w:before="240" w:after="120"/>
        <w:jc w:val="center"/>
        <w:rPr>
          <w:rFonts w:asciiTheme="minorHAnsi" w:hAnsiTheme="minorHAnsi"/>
          <w:i w:val="0"/>
          <w:color w:val="auto"/>
          <w:sz w:val="22"/>
          <w:szCs w:val="22"/>
        </w:rPr>
      </w:pPr>
      <w:bookmarkStart w:id="471" w:name="_Ref35872731"/>
      <w:bookmarkStart w:id="472" w:name="_Toc69121423"/>
      <w:r w:rsidRPr="7120BA48">
        <w:rPr>
          <w:rFonts w:asciiTheme="minorHAnsi" w:hAnsiTheme="minorHAnsi"/>
          <w:i w:val="0"/>
          <w:color w:val="auto"/>
          <w:sz w:val="22"/>
          <w:szCs w:val="22"/>
        </w:rPr>
        <w:t xml:space="preserve">Tabela </w:t>
      </w:r>
      <w:r w:rsidRPr="0022645B">
        <w:rPr>
          <w:rFonts w:asciiTheme="minorHAnsi" w:hAnsiTheme="minorHAnsi"/>
          <w:i w:val="0"/>
          <w:color w:val="auto"/>
          <w:sz w:val="22"/>
          <w:szCs w:val="22"/>
        </w:rPr>
        <w:fldChar w:fldCharType="begin"/>
      </w:r>
      <w:r w:rsidRPr="0022645B">
        <w:rPr>
          <w:rFonts w:asciiTheme="minorHAnsi" w:hAnsiTheme="minorHAnsi"/>
          <w:i w:val="0"/>
          <w:color w:val="auto"/>
          <w:sz w:val="22"/>
          <w:szCs w:val="22"/>
        </w:rPr>
        <w:instrText xml:space="preserve"> SEQ Tabela \* ARABIC </w:instrText>
      </w:r>
      <w:r w:rsidRPr="0022645B">
        <w:rPr>
          <w:rFonts w:asciiTheme="minorHAnsi" w:hAnsiTheme="minorHAnsi"/>
          <w:i w:val="0"/>
          <w:color w:val="auto"/>
          <w:sz w:val="22"/>
          <w:szCs w:val="22"/>
        </w:rPr>
        <w:fldChar w:fldCharType="separate"/>
      </w:r>
      <w:r w:rsidR="00304F5F">
        <w:rPr>
          <w:rFonts w:asciiTheme="minorHAnsi" w:hAnsiTheme="minorHAnsi"/>
          <w:i w:val="0"/>
          <w:noProof/>
          <w:color w:val="auto"/>
          <w:sz w:val="22"/>
          <w:szCs w:val="22"/>
        </w:rPr>
        <w:t>77</w:t>
      </w:r>
      <w:r w:rsidRPr="0022645B">
        <w:rPr>
          <w:rFonts w:asciiTheme="minorHAnsi" w:hAnsiTheme="minorHAnsi"/>
          <w:i w:val="0"/>
          <w:color w:val="auto"/>
          <w:sz w:val="22"/>
          <w:szCs w:val="22"/>
        </w:rPr>
        <w:fldChar w:fldCharType="end"/>
      </w:r>
      <w:bookmarkEnd w:id="471"/>
      <w:r w:rsidRPr="7120BA48">
        <w:rPr>
          <w:rFonts w:asciiTheme="minorHAnsi" w:hAnsiTheme="minorHAnsi"/>
          <w:i w:val="0"/>
          <w:color w:val="auto"/>
          <w:sz w:val="22"/>
          <w:szCs w:val="22"/>
        </w:rPr>
        <w:t xml:space="preserve"> - </w:t>
      </w:r>
      <w:proofErr w:type="gramStart"/>
      <w:r w:rsidRPr="7120BA48">
        <w:rPr>
          <w:rFonts w:asciiTheme="minorHAnsi" w:hAnsiTheme="minorHAnsi"/>
          <w:i w:val="0"/>
          <w:color w:val="auto"/>
          <w:sz w:val="22"/>
          <w:szCs w:val="22"/>
        </w:rPr>
        <w:t>Estimativa de subsídio implícito, segundo programa, por exercício</w:t>
      </w:r>
      <w:bookmarkEnd w:id="472"/>
      <w:proofErr w:type="gramEnd"/>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218"/>
        <w:gridCol w:w="909"/>
        <w:gridCol w:w="851"/>
        <w:gridCol w:w="850"/>
      </w:tblGrid>
      <w:tr w:rsidR="002535B2" w:rsidRPr="00C04BE3" w14:paraId="0362EBB4" w14:textId="77777777" w:rsidTr="71B7BA98">
        <w:trPr>
          <w:trHeight w:val="20"/>
          <w:tblHeader/>
          <w:jc w:val="center"/>
        </w:trPr>
        <w:tc>
          <w:tcPr>
            <w:tcW w:w="3828" w:type="dxa"/>
            <w:gridSpan w:val="4"/>
            <w:tcBorders>
              <w:top w:val="nil"/>
              <w:left w:val="nil"/>
              <w:bottom w:val="single" w:sz="4" w:space="0" w:color="BFBFBF" w:themeColor="background1" w:themeShade="BF"/>
              <w:right w:val="nil"/>
            </w:tcBorders>
            <w:shd w:val="clear" w:color="auto" w:fill="auto"/>
            <w:vAlign w:val="center"/>
          </w:tcPr>
          <w:p w14:paraId="63A9C7CD" w14:textId="51CB331A" w:rsidR="002535B2" w:rsidRPr="00084CA6" w:rsidRDefault="00930226" w:rsidP="00930226">
            <w:pPr>
              <w:spacing w:after="0" w:line="240" w:lineRule="auto"/>
              <w:jc w:val="right"/>
              <w:rPr>
                <w:rFonts w:eastAsia="Times New Roman" w:cs="Times New Roman"/>
                <w:b/>
                <w:color w:val="FFFFFF" w:themeColor="background1"/>
                <w:sz w:val="16"/>
                <w:szCs w:val="16"/>
                <w:lang w:eastAsia="pt-BR"/>
              </w:rPr>
            </w:pPr>
            <w:r w:rsidRPr="00353D69">
              <w:rPr>
                <w:i/>
                <w:color w:val="000000" w:themeColor="text1"/>
                <w:sz w:val="16"/>
                <w:szCs w:val="16"/>
              </w:rPr>
              <w:t xml:space="preserve">Em </w:t>
            </w:r>
            <w:r>
              <w:rPr>
                <w:i/>
                <w:color w:val="000000" w:themeColor="text1"/>
                <w:sz w:val="16"/>
                <w:szCs w:val="16"/>
              </w:rPr>
              <w:t xml:space="preserve">R$ </w:t>
            </w:r>
            <w:r w:rsidRPr="00353D69">
              <w:rPr>
                <w:i/>
                <w:color w:val="000000" w:themeColor="text1"/>
                <w:sz w:val="16"/>
                <w:szCs w:val="16"/>
              </w:rPr>
              <w:t>milhões</w:t>
            </w:r>
          </w:p>
        </w:tc>
      </w:tr>
      <w:tr w:rsidR="00C04BE3" w:rsidRPr="002973C7" w14:paraId="18EAB7C2" w14:textId="77777777" w:rsidTr="71B7BA98">
        <w:trPr>
          <w:trHeight w:val="20"/>
          <w:tblHeader/>
          <w:jc w:val="center"/>
        </w:trPr>
        <w:tc>
          <w:tcPr>
            <w:tcW w:w="1218" w:type="dxa"/>
            <w:tcBorders>
              <w:top w:val="single" w:sz="4" w:space="0" w:color="BFBFBF" w:themeColor="background1" w:themeShade="BF"/>
            </w:tcBorders>
            <w:shd w:val="clear" w:color="auto" w:fill="404040" w:themeFill="text1" w:themeFillTint="BF"/>
            <w:vAlign w:val="center"/>
          </w:tcPr>
          <w:p w14:paraId="3096DA27" w14:textId="0BFD41F2" w:rsidR="00C04BE3" w:rsidRPr="002973C7" w:rsidRDefault="00C04BE3" w:rsidP="00C04BE3">
            <w:pPr>
              <w:spacing w:after="0" w:line="240" w:lineRule="auto"/>
              <w:rPr>
                <w:rFonts w:eastAsia="Times New Roman" w:cs="Times New Roman"/>
                <w:b/>
                <w:bCs/>
                <w:color w:val="FFFFFF" w:themeColor="background1"/>
                <w:sz w:val="20"/>
                <w:szCs w:val="20"/>
                <w:lang w:eastAsia="pt-BR"/>
              </w:rPr>
            </w:pPr>
            <w:r w:rsidRPr="002973C7">
              <w:rPr>
                <w:rFonts w:eastAsia="Times New Roman" w:cs="Times New Roman"/>
                <w:b/>
                <w:bCs/>
                <w:color w:val="FFFFFF" w:themeColor="background1"/>
                <w:sz w:val="20"/>
                <w:szCs w:val="20"/>
                <w:lang w:eastAsia="pt-BR"/>
              </w:rPr>
              <w:t>Programa</w:t>
            </w:r>
          </w:p>
        </w:tc>
        <w:tc>
          <w:tcPr>
            <w:tcW w:w="909" w:type="dxa"/>
            <w:tcBorders>
              <w:top w:val="single" w:sz="4" w:space="0" w:color="BFBFBF" w:themeColor="background1" w:themeShade="BF"/>
            </w:tcBorders>
            <w:shd w:val="clear" w:color="auto" w:fill="404040" w:themeFill="text1" w:themeFillTint="BF"/>
            <w:vAlign w:val="center"/>
          </w:tcPr>
          <w:p w14:paraId="361E7E88" w14:textId="0BA1314B" w:rsidR="00C04BE3" w:rsidRPr="002973C7" w:rsidRDefault="38A16FB6" w:rsidP="00C04BE3">
            <w:pPr>
              <w:spacing w:after="0" w:line="240" w:lineRule="auto"/>
              <w:jc w:val="right"/>
              <w:rPr>
                <w:rFonts w:eastAsia="Times New Roman" w:cs="Times New Roman"/>
                <w:b/>
                <w:bCs/>
                <w:color w:val="FFFFFF" w:themeColor="background1"/>
                <w:sz w:val="20"/>
                <w:szCs w:val="20"/>
                <w:lang w:eastAsia="pt-BR"/>
              </w:rPr>
            </w:pPr>
            <w:r w:rsidRPr="002973C7">
              <w:rPr>
                <w:rFonts w:eastAsia="Times New Roman" w:cs="Times New Roman"/>
                <w:b/>
                <w:bCs/>
                <w:color w:val="FFFFFF" w:themeColor="background1"/>
                <w:sz w:val="20"/>
                <w:szCs w:val="20"/>
                <w:lang w:eastAsia="pt-BR"/>
              </w:rPr>
              <w:t>202</w:t>
            </w:r>
            <w:r w:rsidR="7982D541" w:rsidRPr="002973C7">
              <w:rPr>
                <w:rFonts w:eastAsia="Times New Roman" w:cs="Times New Roman"/>
                <w:b/>
                <w:bCs/>
                <w:color w:val="FFFFFF" w:themeColor="background1"/>
                <w:sz w:val="20"/>
                <w:szCs w:val="20"/>
                <w:lang w:eastAsia="pt-BR"/>
              </w:rPr>
              <w:t>1</w:t>
            </w:r>
          </w:p>
        </w:tc>
        <w:tc>
          <w:tcPr>
            <w:tcW w:w="851" w:type="dxa"/>
            <w:tcBorders>
              <w:top w:val="single" w:sz="4" w:space="0" w:color="BFBFBF" w:themeColor="background1" w:themeShade="BF"/>
            </w:tcBorders>
            <w:shd w:val="clear" w:color="auto" w:fill="404040" w:themeFill="text1" w:themeFillTint="BF"/>
            <w:vAlign w:val="center"/>
          </w:tcPr>
          <w:p w14:paraId="4AE8F6AE" w14:textId="17D99F14" w:rsidR="00C04BE3" w:rsidRPr="002973C7" w:rsidRDefault="38A16FB6" w:rsidP="00C04BE3">
            <w:pPr>
              <w:spacing w:after="0" w:line="240" w:lineRule="auto"/>
              <w:jc w:val="right"/>
              <w:rPr>
                <w:rFonts w:eastAsia="Times New Roman" w:cs="Times New Roman"/>
                <w:b/>
                <w:bCs/>
                <w:color w:val="FFFFFF" w:themeColor="background1"/>
                <w:sz w:val="20"/>
                <w:szCs w:val="20"/>
                <w:lang w:eastAsia="pt-BR"/>
              </w:rPr>
            </w:pPr>
            <w:r w:rsidRPr="002973C7">
              <w:rPr>
                <w:rFonts w:eastAsia="Times New Roman" w:cs="Times New Roman"/>
                <w:b/>
                <w:bCs/>
                <w:color w:val="FFFFFF" w:themeColor="background1"/>
                <w:sz w:val="20"/>
                <w:szCs w:val="20"/>
                <w:lang w:eastAsia="pt-BR"/>
              </w:rPr>
              <w:t>202</w:t>
            </w:r>
            <w:r w:rsidR="50168BEA" w:rsidRPr="002973C7">
              <w:rPr>
                <w:rFonts w:eastAsia="Times New Roman" w:cs="Times New Roman"/>
                <w:b/>
                <w:bCs/>
                <w:color w:val="FFFFFF" w:themeColor="background1"/>
                <w:sz w:val="20"/>
                <w:szCs w:val="20"/>
                <w:lang w:eastAsia="pt-BR"/>
              </w:rPr>
              <w:t>2</w:t>
            </w:r>
          </w:p>
        </w:tc>
        <w:tc>
          <w:tcPr>
            <w:tcW w:w="850" w:type="dxa"/>
            <w:tcBorders>
              <w:top w:val="single" w:sz="4" w:space="0" w:color="BFBFBF" w:themeColor="background1" w:themeShade="BF"/>
            </w:tcBorders>
            <w:shd w:val="clear" w:color="auto" w:fill="404040" w:themeFill="text1" w:themeFillTint="BF"/>
            <w:vAlign w:val="center"/>
          </w:tcPr>
          <w:p w14:paraId="664C51CB" w14:textId="1CD18B7E" w:rsidR="00C04BE3" w:rsidRPr="002973C7" w:rsidRDefault="38A16FB6" w:rsidP="00C04BE3">
            <w:pPr>
              <w:spacing w:after="0" w:line="240" w:lineRule="auto"/>
              <w:jc w:val="right"/>
              <w:rPr>
                <w:rFonts w:eastAsia="Times New Roman" w:cs="Times New Roman"/>
                <w:b/>
                <w:bCs/>
                <w:color w:val="FFFFFF" w:themeColor="background1"/>
                <w:sz w:val="20"/>
                <w:szCs w:val="20"/>
                <w:lang w:eastAsia="pt-BR"/>
              </w:rPr>
            </w:pPr>
            <w:r w:rsidRPr="002973C7">
              <w:rPr>
                <w:rFonts w:eastAsia="Times New Roman" w:cs="Times New Roman"/>
                <w:b/>
                <w:bCs/>
                <w:color w:val="FFFFFF" w:themeColor="background1"/>
                <w:sz w:val="20"/>
                <w:szCs w:val="20"/>
                <w:lang w:eastAsia="pt-BR"/>
              </w:rPr>
              <w:t>202</w:t>
            </w:r>
            <w:r w:rsidR="112F5973" w:rsidRPr="002973C7">
              <w:rPr>
                <w:rFonts w:eastAsia="Times New Roman" w:cs="Times New Roman"/>
                <w:b/>
                <w:bCs/>
                <w:color w:val="FFFFFF" w:themeColor="background1"/>
                <w:sz w:val="20"/>
                <w:szCs w:val="20"/>
                <w:lang w:eastAsia="pt-BR"/>
              </w:rPr>
              <w:t>3</w:t>
            </w:r>
          </w:p>
        </w:tc>
      </w:tr>
      <w:tr w:rsidR="00C04BE3" w:rsidRPr="00102756" w14:paraId="11ED646C" w14:textId="77777777" w:rsidTr="71B7BA98">
        <w:trPr>
          <w:trHeight w:val="20"/>
          <w:jc w:val="center"/>
        </w:trPr>
        <w:tc>
          <w:tcPr>
            <w:tcW w:w="1218" w:type="dxa"/>
            <w:shd w:val="clear" w:color="auto" w:fill="F2F2F2" w:themeFill="background1" w:themeFillShade="F2"/>
            <w:vAlign w:val="center"/>
          </w:tcPr>
          <w:p w14:paraId="14C9393F" w14:textId="77777777" w:rsidR="00C04BE3" w:rsidRPr="00294A87" w:rsidRDefault="00C04BE3" w:rsidP="00C672AF">
            <w:pPr>
              <w:spacing w:after="0" w:line="240" w:lineRule="auto"/>
              <w:rPr>
                <w:rFonts w:eastAsia="Times New Roman" w:cs="Times New Roman"/>
                <w:sz w:val="18"/>
                <w:szCs w:val="18"/>
                <w:lang w:eastAsia="pt-BR"/>
              </w:rPr>
            </w:pPr>
            <w:r w:rsidRPr="7120BA48">
              <w:rPr>
                <w:rFonts w:eastAsia="Times New Roman" w:cs="Times New Roman"/>
                <w:sz w:val="18"/>
                <w:szCs w:val="18"/>
                <w:lang w:eastAsia="pt-BR"/>
              </w:rPr>
              <w:t>Fies antigo</w:t>
            </w:r>
          </w:p>
        </w:tc>
        <w:tc>
          <w:tcPr>
            <w:tcW w:w="909" w:type="dxa"/>
            <w:shd w:val="clear" w:color="auto" w:fill="F2F2F2" w:themeFill="background1" w:themeFillShade="F2"/>
            <w:vAlign w:val="center"/>
          </w:tcPr>
          <w:p w14:paraId="78DCDD8C" w14:textId="78C2634D" w:rsidR="00C04BE3" w:rsidRPr="005D767B" w:rsidRDefault="07F19AE9" w:rsidP="71B7BA98">
            <w:pPr>
              <w:spacing w:after="0" w:line="240" w:lineRule="auto"/>
              <w:jc w:val="right"/>
              <w:rPr>
                <w:sz w:val="18"/>
                <w:szCs w:val="18"/>
              </w:rPr>
            </w:pPr>
            <w:r w:rsidRPr="71B7BA98">
              <w:rPr>
                <w:sz w:val="18"/>
                <w:szCs w:val="18"/>
              </w:rPr>
              <w:t>1.833,9</w:t>
            </w:r>
          </w:p>
        </w:tc>
        <w:tc>
          <w:tcPr>
            <w:tcW w:w="851" w:type="dxa"/>
            <w:shd w:val="clear" w:color="auto" w:fill="F2F2F2" w:themeFill="background1" w:themeFillShade="F2"/>
            <w:vAlign w:val="center"/>
          </w:tcPr>
          <w:p w14:paraId="4C2C4E2D" w14:textId="644C7C53" w:rsidR="00C04BE3" w:rsidRPr="005D767B" w:rsidRDefault="37F8711B" w:rsidP="003C5519">
            <w:pPr>
              <w:spacing w:after="0" w:line="240" w:lineRule="auto"/>
              <w:jc w:val="right"/>
              <w:rPr>
                <w:rFonts w:eastAsia="Times New Roman" w:cs="Times New Roman"/>
                <w:sz w:val="18"/>
                <w:szCs w:val="18"/>
                <w:lang w:eastAsia="pt-BR"/>
              </w:rPr>
            </w:pPr>
            <w:r w:rsidRPr="71B7BA98">
              <w:rPr>
                <w:rFonts w:eastAsia="Times New Roman" w:cs="Times New Roman"/>
                <w:sz w:val="18"/>
                <w:szCs w:val="18"/>
                <w:lang w:eastAsia="pt-BR"/>
              </w:rPr>
              <w:t>3</w:t>
            </w:r>
            <w:r w:rsidR="38A16FB6" w:rsidRPr="71B7BA98">
              <w:rPr>
                <w:rFonts w:eastAsia="Times New Roman" w:cs="Times New Roman"/>
                <w:sz w:val="18"/>
                <w:szCs w:val="18"/>
                <w:lang w:eastAsia="pt-BR"/>
              </w:rPr>
              <w:t>.</w:t>
            </w:r>
            <w:r w:rsidR="4B7F4915" w:rsidRPr="71B7BA98">
              <w:rPr>
                <w:rFonts w:eastAsia="Times New Roman" w:cs="Times New Roman"/>
                <w:sz w:val="18"/>
                <w:szCs w:val="18"/>
                <w:lang w:eastAsia="pt-BR"/>
              </w:rPr>
              <w:t>010,3</w:t>
            </w:r>
          </w:p>
        </w:tc>
        <w:tc>
          <w:tcPr>
            <w:tcW w:w="850" w:type="dxa"/>
            <w:shd w:val="clear" w:color="auto" w:fill="F2F2F2" w:themeFill="background1" w:themeFillShade="F2"/>
            <w:vAlign w:val="center"/>
          </w:tcPr>
          <w:p w14:paraId="5ABFFA2D" w14:textId="64C022E0" w:rsidR="00C04BE3" w:rsidRPr="005D767B" w:rsidRDefault="214FF5C5" w:rsidP="003C5519">
            <w:pPr>
              <w:spacing w:after="0" w:line="240" w:lineRule="auto"/>
              <w:jc w:val="right"/>
              <w:rPr>
                <w:rFonts w:eastAsia="Times New Roman" w:cs="Times New Roman"/>
                <w:sz w:val="18"/>
                <w:szCs w:val="18"/>
                <w:lang w:eastAsia="pt-BR"/>
              </w:rPr>
            </w:pPr>
            <w:r w:rsidRPr="71B7BA98">
              <w:rPr>
                <w:rFonts w:eastAsia="Times New Roman" w:cs="Times New Roman"/>
                <w:sz w:val="18"/>
                <w:szCs w:val="18"/>
                <w:lang w:eastAsia="pt-BR"/>
              </w:rPr>
              <w:t>4</w:t>
            </w:r>
            <w:r w:rsidR="38A16FB6" w:rsidRPr="71B7BA98">
              <w:rPr>
                <w:rFonts w:eastAsia="Times New Roman" w:cs="Times New Roman"/>
                <w:sz w:val="18"/>
                <w:szCs w:val="18"/>
                <w:lang w:eastAsia="pt-BR"/>
              </w:rPr>
              <w:t>.</w:t>
            </w:r>
            <w:r w:rsidR="61F3EF7C" w:rsidRPr="71B7BA98">
              <w:rPr>
                <w:rFonts w:eastAsia="Times New Roman" w:cs="Times New Roman"/>
                <w:sz w:val="18"/>
                <w:szCs w:val="18"/>
                <w:lang w:eastAsia="pt-BR"/>
              </w:rPr>
              <w:t>031,8</w:t>
            </w:r>
          </w:p>
        </w:tc>
      </w:tr>
      <w:tr w:rsidR="00C04BE3" w:rsidRPr="00102756" w14:paraId="2704840C" w14:textId="77777777" w:rsidTr="71B7BA98">
        <w:trPr>
          <w:trHeight w:val="20"/>
          <w:jc w:val="center"/>
        </w:trPr>
        <w:tc>
          <w:tcPr>
            <w:tcW w:w="1218" w:type="dxa"/>
            <w:tcBorders>
              <w:bottom w:val="single" w:sz="4" w:space="0" w:color="BFBFBF" w:themeColor="background1" w:themeShade="BF"/>
            </w:tcBorders>
            <w:shd w:val="clear" w:color="auto" w:fill="auto"/>
            <w:vAlign w:val="center"/>
          </w:tcPr>
          <w:p w14:paraId="5B322F11" w14:textId="77777777" w:rsidR="00C04BE3" w:rsidRPr="00294A87" w:rsidRDefault="00C04BE3" w:rsidP="00C672AF">
            <w:pPr>
              <w:spacing w:after="0" w:line="240" w:lineRule="auto"/>
              <w:rPr>
                <w:rFonts w:eastAsia="Times New Roman" w:cs="Times New Roman"/>
                <w:sz w:val="18"/>
                <w:szCs w:val="18"/>
                <w:lang w:eastAsia="pt-BR"/>
              </w:rPr>
            </w:pPr>
            <w:r w:rsidRPr="7120BA48">
              <w:rPr>
                <w:rFonts w:eastAsia="Times New Roman" w:cs="Times New Roman"/>
                <w:sz w:val="18"/>
                <w:szCs w:val="18"/>
                <w:lang w:eastAsia="pt-BR"/>
              </w:rPr>
              <w:t>Fies novo</w:t>
            </w:r>
          </w:p>
        </w:tc>
        <w:tc>
          <w:tcPr>
            <w:tcW w:w="909" w:type="dxa"/>
            <w:tcBorders>
              <w:bottom w:val="single" w:sz="4" w:space="0" w:color="BFBFBF" w:themeColor="background1" w:themeShade="BF"/>
            </w:tcBorders>
            <w:vAlign w:val="center"/>
          </w:tcPr>
          <w:p w14:paraId="28808879" w14:textId="379E911F" w:rsidR="00C04BE3" w:rsidRPr="005D767B" w:rsidRDefault="38A16FB6" w:rsidP="71B7BA98">
            <w:pPr>
              <w:spacing w:after="0" w:line="240" w:lineRule="auto"/>
              <w:jc w:val="right"/>
              <w:rPr>
                <w:sz w:val="18"/>
                <w:szCs w:val="18"/>
                <w:lang w:eastAsia="pt-BR"/>
              </w:rPr>
            </w:pPr>
            <w:r w:rsidRPr="71B7BA98">
              <w:rPr>
                <w:sz w:val="18"/>
                <w:szCs w:val="18"/>
              </w:rPr>
              <w:t>2</w:t>
            </w:r>
            <w:r w:rsidR="6D5D7AD4" w:rsidRPr="71B7BA98">
              <w:rPr>
                <w:sz w:val="18"/>
                <w:szCs w:val="18"/>
              </w:rPr>
              <w:t>25,7</w:t>
            </w:r>
          </w:p>
        </w:tc>
        <w:tc>
          <w:tcPr>
            <w:tcW w:w="851" w:type="dxa"/>
            <w:tcBorders>
              <w:bottom w:val="single" w:sz="4" w:space="0" w:color="BFBFBF" w:themeColor="background1" w:themeShade="BF"/>
            </w:tcBorders>
            <w:vAlign w:val="center"/>
          </w:tcPr>
          <w:p w14:paraId="660063CB" w14:textId="52B06A5B" w:rsidR="00C04BE3" w:rsidRPr="005D767B" w:rsidRDefault="46AA4811" w:rsidP="003C5519">
            <w:pPr>
              <w:spacing w:after="0" w:line="240" w:lineRule="auto"/>
              <w:jc w:val="right"/>
              <w:rPr>
                <w:rFonts w:eastAsia="Times New Roman" w:cs="Times New Roman"/>
                <w:sz w:val="18"/>
                <w:szCs w:val="18"/>
                <w:lang w:eastAsia="pt-BR"/>
              </w:rPr>
            </w:pPr>
            <w:r w:rsidRPr="6F4BDE0C">
              <w:rPr>
                <w:rFonts w:eastAsia="Times New Roman" w:cs="Times New Roman"/>
                <w:sz w:val="18"/>
                <w:szCs w:val="18"/>
                <w:lang w:eastAsia="pt-BR"/>
              </w:rPr>
              <w:t>5</w:t>
            </w:r>
            <w:r w:rsidR="673292C8" w:rsidRPr="6F4BDE0C">
              <w:rPr>
                <w:rFonts w:eastAsia="Times New Roman" w:cs="Times New Roman"/>
                <w:sz w:val="18"/>
                <w:szCs w:val="18"/>
                <w:lang w:eastAsia="pt-BR"/>
              </w:rPr>
              <w:t>67</w:t>
            </w:r>
            <w:r w:rsidR="5861FDF8" w:rsidRPr="71B7BA98">
              <w:rPr>
                <w:rFonts w:eastAsia="Times New Roman" w:cs="Times New Roman"/>
                <w:sz w:val="18"/>
                <w:szCs w:val="18"/>
                <w:lang w:eastAsia="pt-BR"/>
              </w:rPr>
              <w:t>,9</w:t>
            </w:r>
          </w:p>
        </w:tc>
        <w:tc>
          <w:tcPr>
            <w:tcW w:w="850" w:type="dxa"/>
            <w:tcBorders>
              <w:bottom w:val="single" w:sz="4" w:space="0" w:color="BFBFBF" w:themeColor="background1" w:themeShade="BF"/>
            </w:tcBorders>
            <w:vAlign w:val="center"/>
          </w:tcPr>
          <w:p w14:paraId="38015AC8" w14:textId="5AC99B86" w:rsidR="00C04BE3" w:rsidRPr="005D767B" w:rsidRDefault="63EFE41C" w:rsidP="003C5519">
            <w:pPr>
              <w:spacing w:after="0" w:line="240" w:lineRule="auto"/>
              <w:jc w:val="right"/>
              <w:rPr>
                <w:rFonts w:eastAsia="Times New Roman" w:cs="Times New Roman"/>
                <w:sz w:val="18"/>
                <w:szCs w:val="18"/>
                <w:lang w:eastAsia="pt-BR"/>
              </w:rPr>
            </w:pPr>
            <w:r w:rsidRPr="71B7BA98">
              <w:rPr>
                <w:rFonts w:eastAsia="Times New Roman" w:cs="Times New Roman"/>
                <w:sz w:val="18"/>
                <w:szCs w:val="18"/>
                <w:lang w:eastAsia="pt-BR"/>
              </w:rPr>
              <w:t>993,2</w:t>
            </w:r>
          </w:p>
        </w:tc>
      </w:tr>
      <w:tr w:rsidR="00C04BE3" w:rsidRPr="002973C7" w14:paraId="2F39A2D0" w14:textId="77777777" w:rsidTr="71B7BA98">
        <w:trPr>
          <w:trHeight w:val="20"/>
          <w:jc w:val="center"/>
        </w:trPr>
        <w:tc>
          <w:tcPr>
            <w:tcW w:w="1218"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7F7F7F" w:themeFill="text1" w:themeFillTint="80"/>
            <w:vAlign w:val="center"/>
          </w:tcPr>
          <w:p w14:paraId="77376542" w14:textId="77777777" w:rsidR="00C04BE3" w:rsidRPr="002973C7" w:rsidRDefault="00C04BE3" w:rsidP="00A07FD1">
            <w:pPr>
              <w:spacing w:after="0" w:line="240" w:lineRule="auto"/>
              <w:rPr>
                <w:rFonts w:eastAsia="Times New Roman" w:cs="Times New Roman"/>
                <w:b/>
                <w:bCs/>
                <w:color w:val="FFFFFF" w:themeColor="background1"/>
                <w:sz w:val="18"/>
                <w:szCs w:val="18"/>
                <w:lang w:eastAsia="pt-BR"/>
              </w:rPr>
            </w:pPr>
            <w:r w:rsidRPr="002973C7">
              <w:rPr>
                <w:rFonts w:eastAsia="Times New Roman" w:cs="Times New Roman"/>
                <w:b/>
                <w:bCs/>
                <w:color w:val="FFFFFF" w:themeColor="background1"/>
                <w:sz w:val="18"/>
                <w:szCs w:val="18"/>
                <w:lang w:eastAsia="pt-BR"/>
              </w:rPr>
              <w:t>Total</w:t>
            </w:r>
          </w:p>
        </w:tc>
        <w:tc>
          <w:tcPr>
            <w:tcW w:w="909" w:type="dxa"/>
            <w:tcBorders>
              <w:top w:val="single" w:sz="4" w:space="0" w:color="BFBFBF" w:themeColor="background1" w:themeShade="BF"/>
              <w:bottom w:val="single" w:sz="4" w:space="0" w:color="BFBFBF" w:themeColor="background1" w:themeShade="BF"/>
            </w:tcBorders>
            <w:shd w:val="clear" w:color="auto" w:fill="7F7F7F" w:themeFill="text1" w:themeFillTint="80"/>
            <w:vAlign w:val="center"/>
          </w:tcPr>
          <w:p w14:paraId="233498B4" w14:textId="70838E40" w:rsidR="00C04BE3" w:rsidRPr="002973C7" w:rsidRDefault="1E9435E4" w:rsidP="00A07FD1">
            <w:pPr>
              <w:spacing w:after="0" w:line="240" w:lineRule="auto"/>
              <w:jc w:val="right"/>
              <w:rPr>
                <w:rFonts w:eastAsia="Times New Roman" w:cs="Times New Roman"/>
                <w:b/>
                <w:bCs/>
                <w:color w:val="FFFFFF" w:themeColor="background1"/>
                <w:sz w:val="18"/>
                <w:szCs w:val="18"/>
                <w:lang w:eastAsia="pt-BR"/>
              </w:rPr>
            </w:pPr>
            <w:r w:rsidRPr="002973C7">
              <w:rPr>
                <w:b/>
                <w:bCs/>
                <w:color w:val="FFFFFF" w:themeColor="background1"/>
                <w:sz w:val="18"/>
                <w:szCs w:val="18"/>
              </w:rPr>
              <w:t>2</w:t>
            </w:r>
            <w:r w:rsidR="38A16FB6" w:rsidRPr="002973C7">
              <w:rPr>
                <w:b/>
                <w:bCs/>
                <w:color w:val="FFFFFF" w:themeColor="background1"/>
                <w:sz w:val="18"/>
                <w:szCs w:val="18"/>
              </w:rPr>
              <w:t>.</w:t>
            </w:r>
            <w:r w:rsidR="0F26B5B7" w:rsidRPr="002973C7">
              <w:rPr>
                <w:b/>
                <w:bCs/>
                <w:color w:val="FFFFFF" w:themeColor="background1"/>
                <w:sz w:val="18"/>
                <w:szCs w:val="18"/>
              </w:rPr>
              <w:t>059,7</w:t>
            </w:r>
          </w:p>
        </w:tc>
        <w:tc>
          <w:tcPr>
            <w:tcW w:w="851" w:type="dxa"/>
            <w:tcBorders>
              <w:top w:val="single" w:sz="4" w:space="0" w:color="BFBFBF" w:themeColor="background1" w:themeShade="BF"/>
              <w:bottom w:val="single" w:sz="4" w:space="0" w:color="BFBFBF" w:themeColor="background1" w:themeShade="BF"/>
            </w:tcBorders>
            <w:shd w:val="clear" w:color="auto" w:fill="7F7F7F" w:themeFill="text1" w:themeFillTint="80"/>
            <w:vAlign w:val="center"/>
          </w:tcPr>
          <w:p w14:paraId="33D2F175" w14:textId="36597618" w:rsidR="00C04BE3" w:rsidRPr="002973C7" w:rsidRDefault="0F26B5B7" w:rsidP="00A07FD1">
            <w:pPr>
              <w:spacing w:after="0" w:line="240" w:lineRule="auto"/>
              <w:jc w:val="right"/>
              <w:rPr>
                <w:rFonts w:eastAsia="Times New Roman" w:cs="Times New Roman"/>
                <w:b/>
                <w:bCs/>
                <w:color w:val="FFFFFF" w:themeColor="background1"/>
                <w:sz w:val="18"/>
                <w:szCs w:val="18"/>
                <w:lang w:eastAsia="pt-BR"/>
              </w:rPr>
            </w:pPr>
            <w:r w:rsidRPr="002973C7">
              <w:rPr>
                <w:rFonts w:eastAsia="Times New Roman" w:cs="Times New Roman"/>
                <w:b/>
                <w:bCs/>
                <w:color w:val="FFFFFF" w:themeColor="background1"/>
                <w:sz w:val="18"/>
                <w:szCs w:val="18"/>
                <w:lang w:eastAsia="pt-BR"/>
              </w:rPr>
              <w:t>3</w:t>
            </w:r>
            <w:r w:rsidR="38A16FB6" w:rsidRPr="002973C7">
              <w:rPr>
                <w:rFonts w:eastAsia="Times New Roman" w:cs="Times New Roman"/>
                <w:b/>
                <w:bCs/>
                <w:color w:val="FFFFFF" w:themeColor="background1"/>
                <w:sz w:val="18"/>
                <w:szCs w:val="18"/>
                <w:lang w:eastAsia="pt-BR"/>
              </w:rPr>
              <w:t>.5</w:t>
            </w:r>
            <w:r w:rsidR="30653C98" w:rsidRPr="002973C7">
              <w:rPr>
                <w:rFonts w:eastAsia="Times New Roman" w:cs="Times New Roman"/>
                <w:b/>
                <w:bCs/>
                <w:color w:val="FFFFFF" w:themeColor="background1"/>
                <w:sz w:val="18"/>
                <w:szCs w:val="18"/>
                <w:lang w:eastAsia="pt-BR"/>
              </w:rPr>
              <w:t>78,2</w:t>
            </w:r>
          </w:p>
        </w:tc>
        <w:tc>
          <w:tcPr>
            <w:tcW w:w="85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tcPr>
          <w:p w14:paraId="3E85D498" w14:textId="0F872A50" w:rsidR="00C04BE3" w:rsidRPr="002973C7" w:rsidRDefault="30653C98" w:rsidP="00A07FD1">
            <w:pPr>
              <w:spacing w:after="0" w:line="240" w:lineRule="auto"/>
              <w:jc w:val="right"/>
              <w:rPr>
                <w:rFonts w:eastAsia="Times New Roman" w:cs="Times New Roman"/>
                <w:b/>
                <w:bCs/>
                <w:color w:val="FFFFFF" w:themeColor="background1"/>
                <w:sz w:val="18"/>
                <w:szCs w:val="18"/>
                <w:lang w:eastAsia="pt-BR"/>
              </w:rPr>
            </w:pPr>
            <w:r w:rsidRPr="002973C7">
              <w:rPr>
                <w:rFonts w:eastAsia="Times New Roman" w:cs="Times New Roman"/>
                <w:b/>
                <w:bCs/>
                <w:color w:val="FFFFFF" w:themeColor="background1"/>
                <w:sz w:val="18"/>
                <w:szCs w:val="18"/>
                <w:lang w:eastAsia="pt-BR"/>
              </w:rPr>
              <w:t>5</w:t>
            </w:r>
            <w:r w:rsidR="38A16FB6" w:rsidRPr="002973C7">
              <w:rPr>
                <w:rFonts w:eastAsia="Times New Roman" w:cs="Times New Roman"/>
                <w:b/>
                <w:bCs/>
                <w:color w:val="FFFFFF" w:themeColor="background1"/>
                <w:sz w:val="18"/>
                <w:szCs w:val="18"/>
                <w:lang w:eastAsia="pt-BR"/>
              </w:rPr>
              <w:t>.</w:t>
            </w:r>
            <w:r w:rsidR="5F7E0400" w:rsidRPr="002973C7">
              <w:rPr>
                <w:rFonts w:eastAsia="Times New Roman" w:cs="Times New Roman"/>
                <w:b/>
                <w:bCs/>
                <w:color w:val="FFFFFF" w:themeColor="background1"/>
                <w:sz w:val="18"/>
                <w:szCs w:val="18"/>
                <w:lang w:eastAsia="pt-BR"/>
              </w:rPr>
              <w:t>025,1</w:t>
            </w:r>
          </w:p>
        </w:tc>
      </w:tr>
      <w:tr w:rsidR="00E54817" w:rsidRPr="00102756" w14:paraId="4CF506A7" w14:textId="77777777" w:rsidTr="71B7BA98">
        <w:trPr>
          <w:trHeight w:val="20"/>
          <w:jc w:val="center"/>
        </w:trPr>
        <w:tc>
          <w:tcPr>
            <w:tcW w:w="3828" w:type="dxa"/>
            <w:gridSpan w:val="4"/>
            <w:tcBorders>
              <w:top w:val="single" w:sz="4" w:space="0" w:color="BFBFBF" w:themeColor="background1" w:themeShade="BF"/>
              <w:left w:val="nil"/>
              <w:bottom w:val="nil"/>
              <w:right w:val="nil"/>
            </w:tcBorders>
            <w:shd w:val="clear" w:color="auto" w:fill="auto"/>
          </w:tcPr>
          <w:p w14:paraId="51B5F7EC" w14:textId="5823E14C" w:rsidR="00E54817" w:rsidRPr="00084CA6" w:rsidRDefault="003F6DDC" w:rsidP="003F6DDC">
            <w:pPr>
              <w:spacing w:after="0" w:line="240" w:lineRule="auto"/>
              <w:rPr>
                <w:rFonts w:eastAsia="Times New Roman" w:cs="Times New Roman"/>
                <w:color w:val="FFFFFF" w:themeColor="background1"/>
                <w:sz w:val="16"/>
                <w:szCs w:val="16"/>
                <w:lang w:eastAsia="pt-BR"/>
              </w:rPr>
            </w:pPr>
            <w:r w:rsidRPr="7120BA48">
              <w:rPr>
                <w:b/>
                <w:i/>
                <w:sz w:val="16"/>
                <w:szCs w:val="16"/>
              </w:rPr>
              <w:t>Fonte e Elaboração</w:t>
            </w:r>
            <w:r w:rsidRPr="7120BA48">
              <w:rPr>
                <w:i/>
                <w:sz w:val="16"/>
                <w:szCs w:val="16"/>
              </w:rPr>
              <w:t>: FNDE</w:t>
            </w:r>
          </w:p>
        </w:tc>
      </w:tr>
    </w:tbl>
    <w:p w14:paraId="7154BC54" w14:textId="77777777" w:rsidR="00F0065E" w:rsidRDefault="00F0065E"/>
    <w:p w14:paraId="19235416" w14:textId="7386FB69" w:rsidR="000D17A6" w:rsidRPr="00A050BC" w:rsidRDefault="000D17A6" w:rsidP="007561AA">
      <w:pPr>
        <w:pStyle w:val="Ttulo3"/>
        <w:keepNext w:val="0"/>
        <w:numPr>
          <w:ilvl w:val="2"/>
          <w:numId w:val="36"/>
        </w:numPr>
        <w:spacing w:before="240" w:after="120"/>
        <w:ind w:left="720" w:hanging="720"/>
        <w:rPr>
          <w:rFonts w:asciiTheme="minorHAnsi" w:hAnsiTheme="minorHAnsi"/>
          <w:b/>
          <w:smallCaps w:val="0"/>
        </w:rPr>
      </w:pPr>
      <w:bookmarkStart w:id="473" w:name="_Toc5012257"/>
      <w:bookmarkStart w:id="474" w:name="_Toc5030503"/>
      <w:bookmarkStart w:id="475" w:name="_Toc5180299"/>
      <w:bookmarkStart w:id="476" w:name="_Toc67318011"/>
      <w:bookmarkStart w:id="477" w:name="_Toc67929665"/>
      <w:bookmarkStart w:id="478" w:name="_Toc69121244"/>
      <w:r w:rsidRPr="0EDB2EA1">
        <w:rPr>
          <w:rFonts w:asciiTheme="minorHAnsi" w:hAnsiTheme="minorHAnsi"/>
          <w:b/>
          <w:smallCaps w:val="0"/>
        </w:rPr>
        <w:t>Sistema Financeiro Nacional</w:t>
      </w:r>
      <w:r w:rsidR="47A9B559" w:rsidRPr="0EDB2EA1">
        <w:rPr>
          <w:rFonts w:asciiTheme="minorHAnsi" w:hAnsiTheme="minorHAnsi"/>
          <w:b/>
          <w:smallCaps w:val="0"/>
        </w:rPr>
        <w:t xml:space="preserve"> </w:t>
      </w:r>
      <w:r w:rsidR="75576C23" w:rsidRPr="6F4BDE0C">
        <w:rPr>
          <w:rFonts w:asciiTheme="minorHAnsi" w:hAnsiTheme="minorHAnsi"/>
          <w:b/>
          <w:smallCaps w:val="0"/>
        </w:rPr>
        <w:t>(SFN)</w:t>
      </w:r>
      <w:bookmarkEnd w:id="473"/>
      <w:bookmarkEnd w:id="474"/>
      <w:bookmarkEnd w:id="475"/>
      <w:bookmarkEnd w:id="476"/>
      <w:bookmarkEnd w:id="477"/>
      <w:bookmarkEnd w:id="478"/>
    </w:p>
    <w:p w14:paraId="6FE70353" w14:textId="7B89E74D" w:rsidR="00EE5D0E" w:rsidRPr="00353D69" w:rsidRDefault="0020418E" w:rsidP="00EE5D0E">
      <w:pPr>
        <w:pStyle w:val="Corpodetexto"/>
        <w:spacing w:line="240" w:lineRule="auto"/>
        <w:ind w:firstLine="1418"/>
        <w:jc w:val="both"/>
        <w:rPr>
          <w:color w:val="000000" w:themeColor="text1"/>
          <w:sz w:val="24"/>
          <w:szCs w:val="24"/>
        </w:rPr>
      </w:pPr>
      <w:r w:rsidRPr="00353D69">
        <w:rPr>
          <w:color w:val="000000" w:themeColor="text1"/>
          <w:sz w:val="24"/>
          <w:szCs w:val="24"/>
        </w:rPr>
        <w:t>Segundo o Banco Central do Brasil (BCB)</w:t>
      </w:r>
      <w:r w:rsidR="000D2826" w:rsidRPr="00353D69">
        <w:rPr>
          <w:color w:val="000000" w:themeColor="text1"/>
          <w:sz w:val="24"/>
          <w:szCs w:val="24"/>
        </w:rPr>
        <w:t xml:space="preserve">, </w:t>
      </w:r>
      <w:r w:rsidR="00EE5D0E" w:rsidRPr="00353D69">
        <w:rPr>
          <w:color w:val="000000" w:themeColor="text1"/>
          <w:sz w:val="24"/>
          <w:szCs w:val="24"/>
        </w:rPr>
        <w:t>os potenciais riscos fiscais que o Sistema Financeiro Nacional (SFN) poderia trazer teria</w:t>
      </w:r>
      <w:r w:rsidR="000739C8">
        <w:rPr>
          <w:color w:val="000000" w:themeColor="text1"/>
          <w:sz w:val="24"/>
          <w:szCs w:val="24"/>
        </w:rPr>
        <w:t>m</w:t>
      </w:r>
      <w:r w:rsidR="00EE5D0E" w:rsidRPr="00353D69">
        <w:rPr>
          <w:color w:val="000000" w:themeColor="text1"/>
          <w:sz w:val="24"/>
          <w:szCs w:val="24"/>
        </w:rPr>
        <w:t xml:space="preserve"> como origem duas fontes:</w:t>
      </w:r>
    </w:p>
    <w:p w14:paraId="0C77858F" w14:textId="785EA118" w:rsidR="00EE5D0E" w:rsidRPr="00353D69" w:rsidRDefault="00EE5D0E" w:rsidP="7B03A1CE">
      <w:pPr>
        <w:pStyle w:val="Corpodetexto"/>
        <w:widowControl w:val="0"/>
        <w:numPr>
          <w:ilvl w:val="0"/>
          <w:numId w:val="9"/>
        </w:numPr>
        <w:autoSpaceDE w:val="0"/>
        <w:autoSpaceDN w:val="0"/>
        <w:spacing w:line="240" w:lineRule="auto"/>
        <w:ind w:left="1775" w:hanging="357"/>
        <w:jc w:val="both"/>
        <w:rPr>
          <w:color w:val="000000" w:themeColor="text1"/>
          <w:sz w:val="24"/>
          <w:szCs w:val="24"/>
        </w:rPr>
      </w:pPr>
      <w:r w:rsidRPr="00353D69">
        <w:rPr>
          <w:color w:val="000000" w:themeColor="text1"/>
          <w:sz w:val="24"/>
          <w:szCs w:val="24"/>
        </w:rPr>
        <w:t xml:space="preserve">Bancos com controle público, cuja análise já teria sido feita em outra seção do relatório; </w:t>
      </w:r>
      <w:proofErr w:type="gramStart"/>
      <w:r w:rsidRPr="00353D69">
        <w:rPr>
          <w:color w:val="000000" w:themeColor="text1"/>
          <w:sz w:val="24"/>
          <w:szCs w:val="24"/>
        </w:rPr>
        <w:t>e</w:t>
      </w:r>
      <w:proofErr w:type="gramEnd"/>
      <w:r w:rsidRPr="00353D69">
        <w:rPr>
          <w:color w:val="000000" w:themeColor="text1"/>
          <w:sz w:val="24"/>
          <w:szCs w:val="24"/>
        </w:rPr>
        <w:t xml:space="preserve"> </w:t>
      </w:r>
    </w:p>
    <w:p w14:paraId="4BE9F4D1" w14:textId="26411637" w:rsidR="00EE5D0E" w:rsidRPr="00353D69" w:rsidRDefault="00EE5D0E" w:rsidP="7B03A1CE">
      <w:pPr>
        <w:pStyle w:val="Corpodetexto"/>
        <w:widowControl w:val="0"/>
        <w:numPr>
          <w:ilvl w:val="0"/>
          <w:numId w:val="9"/>
        </w:numPr>
        <w:autoSpaceDE w:val="0"/>
        <w:autoSpaceDN w:val="0"/>
        <w:spacing w:line="240" w:lineRule="auto"/>
        <w:ind w:left="1775" w:hanging="357"/>
        <w:jc w:val="both"/>
        <w:rPr>
          <w:color w:val="000000" w:themeColor="text1"/>
          <w:sz w:val="24"/>
          <w:szCs w:val="24"/>
        </w:rPr>
      </w:pPr>
      <w:r w:rsidRPr="00353D69">
        <w:rPr>
          <w:color w:val="000000" w:themeColor="text1"/>
          <w:sz w:val="24"/>
          <w:szCs w:val="24"/>
        </w:rPr>
        <w:t>Injeção de dinheiro público em uma instituição sistêmica de controle privado.</w:t>
      </w:r>
    </w:p>
    <w:p w14:paraId="6A778C56" w14:textId="4B1F4853" w:rsidR="00EE5D0E" w:rsidRPr="00353D69" w:rsidRDefault="00EE5D0E" w:rsidP="00EE5D0E">
      <w:pPr>
        <w:pStyle w:val="Corpodetexto"/>
        <w:spacing w:line="240" w:lineRule="auto"/>
        <w:ind w:firstLine="1418"/>
        <w:jc w:val="both"/>
        <w:rPr>
          <w:color w:val="000000" w:themeColor="text1"/>
          <w:sz w:val="24"/>
          <w:szCs w:val="24"/>
        </w:rPr>
      </w:pPr>
      <w:r w:rsidRPr="00353D69">
        <w:rPr>
          <w:color w:val="000000" w:themeColor="text1"/>
          <w:sz w:val="24"/>
          <w:szCs w:val="24"/>
        </w:rPr>
        <w:t xml:space="preserve">Para o segundo caso, não há previsão legal de socorro a bancos com problemas de solvência. De toda sorte, o </w:t>
      </w:r>
      <w:r w:rsidR="001957A8" w:rsidRPr="00353D69">
        <w:rPr>
          <w:color w:val="000000" w:themeColor="text1"/>
          <w:sz w:val="24"/>
          <w:szCs w:val="24"/>
        </w:rPr>
        <w:t>BCB</w:t>
      </w:r>
      <w:r w:rsidRPr="00353D69">
        <w:rPr>
          <w:color w:val="000000" w:themeColor="text1"/>
          <w:sz w:val="24"/>
          <w:szCs w:val="24"/>
        </w:rPr>
        <w:t xml:space="preserve"> publica semestralmente no Relatório de Estabilidade Financeira (REF</w:t>
      </w:r>
      <w:proofErr w:type="gramStart"/>
      <w:r w:rsidRPr="00353D69">
        <w:rPr>
          <w:color w:val="000000" w:themeColor="text1"/>
          <w:sz w:val="24"/>
          <w:szCs w:val="24"/>
        </w:rPr>
        <w:t>)</w:t>
      </w:r>
      <w:proofErr w:type="gramEnd"/>
      <w:r w:rsidR="00AF607A" w:rsidRPr="00353D69">
        <w:rPr>
          <w:rStyle w:val="Refdenotaderodap"/>
          <w:color w:val="000000" w:themeColor="text1"/>
          <w:sz w:val="24"/>
          <w:szCs w:val="24"/>
        </w:rPr>
        <w:footnoteReference w:id="28"/>
      </w:r>
      <w:r w:rsidRPr="00353D69">
        <w:rPr>
          <w:color w:val="000000" w:themeColor="text1"/>
          <w:sz w:val="24"/>
          <w:szCs w:val="24"/>
        </w:rPr>
        <w:t xml:space="preserve"> diversas análises que atestam a estabilidade do Sistema Financeiro. Entre essas análises, </w:t>
      </w:r>
      <w:r w:rsidR="1041EB27" w:rsidRPr="00353D69">
        <w:rPr>
          <w:color w:val="000000" w:themeColor="text1"/>
          <w:sz w:val="24"/>
          <w:szCs w:val="24"/>
        </w:rPr>
        <w:t xml:space="preserve">são </w:t>
      </w:r>
      <w:r w:rsidRPr="00353D69">
        <w:rPr>
          <w:color w:val="000000" w:themeColor="text1"/>
          <w:sz w:val="24"/>
          <w:szCs w:val="24"/>
        </w:rPr>
        <w:t>destaca</w:t>
      </w:r>
      <w:r w:rsidR="49A895E3" w:rsidRPr="00353D69">
        <w:rPr>
          <w:color w:val="000000" w:themeColor="text1"/>
          <w:sz w:val="24"/>
          <w:szCs w:val="24"/>
        </w:rPr>
        <w:t>d</w:t>
      </w:r>
      <w:r w:rsidRPr="00353D69">
        <w:rPr>
          <w:color w:val="000000" w:themeColor="text1"/>
          <w:sz w:val="24"/>
          <w:szCs w:val="24"/>
        </w:rPr>
        <w:t xml:space="preserve">os os rigorosos testes de estresse cujo último resultado, assim como os anteriores, </w:t>
      </w:r>
      <w:proofErr w:type="gramStart"/>
      <w:r w:rsidRPr="00353D69">
        <w:rPr>
          <w:color w:val="000000" w:themeColor="text1"/>
          <w:sz w:val="24"/>
          <w:szCs w:val="24"/>
        </w:rPr>
        <w:t>atestam</w:t>
      </w:r>
      <w:proofErr w:type="gramEnd"/>
      <w:r w:rsidRPr="00353D69">
        <w:rPr>
          <w:color w:val="000000" w:themeColor="text1"/>
          <w:sz w:val="24"/>
          <w:szCs w:val="24"/>
        </w:rPr>
        <w:t xml:space="preserve"> a confortável capacidade do SFN para enfrentar diversas condições adversas simuladas.</w:t>
      </w:r>
    </w:p>
    <w:p w14:paraId="074FA9DE" w14:textId="2D917B6E" w:rsidR="00EE5D0E" w:rsidRPr="00353D69" w:rsidRDefault="00EE5D0E" w:rsidP="00183539">
      <w:pPr>
        <w:pStyle w:val="Corpodetexto"/>
        <w:spacing w:before="240" w:line="240" w:lineRule="auto"/>
        <w:ind w:firstLine="1418"/>
        <w:jc w:val="both"/>
        <w:rPr>
          <w:color w:val="000000" w:themeColor="text1"/>
          <w:sz w:val="24"/>
          <w:szCs w:val="24"/>
        </w:rPr>
      </w:pPr>
      <w:r w:rsidRPr="00353D69">
        <w:rPr>
          <w:color w:val="000000" w:themeColor="text1"/>
          <w:sz w:val="24"/>
          <w:szCs w:val="24"/>
        </w:rPr>
        <w:t xml:space="preserve">Assim, </w:t>
      </w:r>
      <w:r w:rsidR="00610264" w:rsidRPr="00353D69">
        <w:rPr>
          <w:color w:val="000000" w:themeColor="text1"/>
          <w:sz w:val="24"/>
          <w:szCs w:val="24"/>
        </w:rPr>
        <w:t>de acordo com o BCB</w:t>
      </w:r>
      <w:r w:rsidR="00A25306" w:rsidRPr="00353D69">
        <w:rPr>
          <w:color w:val="000000" w:themeColor="text1"/>
          <w:sz w:val="24"/>
          <w:szCs w:val="24"/>
        </w:rPr>
        <w:t xml:space="preserve">, </w:t>
      </w:r>
      <w:r w:rsidRPr="00353D69">
        <w:rPr>
          <w:color w:val="000000" w:themeColor="text1"/>
          <w:sz w:val="24"/>
          <w:szCs w:val="24"/>
        </w:rPr>
        <w:t>não são encontrados problemas de solvência em bancos sistêmicos</w:t>
      </w:r>
      <w:r w:rsidR="7144DAAB" w:rsidRPr="00353D69">
        <w:rPr>
          <w:color w:val="000000" w:themeColor="text1"/>
          <w:sz w:val="24"/>
          <w:szCs w:val="24"/>
        </w:rPr>
        <w:t>,</w:t>
      </w:r>
      <w:r w:rsidRPr="00353D69">
        <w:rPr>
          <w:color w:val="000000" w:themeColor="text1"/>
          <w:sz w:val="24"/>
          <w:szCs w:val="24"/>
        </w:rPr>
        <w:t xml:space="preserve"> mesmo nas condições severas </w:t>
      </w:r>
      <w:r w:rsidR="351A4CFF" w:rsidRPr="00353D69">
        <w:rPr>
          <w:color w:val="000000" w:themeColor="text1"/>
          <w:sz w:val="24"/>
          <w:szCs w:val="24"/>
        </w:rPr>
        <w:t xml:space="preserve">a </w:t>
      </w:r>
      <w:r w:rsidRPr="00353D69">
        <w:rPr>
          <w:color w:val="000000" w:themeColor="text1"/>
          <w:sz w:val="24"/>
          <w:szCs w:val="24"/>
        </w:rPr>
        <w:t xml:space="preserve">que foram simuladas e o risco fiscal proveniente do SFN pode ser considerado </w:t>
      </w:r>
      <w:r w:rsidR="41DE0C2E" w:rsidRPr="00353D69">
        <w:rPr>
          <w:color w:val="000000" w:themeColor="text1"/>
          <w:sz w:val="24"/>
          <w:szCs w:val="24"/>
        </w:rPr>
        <w:t>muito baixo</w:t>
      </w:r>
      <w:r w:rsidRPr="00353D69">
        <w:rPr>
          <w:color w:val="000000" w:themeColor="text1"/>
          <w:sz w:val="24"/>
          <w:szCs w:val="24"/>
        </w:rPr>
        <w:t>.</w:t>
      </w:r>
    </w:p>
    <w:p w14:paraId="6CE1FF6D" w14:textId="77777777" w:rsidR="009D6C1C" w:rsidRDefault="009D6C1C" w:rsidP="00183539">
      <w:pPr>
        <w:pStyle w:val="Corpodetexto"/>
        <w:spacing w:before="240" w:line="240" w:lineRule="auto"/>
        <w:ind w:firstLine="1418"/>
        <w:jc w:val="both"/>
        <w:rPr>
          <w:rFonts w:cstheme="minorHAnsi"/>
          <w:sz w:val="24"/>
          <w:szCs w:val="24"/>
        </w:rPr>
      </w:pPr>
    </w:p>
    <w:p w14:paraId="0DD4549A" w14:textId="66255835" w:rsidR="000D17A6" w:rsidRPr="00467C03" w:rsidRDefault="008646C8" w:rsidP="007561AA">
      <w:pPr>
        <w:pStyle w:val="Ttulo3"/>
        <w:keepNext w:val="0"/>
        <w:numPr>
          <w:ilvl w:val="2"/>
          <w:numId w:val="36"/>
        </w:numPr>
        <w:spacing w:before="240" w:after="120"/>
        <w:ind w:left="720" w:hanging="720"/>
        <w:rPr>
          <w:rFonts w:asciiTheme="minorHAnsi" w:hAnsiTheme="minorHAnsi"/>
          <w:b/>
          <w:smallCaps w:val="0"/>
        </w:rPr>
      </w:pPr>
      <w:bookmarkStart w:id="479" w:name="_Toc67318012"/>
      <w:bookmarkStart w:id="480" w:name="_Toc67929666"/>
      <w:bookmarkStart w:id="481" w:name="_Toc69121245"/>
      <w:r w:rsidRPr="0EDB2EA1">
        <w:rPr>
          <w:rFonts w:asciiTheme="minorHAnsi" w:hAnsiTheme="minorHAnsi"/>
          <w:b/>
          <w:smallCaps w:val="0"/>
        </w:rPr>
        <w:t>Desastres</w:t>
      </w:r>
      <w:bookmarkEnd w:id="479"/>
      <w:bookmarkEnd w:id="480"/>
      <w:bookmarkEnd w:id="481"/>
    </w:p>
    <w:p w14:paraId="05BB60DA" w14:textId="5F296DBF" w:rsidR="00E15A2F" w:rsidRPr="00467C03" w:rsidRDefault="00E15A2F" w:rsidP="00E15A2F">
      <w:pPr>
        <w:pStyle w:val="Corpodetexto"/>
        <w:spacing w:line="240" w:lineRule="auto"/>
        <w:ind w:firstLine="1418"/>
        <w:jc w:val="both"/>
        <w:rPr>
          <w:rFonts w:cstheme="minorHAnsi"/>
          <w:sz w:val="24"/>
          <w:szCs w:val="24"/>
        </w:rPr>
      </w:pPr>
      <w:r w:rsidRPr="00467C03">
        <w:rPr>
          <w:rFonts w:cstheme="minorHAnsi"/>
          <w:sz w:val="24"/>
          <w:szCs w:val="24"/>
        </w:rPr>
        <w:t xml:space="preserve">Os desastres podem causar grandes perdas, a depender da localização geográfica, magnitude e do intervalo de tempo em que tais eventos ocorrem, e impactar significativamente as finanças públicas. Isto porque, na ocorrência de determinados desastres, é comum a expectativa </w:t>
      </w:r>
      <w:proofErr w:type="gramStart"/>
      <w:r w:rsidRPr="00467C03">
        <w:rPr>
          <w:rFonts w:cstheme="minorHAnsi"/>
          <w:sz w:val="24"/>
          <w:szCs w:val="24"/>
        </w:rPr>
        <w:t>de</w:t>
      </w:r>
      <w:proofErr w:type="gramEnd"/>
      <w:r w:rsidRPr="00467C03">
        <w:rPr>
          <w:rFonts w:cstheme="minorHAnsi"/>
          <w:sz w:val="24"/>
          <w:szCs w:val="24"/>
        </w:rPr>
        <w:t xml:space="preserve"> </w:t>
      </w:r>
      <w:proofErr w:type="gramStart"/>
      <w:r w:rsidRPr="00467C03">
        <w:rPr>
          <w:rFonts w:cstheme="minorHAnsi"/>
          <w:sz w:val="24"/>
          <w:szCs w:val="24"/>
        </w:rPr>
        <w:t>que</w:t>
      </w:r>
      <w:proofErr w:type="gramEnd"/>
      <w:r w:rsidRPr="00467C03">
        <w:rPr>
          <w:rFonts w:cstheme="minorHAnsi"/>
          <w:sz w:val="24"/>
          <w:szCs w:val="24"/>
        </w:rPr>
        <w:t xml:space="preserve"> os governos executem ações de mitigação de possíveis impactos, sejam materiais ou não.</w:t>
      </w:r>
    </w:p>
    <w:p w14:paraId="007F3469" w14:textId="0C59154B" w:rsidR="00E15A2F" w:rsidRPr="00467C03" w:rsidRDefault="00E15A2F" w:rsidP="00E15A2F">
      <w:pPr>
        <w:pStyle w:val="Corpodetexto"/>
        <w:spacing w:line="240" w:lineRule="auto"/>
        <w:ind w:firstLine="1418"/>
        <w:jc w:val="both"/>
        <w:rPr>
          <w:rFonts w:cstheme="minorHAnsi"/>
          <w:sz w:val="24"/>
          <w:szCs w:val="24"/>
        </w:rPr>
      </w:pPr>
      <w:r w:rsidRPr="00467C03">
        <w:rPr>
          <w:rFonts w:cstheme="minorHAnsi"/>
          <w:sz w:val="24"/>
          <w:szCs w:val="24"/>
        </w:rPr>
        <w:t xml:space="preserve">Os passivos contingentes de desastres podem ser explícitos, baseados em contratos ou leis, em que há uma previsão legal para o pagamento associado </w:t>
      </w:r>
      <w:r w:rsidR="00E12D70">
        <w:rPr>
          <w:rFonts w:cstheme="minorHAnsi"/>
          <w:sz w:val="24"/>
          <w:szCs w:val="24"/>
        </w:rPr>
        <w:t>à</w:t>
      </w:r>
      <w:r w:rsidRPr="00467C03">
        <w:rPr>
          <w:rFonts w:cstheme="minorHAnsi"/>
          <w:sz w:val="24"/>
          <w:szCs w:val="24"/>
        </w:rPr>
        <w:t xml:space="preserve"> ocorrência de seus riscos, ou implícitos, quando os gastos são realizados em decorrência de expectativa moral da sociedade de que </w:t>
      </w:r>
      <w:r w:rsidRPr="00467C03">
        <w:rPr>
          <w:rFonts w:cstheme="minorHAnsi"/>
          <w:sz w:val="24"/>
          <w:szCs w:val="24"/>
        </w:rPr>
        <w:lastRenderedPageBreak/>
        <w:t>o governo atue, por pressões políticas ou tentativas de acelerar a recuperação econômica da localidade afetada.</w:t>
      </w:r>
    </w:p>
    <w:p w14:paraId="7F8012F9" w14:textId="74DB856C" w:rsidR="002A2671" w:rsidRPr="00467C03" w:rsidRDefault="00E15A2F" w:rsidP="002A2671">
      <w:pPr>
        <w:pStyle w:val="Corpodetexto"/>
        <w:spacing w:line="240" w:lineRule="auto"/>
        <w:ind w:firstLine="1418"/>
        <w:jc w:val="both"/>
        <w:rPr>
          <w:rFonts w:cstheme="minorHAnsi"/>
          <w:sz w:val="24"/>
          <w:szCs w:val="24"/>
        </w:rPr>
      </w:pPr>
      <w:r w:rsidRPr="00467C03">
        <w:rPr>
          <w:rFonts w:cstheme="minorHAnsi"/>
          <w:sz w:val="24"/>
          <w:szCs w:val="24"/>
        </w:rPr>
        <w:t xml:space="preserve">No Brasil, os eventos associados a desastres são, preponderantemente, secas ou excesso de chuvas regionalizadas, principalmente nas regiões Nordeste e Sul. De modo geral, a ocorrência da maioria de tais eventos caracteriza-se por sua repetição ano a ano e pelo seu baixo potencial de constituir impactos </w:t>
      </w:r>
      <w:r w:rsidR="0099539C" w:rsidRPr="00467C03">
        <w:rPr>
          <w:rFonts w:cstheme="minorHAnsi"/>
          <w:sz w:val="24"/>
          <w:szCs w:val="24"/>
        </w:rPr>
        <w:t>fiscais</w:t>
      </w:r>
      <w:r w:rsidRPr="00467C03">
        <w:rPr>
          <w:rFonts w:cstheme="minorHAnsi"/>
          <w:sz w:val="24"/>
          <w:szCs w:val="24"/>
        </w:rPr>
        <w:t xml:space="preserve"> desfavoráveis. </w:t>
      </w:r>
      <w:r w:rsidR="002A2671" w:rsidRPr="00467C03">
        <w:rPr>
          <w:rFonts w:cstheme="minorHAnsi"/>
          <w:sz w:val="24"/>
          <w:szCs w:val="24"/>
        </w:rPr>
        <w:t xml:space="preserve">Entre os anos de 2012 </w:t>
      </w:r>
      <w:r w:rsidR="00F922DA" w:rsidRPr="00467C03">
        <w:rPr>
          <w:rFonts w:cstheme="minorHAnsi"/>
          <w:sz w:val="24"/>
          <w:szCs w:val="24"/>
        </w:rPr>
        <w:t>e</w:t>
      </w:r>
      <w:r w:rsidR="002A2671" w:rsidRPr="00467C03">
        <w:rPr>
          <w:rFonts w:cstheme="minorHAnsi"/>
          <w:sz w:val="24"/>
          <w:szCs w:val="24"/>
        </w:rPr>
        <w:t xml:space="preserve"> </w:t>
      </w:r>
      <w:r w:rsidR="00020344">
        <w:rPr>
          <w:rFonts w:cstheme="minorHAnsi"/>
          <w:sz w:val="24"/>
          <w:szCs w:val="24"/>
        </w:rPr>
        <w:t>2020</w:t>
      </w:r>
      <w:r w:rsidR="002A2671" w:rsidRPr="00467C03">
        <w:rPr>
          <w:rFonts w:cstheme="minorHAnsi"/>
          <w:sz w:val="24"/>
          <w:szCs w:val="24"/>
        </w:rPr>
        <w:t xml:space="preserve"> </w:t>
      </w:r>
      <w:r w:rsidR="002A2671" w:rsidRPr="005B536F">
        <w:rPr>
          <w:rFonts w:cstheme="minorHAnsi"/>
          <w:sz w:val="24"/>
          <w:szCs w:val="24"/>
        </w:rPr>
        <w:t>foram gastos entre 0,0</w:t>
      </w:r>
      <w:r w:rsidR="003130DE" w:rsidRPr="004A6999">
        <w:rPr>
          <w:rFonts w:cstheme="minorHAnsi"/>
          <w:sz w:val="24"/>
          <w:szCs w:val="24"/>
        </w:rPr>
        <w:t>1</w:t>
      </w:r>
      <w:r w:rsidR="002A2671" w:rsidRPr="005B536F">
        <w:rPr>
          <w:rFonts w:cstheme="minorHAnsi"/>
          <w:sz w:val="24"/>
          <w:szCs w:val="24"/>
        </w:rPr>
        <w:t>% e 0,06% do PIB, ao ano</w:t>
      </w:r>
      <w:r w:rsidR="002A2671" w:rsidRPr="00467C03">
        <w:rPr>
          <w:rFonts w:cstheme="minorHAnsi"/>
          <w:sz w:val="24"/>
          <w:szCs w:val="24"/>
        </w:rPr>
        <w:t>, nas ações voltadas a esses eventos, incluindo o planejamento e o controle dos riscos associados</w:t>
      </w:r>
      <w:r w:rsidR="00E8631E">
        <w:rPr>
          <w:rFonts w:cstheme="minorHAnsi"/>
          <w:sz w:val="24"/>
          <w:szCs w:val="24"/>
        </w:rPr>
        <w:t>, conforme</w:t>
      </w:r>
      <w:r w:rsidR="00E8631E">
        <w:t xml:space="preserve"> </w:t>
      </w:r>
      <w:r w:rsidR="0016535D" w:rsidRPr="0016535D">
        <w:rPr>
          <w:sz w:val="24"/>
          <w:szCs w:val="24"/>
        </w:rPr>
        <w:fldChar w:fldCharType="begin"/>
      </w:r>
      <w:r w:rsidR="0016535D" w:rsidRPr="0016535D">
        <w:rPr>
          <w:sz w:val="24"/>
          <w:szCs w:val="24"/>
        </w:rPr>
        <w:instrText xml:space="preserve"> REF _Ref68100785 \h </w:instrText>
      </w:r>
      <w:r w:rsidR="0016535D">
        <w:rPr>
          <w:sz w:val="24"/>
          <w:szCs w:val="24"/>
        </w:rPr>
        <w:instrText xml:space="preserve"> \* MERGEFORMAT </w:instrText>
      </w:r>
      <w:r w:rsidR="0016535D" w:rsidRPr="0016535D">
        <w:rPr>
          <w:sz w:val="24"/>
          <w:szCs w:val="24"/>
        </w:rPr>
      </w:r>
      <w:r w:rsidR="0016535D" w:rsidRPr="0016535D">
        <w:rPr>
          <w:sz w:val="24"/>
          <w:szCs w:val="24"/>
        </w:rPr>
        <w:fldChar w:fldCharType="separate"/>
      </w:r>
      <w:r w:rsidR="00304F5F" w:rsidRPr="00304F5F">
        <w:rPr>
          <w:color w:val="000000" w:themeColor="text1"/>
          <w:sz w:val="24"/>
          <w:szCs w:val="24"/>
        </w:rPr>
        <w:t xml:space="preserve">Tabela </w:t>
      </w:r>
      <w:r w:rsidR="00304F5F" w:rsidRPr="00304F5F">
        <w:rPr>
          <w:noProof/>
          <w:color w:val="000000" w:themeColor="text1"/>
          <w:sz w:val="24"/>
          <w:szCs w:val="24"/>
        </w:rPr>
        <w:t>78</w:t>
      </w:r>
      <w:r w:rsidR="0016535D" w:rsidRPr="0016535D">
        <w:rPr>
          <w:sz w:val="24"/>
          <w:szCs w:val="24"/>
        </w:rPr>
        <w:fldChar w:fldCharType="end"/>
      </w:r>
      <w:r w:rsidR="004A6999" w:rsidRPr="0016535D">
        <w:rPr>
          <w:sz w:val="24"/>
          <w:szCs w:val="24"/>
        </w:rPr>
        <w:t>.</w:t>
      </w:r>
      <w:r w:rsidR="002A2671" w:rsidRPr="00467C03">
        <w:rPr>
          <w:rFonts w:cstheme="minorHAnsi"/>
          <w:sz w:val="24"/>
          <w:szCs w:val="24"/>
        </w:rPr>
        <w:t xml:space="preserve"> Apesar do vasto território do país, o valor destinado aos desastres é relativamente pequeno.</w:t>
      </w:r>
    </w:p>
    <w:p w14:paraId="1E76F748" w14:textId="4E689E6B" w:rsidR="00647A89" w:rsidRPr="000976D5" w:rsidRDefault="005943D6" w:rsidP="000976D5">
      <w:pPr>
        <w:pStyle w:val="TabelaARF"/>
        <w:spacing w:before="240" w:after="120"/>
        <w:jc w:val="center"/>
        <w:rPr>
          <w:rFonts w:cstheme="minorHAnsi"/>
          <w:color w:val="000000" w:themeColor="text1"/>
          <w:sz w:val="24"/>
        </w:rPr>
      </w:pPr>
      <w:bookmarkStart w:id="482" w:name="_Ref68100785"/>
      <w:bookmarkStart w:id="483" w:name="_Toc69121424"/>
      <w:r w:rsidRPr="000976D5">
        <w:rPr>
          <w:color w:val="000000" w:themeColor="text1"/>
        </w:rPr>
        <w:t xml:space="preserve">Tabela </w:t>
      </w:r>
      <w:r w:rsidRPr="000976D5">
        <w:rPr>
          <w:color w:val="000000" w:themeColor="text1"/>
        </w:rPr>
        <w:fldChar w:fldCharType="begin"/>
      </w:r>
      <w:r w:rsidRPr="000976D5">
        <w:rPr>
          <w:szCs w:val="22"/>
        </w:rPr>
        <w:instrText xml:space="preserve"> SEQ Tabela \* ARABIC </w:instrText>
      </w:r>
      <w:r w:rsidRPr="000976D5">
        <w:rPr>
          <w:color w:val="000000" w:themeColor="text1"/>
        </w:rPr>
        <w:fldChar w:fldCharType="separate"/>
      </w:r>
      <w:r w:rsidR="00304F5F">
        <w:rPr>
          <w:noProof/>
          <w:szCs w:val="22"/>
        </w:rPr>
        <w:t>78</w:t>
      </w:r>
      <w:r w:rsidRPr="000976D5">
        <w:rPr>
          <w:color w:val="000000" w:themeColor="text1"/>
        </w:rPr>
        <w:fldChar w:fldCharType="end"/>
      </w:r>
      <w:bookmarkEnd w:id="482"/>
      <w:r w:rsidRPr="000976D5">
        <w:rPr>
          <w:color w:val="000000" w:themeColor="text1"/>
        </w:rPr>
        <w:t xml:space="preserve"> </w:t>
      </w:r>
      <w:r w:rsidR="00FE2A70" w:rsidRPr="000976D5">
        <w:rPr>
          <w:color w:val="000000" w:themeColor="text1"/>
        </w:rPr>
        <w:t>-</w:t>
      </w:r>
      <w:r w:rsidRPr="000976D5">
        <w:rPr>
          <w:color w:val="000000" w:themeColor="text1"/>
        </w:rPr>
        <w:t xml:space="preserve"> </w:t>
      </w:r>
      <w:r w:rsidR="00224D66" w:rsidRPr="000976D5">
        <w:rPr>
          <w:color w:val="000000" w:themeColor="text1"/>
        </w:rPr>
        <w:t>E</w:t>
      </w:r>
      <w:r w:rsidR="0011035B" w:rsidRPr="000976D5">
        <w:rPr>
          <w:color w:val="000000" w:themeColor="text1"/>
        </w:rPr>
        <w:t>xecução</w:t>
      </w:r>
      <w:r w:rsidR="001652E6" w:rsidRPr="000976D5">
        <w:rPr>
          <w:color w:val="000000" w:themeColor="text1"/>
        </w:rPr>
        <w:t xml:space="preserve"> </w:t>
      </w:r>
      <w:r w:rsidR="00112D7D" w:rsidRPr="000976D5">
        <w:rPr>
          <w:color w:val="000000" w:themeColor="text1"/>
        </w:rPr>
        <w:t>orçamentária do</w:t>
      </w:r>
      <w:r w:rsidR="00952C4C" w:rsidRPr="000976D5">
        <w:rPr>
          <w:color w:val="000000" w:themeColor="text1"/>
        </w:rPr>
        <w:t xml:space="preserve"> Programa</w:t>
      </w:r>
      <w:r w:rsidR="00513578" w:rsidRPr="000976D5">
        <w:rPr>
          <w:color w:val="000000" w:themeColor="text1"/>
        </w:rPr>
        <w:t xml:space="preserve"> </w:t>
      </w:r>
      <w:r w:rsidR="00A46C3D" w:rsidRPr="000976D5">
        <w:rPr>
          <w:color w:val="000000" w:themeColor="text1"/>
        </w:rPr>
        <w:t>2218 (</w:t>
      </w:r>
      <w:r w:rsidR="00895247" w:rsidRPr="000976D5">
        <w:rPr>
          <w:color w:val="000000" w:themeColor="text1"/>
        </w:rPr>
        <w:t>antigo</w:t>
      </w:r>
      <w:r w:rsidR="00A46C3D" w:rsidRPr="000976D5">
        <w:rPr>
          <w:color w:val="000000" w:themeColor="text1"/>
        </w:rPr>
        <w:t xml:space="preserve"> </w:t>
      </w:r>
      <w:r w:rsidR="00513578" w:rsidRPr="000976D5">
        <w:rPr>
          <w:color w:val="000000" w:themeColor="text1"/>
        </w:rPr>
        <w:t>2040</w:t>
      </w:r>
      <w:r w:rsidR="00A46C3D" w:rsidRPr="000976D5">
        <w:rPr>
          <w:color w:val="000000" w:themeColor="text1"/>
        </w:rPr>
        <w:t xml:space="preserve">) </w:t>
      </w:r>
      <w:r w:rsidR="00010A73" w:rsidRPr="000976D5">
        <w:rPr>
          <w:color w:val="000000" w:themeColor="text1"/>
        </w:rPr>
        <w:t xml:space="preserve">- </w:t>
      </w:r>
      <w:r w:rsidR="00952C4C" w:rsidRPr="000976D5">
        <w:rPr>
          <w:color w:val="000000" w:themeColor="text1"/>
        </w:rPr>
        <w:t>Gestão de Riscos e</w:t>
      </w:r>
      <w:r w:rsidR="00CB6FC9" w:rsidRPr="000976D5">
        <w:rPr>
          <w:color w:val="000000" w:themeColor="text1"/>
        </w:rPr>
        <w:t xml:space="preserve"> Desastres</w:t>
      </w:r>
      <w:bookmarkEnd w:id="483"/>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550"/>
        <w:gridCol w:w="687"/>
        <w:gridCol w:w="687"/>
        <w:gridCol w:w="687"/>
        <w:gridCol w:w="687"/>
        <w:gridCol w:w="687"/>
        <w:gridCol w:w="687"/>
        <w:gridCol w:w="687"/>
        <w:gridCol w:w="687"/>
        <w:gridCol w:w="687"/>
      </w:tblGrid>
      <w:tr w:rsidR="009B7879" w:rsidRPr="0077661D" w14:paraId="29E69F60" w14:textId="50F60881" w:rsidTr="00793C89">
        <w:trPr>
          <w:trHeight w:val="20"/>
          <w:tblHeader/>
          <w:jc w:val="center"/>
        </w:trPr>
        <w:tc>
          <w:tcPr>
            <w:tcW w:w="0" w:type="auto"/>
            <w:gridSpan w:val="10"/>
            <w:tcBorders>
              <w:top w:val="nil"/>
              <w:left w:val="nil"/>
              <w:bottom w:val="nil"/>
              <w:right w:val="nil"/>
            </w:tcBorders>
            <w:shd w:val="clear" w:color="auto" w:fill="auto"/>
          </w:tcPr>
          <w:p w14:paraId="41C802E1" w14:textId="4B32DDF2" w:rsidR="009B7879" w:rsidRPr="00084CA6" w:rsidRDefault="009B7879" w:rsidP="007924FE">
            <w:pPr>
              <w:spacing w:after="0" w:line="240" w:lineRule="auto"/>
              <w:jc w:val="right"/>
              <w:rPr>
                <w:i/>
                <w:sz w:val="16"/>
                <w:szCs w:val="16"/>
              </w:rPr>
            </w:pPr>
            <w:r w:rsidRPr="00084CA6">
              <w:rPr>
                <w:i/>
                <w:sz w:val="16"/>
                <w:szCs w:val="16"/>
              </w:rPr>
              <w:t xml:space="preserve">Em </w:t>
            </w:r>
            <w:r>
              <w:rPr>
                <w:i/>
                <w:sz w:val="16"/>
                <w:szCs w:val="16"/>
              </w:rPr>
              <w:t xml:space="preserve">R$ </w:t>
            </w:r>
            <w:r w:rsidRPr="00084CA6">
              <w:rPr>
                <w:i/>
                <w:sz w:val="16"/>
                <w:szCs w:val="16"/>
              </w:rPr>
              <w:t>milhões</w:t>
            </w:r>
          </w:p>
        </w:tc>
      </w:tr>
      <w:tr w:rsidR="005943D6" w:rsidRPr="009B7879" w14:paraId="3C351EE7" w14:textId="38A8FF7A" w:rsidTr="00FB7585">
        <w:trPr>
          <w:trHeight w:val="20"/>
          <w:tblHeader/>
          <w:jc w:val="center"/>
        </w:trPr>
        <w:tc>
          <w:tcPr>
            <w:tcW w:w="0" w:type="auto"/>
            <w:tcBorders>
              <w:top w:val="nil"/>
            </w:tcBorders>
            <w:shd w:val="clear" w:color="auto" w:fill="404040" w:themeFill="text1" w:themeFillTint="BF"/>
          </w:tcPr>
          <w:p w14:paraId="0F7CEA83" w14:textId="3DAEC941" w:rsidR="005943D6" w:rsidRPr="009B7879" w:rsidRDefault="000279B3"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 xml:space="preserve">Programa </w:t>
            </w:r>
            <w:r w:rsidR="00D93860" w:rsidRPr="009B7879">
              <w:rPr>
                <w:rFonts w:eastAsia="Times New Roman" w:cs="Times New Roman"/>
                <w:b/>
                <w:bCs/>
                <w:color w:val="FFFFFF" w:themeColor="background1"/>
                <w:sz w:val="20"/>
                <w:szCs w:val="20"/>
                <w:lang w:eastAsia="pt-BR"/>
              </w:rPr>
              <w:t>2</w:t>
            </w:r>
            <w:r w:rsidR="00E9086F" w:rsidRPr="009B7879">
              <w:rPr>
                <w:rFonts w:eastAsia="Times New Roman" w:cs="Times New Roman"/>
                <w:b/>
                <w:bCs/>
                <w:color w:val="FFFFFF" w:themeColor="background1"/>
                <w:sz w:val="20"/>
                <w:szCs w:val="20"/>
                <w:lang w:eastAsia="pt-BR"/>
              </w:rPr>
              <w:t>2</w:t>
            </w:r>
            <w:r w:rsidR="00D93860" w:rsidRPr="009B7879">
              <w:rPr>
                <w:rFonts w:eastAsia="Times New Roman" w:cs="Times New Roman"/>
                <w:b/>
                <w:bCs/>
                <w:color w:val="FFFFFF" w:themeColor="background1"/>
                <w:sz w:val="20"/>
                <w:szCs w:val="20"/>
                <w:lang w:eastAsia="pt-BR"/>
              </w:rPr>
              <w:t xml:space="preserve">18 (antigo </w:t>
            </w:r>
            <w:r w:rsidRPr="009B7879">
              <w:rPr>
                <w:rFonts w:eastAsia="Times New Roman" w:cs="Times New Roman"/>
                <w:b/>
                <w:bCs/>
                <w:color w:val="FFFFFF" w:themeColor="background1"/>
                <w:sz w:val="20"/>
                <w:szCs w:val="20"/>
                <w:lang w:eastAsia="pt-BR"/>
              </w:rPr>
              <w:t>2040</w:t>
            </w:r>
            <w:r w:rsidR="00D93860" w:rsidRPr="009B7879">
              <w:rPr>
                <w:rFonts w:eastAsia="Times New Roman" w:cs="Times New Roman"/>
                <w:b/>
                <w:bCs/>
                <w:color w:val="FFFFFF" w:themeColor="background1"/>
                <w:sz w:val="20"/>
                <w:szCs w:val="20"/>
                <w:lang w:eastAsia="pt-BR"/>
              </w:rPr>
              <w:t>)</w:t>
            </w:r>
          </w:p>
        </w:tc>
        <w:tc>
          <w:tcPr>
            <w:tcW w:w="0" w:type="auto"/>
            <w:tcBorders>
              <w:top w:val="nil"/>
            </w:tcBorders>
            <w:shd w:val="clear" w:color="auto" w:fill="404040" w:themeFill="text1" w:themeFillTint="BF"/>
          </w:tcPr>
          <w:p w14:paraId="463D65C0" w14:textId="0BF41ED3" w:rsidR="005943D6"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2012</w:t>
            </w:r>
          </w:p>
        </w:tc>
        <w:tc>
          <w:tcPr>
            <w:tcW w:w="0" w:type="auto"/>
            <w:tcBorders>
              <w:top w:val="nil"/>
            </w:tcBorders>
            <w:shd w:val="clear" w:color="auto" w:fill="404040" w:themeFill="text1" w:themeFillTint="BF"/>
          </w:tcPr>
          <w:p w14:paraId="3C755F80" w14:textId="29BFD197" w:rsidR="005943D6"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2013</w:t>
            </w:r>
          </w:p>
        </w:tc>
        <w:tc>
          <w:tcPr>
            <w:tcW w:w="0" w:type="auto"/>
            <w:tcBorders>
              <w:top w:val="nil"/>
            </w:tcBorders>
            <w:shd w:val="clear" w:color="auto" w:fill="404040" w:themeFill="text1" w:themeFillTint="BF"/>
          </w:tcPr>
          <w:p w14:paraId="7DDD88CA" w14:textId="199B5BB1" w:rsidR="005943D6"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2014</w:t>
            </w:r>
          </w:p>
        </w:tc>
        <w:tc>
          <w:tcPr>
            <w:tcW w:w="0" w:type="auto"/>
            <w:tcBorders>
              <w:top w:val="nil"/>
            </w:tcBorders>
            <w:shd w:val="clear" w:color="auto" w:fill="404040" w:themeFill="text1" w:themeFillTint="BF"/>
          </w:tcPr>
          <w:p w14:paraId="36D59EAD" w14:textId="6A84E7F5" w:rsidR="005943D6"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2015</w:t>
            </w:r>
          </w:p>
        </w:tc>
        <w:tc>
          <w:tcPr>
            <w:tcW w:w="0" w:type="auto"/>
            <w:tcBorders>
              <w:top w:val="nil"/>
            </w:tcBorders>
            <w:shd w:val="clear" w:color="auto" w:fill="404040" w:themeFill="text1" w:themeFillTint="BF"/>
          </w:tcPr>
          <w:p w14:paraId="487DB638" w14:textId="59F63020" w:rsidR="009E0B44"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2016</w:t>
            </w:r>
          </w:p>
        </w:tc>
        <w:tc>
          <w:tcPr>
            <w:tcW w:w="0" w:type="auto"/>
            <w:tcBorders>
              <w:top w:val="nil"/>
            </w:tcBorders>
            <w:shd w:val="clear" w:color="auto" w:fill="404040" w:themeFill="text1" w:themeFillTint="BF"/>
          </w:tcPr>
          <w:p w14:paraId="1964CC2E" w14:textId="3A90DFCF" w:rsidR="009E0B44"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2017</w:t>
            </w:r>
          </w:p>
        </w:tc>
        <w:tc>
          <w:tcPr>
            <w:tcW w:w="0" w:type="auto"/>
            <w:tcBorders>
              <w:top w:val="nil"/>
            </w:tcBorders>
            <w:shd w:val="clear" w:color="auto" w:fill="404040" w:themeFill="text1" w:themeFillTint="BF"/>
          </w:tcPr>
          <w:p w14:paraId="19C4567E" w14:textId="1EDED090" w:rsidR="009E0B44"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2018</w:t>
            </w:r>
          </w:p>
        </w:tc>
        <w:tc>
          <w:tcPr>
            <w:tcW w:w="0" w:type="auto"/>
            <w:tcBorders>
              <w:top w:val="nil"/>
            </w:tcBorders>
            <w:shd w:val="clear" w:color="auto" w:fill="404040" w:themeFill="text1" w:themeFillTint="BF"/>
          </w:tcPr>
          <w:p w14:paraId="1C36D294" w14:textId="09B6F828" w:rsidR="009E0B44" w:rsidRPr="009B7879" w:rsidRDefault="00E46E77"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2019</w:t>
            </w:r>
          </w:p>
        </w:tc>
        <w:tc>
          <w:tcPr>
            <w:tcW w:w="0" w:type="auto"/>
            <w:tcBorders>
              <w:top w:val="nil"/>
            </w:tcBorders>
            <w:shd w:val="clear" w:color="auto" w:fill="404040" w:themeFill="text1" w:themeFillTint="BF"/>
          </w:tcPr>
          <w:p w14:paraId="4BBC375B" w14:textId="1401150B" w:rsidR="00D93860" w:rsidRPr="009B7879" w:rsidRDefault="00D93860" w:rsidP="007924FE">
            <w:pPr>
              <w:spacing w:after="0" w:line="240" w:lineRule="auto"/>
              <w:jc w:val="center"/>
              <w:rPr>
                <w:rFonts w:eastAsia="Times New Roman" w:cs="Times New Roman"/>
                <w:b/>
                <w:bCs/>
                <w:color w:val="FFFFFF" w:themeColor="background1"/>
                <w:sz w:val="20"/>
                <w:szCs w:val="20"/>
                <w:lang w:eastAsia="pt-BR"/>
              </w:rPr>
            </w:pPr>
            <w:r w:rsidRPr="009B7879">
              <w:rPr>
                <w:rFonts w:eastAsia="Times New Roman" w:cs="Times New Roman"/>
                <w:b/>
                <w:bCs/>
                <w:color w:val="FFFFFF" w:themeColor="background1"/>
                <w:sz w:val="20"/>
                <w:szCs w:val="20"/>
                <w:lang w:eastAsia="pt-BR"/>
              </w:rPr>
              <w:t>2020</w:t>
            </w:r>
          </w:p>
        </w:tc>
      </w:tr>
      <w:tr w:rsidR="005943D6" w:rsidRPr="007F322D" w14:paraId="41D94903" w14:textId="3A9542AC" w:rsidTr="00D26263">
        <w:trPr>
          <w:trHeight w:val="20"/>
          <w:jc w:val="center"/>
        </w:trPr>
        <w:tc>
          <w:tcPr>
            <w:tcW w:w="0" w:type="auto"/>
            <w:shd w:val="clear" w:color="auto" w:fill="F2F2F2" w:themeFill="background1" w:themeFillShade="F2"/>
            <w:vAlign w:val="center"/>
          </w:tcPr>
          <w:p w14:paraId="5CEF4567" w14:textId="6CCEB56C" w:rsidR="005943D6" w:rsidRPr="00485C5C" w:rsidRDefault="00EB6DA7" w:rsidP="00E46E77">
            <w:pPr>
              <w:spacing w:after="0" w:line="240" w:lineRule="auto"/>
              <w:rPr>
                <w:rFonts w:eastAsia="Times New Roman" w:cs="Times New Roman"/>
                <w:sz w:val="18"/>
                <w:szCs w:val="18"/>
                <w:lang w:eastAsia="pt-BR"/>
              </w:rPr>
            </w:pPr>
            <w:r w:rsidRPr="00485C5C">
              <w:rPr>
                <w:rFonts w:eastAsia="Times New Roman" w:cs="Times New Roman"/>
                <w:sz w:val="18"/>
                <w:szCs w:val="18"/>
                <w:lang w:eastAsia="pt-BR"/>
              </w:rPr>
              <w:t xml:space="preserve">Dotação </w:t>
            </w:r>
            <w:r w:rsidR="000A757B" w:rsidRPr="00485C5C">
              <w:rPr>
                <w:rFonts w:eastAsia="Times New Roman" w:cs="Times New Roman"/>
                <w:sz w:val="18"/>
                <w:szCs w:val="18"/>
                <w:lang w:eastAsia="pt-BR"/>
              </w:rPr>
              <w:t>Inicial</w:t>
            </w:r>
          </w:p>
        </w:tc>
        <w:tc>
          <w:tcPr>
            <w:tcW w:w="0" w:type="auto"/>
            <w:shd w:val="clear" w:color="auto" w:fill="F2F2F2" w:themeFill="background1" w:themeFillShade="F2"/>
            <w:vAlign w:val="center"/>
          </w:tcPr>
          <w:p w14:paraId="6246772D" w14:textId="0D060452" w:rsidR="005943D6" w:rsidRPr="00102756" w:rsidRDefault="007C4C68"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2.074,1</w:t>
            </w:r>
          </w:p>
        </w:tc>
        <w:tc>
          <w:tcPr>
            <w:tcW w:w="0" w:type="auto"/>
            <w:shd w:val="clear" w:color="auto" w:fill="F2F2F2" w:themeFill="background1" w:themeFillShade="F2"/>
            <w:vAlign w:val="center"/>
          </w:tcPr>
          <w:p w14:paraId="4456F5BB" w14:textId="0F0EB352" w:rsidR="005943D6" w:rsidRPr="00102756" w:rsidRDefault="009A611F"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2.400,4</w:t>
            </w:r>
          </w:p>
        </w:tc>
        <w:tc>
          <w:tcPr>
            <w:tcW w:w="0" w:type="auto"/>
            <w:shd w:val="clear" w:color="auto" w:fill="F2F2F2" w:themeFill="background1" w:themeFillShade="F2"/>
            <w:vAlign w:val="center"/>
          </w:tcPr>
          <w:p w14:paraId="571DCE7D" w14:textId="1A773F09" w:rsidR="005943D6" w:rsidRPr="00102756" w:rsidRDefault="00023ABE"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2.921,8</w:t>
            </w:r>
          </w:p>
        </w:tc>
        <w:tc>
          <w:tcPr>
            <w:tcW w:w="0" w:type="auto"/>
            <w:shd w:val="clear" w:color="auto" w:fill="F2F2F2" w:themeFill="background1" w:themeFillShade="F2"/>
            <w:vAlign w:val="center"/>
          </w:tcPr>
          <w:p w14:paraId="2D877D29" w14:textId="72286832" w:rsidR="005943D6" w:rsidRPr="003C2F89" w:rsidRDefault="00F03510"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1.721,0</w:t>
            </w:r>
          </w:p>
        </w:tc>
        <w:tc>
          <w:tcPr>
            <w:tcW w:w="0" w:type="auto"/>
            <w:shd w:val="clear" w:color="auto" w:fill="F2F2F2" w:themeFill="background1" w:themeFillShade="F2"/>
            <w:vAlign w:val="center"/>
          </w:tcPr>
          <w:p w14:paraId="046DF3B5" w14:textId="739760F8" w:rsidR="009E0B44" w:rsidRDefault="007C3532"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345,0</w:t>
            </w:r>
          </w:p>
        </w:tc>
        <w:tc>
          <w:tcPr>
            <w:tcW w:w="0" w:type="auto"/>
            <w:shd w:val="clear" w:color="auto" w:fill="F2F2F2" w:themeFill="background1" w:themeFillShade="F2"/>
            <w:vAlign w:val="center"/>
          </w:tcPr>
          <w:p w14:paraId="67031357" w14:textId="2D89451F" w:rsidR="009E0B44" w:rsidRDefault="004D3C2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1.058,5</w:t>
            </w:r>
          </w:p>
        </w:tc>
        <w:tc>
          <w:tcPr>
            <w:tcW w:w="0" w:type="auto"/>
            <w:shd w:val="clear" w:color="auto" w:fill="F2F2F2" w:themeFill="background1" w:themeFillShade="F2"/>
            <w:vAlign w:val="center"/>
          </w:tcPr>
          <w:p w14:paraId="092B0CF9" w14:textId="20CA2106" w:rsidR="009E0B44" w:rsidRDefault="004D3C2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787,6</w:t>
            </w:r>
          </w:p>
        </w:tc>
        <w:tc>
          <w:tcPr>
            <w:tcW w:w="0" w:type="auto"/>
            <w:shd w:val="clear" w:color="auto" w:fill="F2F2F2" w:themeFill="background1" w:themeFillShade="F2"/>
            <w:vAlign w:val="center"/>
          </w:tcPr>
          <w:p w14:paraId="539D51FF" w14:textId="3ECC7EFB" w:rsidR="009E0B44" w:rsidRDefault="004719F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1.103,4</w:t>
            </w:r>
          </w:p>
        </w:tc>
        <w:tc>
          <w:tcPr>
            <w:tcW w:w="0" w:type="auto"/>
            <w:shd w:val="clear" w:color="auto" w:fill="F2F2F2" w:themeFill="background1" w:themeFillShade="F2"/>
          </w:tcPr>
          <w:p w14:paraId="59DCD4EF" w14:textId="0C540E8A" w:rsidR="0075229F" w:rsidRDefault="0075229F"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783,6</w:t>
            </w:r>
          </w:p>
        </w:tc>
      </w:tr>
      <w:tr w:rsidR="00084EF4" w:rsidRPr="007F322D" w14:paraId="4E525C03" w14:textId="549090C5" w:rsidTr="0077661D">
        <w:trPr>
          <w:trHeight w:val="20"/>
          <w:jc w:val="center"/>
        </w:trPr>
        <w:tc>
          <w:tcPr>
            <w:tcW w:w="0" w:type="auto"/>
            <w:shd w:val="clear" w:color="auto" w:fill="FFFFFF" w:themeFill="background1"/>
            <w:vAlign w:val="center"/>
          </w:tcPr>
          <w:p w14:paraId="1BBA0A1F" w14:textId="35F78354" w:rsidR="00CB6FC9" w:rsidRPr="00485C5C" w:rsidRDefault="000A757B" w:rsidP="00E46E77">
            <w:pPr>
              <w:spacing w:after="0" w:line="240" w:lineRule="auto"/>
              <w:rPr>
                <w:rFonts w:eastAsia="Times New Roman" w:cs="Times New Roman"/>
                <w:sz w:val="18"/>
                <w:szCs w:val="18"/>
                <w:lang w:eastAsia="pt-BR"/>
              </w:rPr>
            </w:pPr>
            <w:r w:rsidRPr="00485C5C">
              <w:rPr>
                <w:rFonts w:eastAsia="Times New Roman" w:cs="Times New Roman"/>
                <w:sz w:val="18"/>
                <w:szCs w:val="18"/>
                <w:lang w:eastAsia="pt-BR"/>
              </w:rPr>
              <w:t>Dota</w:t>
            </w:r>
            <w:r w:rsidR="00952C4C" w:rsidRPr="00485C5C">
              <w:rPr>
                <w:rFonts w:eastAsia="Times New Roman" w:cs="Times New Roman"/>
                <w:sz w:val="18"/>
                <w:szCs w:val="18"/>
                <w:lang w:eastAsia="pt-BR"/>
              </w:rPr>
              <w:t>ção</w:t>
            </w:r>
            <w:r w:rsidRPr="00485C5C">
              <w:rPr>
                <w:rFonts w:eastAsia="Times New Roman" w:cs="Times New Roman"/>
                <w:sz w:val="18"/>
                <w:szCs w:val="18"/>
                <w:lang w:eastAsia="pt-BR"/>
              </w:rPr>
              <w:t xml:space="preserve"> Atualizada</w:t>
            </w:r>
          </w:p>
        </w:tc>
        <w:tc>
          <w:tcPr>
            <w:tcW w:w="0" w:type="auto"/>
            <w:shd w:val="clear" w:color="auto" w:fill="FFFFFF" w:themeFill="background1"/>
            <w:vAlign w:val="center"/>
          </w:tcPr>
          <w:p w14:paraId="4B230A2C" w14:textId="10CC31FE" w:rsidR="00CB6FC9" w:rsidRPr="005F6152" w:rsidRDefault="007C4C68"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5.270,8</w:t>
            </w:r>
          </w:p>
        </w:tc>
        <w:tc>
          <w:tcPr>
            <w:tcW w:w="0" w:type="auto"/>
            <w:shd w:val="clear" w:color="auto" w:fill="FFFFFF" w:themeFill="background1"/>
            <w:vAlign w:val="center"/>
          </w:tcPr>
          <w:p w14:paraId="1A4A1BB2" w14:textId="3734FDFB" w:rsidR="00CB6FC9" w:rsidRPr="005F6152" w:rsidRDefault="00023ABE"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6.542,3</w:t>
            </w:r>
          </w:p>
        </w:tc>
        <w:tc>
          <w:tcPr>
            <w:tcW w:w="0" w:type="auto"/>
            <w:shd w:val="clear" w:color="auto" w:fill="FFFFFF" w:themeFill="background1"/>
            <w:vAlign w:val="center"/>
          </w:tcPr>
          <w:p w14:paraId="281529BF" w14:textId="5989628D" w:rsidR="00CB6FC9" w:rsidRPr="001E7327" w:rsidRDefault="00023ABE"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4.398,4</w:t>
            </w:r>
          </w:p>
        </w:tc>
        <w:tc>
          <w:tcPr>
            <w:tcW w:w="0" w:type="auto"/>
            <w:shd w:val="clear" w:color="auto" w:fill="FFFFFF" w:themeFill="background1"/>
            <w:vAlign w:val="center"/>
          </w:tcPr>
          <w:p w14:paraId="4EEF5310" w14:textId="380891BF" w:rsidR="00CB6FC9" w:rsidRDefault="00F03510"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2.928,4</w:t>
            </w:r>
          </w:p>
        </w:tc>
        <w:tc>
          <w:tcPr>
            <w:tcW w:w="0" w:type="auto"/>
            <w:shd w:val="clear" w:color="auto" w:fill="FFFFFF" w:themeFill="background1"/>
            <w:vAlign w:val="center"/>
          </w:tcPr>
          <w:p w14:paraId="41EC4F30" w14:textId="2692B2CB" w:rsidR="009E0B44" w:rsidRDefault="007C3532"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1.8</w:t>
            </w:r>
            <w:r w:rsidR="00A7746D">
              <w:rPr>
                <w:rFonts w:eastAsia="Times New Roman" w:cs="Times New Roman"/>
                <w:sz w:val="18"/>
                <w:szCs w:val="18"/>
                <w:lang w:eastAsia="pt-BR"/>
              </w:rPr>
              <w:t>0</w:t>
            </w:r>
            <w:r>
              <w:rPr>
                <w:rFonts w:eastAsia="Times New Roman" w:cs="Times New Roman"/>
                <w:sz w:val="18"/>
                <w:szCs w:val="18"/>
                <w:lang w:eastAsia="pt-BR"/>
              </w:rPr>
              <w:t>1,4</w:t>
            </w:r>
          </w:p>
        </w:tc>
        <w:tc>
          <w:tcPr>
            <w:tcW w:w="0" w:type="auto"/>
            <w:shd w:val="clear" w:color="auto" w:fill="FFFFFF" w:themeFill="background1"/>
            <w:vAlign w:val="center"/>
          </w:tcPr>
          <w:p w14:paraId="7EA61535" w14:textId="7D6BF595" w:rsidR="009E0B44" w:rsidRDefault="004D3C2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2.072,6</w:t>
            </w:r>
          </w:p>
        </w:tc>
        <w:tc>
          <w:tcPr>
            <w:tcW w:w="0" w:type="auto"/>
            <w:shd w:val="clear" w:color="auto" w:fill="FFFFFF" w:themeFill="background1"/>
            <w:vAlign w:val="center"/>
          </w:tcPr>
          <w:p w14:paraId="21A6ACAC" w14:textId="13497F1E" w:rsidR="009E0B44" w:rsidRDefault="004D3C2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1.777,3</w:t>
            </w:r>
          </w:p>
        </w:tc>
        <w:tc>
          <w:tcPr>
            <w:tcW w:w="0" w:type="auto"/>
            <w:shd w:val="clear" w:color="auto" w:fill="FFFFFF" w:themeFill="background1"/>
            <w:vAlign w:val="center"/>
          </w:tcPr>
          <w:p w14:paraId="123AF9DC" w14:textId="5C03ECA8" w:rsidR="009E0B44" w:rsidRDefault="004719F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1.161,3</w:t>
            </w:r>
          </w:p>
        </w:tc>
        <w:tc>
          <w:tcPr>
            <w:tcW w:w="0" w:type="auto"/>
            <w:shd w:val="clear" w:color="auto" w:fill="FFFFFF" w:themeFill="background1"/>
          </w:tcPr>
          <w:p w14:paraId="64D16E94" w14:textId="46F2D883" w:rsidR="0006474F" w:rsidRDefault="0006474F"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1.886,0</w:t>
            </w:r>
          </w:p>
        </w:tc>
      </w:tr>
      <w:tr w:rsidR="005943D6" w:rsidRPr="007F322D" w14:paraId="30540C72" w14:textId="1F5A8F87" w:rsidTr="0077661D">
        <w:trPr>
          <w:trHeight w:val="20"/>
          <w:jc w:val="center"/>
        </w:trPr>
        <w:tc>
          <w:tcPr>
            <w:tcW w:w="0" w:type="auto"/>
            <w:tcBorders>
              <w:bottom w:val="single" w:sz="4" w:space="0" w:color="BFBFBF" w:themeColor="background1" w:themeShade="BF"/>
            </w:tcBorders>
            <w:shd w:val="clear" w:color="auto" w:fill="F2F2F2" w:themeFill="background1" w:themeFillShade="F2"/>
            <w:vAlign w:val="center"/>
          </w:tcPr>
          <w:p w14:paraId="47D2DDFE" w14:textId="263F44FA" w:rsidR="005943D6" w:rsidRPr="00485C5C" w:rsidRDefault="000A757B" w:rsidP="00E46E77">
            <w:pPr>
              <w:spacing w:after="0" w:line="240" w:lineRule="auto"/>
              <w:rPr>
                <w:rFonts w:eastAsia="Times New Roman" w:cs="Times New Roman"/>
                <w:sz w:val="18"/>
                <w:szCs w:val="18"/>
                <w:lang w:eastAsia="pt-BR"/>
              </w:rPr>
            </w:pPr>
            <w:r w:rsidRPr="00485C5C">
              <w:rPr>
                <w:rFonts w:eastAsia="Times New Roman" w:cs="Times New Roman"/>
                <w:sz w:val="18"/>
                <w:szCs w:val="18"/>
                <w:lang w:eastAsia="pt-BR"/>
              </w:rPr>
              <w:t>P</w:t>
            </w:r>
            <w:r w:rsidR="00B9006E" w:rsidRPr="00485C5C">
              <w:rPr>
                <w:rFonts w:eastAsia="Times New Roman" w:cs="Times New Roman"/>
                <w:sz w:val="18"/>
                <w:szCs w:val="18"/>
                <w:lang w:eastAsia="pt-BR"/>
              </w:rPr>
              <w:t>a</w:t>
            </w:r>
            <w:r w:rsidRPr="00485C5C">
              <w:rPr>
                <w:rFonts w:eastAsia="Times New Roman" w:cs="Times New Roman"/>
                <w:sz w:val="18"/>
                <w:szCs w:val="18"/>
                <w:lang w:eastAsia="pt-BR"/>
              </w:rPr>
              <w:t>g</w:t>
            </w:r>
            <w:r w:rsidR="007F322D" w:rsidRPr="00485C5C">
              <w:rPr>
                <w:rFonts w:eastAsia="Times New Roman" w:cs="Times New Roman"/>
                <w:sz w:val="18"/>
                <w:szCs w:val="18"/>
                <w:lang w:eastAsia="pt-BR"/>
              </w:rPr>
              <w:t>a</w:t>
            </w:r>
            <w:r w:rsidR="00B9006E" w:rsidRPr="00485C5C">
              <w:rPr>
                <w:rFonts w:eastAsia="Times New Roman" w:cs="Times New Roman"/>
                <w:sz w:val="18"/>
                <w:szCs w:val="18"/>
                <w:lang w:eastAsia="pt-BR"/>
              </w:rPr>
              <w:t>mento</w:t>
            </w:r>
            <w:r w:rsidRPr="00485C5C">
              <w:rPr>
                <w:rFonts w:eastAsia="Times New Roman" w:cs="Times New Roman"/>
                <w:sz w:val="18"/>
                <w:szCs w:val="18"/>
                <w:lang w:eastAsia="pt-BR"/>
              </w:rPr>
              <w:t xml:space="preserve"> Total</w:t>
            </w:r>
            <w:r w:rsidR="007E2D08" w:rsidRPr="00485C5C">
              <w:rPr>
                <w:rFonts w:eastAsia="Times New Roman" w:cs="Times New Roman"/>
                <w:sz w:val="18"/>
                <w:szCs w:val="18"/>
                <w:vertAlign w:val="superscript"/>
                <w:lang w:eastAsia="pt-BR"/>
              </w:rPr>
              <w:t xml:space="preserve"> </w:t>
            </w:r>
            <w:proofErr w:type="gramStart"/>
            <w:r w:rsidR="007E2D08" w:rsidRPr="00485C5C">
              <w:rPr>
                <w:rFonts w:eastAsia="Times New Roman" w:cs="Times New Roman"/>
                <w:sz w:val="18"/>
                <w:szCs w:val="18"/>
                <w:vertAlign w:val="superscript"/>
                <w:lang w:eastAsia="pt-BR"/>
              </w:rPr>
              <w:t>1</w:t>
            </w:r>
            <w:proofErr w:type="gramEnd"/>
          </w:p>
        </w:tc>
        <w:tc>
          <w:tcPr>
            <w:tcW w:w="0" w:type="auto"/>
            <w:tcBorders>
              <w:bottom w:val="single" w:sz="4" w:space="0" w:color="BFBFBF" w:themeColor="background1" w:themeShade="BF"/>
            </w:tcBorders>
            <w:shd w:val="clear" w:color="auto" w:fill="F2F2F2" w:themeFill="background1" w:themeFillShade="F2"/>
            <w:vAlign w:val="center"/>
          </w:tcPr>
          <w:p w14:paraId="7F9B344F" w14:textId="479BC22A" w:rsidR="005943D6" w:rsidRPr="00102756" w:rsidRDefault="007C4C68"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1.250,3</w:t>
            </w:r>
          </w:p>
        </w:tc>
        <w:tc>
          <w:tcPr>
            <w:tcW w:w="0" w:type="auto"/>
            <w:tcBorders>
              <w:bottom w:val="single" w:sz="4" w:space="0" w:color="BFBFBF" w:themeColor="background1" w:themeShade="BF"/>
            </w:tcBorders>
            <w:shd w:val="clear" w:color="auto" w:fill="F2F2F2" w:themeFill="background1" w:themeFillShade="F2"/>
            <w:vAlign w:val="center"/>
          </w:tcPr>
          <w:p w14:paraId="0032AF24" w14:textId="46A769FD" w:rsidR="005943D6" w:rsidRPr="00102756" w:rsidRDefault="00023ABE"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3.036,5</w:t>
            </w:r>
          </w:p>
        </w:tc>
        <w:tc>
          <w:tcPr>
            <w:tcW w:w="0" w:type="auto"/>
            <w:tcBorders>
              <w:bottom w:val="single" w:sz="4" w:space="0" w:color="BFBFBF" w:themeColor="background1" w:themeShade="BF"/>
            </w:tcBorders>
            <w:shd w:val="clear" w:color="auto" w:fill="F2F2F2" w:themeFill="background1" w:themeFillShade="F2"/>
            <w:vAlign w:val="center"/>
          </w:tcPr>
          <w:p w14:paraId="3375B60B" w14:textId="29A8AB57" w:rsidR="005943D6" w:rsidRPr="00102756" w:rsidRDefault="00023ABE"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3.038,9</w:t>
            </w:r>
          </w:p>
        </w:tc>
        <w:tc>
          <w:tcPr>
            <w:tcW w:w="0" w:type="auto"/>
            <w:tcBorders>
              <w:bottom w:val="single" w:sz="4" w:space="0" w:color="BFBFBF" w:themeColor="background1" w:themeShade="BF"/>
            </w:tcBorders>
            <w:shd w:val="clear" w:color="auto" w:fill="F2F2F2" w:themeFill="background1" w:themeFillShade="F2"/>
            <w:vAlign w:val="center"/>
          </w:tcPr>
          <w:p w14:paraId="45D5A627" w14:textId="037D0DFD" w:rsidR="005943D6" w:rsidRPr="00AD5585" w:rsidRDefault="00F03510"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1.757,5</w:t>
            </w:r>
          </w:p>
        </w:tc>
        <w:tc>
          <w:tcPr>
            <w:tcW w:w="0" w:type="auto"/>
            <w:tcBorders>
              <w:bottom w:val="single" w:sz="4" w:space="0" w:color="BFBFBF" w:themeColor="background1" w:themeShade="BF"/>
            </w:tcBorders>
            <w:shd w:val="clear" w:color="auto" w:fill="F2F2F2" w:themeFill="background1" w:themeFillShade="F2"/>
            <w:vAlign w:val="center"/>
          </w:tcPr>
          <w:p w14:paraId="5DDBB597" w14:textId="6179E176" w:rsidR="009E0B44" w:rsidRPr="00600A71" w:rsidRDefault="007C3532"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1.938,4</w:t>
            </w:r>
          </w:p>
        </w:tc>
        <w:tc>
          <w:tcPr>
            <w:tcW w:w="0" w:type="auto"/>
            <w:tcBorders>
              <w:bottom w:val="single" w:sz="4" w:space="0" w:color="BFBFBF" w:themeColor="background1" w:themeShade="BF"/>
            </w:tcBorders>
            <w:shd w:val="clear" w:color="auto" w:fill="F2F2F2" w:themeFill="background1" w:themeFillShade="F2"/>
            <w:vAlign w:val="center"/>
          </w:tcPr>
          <w:p w14:paraId="7C379A53" w14:textId="58162959" w:rsidR="009E0B44" w:rsidRPr="00600A71" w:rsidRDefault="004D3C2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1.898,3</w:t>
            </w:r>
          </w:p>
        </w:tc>
        <w:tc>
          <w:tcPr>
            <w:tcW w:w="0" w:type="auto"/>
            <w:tcBorders>
              <w:bottom w:val="single" w:sz="4" w:space="0" w:color="BFBFBF" w:themeColor="background1" w:themeShade="BF"/>
            </w:tcBorders>
            <w:shd w:val="clear" w:color="auto" w:fill="F2F2F2" w:themeFill="background1" w:themeFillShade="F2"/>
            <w:vAlign w:val="center"/>
          </w:tcPr>
          <w:p w14:paraId="50D252C6" w14:textId="74A184EC" w:rsidR="009E0B44" w:rsidRPr="00600A71" w:rsidRDefault="004D3C2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1.623,9</w:t>
            </w:r>
          </w:p>
        </w:tc>
        <w:tc>
          <w:tcPr>
            <w:tcW w:w="0" w:type="auto"/>
            <w:tcBorders>
              <w:bottom w:val="single" w:sz="4" w:space="0" w:color="BFBFBF" w:themeColor="background1" w:themeShade="BF"/>
            </w:tcBorders>
            <w:shd w:val="clear" w:color="auto" w:fill="F2F2F2" w:themeFill="background1" w:themeFillShade="F2"/>
            <w:vAlign w:val="center"/>
          </w:tcPr>
          <w:p w14:paraId="2FBE4581" w14:textId="5F5BFF59" w:rsidR="009E0B44" w:rsidRPr="00600A71" w:rsidRDefault="004719F9"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1.247,7</w:t>
            </w:r>
          </w:p>
        </w:tc>
        <w:tc>
          <w:tcPr>
            <w:tcW w:w="0" w:type="auto"/>
            <w:tcBorders>
              <w:bottom w:val="single" w:sz="4" w:space="0" w:color="BFBFBF" w:themeColor="background1" w:themeShade="BF"/>
            </w:tcBorders>
            <w:shd w:val="clear" w:color="auto" w:fill="F2F2F2" w:themeFill="background1" w:themeFillShade="F2"/>
          </w:tcPr>
          <w:p w14:paraId="7F5EA4E1" w14:textId="7BA3206F" w:rsidR="0006474F" w:rsidRDefault="0006474F"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1.005,</w:t>
            </w:r>
            <w:r w:rsidR="00D90ADA">
              <w:rPr>
                <w:rFonts w:eastAsia="Times New Roman" w:cs="Times New Roman"/>
                <w:sz w:val="18"/>
                <w:szCs w:val="18"/>
                <w:lang w:eastAsia="pt-BR"/>
              </w:rPr>
              <w:t>9</w:t>
            </w:r>
          </w:p>
        </w:tc>
      </w:tr>
      <w:tr w:rsidR="00084EF4" w:rsidRPr="007F322D" w14:paraId="0C874216" w14:textId="345AA053" w:rsidTr="0077661D">
        <w:trPr>
          <w:trHeight w:val="20"/>
          <w:jc w:val="center"/>
        </w:trPr>
        <w:tc>
          <w:tcPr>
            <w:tcW w:w="0" w:type="auto"/>
            <w:tcBorders>
              <w:bottom w:val="single" w:sz="4" w:space="0" w:color="BFBFBF" w:themeColor="background1" w:themeShade="BF"/>
            </w:tcBorders>
            <w:shd w:val="clear" w:color="auto" w:fill="FFFFFF" w:themeFill="background1"/>
            <w:vAlign w:val="center"/>
          </w:tcPr>
          <w:p w14:paraId="236E48EF" w14:textId="1F3A32F8" w:rsidR="005943D6" w:rsidRPr="00485C5C" w:rsidRDefault="00996B33" w:rsidP="00E46E77">
            <w:pPr>
              <w:spacing w:after="0" w:line="240" w:lineRule="auto"/>
              <w:rPr>
                <w:rFonts w:eastAsia="Times New Roman" w:cs="Times New Roman"/>
                <w:sz w:val="18"/>
                <w:szCs w:val="18"/>
                <w:lang w:eastAsia="pt-BR"/>
              </w:rPr>
            </w:pPr>
            <w:r w:rsidRPr="00485C5C">
              <w:rPr>
                <w:rFonts w:eastAsia="Times New Roman" w:cs="Times New Roman"/>
                <w:sz w:val="18"/>
                <w:szCs w:val="18"/>
                <w:lang w:eastAsia="pt-BR"/>
              </w:rPr>
              <w:t>P</w:t>
            </w:r>
            <w:r w:rsidR="00517523" w:rsidRPr="00485C5C">
              <w:rPr>
                <w:rFonts w:eastAsia="Times New Roman" w:cs="Times New Roman"/>
                <w:sz w:val="18"/>
                <w:szCs w:val="18"/>
                <w:lang w:eastAsia="pt-BR"/>
              </w:rPr>
              <w:t>orcentagem do PIB</w:t>
            </w:r>
          </w:p>
        </w:tc>
        <w:tc>
          <w:tcPr>
            <w:tcW w:w="0" w:type="auto"/>
            <w:tcBorders>
              <w:bottom w:val="single" w:sz="4" w:space="0" w:color="BFBFBF" w:themeColor="background1" w:themeShade="BF"/>
            </w:tcBorders>
            <w:shd w:val="clear" w:color="auto" w:fill="FFFFFF" w:themeFill="background1"/>
            <w:vAlign w:val="center"/>
          </w:tcPr>
          <w:p w14:paraId="58F0B24B" w14:textId="1EBAF1FC" w:rsidR="005943D6" w:rsidRPr="0077661D" w:rsidRDefault="007C4C68"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0,03%</w:t>
            </w:r>
          </w:p>
        </w:tc>
        <w:tc>
          <w:tcPr>
            <w:tcW w:w="0" w:type="auto"/>
            <w:tcBorders>
              <w:bottom w:val="single" w:sz="4" w:space="0" w:color="BFBFBF" w:themeColor="background1" w:themeShade="BF"/>
            </w:tcBorders>
            <w:shd w:val="clear" w:color="auto" w:fill="FFFFFF" w:themeFill="background1"/>
            <w:vAlign w:val="center"/>
          </w:tcPr>
          <w:p w14:paraId="24F4CD4D" w14:textId="3E2A6583" w:rsidR="005943D6" w:rsidRPr="0077661D" w:rsidRDefault="00023ABE"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0,06%</w:t>
            </w:r>
          </w:p>
        </w:tc>
        <w:tc>
          <w:tcPr>
            <w:tcW w:w="0" w:type="auto"/>
            <w:tcBorders>
              <w:bottom w:val="single" w:sz="4" w:space="0" w:color="BFBFBF" w:themeColor="background1" w:themeShade="BF"/>
            </w:tcBorders>
            <w:shd w:val="clear" w:color="auto" w:fill="FFFFFF" w:themeFill="background1"/>
            <w:vAlign w:val="center"/>
          </w:tcPr>
          <w:p w14:paraId="5E74C595" w14:textId="25E15E0C" w:rsidR="005943D6" w:rsidRPr="0077661D" w:rsidRDefault="00F03510"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0,05%</w:t>
            </w:r>
          </w:p>
        </w:tc>
        <w:tc>
          <w:tcPr>
            <w:tcW w:w="0" w:type="auto"/>
            <w:tcBorders>
              <w:bottom w:val="single" w:sz="4" w:space="0" w:color="BFBFBF" w:themeColor="background1" w:themeShade="BF"/>
            </w:tcBorders>
            <w:shd w:val="clear" w:color="auto" w:fill="FFFFFF" w:themeFill="background1"/>
            <w:vAlign w:val="center"/>
          </w:tcPr>
          <w:p w14:paraId="40CCD153" w14:textId="74B91C27" w:rsidR="005943D6" w:rsidRPr="0077661D" w:rsidRDefault="00F03510"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0,03</w:t>
            </w:r>
            <w:r w:rsidR="007C3532" w:rsidRPr="0077661D">
              <w:rPr>
                <w:rFonts w:eastAsia="Times New Roman" w:cs="Times New Roman"/>
                <w:sz w:val="18"/>
                <w:szCs w:val="18"/>
                <w:lang w:eastAsia="pt-BR"/>
              </w:rPr>
              <w:t>%</w:t>
            </w:r>
          </w:p>
        </w:tc>
        <w:tc>
          <w:tcPr>
            <w:tcW w:w="0" w:type="auto"/>
            <w:tcBorders>
              <w:bottom w:val="single" w:sz="4" w:space="0" w:color="BFBFBF" w:themeColor="background1" w:themeShade="BF"/>
            </w:tcBorders>
            <w:shd w:val="clear" w:color="auto" w:fill="FFFFFF" w:themeFill="background1"/>
            <w:vAlign w:val="center"/>
          </w:tcPr>
          <w:p w14:paraId="73D86FF9" w14:textId="2E683DAF" w:rsidR="009E0B44" w:rsidRPr="0077661D" w:rsidRDefault="007C3532"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w:t>
            </w:r>
            <w:r w:rsidR="004D3C29" w:rsidRPr="0077661D">
              <w:rPr>
                <w:rFonts w:eastAsia="Times New Roman" w:cs="Times New Roman"/>
                <w:sz w:val="18"/>
                <w:szCs w:val="18"/>
                <w:lang w:eastAsia="pt-BR"/>
              </w:rPr>
              <w:t>3</w:t>
            </w:r>
            <w:r w:rsidRPr="0077661D">
              <w:rPr>
                <w:rFonts w:eastAsia="Times New Roman" w:cs="Times New Roman"/>
                <w:sz w:val="18"/>
                <w:szCs w:val="18"/>
                <w:lang w:eastAsia="pt-BR"/>
              </w:rPr>
              <w:t>%</w:t>
            </w:r>
          </w:p>
        </w:tc>
        <w:tc>
          <w:tcPr>
            <w:tcW w:w="0" w:type="auto"/>
            <w:tcBorders>
              <w:bottom w:val="single" w:sz="4" w:space="0" w:color="BFBFBF" w:themeColor="background1" w:themeShade="BF"/>
            </w:tcBorders>
            <w:shd w:val="clear" w:color="auto" w:fill="FFFFFF" w:themeFill="background1"/>
            <w:vAlign w:val="center"/>
          </w:tcPr>
          <w:p w14:paraId="5126AFCE" w14:textId="05C443EC" w:rsidR="009E0B44" w:rsidRPr="0077661D" w:rsidRDefault="004D3C29"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0,03%</w:t>
            </w:r>
          </w:p>
        </w:tc>
        <w:tc>
          <w:tcPr>
            <w:tcW w:w="0" w:type="auto"/>
            <w:tcBorders>
              <w:bottom w:val="single" w:sz="4" w:space="0" w:color="BFBFBF" w:themeColor="background1" w:themeShade="BF"/>
            </w:tcBorders>
            <w:shd w:val="clear" w:color="auto" w:fill="FFFFFF" w:themeFill="background1"/>
            <w:vAlign w:val="center"/>
          </w:tcPr>
          <w:p w14:paraId="514CAC33" w14:textId="4CD8F2E1" w:rsidR="009E0B44" w:rsidRPr="0077661D" w:rsidRDefault="004D3C29"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0,02%</w:t>
            </w:r>
          </w:p>
        </w:tc>
        <w:tc>
          <w:tcPr>
            <w:tcW w:w="0" w:type="auto"/>
            <w:tcBorders>
              <w:bottom w:val="single" w:sz="4" w:space="0" w:color="BFBFBF" w:themeColor="background1" w:themeShade="BF"/>
            </w:tcBorders>
            <w:shd w:val="clear" w:color="auto" w:fill="FFFFFF" w:themeFill="background1"/>
            <w:vAlign w:val="center"/>
          </w:tcPr>
          <w:p w14:paraId="05770D67" w14:textId="31AB2E08" w:rsidR="009E0B44" w:rsidRPr="0077661D" w:rsidRDefault="004719F9" w:rsidP="007924FE">
            <w:pPr>
              <w:spacing w:after="0" w:line="240" w:lineRule="auto"/>
              <w:jc w:val="right"/>
              <w:rPr>
                <w:rFonts w:eastAsia="Times New Roman" w:cs="Times New Roman"/>
                <w:sz w:val="18"/>
                <w:szCs w:val="18"/>
                <w:lang w:eastAsia="pt-BR"/>
              </w:rPr>
            </w:pPr>
            <w:r w:rsidRPr="0077661D">
              <w:rPr>
                <w:rFonts w:eastAsia="Times New Roman" w:cs="Times New Roman"/>
                <w:sz w:val="18"/>
                <w:szCs w:val="18"/>
                <w:lang w:eastAsia="pt-BR"/>
              </w:rPr>
              <w:t>0,02%</w:t>
            </w:r>
          </w:p>
        </w:tc>
        <w:tc>
          <w:tcPr>
            <w:tcW w:w="0" w:type="auto"/>
            <w:tcBorders>
              <w:bottom w:val="single" w:sz="4" w:space="0" w:color="BFBFBF" w:themeColor="background1" w:themeShade="BF"/>
            </w:tcBorders>
            <w:shd w:val="clear" w:color="auto" w:fill="FFFFFF" w:themeFill="background1"/>
          </w:tcPr>
          <w:p w14:paraId="14860BB2" w14:textId="7D7B580C" w:rsidR="00D90ADA" w:rsidRDefault="00D90ADA" w:rsidP="007924FE">
            <w:pPr>
              <w:spacing w:after="0" w:line="240" w:lineRule="auto"/>
              <w:jc w:val="right"/>
              <w:rPr>
                <w:rFonts w:eastAsia="Times New Roman" w:cs="Times New Roman"/>
                <w:sz w:val="18"/>
                <w:szCs w:val="18"/>
                <w:lang w:eastAsia="pt-BR"/>
              </w:rPr>
            </w:pPr>
            <w:r>
              <w:rPr>
                <w:rFonts w:eastAsia="Times New Roman" w:cs="Times New Roman"/>
                <w:sz w:val="18"/>
                <w:szCs w:val="18"/>
                <w:lang w:eastAsia="pt-BR"/>
              </w:rPr>
              <w:t>0,01%</w:t>
            </w:r>
          </w:p>
        </w:tc>
      </w:tr>
      <w:tr w:rsidR="009B7879" w:rsidRPr="002973C7" w14:paraId="63AADDE8" w14:textId="7665B22B" w:rsidTr="00793C89">
        <w:trPr>
          <w:trHeight w:val="20"/>
          <w:jc w:val="center"/>
        </w:trPr>
        <w:tc>
          <w:tcPr>
            <w:tcW w:w="0" w:type="auto"/>
            <w:gridSpan w:val="10"/>
            <w:tcBorders>
              <w:top w:val="single" w:sz="4" w:space="0" w:color="BFBFBF" w:themeColor="background1" w:themeShade="BF"/>
              <w:left w:val="nil"/>
              <w:bottom w:val="nil"/>
              <w:right w:val="nil"/>
            </w:tcBorders>
            <w:shd w:val="clear" w:color="auto" w:fill="auto"/>
            <w:vAlign w:val="center"/>
          </w:tcPr>
          <w:p w14:paraId="587D9868" w14:textId="77777777" w:rsidR="009B7879" w:rsidRPr="002973C7" w:rsidRDefault="009B7879" w:rsidP="00952C4C">
            <w:pPr>
              <w:spacing w:after="0" w:line="240" w:lineRule="auto"/>
              <w:rPr>
                <w:i/>
                <w:sz w:val="16"/>
                <w:szCs w:val="16"/>
              </w:rPr>
            </w:pPr>
            <w:proofErr w:type="gramStart"/>
            <w:r w:rsidRPr="002973C7">
              <w:rPr>
                <w:i/>
                <w:sz w:val="16"/>
                <w:szCs w:val="16"/>
                <w:vertAlign w:val="superscript"/>
              </w:rPr>
              <w:t>1</w:t>
            </w:r>
            <w:proofErr w:type="gramEnd"/>
            <w:r w:rsidRPr="002973C7">
              <w:rPr>
                <w:i/>
                <w:sz w:val="16"/>
                <w:szCs w:val="16"/>
                <w:vertAlign w:val="superscript"/>
              </w:rPr>
              <w:t xml:space="preserve"> </w:t>
            </w:r>
            <w:r w:rsidRPr="002973C7">
              <w:rPr>
                <w:i/>
                <w:sz w:val="16"/>
                <w:szCs w:val="16"/>
              </w:rPr>
              <w:t>Inclui os pagamentos relativos à Restos a Pagar.</w:t>
            </w:r>
          </w:p>
          <w:p w14:paraId="029CD48B" w14:textId="31383DC3" w:rsidR="009B7879" w:rsidRPr="002973C7" w:rsidRDefault="009B7879" w:rsidP="00952C4C">
            <w:pPr>
              <w:spacing w:after="0" w:line="240" w:lineRule="auto"/>
              <w:rPr>
                <w:i/>
                <w:sz w:val="16"/>
                <w:szCs w:val="16"/>
                <w:vertAlign w:val="superscript"/>
              </w:rPr>
            </w:pPr>
            <w:r w:rsidRPr="002973C7">
              <w:rPr>
                <w:b/>
                <w:i/>
                <w:sz w:val="16"/>
                <w:szCs w:val="16"/>
              </w:rPr>
              <w:t>Fonte</w:t>
            </w:r>
            <w:r w:rsidRPr="002973C7">
              <w:rPr>
                <w:i/>
                <w:sz w:val="16"/>
                <w:szCs w:val="16"/>
              </w:rPr>
              <w:t xml:space="preserve">: SIAFI, IBGE. </w:t>
            </w:r>
            <w:r w:rsidRPr="002973C7">
              <w:rPr>
                <w:b/>
                <w:i/>
                <w:sz w:val="16"/>
                <w:szCs w:val="16"/>
              </w:rPr>
              <w:t>Elaboração</w:t>
            </w:r>
            <w:r w:rsidRPr="002973C7">
              <w:rPr>
                <w:i/>
                <w:sz w:val="16"/>
                <w:szCs w:val="16"/>
              </w:rPr>
              <w:t>: STN/ME.</w:t>
            </w:r>
          </w:p>
        </w:tc>
      </w:tr>
    </w:tbl>
    <w:p w14:paraId="6966CFDF" w14:textId="77777777" w:rsidR="00B91632" w:rsidRPr="002A2671" w:rsidRDefault="00B91632" w:rsidP="00952C4C">
      <w:pPr>
        <w:pStyle w:val="Corpodetexto"/>
        <w:spacing w:line="240" w:lineRule="auto"/>
        <w:jc w:val="both"/>
        <w:rPr>
          <w:rFonts w:cstheme="minorHAnsi"/>
          <w:color w:val="00B050"/>
          <w:sz w:val="24"/>
          <w:szCs w:val="24"/>
        </w:rPr>
      </w:pPr>
    </w:p>
    <w:p w14:paraId="0C618807" w14:textId="39576913" w:rsidR="002A2671" w:rsidRPr="00467C03" w:rsidRDefault="009853C1" w:rsidP="002A2671">
      <w:pPr>
        <w:pStyle w:val="Corpodetexto"/>
        <w:spacing w:line="240" w:lineRule="auto"/>
        <w:ind w:firstLine="1418"/>
        <w:jc w:val="both"/>
        <w:rPr>
          <w:rFonts w:cstheme="minorHAnsi"/>
          <w:sz w:val="24"/>
          <w:szCs w:val="24"/>
        </w:rPr>
      </w:pPr>
      <w:r w:rsidRPr="00467C03">
        <w:rPr>
          <w:rFonts w:cstheme="minorHAnsi"/>
          <w:sz w:val="24"/>
          <w:szCs w:val="24"/>
        </w:rPr>
        <w:t>A União possui</w:t>
      </w:r>
      <w:r w:rsidR="007A119B" w:rsidRPr="00467C03">
        <w:rPr>
          <w:rFonts w:cstheme="minorHAnsi"/>
          <w:sz w:val="24"/>
          <w:szCs w:val="24"/>
        </w:rPr>
        <w:t xml:space="preserve"> o</w:t>
      </w:r>
      <w:r w:rsidR="002A2671" w:rsidRPr="00467C03">
        <w:rPr>
          <w:rFonts w:cstheme="minorHAnsi"/>
          <w:sz w:val="24"/>
          <w:szCs w:val="24"/>
        </w:rPr>
        <w:t xml:space="preserve"> programa de governo Gestão de Riscos e de Desastres, que consta na LOA, voltado essencialmente para ações de prevenção e controle, bem como ações de resposta aos desastres. Este programa é composto de diversas Ações de Governo que objetivam, entre outros:</w:t>
      </w:r>
    </w:p>
    <w:p w14:paraId="4F898282" w14:textId="71E4D7B3" w:rsidR="00E43625" w:rsidRPr="00467C03" w:rsidRDefault="00E43625" w:rsidP="00A55EE7">
      <w:pPr>
        <w:pStyle w:val="Corpodetexto"/>
        <w:numPr>
          <w:ilvl w:val="0"/>
          <w:numId w:val="34"/>
        </w:numPr>
        <w:spacing w:line="240" w:lineRule="auto"/>
        <w:ind w:left="1843"/>
        <w:jc w:val="both"/>
        <w:rPr>
          <w:rFonts w:cstheme="minorHAnsi"/>
          <w:sz w:val="24"/>
          <w:szCs w:val="24"/>
        </w:rPr>
      </w:pPr>
      <w:proofErr w:type="gramStart"/>
      <w:r w:rsidRPr="00467C03">
        <w:rPr>
          <w:rFonts w:cstheme="minorHAnsi"/>
          <w:sz w:val="24"/>
          <w:szCs w:val="24"/>
        </w:rPr>
        <w:t>identificar</w:t>
      </w:r>
      <w:proofErr w:type="gramEnd"/>
      <w:r w:rsidRPr="00467C03">
        <w:rPr>
          <w:rFonts w:cstheme="minorHAnsi"/>
          <w:sz w:val="24"/>
          <w:szCs w:val="24"/>
        </w:rPr>
        <w:t xml:space="preserve"> os riscos de desastres naturais;</w:t>
      </w:r>
    </w:p>
    <w:p w14:paraId="6960925C" w14:textId="79161B86" w:rsidR="00E43625" w:rsidRPr="00467C03" w:rsidRDefault="00E43625" w:rsidP="00A55EE7">
      <w:pPr>
        <w:pStyle w:val="Corpodetexto"/>
        <w:numPr>
          <w:ilvl w:val="0"/>
          <w:numId w:val="34"/>
        </w:numPr>
        <w:spacing w:line="240" w:lineRule="auto"/>
        <w:ind w:left="1843"/>
        <w:jc w:val="both"/>
        <w:rPr>
          <w:rFonts w:cstheme="minorHAnsi"/>
          <w:sz w:val="24"/>
          <w:szCs w:val="24"/>
        </w:rPr>
      </w:pPr>
      <w:proofErr w:type="gramStart"/>
      <w:r w:rsidRPr="00467C03">
        <w:rPr>
          <w:rFonts w:cstheme="minorHAnsi"/>
          <w:sz w:val="24"/>
          <w:szCs w:val="24"/>
        </w:rPr>
        <w:t>apoiar</w:t>
      </w:r>
      <w:proofErr w:type="gramEnd"/>
      <w:r w:rsidRPr="00467C03">
        <w:rPr>
          <w:rFonts w:cstheme="minorHAnsi"/>
          <w:sz w:val="24"/>
          <w:szCs w:val="24"/>
        </w:rPr>
        <w:t xml:space="preserve"> a redução de riscos de desastres naturais em municípios críticos;</w:t>
      </w:r>
    </w:p>
    <w:p w14:paraId="38DBCB28" w14:textId="48BE98E7" w:rsidR="00E43625" w:rsidRPr="00467C03" w:rsidRDefault="00E43625" w:rsidP="00A55EE7">
      <w:pPr>
        <w:pStyle w:val="Corpodetexto"/>
        <w:numPr>
          <w:ilvl w:val="0"/>
          <w:numId w:val="34"/>
        </w:numPr>
        <w:spacing w:line="240" w:lineRule="auto"/>
        <w:ind w:left="1843"/>
        <w:jc w:val="both"/>
        <w:rPr>
          <w:rFonts w:cstheme="minorHAnsi"/>
          <w:sz w:val="24"/>
          <w:szCs w:val="24"/>
        </w:rPr>
      </w:pPr>
      <w:proofErr w:type="gramStart"/>
      <w:r w:rsidRPr="00467C03">
        <w:rPr>
          <w:rFonts w:cstheme="minorHAnsi"/>
          <w:sz w:val="24"/>
          <w:szCs w:val="24"/>
        </w:rPr>
        <w:t>aprimorar</w:t>
      </w:r>
      <w:proofErr w:type="gramEnd"/>
      <w:r w:rsidRPr="00467C03">
        <w:rPr>
          <w:rFonts w:cstheme="minorHAnsi"/>
          <w:sz w:val="24"/>
          <w:szCs w:val="24"/>
        </w:rPr>
        <w:t xml:space="preserve"> a coordenação e a gestão das ações de preparação, prevenção, mitigação, resposta e recuperação para a proteção e defesa civil;</w:t>
      </w:r>
    </w:p>
    <w:p w14:paraId="630DA169" w14:textId="5784A7A9" w:rsidR="00E43625" w:rsidRPr="00467C03" w:rsidRDefault="00E43625" w:rsidP="00A55EE7">
      <w:pPr>
        <w:pStyle w:val="Corpodetexto"/>
        <w:numPr>
          <w:ilvl w:val="0"/>
          <w:numId w:val="34"/>
        </w:numPr>
        <w:spacing w:line="240" w:lineRule="auto"/>
        <w:ind w:left="1843"/>
        <w:jc w:val="both"/>
        <w:rPr>
          <w:rFonts w:cstheme="minorHAnsi"/>
          <w:sz w:val="24"/>
          <w:szCs w:val="24"/>
        </w:rPr>
      </w:pPr>
      <w:proofErr w:type="gramStart"/>
      <w:r w:rsidRPr="00467C03">
        <w:rPr>
          <w:rFonts w:cstheme="minorHAnsi"/>
          <w:sz w:val="24"/>
          <w:szCs w:val="24"/>
        </w:rPr>
        <w:t>monitorar</w:t>
      </w:r>
      <w:proofErr w:type="gramEnd"/>
      <w:r w:rsidRPr="00467C03">
        <w:rPr>
          <w:rFonts w:cstheme="minorHAnsi"/>
          <w:sz w:val="24"/>
          <w:szCs w:val="24"/>
        </w:rPr>
        <w:t xml:space="preserve"> e emitir alerta de desastres naturais;</w:t>
      </w:r>
      <w:r w:rsidR="005B1364" w:rsidRPr="00467C03">
        <w:rPr>
          <w:rFonts w:cstheme="minorHAnsi"/>
          <w:sz w:val="24"/>
          <w:szCs w:val="24"/>
        </w:rPr>
        <w:t xml:space="preserve"> e</w:t>
      </w:r>
    </w:p>
    <w:p w14:paraId="3FBD2778" w14:textId="71FEF68F" w:rsidR="002A2671" w:rsidRPr="00467C03" w:rsidRDefault="00E43625" w:rsidP="00A55EE7">
      <w:pPr>
        <w:pStyle w:val="Corpodetexto"/>
        <w:numPr>
          <w:ilvl w:val="0"/>
          <w:numId w:val="34"/>
        </w:numPr>
        <w:spacing w:line="240" w:lineRule="auto"/>
        <w:ind w:left="1843"/>
        <w:jc w:val="both"/>
        <w:rPr>
          <w:rFonts w:cstheme="minorHAnsi"/>
          <w:sz w:val="24"/>
          <w:szCs w:val="24"/>
        </w:rPr>
      </w:pPr>
      <w:proofErr w:type="gramStart"/>
      <w:r w:rsidRPr="00467C03">
        <w:rPr>
          <w:rFonts w:cstheme="minorHAnsi"/>
          <w:sz w:val="24"/>
          <w:szCs w:val="24"/>
        </w:rPr>
        <w:t>promover</w:t>
      </w:r>
      <w:proofErr w:type="gramEnd"/>
      <w:r w:rsidRPr="00467C03">
        <w:rPr>
          <w:rFonts w:cstheme="minorHAnsi"/>
          <w:sz w:val="24"/>
          <w:szCs w:val="24"/>
        </w:rPr>
        <w:t xml:space="preserve"> ações de resposta para atendimento à população afetada e recuperação de cenários atingidos por desastres, especialmente por meio de recursos financeiros, materiais e logísticos, complementares à ação dos Estados e Municípios.</w:t>
      </w:r>
    </w:p>
    <w:p w14:paraId="56BCE52D" w14:textId="42C50CEF" w:rsidR="00EE6E4C" w:rsidRDefault="00EE6E4C" w:rsidP="00EE6E4C">
      <w:pPr>
        <w:pStyle w:val="Corpodetexto"/>
        <w:spacing w:line="240" w:lineRule="auto"/>
        <w:ind w:firstLine="1418"/>
        <w:jc w:val="both"/>
        <w:rPr>
          <w:rFonts w:cstheme="minorHAnsi"/>
          <w:sz w:val="24"/>
          <w:szCs w:val="24"/>
        </w:rPr>
      </w:pPr>
      <w:r>
        <w:rPr>
          <w:rFonts w:cstheme="minorHAnsi"/>
          <w:sz w:val="24"/>
          <w:szCs w:val="24"/>
        </w:rPr>
        <w:t xml:space="preserve">Ainda que pese a </w:t>
      </w:r>
      <w:r w:rsidRPr="00467C03">
        <w:rPr>
          <w:rFonts w:cstheme="minorHAnsi"/>
          <w:sz w:val="24"/>
          <w:szCs w:val="24"/>
        </w:rPr>
        <w:t>previsão orçamentária de recursos na ação de Defesa Civil no programa de Gestão de Riscos e Desastres</w:t>
      </w:r>
      <w:r>
        <w:rPr>
          <w:rFonts w:cstheme="minorHAnsi"/>
          <w:sz w:val="24"/>
          <w:szCs w:val="24"/>
        </w:rPr>
        <w:t xml:space="preserve">, destaca-se que em </w:t>
      </w:r>
      <w:r w:rsidRPr="00467C03">
        <w:rPr>
          <w:rFonts w:cstheme="minorHAnsi"/>
          <w:sz w:val="24"/>
          <w:szCs w:val="24"/>
        </w:rPr>
        <w:t>situações que demandem ação célere e específica</w:t>
      </w:r>
      <w:r>
        <w:rPr>
          <w:rFonts w:cstheme="minorHAnsi"/>
          <w:sz w:val="24"/>
          <w:szCs w:val="24"/>
        </w:rPr>
        <w:t xml:space="preserve">, é possível </w:t>
      </w:r>
      <w:r w:rsidRPr="00467C03">
        <w:rPr>
          <w:rFonts w:cstheme="minorHAnsi"/>
          <w:sz w:val="24"/>
          <w:szCs w:val="24"/>
        </w:rPr>
        <w:t>ao poder público viabilizar recursos via créditos extraordinários</w:t>
      </w:r>
      <w:r>
        <w:rPr>
          <w:rFonts w:cstheme="minorHAnsi"/>
          <w:sz w:val="24"/>
          <w:szCs w:val="24"/>
        </w:rPr>
        <w:t>.</w:t>
      </w:r>
    </w:p>
    <w:p w14:paraId="576C22B7" w14:textId="77777777" w:rsidR="00BF7256" w:rsidRPr="00467C03" w:rsidRDefault="00BF7256" w:rsidP="009B7879">
      <w:pPr>
        <w:pStyle w:val="Corpodetexto"/>
        <w:spacing w:line="240" w:lineRule="auto"/>
        <w:jc w:val="both"/>
        <w:rPr>
          <w:rFonts w:cstheme="minorHAnsi"/>
          <w:sz w:val="24"/>
          <w:szCs w:val="24"/>
        </w:rPr>
      </w:pPr>
    </w:p>
    <w:p w14:paraId="2262DB22" w14:textId="77777777" w:rsidR="009C1418" w:rsidRPr="005C4822" w:rsidRDefault="009C1418" w:rsidP="007561AA">
      <w:pPr>
        <w:pStyle w:val="Ttulo3"/>
        <w:keepNext w:val="0"/>
        <w:numPr>
          <w:ilvl w:val="2"/>
          <w:numId w:val="36"/>
        </w:numPr>
        <w:spacing w:before="240" w:after="120"/>
        <w:ind w:left="720" w:hanging="720"/>
        <w:rPr>
          <w:rFonts w:asciiTheme="minorHAnsi" w:hAnsiTheme="minorHAnsi"/>
          <w:b/>
          <w:smallCaps w:val="0"/>
        </w:rPr>
      </w:pPr>
      <w:bookmarkStart w:id="484" w:name="_Toc67318013"/>
      <w:bookmarkStart w:id="485" w:name="_Toc67929667"/>
      <w:bookmarkStart w:id="486" w:name="_Toc69121246"/>
      <w:r w:rsidRPr="0EDB2EA1">
        <w:rPr>
          <w:rFonts w:asciiTheme="minorHAnsi" w:hAnsiTheme="minorHAnsi"/>
          <w:b/>
          <w:smallCaps w:val="0"/>
        </w:rPr>
        <w:t>Mudanças Demográficas</w:t>
      </w:r>
      <w:bookmarkEnd w:id="484"/>
      <w:bookmarkEnd w:id="485"/>
      <w:bookmarkEnd w:id="486"/>
    </w:p>
    <w:p w14:paraId="25BE553D" w14:textId="43CE6E2F" w:rsidR="000D17A6" w:rsidRPr="005C4822" w:rsidRDefault="00D167A8" w:rsidP="000454A8">
      <w:pPr>
        <w:pStyle w:val="Default"/>
        <w:spacing w:after="120"/>
        <w:ind w:firstLine="1418"/>
        <w:jc w:val="both"/>
        <w:rPr>
          <w:rFonts w:asciiTheme="minorHAnsi" w:hAnsiTheme="minorHAnsi"/>
          <w:color w:val="auto"/>
        </w:rPr>
      </w:pPr>
      <w:r w:rsidRPr="005C4822">
        <w:rPr>
          <w:rFonts w:asciiTheme="minorHAnsi" w:hAnsiTheme="minorHAnsi"/>
          <w:color w:val="auto"/>
        </w:rPr>
        <w:t xml:space="preserve">Embora o uso do crescimento vegetativo dos benefícios sociais para estimação das despesas seja razoavelmente confiável para as análises de curto prazo, há riscos não negligenciáveis de médio prazo decorrentes do aumento das despesas associados a elementos institucionais e estruturais que nem sempre estão </w:t>
      </w:r>
      <w:proofErr w:type="gramStart"/>
      <w:r w:rsidRPr="005C4822">
        <w:rPr>
          <w:rFonts w:asciiTheme="minorHAnsi" w:hAnsiTheme="minorHAnsi"/>
          <w:color w:val="auto"/>
        </w:rPr>
        <w:t>sob controle</w:t>
      </w:r>
      <w:proofErr w:type="gramEnd"/>
      <w:r w:rsidRPr="005C4822">
        <w:rPr>
          <w:rFonts w:asciiTheme="minorHAnsi" w:hAnsiTheme="minorHAnsi"/>
          <w:color w:val="auto"/>
        </w:rPr>
        <w:t xml:space="preserve"> do Governo. Nas próximas décadas, o Brasil passará por uma profunda modificação de sua estrutura etária, com aumento do número de idosos na população e redução do número de jovens. Tal transformação demográfica impõe desafios às </w:t>
      </w:r>
      <w:r w:rsidRPr="005C4822">
        <w:rPr>
          <w:rFonts w:asciiTheme="minorHAnsi" w:hAnsiTheme="minorHAnsi"/>
          <w:color w:val="auto"/>
        </w:rPr>
        <w:lastRenderedPageBreak/>
        <w:t>políticas públicas, na medida em que influi diretamente sobre a demanda por diferentes formas de atuação estatal.</w:t>
      </w:r>
    </w:p>
    <w:p w14:paraId="11D8CEF8" w14:textId="5798F32B" w:rsidR="000D17A6" w:rsidRPr="005C4822" w:rsidRDefault="00393C2A" w:rsidP="000454A8">
      <w:pPr>
        <w:pStyle w:val="Default"/>
        <w:spacing w:after="120"/>
        <w:ind w:firstLine="1418"/>
        <w:jc w:val="both"/>
        <w:rPr>
          <w:rFonts w:asciiTheme="minorHAnsi" w:hAnsiTheme="minorHAnsi"/>
          <w:color w:val="auto"/>
        </w:rPr>
      </w:pPr>
      <w:r w:rsidRPr="005C4822">
        <w:rPr>
          <w:rFonts w:asciiTheme="minorHAnsi" w:hAnsiTheme="minorHAnsi"/>
          <w:color w:val="auto"/>
        </w:rPr>
        <w:t xml:space="preserve">O caso do Benefício de Prestação Continuada é ilustrativo. Nele, os potenciais efeitos nos gastos oriundos da transformação demográfica, por exemplo, </w:t>
      </w:r>
      <w:proofErr w:type="gramStart"/>
      <w:r w:rsidRPr="005C4822">
        <w:rPr>
          <w:rFonts w:asciiTheme="minorHAnsi" w:hAnsiTheme="minorHAnsi"/>
          <w:color w:val="auto"/>
        </w:rPr>
        <w:t>são</w:t>
      </w:r>
      <w:proofErr w:type="gramEnd"/>
      <w:r w:rsidRPr="005C4822">
        <w:rPr>
          <w:rFonts w:asciiTheme="minorHAnsi" w:hAnsiTheme="minorHAnsi"/>
          <w:color w:val="auto"/>
        </w:rPr>
        <w:t xml:space="preserve"> significativos, o que sugere a necessidade de maior atenção para esse aspecto. O envelhecimento da população brasileira e o aumento da expectativa de sobrevida, aliados ao aumento anual do salário mínimo superior ao aumento da renda média, sugerem que as despesas com o BPC deverão aumentar substancialmente no futuro próximo.</w:t>
      </w:r>
    </w:p>
    <w:p w14:paraId="4588B059" w14:textId="150598D5" w:rsidR="000D17A6" w:rsidRPr="005C4822" w:rsidRDefault="00C57F06" w:rsidP="000454A8">
      <w:pPr>
        <w:pStyle w:val="Default"/>
        <w:spacing w:after="120"/>
        <w:ind w:firstLine="1418"/>
        <w:jc w:val="both"/>
        <w:rPr>
          <w:rFonts w:asciiTheme="minorHAnsi" w:hAnsiTheme="minorHAnsi"/>
          <w:color w:val="auto"/>
        </w:rPr>
      </w:pPr>
      <w:r w:rsidRPr="005C4822">
        <w:rPr>
          <w:rFonts w:asciiTheme="minorHAnsi" w:hAnsiTheme="minorHAnsi"/>
          <w:color w:val="auto"/>
        </w:rPr>
        <w:t>Outra análise significativa pode ser feita em relação aos gastos com Educação e Saúde. Com relação à Educação, tal dinâmica atua de maneira favorável, no sentido de gerar uma menor pressão sobre os gastos, dado que o tamanho da população jovem tem caído não apenas em termos relativos, mas também em termos absolutos. No setor de Saúde, por outro lado, há uma forte pressão para elevação das despesas em decorrência do processo de envelhecimento da população, dado que a população de maior idade demanda proporcionalmente mais serviços de saúde.</w:t>
      </w:r>
    </w:p>
    <w:p w14:paraId="27E21F46" w14:textId="0E258529" w:rsidR="000D17A6" w:rsidRPr="005C4822" w:rsidRDefault="00C66CA1" w:rsidP="000454A8">
      <w:pPr>
        <w:pStyle w:val="Default"/>
        <w:spacing w:after="120"/>
        <w:ind w:firstLine="1418"/>
        <w:jc w:val="both"/>
        <w:rPr>
          <w:rFonts w:asciiTheme="minorHAnsi" w:hAnsiTheme="minorHAnsi"/>
          <w:color w:val="auto"/>
        </w:rPr>
      </w:pPr>
      <w:r w:rsidRPr="005C4822">
        <w:rPr>
          <w:rFonts w:asciiTheme="minorHAnsi" w:hAnsiTheme="minorHAnsi"/>
          <w:color w:val="auto"/>
        </w:rPr>
        <w:t xml:space="preserve">Para estimar o impacto da evolução demográfica nas despesas com saúde, foram considerados os blocos de Assistência Farmacêutica, inclusive Farmácia Popular, e da Atenção de Média e Alta Complexidade (atendimento hospitalares e ambulatoriais). Nas despesas com educação, foram consideradas as chamadas despesas com controle de fluxo, que correspondem, grosso modo, a todas as despesas da área, exceto pessoal ativo e inativo, </w:t>
      </w:r>
      <w:proofErr w:type="spellStart"/>
      <w:r w:rsidRPr="005C4822">
        <w:rPr>
          <w:rFonts w:asciiTheme="minorHAnsi" w:hAnsiTheme="minorHAnsi"/>
          <w:color w:val="auto"/>
        </w:rPr>
        <w:t>Fundeb</w:t>
      </w:r>
      <w:proofErr w:type="spellEnd"/>
      <w:r w:rsidRPr="005C4822">
        <w:rPr>
          <w:rFonts w:asciiTheme="minorHAnsi" w:hAnsiTheme="minorHAnsi"/>
          <w:color w:val="auto"/>
        </w:rPr>
        <w:t xml:space="preserve">, Salário-Educação e o impacto primário do FIES. Somadas, as despesas analisadas alcançaram R$ </w:t>
      </w:r>
      <w:r w:rsidRPr="29670E47">
        <w:rPr>
          <w:rFonts w:asciiTheme="minorHAnsi" w:hAnsiTheme="minorHAnsi"/>
          <w:color w:val="auto"/>
        </w:rPr>
        <w:t>9</w:t>
      </w:r>
      <w:r w:rsidR="7A521763" w:rsidRPr="29670E47">
        <w:rPr>
          <w:rFonts w:asciiTheme="minorHAnsi" w:hAnsiTheme="minorHAnsi"/>
          <w:color w:val="auto"/>
        </w:rPr>
        <w:t>0,1</w:t>
      </w:r>
      <w:r w:rsidRPr="005C4822">
        <w:rPr>
          <w:rFonts w:asciiTheme="minorHAnsi" w:hAnsiTheme="minorHAnsi"/>
          <w:color w:val="auto"/>
        </w:rPr>
        <w:t xml:space="preserve"> bilhões em </w:t>
      </w:r>
      <w:r w:rsidRPr="29670E47">
        <w:rPr>
          <w:rFonts w:asciiTheme="minorHAnsi" w:hAnsiTheme="minorHAnsi"/>
          <w:color w:val="auto"/>
        </w:rPr>
        <w:t>20</w:t>
      </w:r>
      <w:r w:rsidR="7A92DD9F" w:rsidRPr="29670E47">
        <w:rPr>
          <w:rFonts w:asciiTheme="minorHAnsi" w:hAnsiTheme="minorHAnsi"/>
          <w:color w:val="auto"/>
        </w:rPr>
        <w:t>20</w:t>
      </w:r>
      <w:r w:rsidRPr="005C4822">
        <w:rPr>
          <w:rFonts w:asciiTheme="minorHAnsi" w:hAnsiTheme="minorHAnsi"/>
          <w:color w:val="auto"/>
        </w:rPr>
        <w:t>, sendo R$ 62,</w:t>
      </w:r>
      <w:r w:rsidR="02160E19" w:rsidRPr="29670E47">
        <w:rPr>
          <w:rFonts w:asciiTheme="minorHAnsi" w:hAnsiTheme="minorHAnsi"/>
          <w:color w:val="auto"/>
        </w:rPr>
        <w:t>4</w:t>
      </w:r>
      <w:r w:rsidRPr="005C4822">
        <w:rPr>
          <w:rFonts w:asciiTheme="minorHAnsi" w:hAnsiTheme="minorHAnsi"/>
          <w:color w:val="auto"/>
        </w:rPr>
        <w:t xml:space="preserve"> bilhões referentes à saúde e R$ </w:t>
      </w:r>
      <w:r w:rsidRPr="29670E47">
        <w:rPr>
          <w:rFonts w:asciiTheme="minorHAnsi" w:hAnsiTheme="minorHAnsi"/>
          <w:color w:val="auto"/>
        </w:rPr>
        <w:t>2</w:t>
      </w:r>
      <w:r w:rsidR="4B9B0D09" w:rsidRPr="29670E47">
        <w:rPr>
          <w:rFonts w:asciiTheme="minorHAnsi" w:hAnsiTheme="minorHAnsi"/>
          <w:color w:val="auto"/>
        </w:rPr>
        <w:t>7</w:t>
      </w:r>
      <w:r w:rsidRPr="29670E47">
        <w:rPr>
          <w:rFonts w:asciiTheme="minorHAnsi" w:hAnsiTheme="minorHAnsi"/>
          <w:color w:val="auto"/>
        </w:rPr>
        <w:t>,</w:t>
      </w:r>
      <w:r w:rsidR="727DFF92" w:rsidRPr="29670E47">
        <w:rPr>
          <w:rFonts w:asciiTheme="minorHAnsi" w:hAnsiTheme="minorHAnsi"/>
          <w:color w:val="auto"/>
        </w:rPr>
        <w:t>7</w:t>
      </w:r>
      <w:r w:rsidRPr="005C4822">
        <w:rPr>
          <w:rFonts w:asciiTheme="minorHAnsi" w:hAnsiTheme="minorHAnsi"/>
          <w:color w:val="auto"/>
        </w:rPr>
        <w:t xml:space="preserve"> bilhões referentes à educação.</w:t>
      </w:r>
    </w:p>
    <w:p w14:paraId="28D68B36" w14:textId="5A1AB892" w:rsidR="000D17A6" w:rsidRPr="005C4822" w:rsidRDefault="000D17A6" w:rsidP="000454A8">
      <w:pPr>
        <w:pStyle w:val="Default"/>
        <w:spacing w:after="120"/>
        <w:ind w:firstLine="1418"/>
        <w:jc w:val="both"/>
        <w:rPr>
          <w:rFonts w:asciiTheme="minorHAnsi" w:hAnsiTheme="minorHAnsi"/>
          <w:color w:val="auto"/>
        </w:rPr>
      </w:pPr>
      <w:r w:rsidRPr="0EDB2EA1">
        <w:rPr>
          <w:rFonts w:asciiTheme="minorHAnsi" w:hAnsiTheme="minorHAnsi"/>
          <w:color w:val="auto"/>
        </w:rPr>
        <w:t>A</w:t>
      </w:r>
      <w:r w:rsidR="00B76189" w:rsidRPr="0EDB2EA1">
        <w:rPr>
          <w:rFonts w:asciiTheme="minorHAnsi" w:hAnsiTheme="minorHAnsi"/>
          <w:color w:val="auto"/>
        </w:rPr>
        <w:t xml:space="preserve"> </w:t>
      </w:r>
      <w:r w:rsidR="00B76189" w:rsidRPr="0EDB2EA1">
        <w:rPr>
          <w:rFonts w:asciiTheme="minorHAnsi" w:hAnsiTheme="minorHAnsi"/>
          <w:color w:val="auto"/>
        </w:rPr>
        <w:fldChar w:fldCharType="begin"/>
      </w:r>
      <w:r w:rsidR="00B76189" w:rsidRPr="0EDB2EA1">
        <w:rPr>
          <w:rFonts w:asciiTheme="minorHAnsi" w:hAnsiTheme="minorHAnsi"/>
          <w:color w:val="auto"/>
        </w:rPr>
        <w:instrText xml:space="preserve"> REF _Ref5196971 \h  \* MERGEFORMAT </w:instrText>
      </w:r>
      <w:r w:rsidR="00B76189" w:rsidRPr="0EDB2EA1">
        <w:rPr>
          <w:rFonts w:asciiTheme="minorHAnsi" w:hAnsiTheme="minorHAnsi"/>
          <w:color w:val="auto"/>
        </w:rPr>
      </w:r>
      <w:r w:rsidR="00B76189" w:rsidRPr="0EDB2EA1">
        <w:rPr>
          <w:rFonts w:asciiTheme="minorHAnsi" w:hAnsiTheme="minorHAnsi"/>
          <w:color w:val="auto"/>
        </w:rPr>
        <w:fldChar w:fldCharType="separate"/>
      </w:r>
      <w:r w:rsidR="00304F5F" w:rsidRPr="00304F5F">
        <w:rPr>
          <w:rFonts w:asciiTheme="minorHAnsi" w:hAnsiTheme="minorHAnsi"/>
          <w:color w:val="auto"/>
        </w:rPr>
        <w:t>Figura 21</w:t>
      </w:r>
      <w:r w:rsidR="00B76189" w:rsidRPr="0EDB2EA1">
        <w:rPr>
          <w:rFonts w:asciiTheme="minorHAnsi" w:hAnsiTheme="minorHAnsi"/>
          <w:color w:val="auto"/>
        </w:rPr>
        <w:fldChar w:fldCharType="end"/>
      </w:r>
      <w:r w:rsidRPr="0EDB2EA1">
        <w:rPr>
          <w:rFonts w:asciiTheme="minorHAnsi" w:hAnsiTheme="minorHAnsi"/>
          <w:color w:val="auto"/>
        </w:rPr>
        <w:t xml:space="preserve"> </w:t>
      </w:r>
      <w:r w:rsidR="00257C84" w:rsidRPr="0EDB2EA1">
        <w:rPr>
          <w:rFonts w:asciiTheme="minorHAnsi" w:hAnsiTheme="minorHAnsi"/>
          <w:color w:val="auto"/>
        </w:rPr>
        <w:t xml:space="preserve">apresenta estimativa de impacto da evolução demográfica sobre as despesas selecionadas de saúde e educação no período </w:t>
      </w:r>
      <w:r w:rsidR="00257C84" w:rsidRPr="29670E47">
        <w:rPr>
          <w:rFonts w:asciiTheme="minorHAnsi" w:hAnsiTheme="minorHAnsi"/>
          <w:color w:val="auto"/>
        </w:rPr>
        <w:t>202</w:t>
      </w:r>
      <w:r w:rsidR="7C1B7325" w:rsidRPr="29670E47">
        <w:rPr>
          <w:rFonts w:asciiTheme="minorHAnsi" w:hAnsiTheme="minorHAnsi"/>
          <w:color w:val="auto"/>
        </w:rPr>
        <w:t>1</w:t>
      </w:r>
      <w:r w:rsidR="00257C84" w:rsidRPr="0EDB2EA1">
        <w:rPr>
          <w:rFonts w:asciiTheme="minorHAnsi" w:hAnsiTheme="minorHAnsi"/>
          <w:color w:val="auto"/>
        </w:rPr>
        <w:t>-2030. O referido impacto foi mensurado como a diferença entre a projeção das despesas considerando a evolução demográfica da população (crescimento e mudança de composição etária), conforme projeções do</w:t>
      </w:r>
      <w:r w:rsidRPr="0EDB2EA1">
        <w:rPr>
          <w:rFonts w:asciiTheme="minorHAnsi" w:hAnsiTheme="minorHAnsi"/>
          <w:color w:val="auto"/>
        </w:rPr>
        <w:t xml:space="preserve"> IBGE</w:t>
      </w:r>
      <w:r w:rsidRPr="0EDB2EA1">
        <w:rPr>
          <w:rStyle w:val="Refdenotaderodap"/>
          <w:rFonts w:asciiTheme="minorHAnsi" w:hAnsiTheme="minorHAnsi"/>
          <w:color w:val="auto"/>
        </w:rPr>
        <w:footnoteReference w:id="29"/>
      </w:r>
      <w:r w:rsidRPr="0EDB2EA1">
        <w:rPr>
          <w:rFonts w:asciiTheme="minorHAnsi" w:hAnsiTheme="minorHAnsi"/>
          <w:color w:val="auto"/>
        </w:rPr>
        <w:t xml:space="preserve">, </w:t>
      </w:r>
      <w:r w:rsidR="00FB00B5" w:rsidRPr="0EDB2EA1">
        <w:rPr>
          <w:rFonts w:asciiTheme="minorHAnsi" w:hAnsiTheme="minorHAnsi"/>
          <w:color w:val="auto"/>
        </w:rPr>
        <w:t xml:space="preserve">relativamente a um cenário </w:t>
      </w:r>
      <w:proofErr w:type="spellStart"/>
      <w:r w:rsidR="00FB00B5" w:rsidRPr="0EDB2EA1">
        <w:rPr>
          <w:rFonts w:asciiTheme="minorHAnsi" w:hAnsiTheme="minorHAnsi"/>
          <w:color w:val="auto"/>
        </w:rPr>
        <w:t>contrafactual</w:t>
      </w:r>
      <w:proofErr w:type="spellEnd"/>
      <w:r w:rsidR="00FB00B5" w:rsidRPr="0EDB2EA1">
        <w:rPr>
          <w:rFonts w:asciiTheme="minorHAnsi" w:hAnsiTheme="minorHAnsi"/>
          <w:color w:val="auto"/>
        </w:rPr>
        <w:t xml:space="preserve"> em que tamanho e composição da população permanecessem constantes aos níveis de </w:t>
      </w:r>
      <w:r w:rsidR="00FB00B5" w:rsidRPr="29670E47">
        <w:rPr>
          <w:rFonts w:asciiTheme="minorHAnsi" w:hAnsiTheme="minorHAnsi"/>
          <w:color w:val="auto"/>
        </w:rPr>
        <w:t>20</w:t>
      </w:r>
      <w:r w:rsidR="24E6B782" w:rsidRPr="29670E47">
        <w:rPr>
          <w:rFonts w:asciiTheme="minorHAnsi" w:hAnsiTheme="minorHAnsi"/>
          <w:color w:val="auto"/>
        </w:rPr>
        <w:t>20</w:t>
      </w:r>
      <w:r w:rsidR="00FB00B5" w:rsidRPr="29670E47">
        <w:rPr>
          <w:rFonts w:asciiTheme="minorHAnsi" w:hAnsiTheme="minorHAnsi"/>
          <w:color w:val="auto"/>
        </w:rPr>
        <w:t>.</w:t>
      </w:r>
      <w:r w:rsidR="00FB00B5" w:rsidRPr="0EDB2EA1">
        <w:rPr>
          <w:rFonts w:asciiTheme="minorHAnsi" w:hAnsiTheme="minorHAnsi"/>
          <w:color w:val="auto"/>
        </w:rPr>
        <w:t xml:space="preserve"> Tais cenários também assumem como constantes a cobertura atual dos serviços prestados e o nível atual de eficiência na provisão dos serviços.</w:t>
      </w:r>
    </w:p>
    <w:p w14:paraId="389D51ED" w14:textId="7537DB0C" w:rsidR="00345A73" w:rsidRDefault="0029198F" w:rsidP="004B55DB">
      <w:pPr>
        <w:spacing w:after="120"/>
        <w:ind w:firstLine="1416"/>
        <w:jc w:val="both"/>
        <w:rPr>
          <w:rFonts w:eastAsiaTheme="minorEastAsia" w:cs="Calibri"/>
          <w:sz w:val="24"/>
          <w:szCs w:val="24"/>
        </w:rPr>
      </w:pPr>
      <w:r w:rsidRPr="29670E47">
        <w:rPr>
          <w:rFonts w:eastAsiaTheme="minorEastAsia" w:cs="Calibri"/>
          <w:sz w:val="24"/>
          <w:szCs w:val="24"/>
        </w:rPr>
        <w:t>Observa-se que no caso da saúde há uma pressão por expansão (+ R$ 13,</w:t>
      </w:r>
      <w:r w:rsidR="0CDF8978" w:rsidRPr="29670E47">
        <w:rPr>
          <w:rFonts w:eastAsiaTheme="minorEastAsia" w:cs="Calibri"/>
          <w:sz w:val="24"/>
          <w:szCs w:val="24"/>
        </w:rPr>
        <w:t>7</w:t>
      </w:r>
      <w:r w:rsidRPr="29670E47">
        <w:rPr>
          <w:rFonts w:eastAsiaTheme="minorEastAsia" w:cs="Calibri"/>
          <w:sz w:val="24"/>
          <w:szCs w:val="24"/>
        </w:rPr>
        <w:t xml:space="preserve"> bilhões em 2030) das despesas decorrente da evolução demográfica (crescimento e envelhecimento populacionais). Por sua vez, a evolução demográfica diminui a pressão por gastos na educação (- R$ 1,</w:t>
      </w:r>
      <w:r w:rsidR="03B4F7F9" w:rsidRPr="29670E47">
        <w:rPr>
          <w:rFonts w:eastAsiaTheme="minorEastAsia" w:cs="Calibri"/>
          <w:sz w:val="24"/>
          <w:szCs w:val="24"/>
        </w:rPr>
        <w:t>4</w:t>
      </w:r>
      <w:r w:rsidRPr="29670E47">
        <w:rPr>
          <w:rFonts w:eastAsiaTheme="minorEastAsia" w:cs="Calibri"/>
          <w:sz w:val="24"/>
          <w:szCs w:val="24"/>
        </w:rPr>
        <w:t xml:space="preserve"> bilhão em 2030). Como consequência, observa-se, apenas para as despesas consideradas, uma demanda adicional por despesas públicas que </w:t>
      </w:r>
      <w:proofErr w:type="gramStart"/>
      <w:r w:rsidRPr="29670E47">
        <w:rPr>
          <w:rFonts w:eastAsiaTheme="minorEastAsia" w:cs="Calibri"/>
          <w:sz w:val="24"/>
          <w:szCs w:val="24"/>
        </w:rPr>
        <w:t>alcançaria,</w:t>
      </w:r>
      <w:proofErr w:type="gramEnd"/>
      <w:r w:rsidRPr="29670E47">
        <w:rPr>
          <w:rFonts w:eastAsiaTheme="minorEastAsia" w:cs="Calibri"/>
          <w:sz w:val="24"/>
          <w:szCs w:val="24"/>
        </w:rPr>
        <w:t xml:space="preserve"> em 2030, aproximadamente R$ 1</w:t>
      </w:r>
      <w:r w:rsidR="4F00482D" w:rsidRPr="29670E47">
        <w:rPr>
          <w:rFonts w:eastAsiaTheme="minorEastAsia" w:cs="Calibri"/>
          <w:sz w:val="24"/>
          <w:szCs w:val="24"/>
        </w:rPr>
        <w:t>2,4</w:t>
      </w:r>
      <w:r w:rsidRPr="29670E47">
        <w:rPr>
          <w:rFonts w:eastAsiaTheme="minorEastAsia" w:cs="Calibri"/>
          <w:sz w:val="24"/>
          <w:szCs w:val="24"/>
        </w:rPr>
        <w:t xml:space="preserve"> bilhões a preços de 20</w:t>
      </w:r>
      <w:r w:rsidR="6C28F60B" w:rsidRPr="29670E47">
        <w:rPr>
          <w:rFonts w:eastAsiaTheme="minorEastAsia" w:cs="Calibri"/>
          <w:sz w:val="24"/>
          <w:szCs w:val="24"/>
        </w:rPr>
        <w:t>20</w:t>
      </w:r>
      <w:r w:rsidRPr="29670E47">
        <w:rPr>
          <w:rFonts w:eastAsiaTheme="minorEastAsia" w:cs="Calibri"/>
          <w:sz w:val="24"/>
          <w:szCs w:val="24"/>
        </w:rPr>
        <w:t xml:space="preserve">. </w:t>
      </w:r>
      <w:r w:rsidR="2E038383" w:rsidRPr="29670E47">
        <w:rPr>
          <w:rFonts w:eastAsiaTheme="minorEastAsia" w:cs="Calibri"/>
          <w:sz w:val="24"/>
          <w:szCs w:val="24"/>
        </w:rPr>
        <w:t>Tal cifra representa 13,4% do valor despendido em 2020 nos mesmos programas.</w:t>
      </w:r>
    </w:p>
    <w:p w14:paraId="24B192E8" w14:textId="768ABB11" w:rsidR="00344584" w:rsidRPr="009D02A2" w:rsidRDefault="00344584" w:rsidP="00344584">
      <w:pPr>
        <w:spacing w:before="240" w:after="120" w:line="240" w:lineRule="auto"/>
        <w:ind w:firstLine="1418"/>
        <w:jc w:val="both"/>
      </w:pPr>
      <w:bookmarkStart w:id="487" w:name="_Ref5196971"/>
      <w:bookmarkStart w:id="488" w:name="_Toc5012806"/>
      <w:bookmarkStart w:id="489" w:name="_Toc69121346"/>
      <w:r w:rsidRPr="00C37B57">
        <w:rPr>
          <w:iCs/>
        </w:rPr>
        <w:t xml:space="preserve">Figura </w:t>
      </w:r>
      <w:r w:rsidRPr="00C37B57">
        <w:rPr>
          <w:iCs/>
        </w:rPr>
        <w:fldChar w:fldCharType="begin"/>
      </w:r>
      <w:r w:rsidRPr="00C37B57">
        <w:rPr>
          <w:iCs/>
        </w:rPr>
        <w:instrText xml:space="preserve"> SEQ Figura \* ARABIC </w:instrText>
      </w:r>
      <w:r w:rsidRPr="00C37B57">
        <w:rPr>
          <w:iCs/>
        </w:rPr>
        <w:fldChar w:fldCharType="separate"/>
      </w:r>
      <w:r w:rsidR="00304F5F">
        <w:rPr>
          <w:iCs/>
          <w:noProof/>
        </w:rPr>
        <w:t>21</w:t>
      </w:r>
      <w:r w:rsidRPr="00C37B57">
        <w:rPr>
          <w:iCs/>
        </w:rPr>
        <w:fldChar w:fldCharType="end"/>
      </w:r>
      <w:bookmarkEnd w:id="487"/>
      <w:r w:rsidRPr="00C37B57">
        <w:rPr>
          <w:iCs/>
        </w:rPr>
        <w:t xml:space="preserve"> - Impacto demográfico sobre despesas selecionadas de saúde e educação</w:t>
      </w:r>
      <w:bookmarkEnd w:id="488"/>
      <w:bookmarkEnd w:id="489"/>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tblGrid>
      <w:tr w:rsidR="009D02A2" w:rsidRPr="009D02A2" w14:paraId="7C60056B" w14:textId="77777777" w:rsidTr="27AD6346">
        <w:trPr>
          <w:jc w:val="center"/>
        </w:trPr>
        <w:tc>
          <w:tcPr>
            <w:tcW w:w="0" w:type="auto"/>
          </w:tcPr>
          <w:p w14:paraId="17F06504" w14:textId="293EB62E" w:rsidR="00775634" w:rsidRPr="009D02A2" w:rsidRDefault="00775634" w:rsidP="00775634">
            <w:pPr>
              <w:pStyle w:val="Default"/>
              <w:jc w:val="both"/>
              <w:rPr>
                <w:rFonts w:asciiTheme="minorHAnsi" w:hAnsiTheme="minorHAnsi"/>
                <w:color w:val="FF0000"/>
                <w:sz w:val="2"/>
                <w:szCs w:val="2"/>
              </w:rPr>
            </w:pPr>
          </w:p>
        </w:tc>
      </w:tr>
      <w:tr w:rsidR="00775634" w:rsidRPr="009D02A2" w14:paraId="09BEFFF6" w14:textId="77777777" w:rsidTr="27AD6346">
        <w:trPr>
          <w:jc w:val="center"/>
        </w:trPr>
        <w:tc>
          <w:tcPr>
            <w:tcW w:w="0" w:type="auto"/>
          </w:tcPr>
          <w:p w14:paraId="0ABCD834" w14:textId="22924103" w:rsidR="00775634" w:rsidRPr="00DA7BB2" w:rsidRDefault="00775634" w:rsidP="00775634">
            <w:pPr>
              <w:pStyle w:val="Default"/>
              <w:jc w:val="both"/>
              <w:rPr>
                <w:rFonts w:asciiTheme="minorHAnsi" w:hAnsiTheme="minorHAnsi"/>
                <w:i/>
                <w:iCs/>
                <w:color w:val="FF0000"/>
                <w:sz w:val="16"/>
                <w:szCs w:val="16"/>
              </w:rPr>
            </w:pPr>
          </w:p>
        </w:tc>
      </w:tr>
    </w:tbl>
    <w:p w14:paraId="7F6E3543" w14:textId="77777777" w:rsidR="00775634" w:rsidRPr="009D02A2" w:rsidRDefault="00775634" w:rsidP="003B518A">
      <w:pPr>
        <w:pStyle w:val="Default"/>
        <w:spacing w:after="120"/>
        <w:jc w:val="both"/>
        <w:rPr>
          <w:rFonts w:asciiTheme="minorHAnsi" w:hAnsiTheme="minorHAnsi"/>
          <w:color w:val="FF0000"/>
          <w:sz w:val="23"/>
          <w:szCs w:val="23"/>
        </w:rPr>
      </w:pPr>
    </w:p>
    <w:p w14:paraId="67E65B59" w14:textId="77777777" w:rsidR="00BD648B" w:rsidRDefault="0069082F" w:rsidP="00BD648B">
      <w:pPr>
        <w:keepNext/>
        <w:spacing w:after="120" w:line="240" w:lineRule="auto"/>
        <w:jc w:val="center"/>
      </w:pPr>
      <w:r>
        <w:rPr>
          <w:noProof/>
          <w:lang w:eastAsia="pt-BR"/>
        </w:rPr>
        <w:lastRenderedPageBreak/>
        <w:drawing>
          <wp:inline distT="0" distB="0" distL="0" distR="0" wp14:anchorId="6831F34D" wp14:editId="5F4FCB1B">
            <wp:extent cx="4568190" cy="2628900"/>
            <wp:effectExtent l="0" t="0" r="3810" b="0"/>
            <wp:docPr id="1" name="Gráfico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CCD30B-54E9-4005-829E-F295B5E60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8518DD" w14:textId="77777777" w:rsidR="00C37B57" w:rsidRPr="00DA7BB2" w:rsidRDefault="00C37B57" w:rsidP="00C37B57">
      <w:pPr>
        <w:pStyle w:val="Default"/>
        <w:ind w:left="708" w:firstLine="708"/>
        <w:jc w:val="both"/>
        <w:rPr>
          <w:rFonts w:asciiTheme="minorHAnsi" w:hAnsiTheme="minorHAnsi"/>
          <w:i/>
          <w:iCs/>
          <w:color w:val="FF0000"/>
          <w:sz w:val="16"/>
          <w:szCs w:val="16"/>
        </w:rPr>
      </w:pPr>
      <w:r w:rsidRPr="00DA7BB2">
        <w:rPr>
          <w:rFonts w:asciiTheme="minorHAnsi" w:hAnsiTheme="minorHAnsi"/>
          <w:b/>
          <w:i/>
          <w:iCs/>
          <w:color w:val="auto"/>
          <w:sz w:val="16"/>
          <w:szCs w:val="16"/>
        </w:rPr>
        <w:t>Fonte e Elaboração</w:t>
      </w:r>
      <w:r w:rsidRPr="00DA7BB2">
        <w:rPr>
          <w:rFonts w:asciiTheme="minorHAnsi" w:hAnsiTheme="minorHAnsi"/>
          <w:i/>
          <w:iCs/>
          <w:color w:val="auto"/>
          <w:sz w:val="16"/>
          <w:szCs w:val="16"/>
        </w:rPr>
        <w:t>: STN/ME</w:t>
      </w:r>
    </w:p>
    <w:p w14:paraId="26D4E8A6" w14:textId="28678E27" w:rsidR="009D6C1C" w:rsidRDefault="009D6C1C" w:rsidP="003B518A">
      <w:pPr>
        <w:spacing w:after="120" w:line="240" w:lineRule="auto"/>
        <w:jc w:val="both"/>
        <w:rPr>
          <w:sz w:val="24"/>
          <w:szCs w:val="24"/>
        </w:rPr>
      </w:pPr>
    </w:p>
    <w:p w14:paraId="55039577" w14:textId="77777777" w:rsidR="000D17A6" w:rsidRPr="00D260DD" w:rsidRDefault="000D17A6" w:rsidP="00D260DD">
      <w:pPr>
        <w:pStyle w:val="Ttulo1"/>
        <w:numPr>
          <w:ilvl w:val="0"/>
          <w:numId w:val="36"/>
        </w:numPr>
        <w:spacing w:before="0" w:after="120" w:line="240" w:lineRule="auto"/>
        <w:ind w:left="431" w:hanging="431"/>
        <w:rPr>
          <w:rFonts w:asciiTheme="minorHAnsi" w:hAnsiTheme="minorHAnsi"/>
          <w:b/>
          <w:color w:val="auto"/>
          <w:sz w:val="28"/>
          <w:szCs w:val="28"/>
          <w:lang w:eastAsia="pt-BR"/>
        </w:rPr>
      </w:pPr>
      <w:bookmarkStart w:id="490" w:name="_Toc510534771"/>
      <w:bookmarkStart w:id="491" w:name="_Toc510535449"/>
      <w:bookmarkStart w:id="492" w:name="_Toc2869880"/>
      <w:bookmarkStart w:id="493" w:name="_Toc5012259"/>
      <w:bookmarkStart w:id="494" w:name="_Toc5030505"/>
      <w:bookmarkStart w:id="495" w:name="_Toc5180301"/>
      <w:bookmarkStart w:id="496" w:name="_Toc67318014"/>
      <w:bookmarkStart w:id="497" w:name="_Toc67929668"/>
      <w:bookmarkStart w:id="498" w:name="_Toc69121247"/>
      <w:r w:rsidRPr="00D260DD">
        <w:rPr>
          <w:rFonts w:asciiTheme="minorHAnsi" w:hAnsiTheme="minorHAnsi"/>
          <w:b/>
          <w:color w:val="auto"/>
          <w:sz w:val="28"/>
          <w:szCs w:val="28"/>
          <w:lang w:eastAsia="pt-BR"/>
        </w:rPr>
        <w:t>CONSIDERAÇÕES FINAIS</w:t>
      </w:r>
      <w:bookmarkEnd w:id="490"/>
      <w:bookmarkEnd w:id="491"/>
      <w:bookmarkEnd w:id="492"/>
      <w:bookmarkEnd w:id="493"/>
      <w:bookmarkEnd w:id="494"/>
      <w:bookmarkEnd w:id="495"/>
      <w:bookmarkEnd w:id="496"/>
      <w:bookmarkEnd w:id="497"/>
      <w:bookmarkEnd w:id="498"/>
    </w:p>
    <w:p w14:paraId="135EEFF2" w14:textId="7222DF0E" w:rsidR="00B51665" w:rsidRPr="00892B1D" w:rsidRDefault="00B51665" w:rsidP="003B518A">
      <w:pPr>
        <w:spacing w:after="120" w:line="240" w:lineRule="auto"/>
        <w:ind w:firstLine="1418"/>
        <w:jc w:val="both"/>
        <w:rPr>
          <w:sz w:val="24"/>
          <w:szCs w:val="24"/>
        </w:rPr>
      </w:pPr>
      <w:r w:rsidRPr="00892B1D">
        <w:rPr>
          <w:sz w:val="24"/>
          <w:szCs w:val="24"/>
        </w:rPr>
        <w:t>Com o objetivo de prover maior previsibilidade e transparência no planejamento e apuração dos resultados fiscais e dar cumprimento ao estabelecido no art. 4º, § 3º da Lei Complementar n</w:t>
      </w:r>
      <w:r w:rsidR="00EB0405" w:rsidRPr="00892B1D">
        <w:rPr>
          <w:sz w:val="24"/>
          <w:szCs w:val="24"/>
        </w:rPr>
        <w:t>º</w:t>
      </w:r>
      <w:r w:rsidRPr="00892B1D">
        <w:rPr>
          <w:sz w:val="24"/>
          <w:szCs w:val="24"/>
        </w:rPr>
        <w:t xml:space="preserve"> 101, de </w:t>
      </w:r>
      <w:proofErr w:type="gramStart"/>
      <w:r w:rsidRPr="00892B1D">
        <w:rPr>
          <w:sz w:val="24"/>
          <w:szCs w:val="24"/>
        </w:rPr>
        <w:t>4</w:t>
      </w:r>
      <w:proofErr w:type="gramEnd"/>
      <w:r w:rsidRPr="00892B1D">
        <w:rPr>
          <w:sz w:val="24"/>
          <w:szCs w:val="24"/>
        </w:rPr>
        <w:t xml:space="preserve"> de maio de 2000, </w:t>
      </w:r>
      <w:r w:rsidR="00DD7E21">
        <w:rPr>
          <w:sz w:val="24"/>
          <w:szCs w:val="24"/>
        </w:rPr>
        <w:t>o</w:t>
      </w:r>
      <w:r w:rsidRPr="00892B1D">
        <w:rPr>
          <w:sz w:val="24"/>
          <w:szCs w:val="24"/>
        </w:rPr>
        <w:t xml:space="preserve"> </w:t>
      </w:r>
      <w:r w:rsidR="00D941F7">
        <w:rPr>
          <w:sz w:val="24"/>
          <w:szCs w:val="24"/>
        </w:rPr>
        <w:t>A</w:t>
      </w:r>
      <w:r w:rsidRPr="00892B1D">
        <w:rPr>
          <w:sz w:val="24"/>
          <w:szCs w:val="24"/>
        </w:rPr>
        <w:t>nexo</w:t>
      </w:r>
      <w:r w:rsidR="00D941F7">
        <w:rPr>
          <w:sz w:val="24"/>
          <w:szCs w:val="24"/>
        </w:rPr>
        <w:t xml:space="preserve"> de Riscos Fiscais</w:t>
      </w:r>
      <w:r w:rsidRPr="00892B1D">
        <w:rPr>
          <w:sz w:val="24"/>
          <w:szCs w:val="24"/>
        </w:rPr>
        <w:t xml:space="preserve"> da LDO 202</w:t>
      </w:r>
      <w:r w:rsidR="00113247">
        <w:rPr>
          <w:sz w:val="24"/>
          <w:szCs w:val="24"/>
        </w:rPr>
        <w:t>2</w:t>
      </w:r>
      <w:r w:rsidRPr="00892B1D">
        <w:rPr>
          <w:sz w:val="24"/>
          <w:szCs w:val="24"/>
        </w:rPr>
        <w:t xml:space="preserve"> elencou as principais fontes de riscos fiscais para consecução do cenário base determinado no Anexo de Metas da mencionada lei.</w:t>
      </w:r>
    </w:p>
    <w:p w14:paraId="7A573C77" w14:textId="0F67D46F" w:rsidR="00FA3957" w:rsidRDefault="00B00736" w:rsidP="001A5646">
      <w:pPr>
        <w:spacing w:after="120" w:line="240" w:lineRule="auto"/>
        <w:ind w:firstLine="1418"/>
        <w:jc w:val="both"/>
        <w:rPr>
          <w:sz w:val="24"/>
          <w:szCs w:val="24"/>
        </w:rPr>
      </w:pPr>
      <w:r w:rsidRPr="00892B1D">
        <w:rPr>
          <w:sz w:val="24"/>
          <w:szCs w:val="24"/>
        </w:rPr>
        <w:t>Est</w:t>
      </w:r>
      <w:r w:rsidR="005C59B7" w:rsidRPr="00892B1D">
        <w:rPr>
          <w:sz w:val="24"/>
          <w:szCs w:val="24"/>
        </w:rPr>
        <w:t>e</w:t>
      </w:r>
      <w:r w:rsidRPr="00892B1D">
        <w:rPr>
          <w:sz w:val="24"/>
          <w:szCs w:val="24"/>
        </w:rPr>
        <w:t xml:space="preserve"> Anexo de Riscos Fiscais</w:t>
      </w:r>
      <w:r w:rsidR="00F13ED3">
        <w:rPr>
          <w:sz w:val="24"/>
          <w:szCs w:val="24"/>
        </w:rPr>
        <w:t>, como</w:t>
      </w:r>
      <w:r w:rsidR="00F33F6A">
        <w:rPr>
          <w:sz w:val="24"/>
          <w:szCs w:val="24"/>
        </w:rPr>
        <w:t xml:space="preserve"> as</w:t>
      </w:r>
      <w:r w:rsidR="00DC7860">
        <w:rPr>
          <w:sz w:val="24"/>
          <w:szCs w:val="24"/>
        </w:rPr>
        <w:t xml:space="preserve"> edições anteriores, </w:t>
      </w:r>
      <w:r w:rsidR="00B8249D">
        <w:rPr>
          <w:sz w:val="24"/>
          <w:szCs w:val="24"/>
        </w:rPr>
        <w:t xml:space="preserve">visa </w:t>
      </w:r>
      <w:r w:rsidR="004B5D19">
        <w:rPr>
          <w:sz w:val="24"/>
          <w:szCs w:val="24"/>
        </w:rPr>
        <w:t xml:space="preserve">promover </w:t>
      </w:r>
      <w:r w:rsidR="00B51665" w:rsidRPr="00892B1D">
        <w:rPr>
          <w:sz w:val="24"/>
          <w:szCs w:val="24"/>
        </w:rPr>
        <w:t>maior</w:t>
      </w:r>
      <w:r w:rsidR="00D150DA">
        <w:rPr>
          <w:sz w:val="24"/>
          <w:szCs w:val="24"/>
        </w:rPr>
        <w:t xml:space="preserve"> alcance,</w:t>
      </w:r>
      <w:r w:rsidR="00B51665" w:rsidRPr="00892B1D">
        <w:rPr>
          <w:sz w:val="24"/>
          <w:szCs w:val="24"/>
        </w:rPr>
        <w:t xml:space="preserve"> clareza, funcionalidade e efetividade no mapeamento de riscos fiscais, com a convergência para a adoção de padrões internacionais de publicação de riscos fiscais, </w:t>
      </w:r>
      <w:r w:rsidR="00056279">
        <w:rPr>
          <w:sz w:val="24"/>
          <w:szCs w:val="24"/>
        </w:rPr>
        <w:t>considerando</w:t>
      </w:r>
      <w:r w:rsidR="00B51665" w:rsidRPr="00892B1D">
        <w:rPr>
          <w:sz w:val="24"/>
          <w:szCs w:val="24"/>
        </w:rPr>
        <w:t xml:space="preserve"> as características específicas do país</w:t>
      </w:r>
      <w:r w:rsidR="000B171F">
        <w:rPr>
          <w:sz w:val="24"/>
          <w:szCs w:val="24"/>
        </w:rPr>
        <w:t>.</w:t>
      </w:r>
    </w:p>
    <w:p w14:paraId="0CF18FD1" w14:textId="77777777" w:rsidR="001056FA" w:rsidRDefault="001056FA" w:rsidP="001A5646">
      <w:pPr>
        <w:spacing w:after="120" w:line="240" w:lineRule="auto"/>
        <w:ind w:firstLine="1418"/>
        <w:jc w:val="both"/>
        <w:rPr>
          <w:sz w:val="24"/>
          <w:szCs w:val="24"/>
        </w:rPr>
      </w:pPr>
    </w:p>
    <w:sectPr w:rsidR="001056FA" w:rsidSect="000D17A6">
      <w:footerReference w:type="default" r:id="rId34"/>
      <w:pgSz w:w="11906" w:h="16838"/>
      <w:pgMar w:top="1417" w:right="849"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7BEC5" w14:textId="77777777" w:rsidR="009B05DF" w:rsidRDefault="009B05DF" w:rsidP="000D17A6">
      <w:pPr>
        <w:spacing w:after="0" w:line="240" w:lineRule="auto"/>
      </w:pPr>
      <w:r>
        <w:separator/>
      </w:r>
    </w:p>
  </w:endnote>
  <w:endnote w:type="continuationSeparator" w:id="0">
    <w:p w14:paraId="106FCEF1" w14:textId="77777777" w:rsidR="009B05DF" w:rsidRDefault="009B05DF" w:rsidP="000D17A6">
      <w:pPr>
        <w:spacing w:after="0" w:line="240" w:lineRule="auto"/>
      </w:pPr>
      <w:r>
        <w:continuationSeparator/>
      </w:r>
    </w:p>
  </w:endnote>
  <w:endnote w:type="continuationNotice" w:id="1">
    <w:p w14:paraId="629707B8" w14:textId="77777777" w:rsidR="009B05DF" w:rsidRDefault="009B0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0"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58324"/>
      <w:docPartObj>
        <w:docPartGallery w:val="Page Numbers (Bottom of Page)"/>
        <w:docPartUnique/>
      </w:docPartObj>
    </w:sdtPr>
    <w:sdtEndPr/>
    <w:sdtContent>
      <w:p w14:paraId="279214F7" w14:textId="37A883D9" w:rsidR="00A73BAD" w:rsidRDefault="00A73BAD" w:rsidP="009A2C08">
        <w:pPr>
          <w:pStyle w:val="Rodap"/>
          <w:jc w:val="right"/>
        </w:pPr>
        <w:r>
          <w:fldChar w:fldCharType="begin"/>
        </w:r>
        <w:r>
          <w:instrText>PAGE   \* MERGEFORMAT</w:instrText>
        </w:r>
        <w:r>
          <w:fldChar w:fldCharType="separate"/>
        </w:r>
        <w:r w:rsidR="001B4464">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37EC5" w14:textId="77777777" w:rsidR="009B05DF" w:rsidRDefault="009B05DF" w:rsidP="000D17A6">
      <w:pPr>
        <w:spacing w:after="0" w:line="240" w:lineRule="auto"/>
      </w:pPr>
      <w:r>
        <w:separator/>
      </w:r>
    </w:p>
  </w:footnote>
  <w:footnote w:type="continuationSeparator" w:id="0">
    <w:p w14:paraId="44E46CAF" w14:textId="77777777" w:rsidR="009B05DF" w:rsidRDefault="009B05DF" w:rsidP="000D17A6">
      <w:pPr>
        <w:spacing w:after="0" w:line="240" w:lineRule="auto"/>
      </w:pPr>
      <w:r>
        <w:continuationSeparator/>
      </w:r>
    </w:p>
  </w:footnote>
  <w:footnote w:type="continuationNotice" w:id="1">
    <w:p w14:paraId="156EB916" w14:textId="77777777" w:rsidR="009B05DF" w:rsidRDefault="009B05DF">
      <w:pPr>
        <w:spacing w:after="0" w:line="240" w:lineRule="auto"/>
      </w:pPr>
    </w:p>
  </w:footnote>
  <w:footnote w:id="2">
    <w:p w14:paraId="1D709A1E" w14:textId="77777777" w:rsidR="00A73BAD" w:rsidRDefault="00A73BAD" w:rsidP="00DC159B">
      <w:pPr>
        <w:pStyle w:val="Textodenotaderodap"/>
      </w:pPr>
      <w:r>
        <w:rPr>
          <w:rStyle w:val="Refdenotaderodap"/>
        </w:rPr>
        <w:footnoteRef/>
      </w:r>
      <w:r>
        <w:t xml:space="preserve"> </w:t>
      </w:r>
      <w:r w:rsidRPr="007932F3">
        <w:rPr>
          <w:rFonts w:ascii="Calibri" w:hAnsi="Calibri"/>
          <w:color w:val="000000"/>
          <w:szCs w:val="20"/>
        </w:rPr>
        <w:t>O Índice de Estimativa da Receita (IER) é composto por uma média ponderada que atribui 55% à taxa média do IPCA e 45% à taxa média do IGP-DI</w:t>
      </w:r>
    </w:p>
  </w:footnote>
  <w:footnote w:id="3">
    <w:p w14:paraId="363A4EE1" w14:textId="4FFF7736" w:rsidR="00A73BAD" w:rsidRPr="00EE2B7C" w:rsidRDefault="00A73BAD">
      <w:pPr>
        <w:pStyle w:val="Textodenotaderodap"/>
        <w:rPr>
          <w:rFonts w:asciiTheme="minorHAnsi" w:hAnsiTheme="minorHAnsi"/>
        </w:rPr>
      </w:pPr>
      <w:r w:rsidRPr="00EE2B7C">
        <w:rPr>
          <w:rStyle w:val="Refdenotaderodap"/>
          <w:rFonts w:asciiTheme="minorHAnsi" w:hAnsiTheme="minorHAnsi"/>
        </w:rPr>
        <w:footnoteRef/>
      </w:r>
      <w:r w:rsidRPr="00EE2B7C">
        <w:rPr>
          <w:rFonts w:asciiTheme="minorHAnsi" w:hAnsiTheme="minorHAnsi"/>
        </w:rPr>
        <w:t xml:space="preserve"> Os desvios em relação às projeções também podem se originar do resultado do julgamento de ações judiciais em andamento, assunto tratado na Seção 4.1 deste documento, que apresenta análise de riscos de passivos contingentes.</w:t>
      </w:r>
    </w:p>
  </w:footnote>
  <w:footnote w:id="4">
    <w:p w14:paraId="4E0C0EF3" w14:textId="395E3466" w:rsidR="00A73BAD" w:rsidRPr="00EC50A6" w:rsidRDefault="00A73BAD">
      <w:pPr>
        <w:pStyle w:val="Textodenotaderodap"/>
        <w:rPr>
          <w:rFonts w:asciiTheme="minorHAnsi" w:hAnsiTheme="minorHAnsi" w:cstheme="minorHAnsi"/>
          <w:szCs w:val="20"/>
        </w:rPr>
      </w:pPr>
      <w:r w:rsidRPr="00EC50A6">
        <w:rPr>
          <w:rStyle w:val="Refdenotaderodap"/>
          <w:rFonts w:asciiTheme="minorHAnsi" w:hAnsiTheme="minorHAnsi" w:cstheme="minorHAnsi"/>
          <w:szCs w:val="20"/>
        </w:rPr>
        <w:footnoteRef/>
      </w:r>
      <w:r w:rsidRPr="00EC50A6">
        <w:rPr>
          <w:rFonts w:asciiTheme="minorHAnsi" w:hAnsiTheme="minorHAnsi" w:cstheme="minorHAnsi"/>
          <w:szCs w:val="20"/>
        </w:rPr>
        <w:t xml:space="preserve"> </w:t>
      </w:r>
      <w:proofErr w:type="gramStart"/>
      <w:r w:rsidRPr="00EC50A6">
        <w:rPr>
          <w:rFonts w:asciiTheme="minorHAnsi" w:hAnsiTheme="minorHAnsi" w:cstheme="minorHAnsi"/>
          <w:szCs w:val="20"/>
        </w:rPr>
        <w:t>Desconsidera-se</w:t>
      </w:r>
      <w:proofErr w:type="gramEnd"/>
      <w:r w:rsidRPr="00EC50A6">
        <w:rPr>
          <w:rFonts w:asciiTheme="minorHAnsi" w:hAnsiTheme="minorHAnsi" w:cstheme="minorHAnsi"/>
          <w:szCs w:val="20"/>
        </w:rPr>
        <w:t xml:space="preserve"> os gastos para combate à pandemia de COVID-19 no valor de R$ 520,9 bilhões.</w:t>
      </w:r>
    </w:p>
  </w:footnote>
  <w:footnote w:id="5">
    <w:p w14:paraId="21BE2C71" w14:textId="1648A7D7" w:rsidR="00A73BAD" w:rsidRPr="002A1A90" w:rsidRDefault="00A73BAD" w:rsidP="006B34E9">
      <w:pPr>
        <w:pStyle w:val="Textodenotaderodap"/>
        <w:rPr>
          <w:rFonts w:asciiTheme="minorHAnsi" w:hAnsiTheme="minorHAnsi"/>
        </w:rPr>
      </w:pPr>
      <w:r w:rsidRPr="00EC50A6">
        <w:rPr>
          <w:rStyle w:val="Refdenotaderodap"/>
          <w:rFonts w:asciiTheme="minorHAnsi" w:hAnsiTheme="minorHAnsi" w:cstheme="minorHAnsi"/>
          <w:szCs w:val="20"/>
        </w:rPr>
        <w:footnoteRef/>
      </w:r>
      <w:r w:rsidRPr="00EC50A6">
        <w:rPr>
          <w:rFonts w:asciiTheme="minorHAnsi" w:hAnsiTheme="minorHAnsi" w:cstheme="minorHAnsi"/>
          <w:szCs w:val="20"/>
        </w:rPr>
        <w:t xml:space="preserve"> </w:t>
      </w:r>
      <w:r w:rsidRPr="00EC50A6">
        <w:rPr>
          <w:rFonts w:asciiTheme="minorHAnsi" w:hAnsiTheme="minorHAnsi" w:cstheme="minorHAnsi"/>
          <w:bCs/>
          <w:color w:val="000000"/>
          <w:szCs w:val="20"/>
        </w:rPr>
        <w:t>Equivalente a um aumento de R$ 1,10 nos benefícios de até um Salário-Mínimo.</w:t>
      </w:r>
    </w:p>
  </w:footnote>
  <w:footnote w:id="6">
    <w:p w14:paraId="3E6B41FA" w14:textId="3E4E1B1D" w:rsidR="00A73BAD" w:rsidRPr="006F6A89" w:rsidRDefault="00A73BAD">
      <w:pPr>
        <w:pStyle w:val="Textodenotaderodap"/>
        <w:rPr>
          <w:rFonts w:asciiTheme="minorHAnsi" w:hAnsiTheme="minorHAnsi"/>
        </w:rPr>
      </w:pPr>
      <w:r w:rsidRPr="006F6A89">
        <w:rPr>
          <w:rStyle w:val="Refdenotaderodap"/>
          <w:rFonts w:asciiTheme="minorHAnsi" w:hAnsiTheme="minorHAnsi"/>
        </w:rPr>
        <w:footnoteRef/>
      </w:r>
      <w:r w:rsidRPr="006F6A89">
        <w:rPr>
          <w:rFonts w:asciiTheme="minorHAnsi" w:hAnsiTheme="minorHAnsi"/>
        </w:rPr>
        <w:t xml:space="preserve"> </w:t>
      </w:r>
      <w:r w:rsidRPr="00112EE0">
        <w:rPr>
          <w:rFonts w:asciiTheme="minorHAnsi" w:hAnsiTheme="minorHAnsi"/>
        </w:rPr>
        <w:t>A EC nº 95/2016 instituiu o Teto de Gastos que vigorará por vinte exercícios financeiros. Para o exercício de 202</w:t>
      </w:r>
      <w:r>
        <w:rPr>
          <w:rFonts w:asciiTheme="minorHAnsi" w:hAnsiTheme="minorHAnsi"/>
        </w:rPr>
        <w:t>2</w:t>
      </w:r>
      <w:r w:rsidRPr="00112EE0">
        <w:rPr>
          <w:rFonts w:asciiTheme="minorHAnsi" w:hAnsiTheme="minorHAnsi"/>
        </w:rPr>
        <w:t>, o Teto de 202</w:t>
      </w:r>
      <w:r>
        <w:rPr>
          <w:rFonts w:asciiTheme="minorHAnsi" w:hAnsiTheme="minorHAnsi"/>
        </w:rPr>
        <w:t>1</w:t>
      </w:r>
      <w:r w:rsidRPr="00112EE0">
        <w:rPr>
          <w:rFonts w:asciiTheme="minorHAnsi" w:hAnsiTheme="minorHAnsi"/>
        </w:rPr>
        <w:t xml:space="preserve"> será corrigido pela variação do Índice Nacional de Preços ao Consumidor Amplo (IPCA) para o período de doze meses encerrado em junho de 202</w:t>
      </w:r>
      <w:r>
        <w:rPr>
          <w:rFonts w:asciiTheme="minorHAnsi" w:hAnsiTheme="minorHAnsi"/>
        </w:rPr>
        <w:t>0</w:t>
      </w:r>
      <w:r w:rsidRPr="00112EE0">
        <w:rPr>
          <w:rFonts w:asciiTheme="minorHAnsi" w:hAnsiTheme="minorHAnsi"/>
        </w:rPr>
        <w:t>.</w:t>
      </w:r>
    </w:p>
  </w:footnote>
  <w:footnote w:id="7">
    <w:p w14:paraId="21E4D866" w14:textId="747D9BFF" w:rsidR="00A73BAD" w:rsidRDefault="00A73BAD" w:rsidP="00A53FCD">
      <w:pPr>
        <w:pStyle w:val="Textodenotaderodap"/>
      </w:pPr>
      <w:r>
        <w:rPr>
          <w:rStyle w:val="Refdenotaderodap"/>
        </w:rPr>
        <w:footnoteRef/>
      </w:r>
      <w:r>
        <w:t xml:space="preserve"> </w:t>
      </w:r>
      <w:r w:rsidRPr="00DC1359">
        <w:t xml:space="preserve">Trata-se de uma análise estática, onde </w:t>
      </w:r>
      <w:proofErr w:type="gramStart"/>
      <w:r w:rsidRPr="00DC1359">
        <w:t>analisa-se</w:t>
      </w:r>
      <w:proofErr w:type="gramEnd"/>
      <w:r w:rsidRPr="00DC1359">
        <w:t xml:space="preserve"> o efeito isolado da variação de apenas uma variável (taxa de câmbio</w:t>
      </w:r>
      <w:r w:rsidR="00202339">
        <w:t xml:space="preserve"> ou</w:t>
      </w:r>
      <w:r w:rsidRPr="00DC1359">
        <w:t xml:space="preserve"> taxa de juros) sobre os indicadores desejados (DPF, Despesa Orçamentária e DLSP). Dessa forma, não são levados em conta os efeitos da alteração de uma variável sobre as outras variáveis. Também não são levados em conta os efeitos da alteração de uma variável sobre outros fatores da economia que poderiam também afetar os indicadores desejados, tais como resultado fiscal, PIB e necessidade líquida de financiamento do setor público.</w:t>
      </w:r>
    </w:p>
  </w:footnote>
  <w:footnote w:id="8">
    <w:p w14:paraId="7B9A3258" w14:textId="62A090CC" w:rsidR="00A73BAD" w:rsidRDefault="00A73BAD" w:rsidP="00A53FCD">
      <w:pPr>
        <w:pStyle w:val="Textodenotaderodap"/>
      </w:pPr>
      <w:r>
        <w:rPr>
          <w:rStyle w:val="Refdenotaderodap"/>
        </w:rPr>
        <w:footnoteRef/>
      </w:r>
      <w:r>
        <w:t xml:space="preserve"> </w:t>
      </w:r>
      <w:r w:rsidRPr="00E96BB7">
        <w:t xml:space="preserve">A posição das reservas em </w:t>
      </w:r>
      <w:r w:rsidRPr="00A53FCD">
        <w:t>fevereiro de 2021 é da ordem de US$ 356,1 bilhões.</w:t>
      </w:r>
    </w:p>
  </w:footnote>
  <w:footnote w:id="9">
    <w:p w14:paraId="1F145D6E" w14:textId="77777777" w:rsidR="00A73BAD" w:rsidRDefault="00A73BAD" w:rsidP="00A53FCD">
      <w:pPr>
        <w:pStyle w:val="Textodenotaderodap"/>
      </w:pPr>
      <w:r>
        <w:rPr>
          <w:rStyle w:val="Refdenotaderodap"/>
        </w:rPr>
        <w:footnoteRef/>
      </w:r>
      <w:r>
        <w:t xml:space="preserve"> </w:t>
      </w:r>
      <w:r w:rsidRPr="008A1EC4">
        <w:t xml:space="preserve">O teste é composto pela simulação do impacto de um choque de três desvios-padrão sobre a média da taxa de juros Selic real e da desvalorização </w:t>
      </w:r>
      <w:proofErr w:type="gramStart"/>
      <w:r w:rsidRPr="008A1EC4">
        <w:t>cambial real acumuladas</w:t>
      </w:r>
      <w:proofErr w:type="gramEnd"/>
      <w:r w:rsidRPr="008A1EC4">
        <w:t xml:space="preserve"> em 12 meses. Este choque é aplicado sobre as parcelas do estoque da DPF remuneradas por taxas de juros flutuantes ou pela variação cambial. Por se tratar de uma avaliação do impacto de choques reais, diferentemente da análise de sensibilidade marginal, este teste não se aplica à dívida indexada à inflação.</w:t>
      </w:r>
    </w:p>
  </w:footnote>
  <w:footnote w:id="10">
    <w:p w14:paraId="5B2C51E4" w14:textId="77777777" w:rsidR="00A73BAD" w:rsidRDefault="00A73BAD" w:rsidP="006D128E">
      <w:pPr>
        <w:pStyle w:val="Textodenotaderodap"/>
      </w:pPr>
      <w:r>
        <w:rPr>
          <w:rStyle w:val="Refdenotaderodap"/>
        </w:rPr>
        <w:footnoteRef/>
      </w:r>
      <w:r>
        <w:t xml:space="preserve"> </w:t>
      </w:r>
      <w:r w:rsidRPr="00B32A16">
        <w:t xml:space="preserve">Esta análise tem a fragilidade de não capturar os efeitos e correlações de mudanças em uma variável sobre a outra. Por exemplo, a análise pode subestimar os efeitos do aumento do PIB real por não alterar o resultado fiscal em função deste novo PIB, o mesmo raciocínio vale para a redução do PIB real, que não se reflete em um cenário de fiscal mais deteriorado. Entretanto, a análise é importante por mostrar o quão sensível </w:t>
      </w:r>
      <w:proofErr w:type="gramStart"/>
      <w:r w:rsidRPr="00B32A16">
        <w:t>as</w:t>
      </w:r>
      <w:proofErr w:type="gramEnd"/>
      <w:r w:rsidRPr="00B32A16">
        <w:t xml:space="preserve"> projeções de dívida são às alterações isoladas em cada uma das variáveis.</w:t>
      </w:r>
    </w:p>
  </w:footnote>
  <w:footnote w:id="11">
    <w:p w14:paraId="6F945FA1" w14:textId="77777777" w:rsidR="00A73BAD" w:rsidRPr="00277569" w:rsidRDefault="00A73BAD" w:rsidP="00E112A2">
      <w:pPr>
        <w:pStyle w:val="Textodenotaderodap"/>
        <w:rPr>
          <w:rFonts w:ascii="Calibri" w:hAnsi="Calibri"/>
          <w:szCs w:val="20"/>
        </w:rPr>
      </w:pPr>
      <w:r w:rsidRPr="00277569">
        <w:rPr>
          <w:rStyle w:val="Refdenotaderodap"/>
          <w:rFonts w:ascii="Calibri" w:hAnsi="Calibri"/>
          <w:szCs w:val="20"/>
        </w:rPr>
        <w:footnoteRef/>
      </w:r>
      <w:r w:rsidRPr="00277569">
        <w:rPr>
          <w:rFonts w:ascii="Calibri" w:hAnsi="Calibri"/>
          <w:szCs w:val="20"/>
        </w:rPr>
        <w:t xml:space="preserve"> É importante destacar que esta é a mesma grade de parâmetros utilizada para elaboração do </w:t>
      </w:r>
      <w:proofErr w:type="gramStart"/>
      <w:r w:rsidRPr="00277569">
        <w:rPr>
          <w:rFonts w:ascii="Calibri" w:hAnsi="Calibri"/>
          <w:szCs w:val="20"/>
        </w:rPr>
        <w:t>cenário base</w:t>
      </w:r>
      <w:proofErr w:type="gramEnd"/>
      <w:r w:rsidRPr="00277569">
        <w:rPr>
          <w:rFonts w:ascii="Calibri" w:hAnsi="Calibri"/>
          <w:szCs w:val="20"/>
        </w:rPr>
        <w:t xml:space="preserve"> constante no Anexo de Metas Fiscais da PLDO, de forma que o cenário central de receitas e despesas deste exercício é o mesmo que compõe o anexo de metas.</w:t>
      </w:r>
    </w:p>
  </w:footnote>
  <w:footnote w:id="12">
    <w:p w14:paraId="2A25A0A8" w14:textId="77777777" w:rsidR="00A73BAD" w:rsidRPr="00277569" w:rsidRDefault="00A73BAD" w:rsidP="00E112A2">
      <w:pPr>
        <w:pStyle w:val="Textodenotaderodap"/>
        <w:rPr>
          <w:rFonts w:ascii="Calibri" w:hAnsi="Calibri"/>
          <w:szCs w:val="20"/>
        </w:rPr>
      </w:pPr>
      <w:r w:rsidRPr="00277569">
        <w:rPr>
          <w:rStyle w:val="Refdenotaderodap"/>
          <w:rFonts w:ascii="Calibri" w:hAnsi="Calibri"/>
          <w:szCs w:val="20"/>
        </w:rPr>
        <w:footnoteRef/>
      </w:r>
      <w:r w:rsidRPr="00277569">
        <w:rPr>
          <w:rFonts w:ascii="Calibri" w:hAnsi="Calibri"/>
          <w:szCs w:val="20"/>
        </w:rPr>
        <w:t xml:space="preserve"> A metodologia utilizada nesta análise está descrita em maiores detalhes na Nota Técnica SEI nº 1/2017/GEMAF/COPEF/SUPEF/STN-MF, de 29 de dezembro de 2017.</w:t>
      </w:r>
    </w:p>
  </w:footnote>
  <w:footnote w:id="13">
    <w:p w14:paraId="5B2B4F14" w14:textId="77777777" w:rsidR="00A73BAD" w:rsidRPr="00277569" w:rsidRDefault="00A73BAD" w:rsidP="00E112A2">
      <w:pPr>
        <w:pStyle w:val="Textodenotaderodap"/>
        <w:rPr>
          <w:rFonts w:ascii="Calibri" w:hAnsi="Calibri"/>
          <w:szCs w:val="20"/>
        </w:rPr>
      </w:pPr>
      <w:r w:rsidRPr="00277569">
        <w:rPr>
          <w:rStyle w:val="Refdenotaderodap"/>
          <w:rFonts w:ascii="Calibri" w:hAnsi="Calibri"/>
          <w:szCs w:val="20"/>
        </w:rPr>
        <w:footnoteRef/>
      </w:r>
      <w:r w:rsidRPr="00277569">
        <w:rPr>
          <w:rFonts w:ascii="Calibri" w:hAnsi="Calibri"/>
          <w:szCs w:val="20"/>
        </w:rPr>
        <w:t xml:space="preserve"> Embora haja algum nível de indexação ao INPC de benefícios da seguridade social aos servidores públicos que migraram para a inatividade sem direito à paridade, esse montante é pouco significativo no contexto das despesas de pessoal e encargos sociais. </w:t>
      </w:r>
    </w:p>
  </w:footnote>
  <w:footnote w:id="14">
    <w:p w14:paraId="4F0B61F3" w14:textId="23EC496C" w:rsidR="00A73BAD" w:rsidRDefault="00A73BAD">
      <w:pPr>
        <w:pStyle w:val="Textodenotaderodap"/>
      </w:pPr>
      <w:r>
        <w:rPr>
          <w:rStyle w:val="Refdenotaderodap"/>
        </w:rPr>
        <w:footnoteRef/>
      </w:r>
      <w:r>
        <w:t xml:space="preserve"> O valor associado ao risco provável abrange a provisão das ações judiciais contra o Banco Central do Brasil. </w:t>
      </w:r>
    </w:p>
  </w:footnote>
  <w:footnote w:id="15">
    <w:p w14:paraId="5133F56C" w14:textId="77777777" w:rsidR="00A73BAD" w:rsidRPr="004559BF" w:rsidRDefault="00A73BAD" w:rsidP="00704C72">
      <w:pPr>
        <w:pStyle w:val="Textodenotaderodap"/>
        <w:rPr>
          <w:rFonts w:asciiTheme="minorHAnsi" w:hAnsiTheme="minorHAnsi"/>
          <w:szCs w:val="20"/>
        </w:rPr>
      </w:pPr>
      <w:r w:rsidRPr="004559BF">
        <w:rPr>
          <w:rStyle w:val="Refdenotaderodap"/>
          <w:rFonts w:asciiTheme="minorHAnsi" w:hAnsiTheme="minorHAnsi"/>
          <w:szCs w:val="20"/>
        </w:rPr>
        <w:footnoteRef/>
      </w:r>
      <w:r w:rsidRPr="004559BF">
        <w:rPr>
          <w:rFonts w:asciiTheme="minorHAnsi" w:hAnsiTheme="minorHAnsi"/>
          <w:szCs w:val="20"/>
        </w:rPr>
        <w:t xml:space="preserve"> Nota Técnica nº 24, de 1/11/2018, da Instituição Fiscal Independente (IFI).</w:t>
      </w:r>
    </w:p>
  </w:footnote>
  <w:footnote w:id="16">
    <w:p w14:paraId="72A8EF44" w14:textId="41B397D4" w:rsidR="00A73BAD" w:rsidRDefault="00A73BAD" w:rsidP="003A71F0">
      <w:pPr>
        <w:pStyle w:val="Textodenotaderodap"/>
      </w:pPr>
      <w:r>
        <w:rPr>
          <w:rStyle w:val="Refdenotaderodap"/>
        </w:rPr>
        <w:footnoteRef/>
      </w:r>
      <w:r>
        <w:t xml:space="preserve"> </w:t>
      </w:r>
      <w:r w:rsidRPr="003A71F0">
        <w:rPr>
          <w:rFonts w:asciiTheme="minorHAnsi" w:hAnsiTheme="minorHAnsi" w:cstheme="minorHAnsi"/>
          <w:sz w:val="16"/>
          <w:szCs w:val="16"/>
        </w:rPr>
        <w:t xml:space="preserve">Esse montante se refere à soma </w:t>
      </w:r>
      <w:r>
        <w:rPr>
          <w:rFonts w:asciiTheme="minorHAnsi" w:hAnsiTheme="minorHAnsi" w:cstheme="minorHAnsi"/>
          <w:sz w:val="16"/>
          <w:szCs w:val="16"/>
        </w:rPr>
        <w:t>dos c</w:t>
      </w:r>
      <w:r w:rsidRPr="003A71F0">
        <w:rPr>
          <w:rFonts w:asciiTheme="minorHAnsi" w:hAnsiTheme="minorHAnsi" w:cstheme="minorHAnsi"/>
          <w:sz w:val="16"/>
          <w:szCs w:val="16"/>
        </w:rPr>
        <w:t>réditos</w:t>
      </w:r>
      <w:r>
        <w:rPr>
          <w:rFonts w:asciiTheme="minorHAnsi" w:hAnsiTheme="minorHAnsi" w:cstheme="minorHAnsi"/>
          <w:sz w:val="16"/>
          <w:szCs w:val="16"/>
        </w:rPr>
        <w:t xml:space="preserve"> do último exercício,</w:t>
      </w:r>
      <w:r w:rsidRPr="003A71F0">
        <w:rPr>
          <w:rFonts w:asciiTheme="minorHAnsi" w:hAnsiTheme="minorHAnsi" w:cstheme="minorHAnsi"/>
          <w:sz w:val="16"/>
          <w:szCs w:val="16"/>
        </w:rPr>
        <w:t xml:space="preserve"> classificados por rating, bem como </w:t>
      </w:r>
      <w:r>
        <w:rPr>
          <w:rFonts w:asciiTheme="minorHAnsi" w:hAnsiTheme="minorHAnsi" w:cstheme="minorHAnsi"/>
          <w:sz w:val="16"/>
          <w:szCs w:val="16"/>
        </w:rPr>
        <w:t>d</w:t>
      </w:r>
      <w:r w:rsidRPr="003A71F0">
        <w:rPr>
          <w:rFonts w:asciiTheme="minorHAnsi" w:hAnsiTheme="minorHAnsi" w:cstheme="minorHAnsi"/>
          <w:sz w:val="16"/>
          <w:szCs w:val="16"/>
        </w:rPr>
        <w:t>os crédito</w:t>
      </w:r>
      <w:r>
        <w:rPr>
          <w:rFonts w:asciiTheme="minorHAnsi" w:hAnsiTheme="minorHAnsi" w:cstheme="minorHAnsi"/>
          <w:sz w:val="16"/>
          <w:szCs w:val="16"/>
        </w:rPr>
        <w:t>s</w:t>
      </w:r>
      <w:r w:rsidRPr="003A71F0">
        <w:rPr>
          <w:rFonts w:asciiTheme="minorHAnsi" w:hAnsiTheme="minorHAnsi" w:cstheme="minorHAnsi"/>
          <w:sz w:val="16"/>
          <w:szCs w:val="16"/>
        </w:rPr>
        <w:t xml:space="preserve"> ainda </w:t>
      </w:r>
      <w:r>
        <w:rPr>
          <w:rFonts w:asciiTheme="minorHAnsi" w:hAnsiTheme="minorHAnsi" w:cstheme="minorHAnsi"/>
          <w:sz w:val="16"/>
          <w:szCs w:val="16"/>
        </w:rPr>
        <w:t>aguardando</w:t>
      </w:r>
      <w:r w:rsidRPr="003A71F0">
        <w:rPr>
          <w:rFonts w:asciiTheme="minorHAnsi" w:hAnsiTheme="minorHAnsi" w:cstheme="minorHAnsi"/>
          <w:sz w:val="16"/>
          <w:szCs w:val="16"/>
        </w:rPr>
        <w:t xml:space="preserve"> classificação.</w:t>
      </w:r>
      <w:r>
        <w:rPr>
          <w:rFonts w:asciiTheme="minorHAnsi" w:hAnsiTheme="minorHAnsi"/>
          <w:i/>
          <w:sz w:val="16"/>
          <w:szCs w:val="16"/>
        </w:rPr>
        <w:t xml:space="preserve"> </w:t>
      </w:r>
    </w:p>
  </w:footnote>
  <w:footnote w:id="17">
    <w:p w14:paraId="1070928B" w14:textId="156CD52B" w:rsidR="00A73BAD" w:rsidRDefault="00A73BAD" w:rsidP="00B22048">
      <w:pPr>
        <w:pStyle w:val="Textodenotaderodap"/>
      </w:pPr>
      <w:r w:rsidRPr="637761CC">
        <w:rPr>
          <w:rStyle w:val="Refdenotaderodap"/>
        </w:rPr>
        <w:footnoteRef/>
      </w:r>
      <w:r>
        <w:t xml:space="preserve"> </w:t>
      </w:r>
      <w:r w:rsidRPr="00B22048">
        <w:rPr>
          <w:rFonts w:asciiTheme="minorHAnsi" w:hAnsiTheme="minorHAnsi"/>
          <w:szCs w:val="20"/>
        </w:rPr>
        <w:t>O estoque global inclui o contrato em si e o Regime de Recuperação Fiscal</w:t>
      </w:r>
    </w:p>
  </w:footnote>
  <w:footnote w:id="18">
    <w:p w14:paraId="58AE2EA1" w14:textId="6482BA4F" w:rsidR="00A73BAD" w:rsidRDefault="00A73BAD" w:rsidP="77BAF1D3">
      <w:pPr>
        <w:jc w:val="both"/>
      </w:pPr>
      <w:r w:rsidRPr="77BAF1D3">
        <w:rPr>
          <w:rStyle w:val="Refdenotaderodap"/>
        </w:rPr>
        <w:footnoteRef/>
      </w:r>
      <w:r>
        <w:t xml:space="preserve"> </w:t>
      </w:r>
      <w:r w:rsidRPr="77BAF1D3">
        <w:rPr>
          <w:rFonts w:ascii="Calibri" w:eastAsia="Calibri" w:hAnsi="Calibri" w:cs="Calibri"/>
          <w:sz w:val="20"/>
          <w:szCs w:val="20"/>
        </w:rPr>
        <w:t xml:space="preserve">As empresas dependentes, por sua vez, integram o Orçamento Fiscal da União e </w:t>
      </w:r>
      <w:proofErr w:type="gramStart"/>
      <w:r w:rsidRPr="77BAF1D3">
        <w:rPr>
          <w:rFonts w:ascii="Calibri" w:eastAsia="Calibri" w:hAnsi="Calibri" w:cs="Calibri"/>
          <w:sz w:val="20"/>
          <w:szCs w:val="20"/>
        </w:rPr>
        <w:t>estão</w:t>
      </w:r>
      <w:proofErr w:type="gramEnd"/>
      <w:r w:rsidRPr="77BAF1D3">
        <w:rPr>
          <w:rFonts w:ascii="Calibri" w:eastAsia="Calibri" w:hAnsi="Calibri" w:cs="Calibri"/>
          <w:sz w:val="20"/>
          <w:szCs w:val="20"/>
        </w:rPr>
        <w:t xml:space="preserve"> inseridas nas análises do conjunto dos órgãos e entidades que integram esta peça orçamentária, inclusive a subseção 4.1.1.5 (Demandas Judiciais das Empresas Estatais Dependentes da União) integrante da seção 4.1 (Passivos Contingentes).</w:t>
      </w:r>
    </w:p>
    <w:p w14:paraId="4F996274" w14:textId="10CAC108" w:rsidR="00A73BAD" w:rsidRDefault="00A73BAD" w:rsidP="77BAF1D3">
      <w:pPr>
        <w:pStyle w:val="Textodenotaderodap"/>
      </w:pPr>
    </w:p>
  </w:footnote>
  <w:footnote w:id="19">
    <w:p w14:paraId="7C6E4764" w14:textId="7A2427C8" w:rsidR="00A73BAD" w:rsidRDefault="00A73BAD" w:rsidP="77BAF1D3">
      <w:pPr>
        <w:jc w:val="both"/>
      </w:pPr>
      <w:r w:rsidRPr="77BAF1D3">
        <w:rPr>
          <w:rStyle w:val="Refdenotaderodap"/>
        </w:rPr>
        <w:footnoteRef/>
      </w:r>
      <w:r>
        <w:t xml:space="preserve"> </w:t>
      </w:r>
      <w:r w:rsidRPr="77BAF1D3">
        <w:rPr>
          <w:rFonts w:ascii="Calibri" w:eastAsia="Calibri" w:hAnsi="Calibri" w:cs="Calibri"/>
          <w:sz w:val="20"/>
          <w:szCs w:val="20"/>
        </w:rPr>
        <w:t>Não abrange as empresas controladas indiretamente.</w:t>
      </w:r>
    </w:p>
    <w:p w14:paraId="7B8F0454" w14:textId="58AD7996" w:rsidR="00A73BAD" w:rsidRDefault="00A73BAD" w:rsidP="77BAF1D3">
      <w:pPr>
        <w:pStyle w:val="Textodenotaderodap"/>
      </w:pPr>
    </w:p>
  </w:footnote>
  <w:footnote w:id="20">
    <w:p w14:paraId="3F88B34A" w14:textId="5C128CB4" w:rsidR="00A73BAD" w:rsidRDefault="00A73BAD" w:rsidP="0EDB2EA1">
      <w:pPr>
        <w:jc w:val="both"/>
      </w:pPr>
      <w:r w:rsidRPr="0EDB2EA1">
        <w:rPr>
          <w:rStyle w:val="Refdenotaderodap"/>
        </w:rPr>
        <w:footnoteRef/>
      </w:r>
      <w:r>
        <w:t xml:space="preserve"> </w:t>
      </w:r>
      <w:r w:rsidRPr="0EDB2EA1">
        <w:rPr>
          <w:rFonts w:ascii="Calibri" w:eastAsia="Calibri" w:hAnsi="Calibri" w:cs="Calibri"/>
          <w:sz w:val="20"/>
          <w:szCs w:val="20"/>
        </w:rPr>
        <w:t xml:space="preserve">São Instrumentos de capital aptos a absorver perdas durante o funcionamento da instituição, o chamado critério </w:t>
      </w:r>
      <w:proofErr w:type="spellStart"/>
      <w:r w:rsidRPr="0EDB2EA1">
        <w:rPr>
          <w:rFonts w:ascii="Calibri" w:eastAsia="Calibri" w:hAnsi="Calibri" w:cs="Calibri"/>
          <w:i/>
          <w:iCs/>
          <w:sz w:val="20"/>
          <w:szCs w:val="20"/>
        </w:rPr>
        <w:t>going-concern</w:t>
      </w:r>
      <w:proofErr w:type="spellEnd"/>
      <w:r w:rsidRPr="0EDB2EA1">
        <w:rPr>
          <w:rFonts w:ascii="Calibri" w:eastAsia="Calibri" w:hAnsi="Calibri" w:cs="Calibri"/>
          <w:sz w:val="20"/>
          <w:szCs w:val="20"/>
        </w:rPr>
        <w:t>, fundamental para determinar ou não o enquadramento do instrumento no capital de Nível I.</w:t>
      </w:r>
    </w:p>
    <w:p w14:paraId="06758858" w14:textId="7ED3D047" w:rsidR="00A73BAD" w:rsidRDefault="00A73BAD" w:rsidP="0EDB2EA1">
      <w:pPr>
        <w:pStyle w:val="Textodenotaderodap"/>
      </w:pPr>
    </w:p>
  </w:footnote>
  <w:footnote w:id="21">
    <w:p w14:paraId="04A89235" w14:textId="133AE556" w:rsidR="00A73BAD" w:rsidRDefault="00A73BAD" w:rsidP="0EDB2EA1">
      <w:pPr>
        <w:pStyle w:val="Textodenotaderodap"/>
        <w:rPr>
          <w:szCs w:val="20"/>
        </w:rPr>
      </w:pPr>
      <w:r w:rsidRPr="0EDB2EA1">
        <w:rPr>
          <w:rStyle w:val="Refdenotaderodap"/>
        </w:rPr>
        <w:footnoteRef/>
      </w:r>
      <w:r>
        <w:t xml:space="preserve"> </w:t>
      </w:r>
      <w:r w:rsidRPr="00C57CCF">
        <w:rPr>
          <w:rFonts w:ascii="Calibri" w:eastAsia="Calibri" w:hAnsi="Calibri" w:cs="Calibri"/>
          <w:szCs w:val="20"/>
        </w:rPr>
        <w:t>São Instrumentos de dívida aptos a absorver perdas quando ocorre a liquidação da instituição financeira.</w:t>
      </w:r>
    </w:p>
  </w:footnote>
  <w:footnote w:id="22">
    <w:p w14:paraId="1EA217B3" w14:textId="4F2F54D5" w:rsidR="00A73BAD" w:rsidRDefault="00A73BAD" w:rsidP="0EDB2EA1">
      <w:pPr>
        <w:pStyle w:val="Textodenotaderodap"/>
        <w:rPr>
          <w:szCs w:val="20"/>
        </w:rPr>
      </w:pPr>
      <w:r w:rsidRPr="0EDB2EA1">
        <w:rPr>
          <w:rStyle w:val="Refdenotaderodap"/>
        </w:rPr>
        <w:footnoteRef/>
      </w:r>
      <w:r>
        <w:t xml:space="preserve"> </w:t>
      </w:r>
      <w:r w:rsidRPr="0EDB2EA1">
        <w:rPr>
          <w:rFonts w:ascii="Calibri" w:eastAsia="Calibri" w:hAnsi="Calibri" w:cs="Calibri"/>
          <w:sz w:val="22"/>
          <w:szCs w:val="22"/>
        </w:rPr>
        <w:t>Conforme o art. 2º da Lei Complementar nº 101, entende-se como empresa estatal dependente a empresa controlada que receba do ente controlador recursos financeiros para pagamento de despesas com pessoal ou de custeio em geral ou de capital, excluídos, no último caso, aqueles provenientes de aumento de participação acionária.</w:t>
      </w:r>
    </w:p>
  </w:footnote>
  <w:footnote w:id="23">
    <w:p w14:paraId="09545441" w14:textId="0115B318" w:rsidR="00A73BAD" w:rsidRDefault="00A73BAD" w:rsidP="0EDB2EA1">
      <w:pPr>
        <w:pStyle w:val="Textodenotaderodap"/>
        <w:rPr>
          <w:szCs w:val="20"/>
        </w:rPr>
      </w:pPr>
      <w:r w:rsidRPr="0EDB2EA1">
        <w:rPr>
          <w:rStyle w:val="Refdenotaderodap"/>
        </w:rPr>
        <w:footnoteRef/>
      </w:r>
      <w:r>
        <w:t xml:space="preserve"> </w:t>
      </w:r>
      <w:r w:rsidRPr="0EDB2EA1">
        <w:rPr>
          <w:rFonts w:ascii="Calibri" w:eastAsia="Calibri" w:hAnsi="Calibri" w:cs="Calibri"/>
          <w:sz w:val="22"/>
          <w:szCs w:val="22"/>
        </w:rPr>
        <w:t>O art. 2º da Resolução SF nº 48/2007 considera empresa estatal dependente a empresa controlada pela União, que tenha recebido, no exercício anterior, recursos financeiros de seu controlador destinados ao pagamento de despesas com pessoal, de custeio em geral ou de capital, excluídos, neste último caso, aqueles provenientes de aumento de participação acionária, e tenha, no exercício corrente, autorização orçamentária para recebimento de recursos financeiros com idêntica finalidade.</w:t>
      </w:r>
    </w:p>
  </w:footnote>
  <w:footnote w:id="24">
    <w:p w14:paraId="27564ED8" w14:textId="715B62D7" w:rsidR="00A73BAD" w:rsidRDefault="00A73BAD" w:rsidP="0EDB2EA1">
      <w:pPr>
        <w:pStyle w:val="Textodenotaderodap"/>
        <w:rPr>
          <w:szCs w:val="20"/>
        </w:rPr>
      </w:pPr>
      <w:r w:rsidRPr="0EDB2EA1">
        <w:rPr>
          <w:rStyle w:val="Refdenotaderodap"/>
        </w:rPr>
        <w:footnoteRef/>
      </w:r>
      <w:r>
        <w:t xml:space="preserve"> </w:t>
      </w:r>
      <w:r w:rsidRPr="00C57CCF">
        <w:rPr>
          <w:rFonts w:ascii="Calibri" w:eastAsia="Calibri" w:hAnsi="Calibri" w:cs="Calibri"/>
          <w:szCs w:val="20"/>
        </w:rPr>
        <w:t>O valor de recursos destinados a adiantamento para aumento de capital (AFAC) apresentados no Boletim das Participações Societárias da União abrange todo o conjunto das empresas estatais, incluindo as empresas estatais dependentes. Além disso, os dados do boletim são oriundos das demonstrações financeiras das empresas (fluxo de caixa), enquanto os dados aqui apresentados são da execução financeira (pagamento) registrada no SIAFI.</w:t>
      </w:r>
    </w:p>
  </w:footnote>
  <w:footnote w:id="25">
    <w:p w14:paraId="4F6ED63B" w14:textId="77777777" w:rsidR="00A73BAD" w:rsidRPr="00AB75D4" w:rsidRDefault="00A73BAD" w:rsidP="00D948C1">
      <w:pPr>
        <w:pStyle w:val="Textodenotaderodap"/>
        <w:rPr>
          <w:rFonts w:asciiTheme="minorHAnsi" w:hAnsiTheme="minorHAnsi"/>
        </w:rPr>
      </w:pPr>
      <w:r>
        <w:rPr>
          <w:rStyle w:val="Refdenotaderodap"/>
        </w:rPr>
        <w:footnoteRef/>
      </w:r>
      <w:r>
        <w:t xml:space="preserve"> </w:t>
      </w:r>
      <w:r w:rsidRPr="00AB75D4">
        <w:rPr>
          <w:rFonts w:asciiTheme="minorHAnsi" w:hAnsiTheme="minorHAnsi"/>
        </w:rPr>
        <w:t xml:space="preserve">Disciplinado </w:t>
      </w:r>
      <w:proofErr w:type="gramStart"/>
      <w:r w:rsidRPr="00AB75D4">
        <w:rPr>
          <w:rFonts w:asciiTheme="minorHAnsi" w:hAnsiTheme="minorHAnsi"/>
        </w:rPr>
        <w:t>pela</w:t>
      </w:r>
      <w:r>
        <w:rPr>
          <w:rFonts w:asciiTheme="minorHAnsi" w:hAnsiTheme="minorHAnsi"/>
        </w:rPr>
        <w:t>s</w:t>
      </w:r>
      <w:r w:rsidRPr="00AB75D4">
        <w:rPr>
          <w:rFonts w:asciiTheme="minorHAnsi" w:hAnsiTheme="minorHAnsi"/>
        </w:rPr>
        <w:t xml:space="preserve"> Portaria</w:t>
      </w:r>
      <w:proofErr w:type="gramEnd"/>
      <w:r>
        <w:rPr>
          <w:rFonts w:asciiTheme="minorHAnsi" w:hAnsiTheme="minorHAnsi"/>
        </w:rPr>
        <w:t xml:space="preserve"> MEC</w:t>
      </w:r>
      <w:r w:rsidRPr="00AB75D4">
        <w:rPr>
          <w:rFonts w:asciiTheme="minorHAnsi" w:hAnsiTheme="minorHAnsi"/>
        </w:rPr>
        <w:t xml:space="preserve"> nº 209, de 07/03/2018</w:t>
      </w:r>
      <w:r>
        <w:rPr>
          <w:rFonts w:asciiTheme="minorHAnsi" w:hAnsiTheme="minorHAnsi"/>
        </w:rPr>
        <w:t>,</w:t>
      </w:r>
      <w:r w:rsidRPr="00AB75D4">
        <w:rPr>
          <w:rFonts w:asciiTheme="minorHAnsi" w:hAnsiTheme="minorHAnsi"/>
        </w:rPr>
        <w:t xml:space="preserve"> e Portaria </w:t>
      </w:r>
      <w:r>
        <w:rPr>
          <w:rFonts w:asciiTheme="minorHAnsi" w:hAnsiTheme="minorHAnsi"/>
        </w:rPr>
        <w:t xml:space="preserve">MEC </w:t>
      </w:r>
      <w:r w:rsidRPr="00AB75D4">
        <w:rPr>
          <w:rFonts w:asciiTheme="minorHAnsi" w:hAnsiTheme="minorHAnsi"/>
        </w:rPr>
        <w:t>nº 1.209</w:t>
      </w:r>
      <w:r>
        <w:rPr>
          <w:rFonts w:asciiTheme="minorHAnsi" w:hAnsiTheme="minorHAnsi"/>
        </w:rPr>
        <w:t>,</w:t>
      </w:r>
      <w:r w:rsidRPr="00AB75D4">
        <w:rPr>
          <w:rFonts w:asciiTheme="minorHAnsi" w:hAnsiTheme="minorHAnsi"/>
        </w:rPr>
        <w:t xml:space="preserve"> de 19/11/2018</w:t>
      </w:r>
      <w:r>
        <w:rPr>
          <w:rFonts w:asciiTheme="minorHAnsi" w:hAnsiTheme="minorHAnsi"/>
        </w:rPr>
        <w:t>.</w:t>
      </w:r>
    </w:p>
  </w:footnote>
  <w:footnote w:id="26">
    <w:p w14:paraId="7C26D380" w14:textId="77777777" w:rsidR="00A73BAD" w:rsidRDefault="00A73BAD" w:rsidP="008A6A89">
      <w:pPr>
        <w:pStyle w:val="Textodenotaderodap"/>
      </w:pPr>
      <w:r>
        <w:rPr>
          <w:rStyle w:val="Refdenotaderodap"/>
        </w:rPr>
        <w:footnoteRef/>
      </w:r>
      <w:r>
        <w:t xml:space="preserve"> </w:t>
      </w:r>
      <w:r w:rsidRPr="00740DD9">
        <w:rPr>
          <w:rFonts w:ascii="Calibri" w:hAnsi="Calibri"/>
          <w:szCs w:val="20"/>
        </w:rPr>
        <w:t xml:space="preserve">Previsto </w:t>
      </w:r>
      <w:r>
        <w:rPr>
          <w:rFonts w:ascii="Calibri" w:hAnsi="Calibri"/>
          <w:szCs w:val="20"/>
        </w:rPr>
        <w:t>n</w:t>
      </w:r>
      <w:r w:rsidRPr="00740DD9">
        <w:rPr>
          <w:rFonts w:ascii="Calibri" w:hAnsi="Calibri"/>
          <w:szCs w:val="20"/>
        </w:rPr>
        <w:t xml:space="preserve">a Lei nº 13.530, de </w:t>
      </w:r>
      <w:proofErr w:type="gramStart"/>
      <w:r w:rsidRPr="00740DD9">
        <w:rPr>
          <w:rFonts w:ascii="Calibri" w:hAnsi="Calibri"/>
          <w:szCs w:val="20"/>
        </w:rPr>
        <w:t>8</w:t>
      </w:r>
      <w:proofErr w:type="gramEnd"/>
      <w:r w:rsidRPr="00740DD9">
        <w:rPr>
          <w:rFonts w:ascii="Calibri" w:hAnsi="Calibri"/>
          <w:szCs w:val="20"/>
        </w:rPr>
        <w:t xml:space="preserve"> de dezembro de 2017</w:t>
      </w:r>
      <w:r>
        <w:rPr>
          <w:rFonts w:ascii="Calibri" w:hAnsi="Calibri"/>
          <w:szCs w:val="20"/>
        </w:rPr>
        <w:t>, i</w:t>
      </w:r>
      <w:r w:rsidRPr="00E91FB7">
        <w:rPr>
          <w:rFonts w:ascii="Calibri" w:hAnsi="Calibri"/>
          <w:szCs w:val="20"/>
        </w:rPr>
        <w:t>nstituído pelo Decreto de 19 de setembro de 2017</w:t>
      </w:r>
      <w:r>
        <w:rPr>
          <w:rFonts w:ascii="Calibri" w:hAnsi="Calibri"/>
          <w:szCs w:val="20"/>
        </w:rPr>
        <w:t>.</w:t>
      </w:r>
    </w:p>
  </w:footnote>
  <w:footnote w:id="27">
    <w:p w14:paraId="6EE5E8AF" w14:textId="51A5E06D" w:rsidR="00A73BAD" w:rsidRPr="00277569" w:rsidRDefault="00A73BAD" w:rsidP="68783CE5">
      <w:pPr>
        <w:pStyle w:val="Textodenotaderodap"/>
        <w:rPr>
          <w:rFonts w:ascii="Calibri" w:hAnsi="Calibri"/>
        </w:rPr>
      </w:pPr>
      <w:r w:rsidRPr="68783CE5">
        <w:rPr>
          <w:rStyle w:val="Refdenotaderodap"/>
          <w:rFonts w:ascii="Calibri" w:hAnsi="Calibri"/>
        </w:rPr>
        <w:footnoteRef/>
      </w:r>
      <w:r w:rsidRPr="68783CE5">
        <w:rPr>
          <w:rFonts w:ascii="Calibri" w:hAnsi="Calibri"/>
        </w:rPr>
        <w:t xml:space="preserve"> Posição em 31/12/2020</w:t>
      </w:r>
    </w:p>
  </w:footnote>
  <w:footnote w:id="28">
    <w:p w14:paraId="1144D756" w14:textId="26C7B5CF" w:rsidR="00A73BAD" w:rsidRPr="00A46C1C" w:rsidRDefault="00A73BAD">
      <w:pPr>
        <w:pStyle w:val="Textodenotaderodap"/>
        <w:rPr>
          <w:rFonts w:asciiTheme="minorHAnsi" w:hAnsiTheme="minorHAnsi"/>
          <w:szCs w:val="20"/>
        </w:rPr>
      </w:pPr>
      <w:r w:rsidRPr="00A46C1C">
        <w:rPr>
          <w:rStyle w:val="Refdenotaderodap"/>
          <w:rFonts w:asciiTheme="minorHAnsi" w:hAnsiTheme="minorHAnsi"/>
        </w:rPr>
        <w:footnoteRef/>
      </w:r>
      <w:r w:rsidRPr="00A46C1C">
        <w:rPr>
          <w:rFonts w:asciiTheme="minorHAnsi" w:hAnsiTheme="minorHAnsi"/>
        </w:rPr>
        <w:t xml:space="preserve"> </w:t>
      </w:r>
      <w:r w:rsidRPr="005C67C1">
        <w:rPr>
          <w:rFonts w:asciiTheme="minorHAnsi" w:hAnsiTheme="minorHAnsi"/>
          <w:szCs w:val="20"/>
        </w:rPr>
        <w:t xml:space="preserve">Disponível em </w:t>
      </w:r>
      <w:proofErr w:type="gramStart"/>
      <w:r w:rsidRPr="005C67C1">
        <w:rPr>
          <w:rFonts w:asciiTheme="minorHAnsi" w:hAnsiTheme="minorHAnsi"/>
          <w:szCs w:val="20"/>
        </w:rPr>
        <w:t>https</w:t>
      </w:r>
      <w:proofErr w:type="gramEnd"/>
      <w:r w:rsidRPr="005C67C1">
        <w:rPr>
          <w:rFonts w:asciiTheme="minorHAnsi" w:hAnsiTheme="minorHAnsi"/>
          <w:szCs w:val="20"/>
        </w:rPr>
        <w:t>://www.bcb.gov.br/publicacoes/ref.</w:t>
      </w:r>
    </w:p>
  </w:footnote>
  <w:footnote w:id="29">
    <w:p w14:paraId="5CC4C641" w14:textId="77777777" w:rsidR="00A73BAD" w:rsidRPr="00277569" w:rsidRDefault="00A73BAD" w:rsidP="000D17A6">
      <w:pPr>
        <w:pStyle w:val="Textodenotaderodap"/>
        <w:rPr>
          <w:rFonts w:ascii="Calibri" w:hAnsi="Calibri"/>
          <w:szCs w:val="20"/>
        </w:rPr>
      </w:pPr>
      <w:r w:rsidRPr="00277569">
        <w:rPr>
          <w:rStyle w:val="Refdenotaderodap"/>
          <w:rFonts w:ascii="Calibri" w:hAnsi="Calibri"/>
          <w:szCs w:val="20"/>
        </w:rPr>
        <w:footnoteRef/>
      </w:r>
      <w:r w:rsidRPr="00277569">
        <w:rPr>
          <w:rFonts w:ascii="Calibri" w:hAnsi="Calibri"/>
          <w:szCs w:val="20"/>
        </w:rPr>
        <w:t xml:space="preserve"> IBGE. Projeções da população: Brasil e Unidades da Federação: revisão 2018, 2. </w:t>
      </w:r>
      <w:proofErr w:type="gramStart"/>
      <w:r w:rsidRPr="00277569">
        <w:rPr>
          <w:rFonts w:ascii="Calibri" w:hAnsi="Calibri"/>
          <w:szCs w:val="20"/>
        </w:rPr>
        <w:t>ed.</w:t>
      </w:r>
      <w:proofErr w:type="gramEnd"/>
      <w:r w:rsidRPr="00277569">
        <w:rPr>
          <w:rFonts w:ascii="Calibri" w:hAnsi="Calibri"/>
          <w:szCs w:val="20"/>
        </w:rPr>
        <w:t xml:space="preserve"> Rio de Janeiro: IBGE,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E21"/>
    <w:multiLevelType w:val="hybridMultilevel"/>
    <w:tmpl w:val="4746CD32"/>
    <w:lvl w:ilvl="0" w:tplc="04160001">
      <w:start w:val="1"/>
      <w:numFmt w:val="bullet"/>
      <w:lvlText w:val=""/>
      <w:lvlJc w:val="left"/>
      <w:pPr>
        <w:ind w:left="1571" w:hanging="360"/>
      </w:pPr>
      <w:rPr>
        <w:rFonts w:ascii="Symbol" w:hAnsi="Symbol" w:hint="default"/>
      </w:rPr>
    </w:lvl>
    <w:lvl w:ilvl="1" w:tplc="A57C249A">
      <w:start w:val="1"/>
      <w:numFmt w:val="lowerLetter"/>
      <w:lvlText w:val="%2)"/>
      <w:lvlJc w:val="left"/>
      <w:pPr>
        <w:ind w:left="2291" w:hanging="360"/>
      </w:pPr>
      <w:rPr>
        <w:rFonts w:hint="default"/>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
    <w:nsid w:val="02466C87"/>
    <w:multiLevelType w:val="hybridMultilevel"/>
    <w:tmpl w:val="C34A802A"/>
    <w:lvl w:ilvl="0" w:tplc="04160015">
      <w:start w:val="1"/>
      <w:numFmt w:val="upp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
    <w:nsid w:val="05960456"/>
    <w:multiLevelType w:val="hybridMultilevel"/>
    <w:tmpl w:val="1122ACA0"/>
    <w:lvl w:ilvl="0" w:tplc="29A60EBA">
      <w:start w:val="1"/>
      <w:numFmt w:val="decimal"/>
      <w:lvlText w:val="%1."/>
      <w:lvlJc w:val="left"/>
      <w:pPr>
        <w:ind w:left="720" w:hanging="360"/>
      </w:pPr>
    </w:lvl>
    <w:lvl w:ilvl="1" w:tplc="7C2C29E8">
      <w:numFmt w:val="none"/>
      <w:lvlText w:val=""/>
      <w:lvlJc w:val="left"/>
      <w:pPr>
        <w:tabs>
          <w:tab w:val="num" w:pos="360"/>
        </w:tabs>
      </w:pPr>
    </w:lvl>
    <w:lvl w:ilvl="2" w:tplc="254E9E12">
      <w:start w:val="1"/>
      <w:numFmt w:val="lowerRoman"/>
      <w:lvlText w:val="%3."/>
      <w:lvlJc w:val="right"/>
      <w:pPr>
        <w:ind w:left="2160" w:hanging="180"/>
      </w:pPr>
    </w:lvl>
    <w:lvl w:ilvl="3" w:tplc="910E70CE">
      <w:start w:val="1"/>
      <w:numFmt w:val="decimal"/>
      <w:lvlText w:val="%4."/>
      <w:lvlJc w:val="left"/>
      <w:pPr>
        <w:ind w:left="2880" w:hanging="360"/>
      </w:pPr>
    </w:lvl>
    <w:lvl w:ilvl="4" w:tplc="EF60E6CC">
      <w:start w:val="1"/>
      <w:numFmt w:val="lowerLetter"/>
      <w:lvlText w:val="%5."/>
      <w:lvlJc w:val="left"/>
      <w:pPr>
        <w:ind w:left="3600" w:hanging="360"/>
      </w:pPr>
    </w:lvl>
    <w:lvl w:ilvl="5" w:tplc="B598F594">
      <w:start w:val="1"/>
      <w:numFmt w:val="lowerRoman"/>
      <w:lvlText w:val="%6."/>
      <w:lvlJc w:val="right"/>
      <w:pPr>
        <w:ind w:left="4320" w:hanging="180"/>
      </w:pPr>
    </w:lvl>
    <w:lvl w:ilvl="6" w:tplc="C066B90C">
      <w:start w:val="1"/>
      <w:numFmt w:val="decimal"/>
      <w:lvlText w:val="%7."/>
      <w:lvlJc w:val="left"/>
      <w:pPr>
        <w:ind w:left="5040" w:hanging="360"/>
      </w:pPr>
    </w:lvl>
    <w:lvl w:ilvl="7" w:tplc="6FDE101C">
      <w:start w:val="1"/>
      <w:numFmt w:val="lowerLetter"/>
      <w:lvlText w:val="%8."/>
      <w:lvlJc w:val="left"/>
      <w:pPr>
        <w:ind w:left="5760" w:hanging="360"/>
      </w:pPr>
    </w:lvl>
    <w:lvl w:ilvl="8" w:tplc="6324F576">
      <w:start w:val="1"/>
      <w:numFmt w:val="lowerRoman"/>
      <w:lvlText w:val="%9."/>
      <w:lvlJc w:val="right"/>
      <w:pPr>
        <w:ind w:left="6480" w:hanging="180"/>
      </w:pPr>
    </w:lvl>
  </w:abstractNum>
  <w:abstractNum w:abstractNumId="3">
    <w:nsid w:val="05DA3548"/>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708"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6144CCA"/>
    <w:multiLevelType w:val="hybridMultilevel"/>
    <w:tmpl w:val="3024254A"/>
    <w:lvl w:ilvl="0" w:tplc="04160017">
      <w:start w:val="1"/>
      <w:numFmt w:val="lowerLetter"/>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0668611C"/>
    <w:multiLevelType w:val="multilevel"/>
    <w:tmpl w:val="455AE42A"/>
    <w:lvl w:ilvl="0">
      <w:start w:val="1"/>
      <w:numFmt w:val="decimal"/>
      <w:lvlText w:val="%1."/>
      <w:lvlJc w:val="left"/>
      <w:pPr>
        <w:ind w:left="720" w:hanging="360"/>
      </w:pPr>
    </w:lvl>
    <w:lvl w:ilvl="1" w:tentative="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6">
    <w:nsid w:val="111160F6"/>
    <w:multiLevelType w:val="hybridMultilevel"/>
    <w:tmpl w:val="EBB894C2"/>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nsid w:val="12493908"/>
    <w:multiLevelType w:val="hybridMultilevel"/>
    <w:tmpl w:val="10CCC072"/>
    <w:lvl w:ilvl="0" w:tplc="695A2E2E">
      <w:start w:val="1"/>
      <w:numFmt w:val="decimal"/>
      <w:lvlText w:val="%1."/>
      <w:lvlJc w:val="left"/>
      <w:pPr>
        <w:ind w:left="720" w:hanging="360"/>
      </w:pPr>
    </w:lvl>
    <w:lvl w:ilvl="1" w:tplc="13286B6E">
      <w:numFmt w:val="none"/>
      <w:lvlText w:val=""/>
      <w:lvlJc w:val="left"/>
      <w:pPr>
        <w:tabs>
          <w:tab w:val="num" w:pos="360"/>
        </w:tabs>
      </w:pPr>
    </w:lvl>
    <w:lvl w:ilvl="2" w:tplc="BA86456A">
      <w:start w:val="1"/>
      <w:numFmt w:val="lowerRoman"/>
      <w:lvlText w:val="%3."/>
      <w:lvlJc w:val="right"/>
      <w:pPr>
        <w:ind w:left="2160" w:hanging="180"/>
      </w:pPr>
    </w:lvl>
    <w:lvl w:ilvl="3" w:tplc="7862E426">
      <w:start w:val="1"/>
      <w:numFmt w:val="decimal"/>
      <w:lvlText w:val="%4."/>
      <w:lvlJc w:val="left"/>
      <w:pPr>
        <w:ind w:left="2880" w:hanging="360"/>
      </w:pPr>
    </w:lvl>
    <w:lvl w:ilvl="4" w:tplc="2CDEA466">
      <w:start w:val="1"/>
      <w:numFmt w:val="lowerLetter"/>
      <w:lvlText w:val="%5."/>
      <w:lvlJc w:val="left"/>
      <w:pPr>
        <w:ind w:left="3600" w:hanging="360"/>
      </w:pPr>
    </w:lvl>
    <w:lvl w:ilvl="5" w:tplc="89B2F112">
      <w:start w:val="1"/>
      <w:numFmt w:val="lowerRoman"/>
      <w:lvlText w:val="%6."/>
      <w:lvlJc w:val="right"/>
      <w:pPr>
        <w:ind w:left="4320" w:hanging="180"/>
      </w:pPr>
    </w:lvl>
    <w:lvl w:ilvl="6" w:tplc="C7188E26">
      <w:start w:val="1"/>
      <w:numFmt w:val="decimal"/>
      <w:lvlText w:val="%7."/>
      <w:lvlJc w:val="left"/>
      <w:pPr>
        <w:ind w:left="5040" w:hanging="360"/>
      </w:pPr>
    </w:lvl>
    <w:lvl w:ilvl="7" w:tplc="D5A6C964">
      <w:start w:val="1"/>
      <w:numFmt w:val="lowerLetter"/>
      <w:lvlText w:val="%8."/>
      <w:lvlJc w:val="left"/>
      <w:pPr>
        <w:ind w:left="5760" w:hanging="360"/>
      </w:pPr>
    </w:lvl>
    <w:lvl w:ilvl="8" w:tplc="96909EF6">
      <w:start w:val="1"/>
      <w:numFmt w:val="lowerRoman"/>
      <w:lvlText w:val="%9."/>
      <w:lvlJc w:val="right"/>
      <w:pPr>
        <w:ind w:left="6480" w:hanging="180"/>
      </w:pPr>
    </w:lvl>
  </w:abstractNum>
  <w:abstractNum w:abstractNumId="8">
    <w:nsid w:val="13F31013"/>
    <w:multiLevelType w:val="hybridMultilevel"/>
    <w:tmpl w:val="B48AA080"/>
    <w:lvl w:ilvl="0" w:tplc="04160017">
      <w:start w:val="1"/>
      <w:numFmt w:val="lowerLetter"/>
      <w:lvlText w:val="%1)"/>
      <w:lvlJc w:val="left"/>
      <w:pPr>
        <w:ind w:left="2136" w:hanging="360"/>
      </w:pPr>
    </w:lvl>
    <w:lvl w:ilvl="1" w:tplc="04160019">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9">
    <w:nsid w:val="1623762B"/>
    <w:multiLevelType w:val="hybridMultilevel"/>
    <w:tmpl w:val="5120A11C"/>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0">
    <w:nsid w:val="1A420CB4"/>
    <w:multiLevelType w:val="hybridMultilevel"/>
    <w:tmpl w:val="BC545CF0"/>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nsid w:val="1B7F06A2"/>
    <w:multiLevelType w:val="hybridMultilevel"/>
    <w:tmpl w:val="04D0D8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24F6942"/>
    <w:multiLevelType w:val="hybridMultilevel"/>
    <w:tmpl w:val="B1BE578C"/>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3">
    <w:nsid w:val="24616068"/>
    <w:multiLevelType w:val="hybridMultilevel"/>
    <w:tmpl w:val="62F610F8"/>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4">
    <w:nsid w:val="26845A17"/>
    <w:multiLevelType w:val="hybridMultilevel"/>
    <w:tmpl w:val="BC545CF0"/>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5">
    <w:nsid w:val="27C01DB0"/>
    <w:multiLevelType w:val="hybridMultilevel"/>
    <w:tmpl w:val="38F2E94E"/>
    <w:lvl w:ilvl="0" w:tplc="158CE074">
      <w:start w:val="1"/>
      <w:numFmt w:val="lowerLetter"/>
      <w:lvlText w:val="%1)"/>
      <w:lvlJc w:val="left"/>
      <w:pPr>
        <w:ind w:left="720" w:hanging="360"/>
      </w:pPr>
    </w:lvl>
    <w:lvl w:ilvl="1" w:tplc="4FD867DC">
      <w:start w:val="1"/>
      <w:numFmt w:val="lowerLetter"/>
      <w:lvlText w:val="%2."/>
      <w:lvlJc w:val="left"/>
      <w:pPr>
        <w:ind w:left="1440" w:hanging="360"/>
      </w:pPr>
    </w:lvl>
    <w:lvl w:ilvl="2" w:tplc="B9BE4AC8">
      <w:start w:val="1"/>
      <w:numFmt w:val="lowerRoman"/>
      <w:lvlText w:val="%3."/>
      <w:lvlJc w:val="right"/>
      <w:pPr>
        <w:ind w:left="2160" w:hanging="180"/>
      </w:pPr>
    </w:lvl>
    <w:lvl w:ilvl="3" w:tplc="340E7F28">
      <w:start w:val="1"/>
      <w:numFmt w:val="decimal"/>
      <w:lvlText w:val="%4."/>
      <w:lvlJc w:val="left"/>
      <w:pPr>
        <w:ind w:left="2880" w:hanging="360"/>
      </w:pPr>
    </w:lvl>
    <w:lvl w:ilvl="4" w:tplc="B6242538">
      <w:start w:val="1"/>
      <w:numFmt w:val="lowerLetter"/>
      <w:lvlText w:val="%5."/>
      <w:lvlJc w:val="left"/>
      <w:pPr>
        <w:ind w:left="3600" w:hanging="360"/>
      </w:pPr>
    </w:lvl>
    <w:lvl w:ilvl="5" w:tplc="53B8124C">
      <w:start w:val="1"/>
      <w:numFmt w:val="lowerRoman"/>
      <w:lvlText w:val="%6."/>
      <w:lvlJc w:val="right"/>
      <w:pPr>
        <w:ind w:left="4320" w:hanging="180"/>
      </w:pPr>
    </w:lvl>
    <w:lvl w:ilvl="6" w:tplc="4C8E3F7A">
      <w:start w:val="1"/>
      <w:numFmt w:val="decimal"/>
      <w:lvlText w:val="%7."/>
      <w:lvlJc w:val="left"/>
      <w:pPr>
        <w:ind w:left="5040" w:hanging="360"/>
      </w:pPr>
    </w:lvl>
    <w:lvl w:ilvl="7" w:tplc="A5401A3A">
      <w:start w:val="1"/>
      <w:numFmt w:val="lowerLetter"/>
      <w:lvlText w:val="%8."/>
      <w:lvlJc w:val="left"/>
      <w:pPr>
        <w:ind w:left="5760" w:hanging="360"/>
      </w:pPr>
    </w:lvl>
    <w:lvl w:ilvl="8" w:tplc="98D23146">
      <w:start w:val="1"/>
      <w:numFmt w:val="lowerRoman"/>
      <w:lvlText w:val="%9."/>
      <w:lvlJc w:val="right"/>
      <w:pPr>
        <w:ind w:left="6480" w:hanging="180"/>
      </w:pPr>
    </w:lvl>
  </w:abstractNum>
  <w:abstractNum w:abstractNumId="16">
    <w:nsid w:val="293B01EC"/>
    <w:multiLevelType w:val="multilevel"/>
    <w:tmpl w:val="C3F2D636"/>
    <w:lvl w:ilvl="0">
      <w:start w:val="1"/>
      <w:numFmt w:val="decimal"/>
      <w:pStyle w:val="T1"/>
      <w:lvlText w:val="%1."/>
      <w:lvlJc w:val="left"/>
      <w:pPr>
        <w:ind w:left="360" w:hanging="360"/>
      </w:pPr>
      <w:rPr>
        <w:rFonts w:hint="default"/>
      </w:rPr>
    </w:lvl>
    <w:lvl w:ilvl="1">
      <w:start w:val="1"/>
      <w:numFmt w:val="decimal"/>
      <w:pStyle w:val="T2"/>
      <w:lvlText w:val="%1.%2."/>
      <w:lvlJc w:val="left"/>
      <w:pPr>
        <w:ind w:left="792" w:hanging="432"/>
      </w:pPr>
      <w:rPr>
        <w:rFonts w:hint="default"/>
      </w:rPr>
    </w:lvl>
    <w:lvl w:ilvl="2">
      <w:start w:val="1"/>
      <w:numFmt w:val="decimal"/>
      <w:pStyle w:val="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9560433"/>
    <w:multiLevelType w:val="hybridMultilevel"/>
    <w:tmpl w:val="6EC86B88"/>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8">
    <w:nsid w:val="29B4218B"/>
    <w:multiLevelType w:val="hybridMultilevel"/>
    <w:tmpl w:val="FFFFFFFF"/>
    <w:lvl w:ilvl="0" w:tplc="01F42D64">
      <w:start w:val="1"/>
      <w:numFmt w:val="bullet"/>
      <w:lvlText w:val="·"/>
      <w:lvlJc w:val="left"/>
      <w:pPr>
        <w:ind w:left="720" w:hanging="360"/>
      </w:pPr>
      <w:rPr>
        <w:rFonts w:ascii="Symbol" w:hAnsi="Symbol" w:hint="default"/>
      </w:rPr>
    </w:lvl>
    <w:lvl w:ilvl="1" w:tplc="B6CAFBEC">
      <w:start w:val="1"/>
      <w:numFmt w:val="bullet"/>
      <w:lvlText w:val="o"/>
      <w:lvlJc w:val="left"/>
      <w:pPr>
        <w:ind w:left="1440" w:hanging="360"/>
      </w:pPr>
      <w:rPr>
        <w:rFonts w:ascii="Courier New" w:hAnsi="Courier New" w:hint="default"/>
      </w:rPr>
    </w:lvl>
    <w:lvl w:ilvl="2" w:tplc="12F47D68">
      <w:start w:val="1"/>
      <w:numFmt w:val="bullet"/>
      <w:lvlText w:val=""/>
      <w:lvlJc w:val="left"/>
      <w:pPr>
        <w:ind w:left="2160" w:hanging="360"/>
      </w:pPr>
      <w:rPr>
        <w:rFonts w:ascii="Wingdings" w:hAnsi="Wingdings" w:hint="default"/>
      </w:rPr>
    </w:lvl>
    <w:lvl w:ilvl="3" w:tplc="66E0201E">
      <w:start w:val="1"/>
      <w:numFmt w:val="bullet"/>
      <w:lvlText w:val=""/>
      <w:lvlJc w:val="left"/>
      <w:pPr>
        <w:ind w:left="2880" w:hanging="360"/>
      </w:pPr>
      <w:rPr>
        <w:rFonts w:ascii="Symbol" w:hAnsi="Symbol" w:hint="default"/>
      </w:rPr>
    </w:lvl>
    <w:lvl w:ilvl="4" w:tplc="9B2C4D08">
      <w:start w:val="1"/>
      <w:numFmt w:val="bullet"/>
      <w:lvlText w:val="o"/>
      <w:lvlJc w:val="left"/>
      <w:pPr>
        <w:ind w:left="3600" w:hanging="360"/>
      </w:pPr>
      <w:rPr>
        <w:rFonts w:ascii="Courier New" w:hAnsi="Courier New" w:hint="default"/>
      </w:rPr>
    </w:lvl>
    <w:lvl w:ilvl="5" w:tplc="B034379C">
      <w:start w:val="1"/>
      <w:numFmt w:val="bullet"/>
      <w:lvlText w:val=""/>
      <w:lvlJc w:val="left"/>
      <w:pPr>
        <w:ind w:left="4320" w:hanging="360"/>
      </w:pPr>
      <w:rPr>
        <w:rFonts w:ascii="Wingdings" w:hAnsi="Wingdings" w:hint="default"/>
      </w:rPr>
    </w:lvl>
    <w:lvl w:ilvl="6" w:tplc="C4906D8A">
      <w:start w:val="1"/>
      <w:numFmt w:val="bullet"/>
      <w:lvlText w:val=""/>
      <w:lvlJc w:val="left"/>
      <w:pPr>
        <w:ind w:left="5040" w:hanging="360"/>
      </w:pPr>
      <w:rPr>
        <w:rFonts w:ascii="Symbol" w:hAnsi="Symbol" w:hint="default"/>
      </w:rPr>
    </w:lvl>
    <w:lvl w:ilvl="7" w:tplc="E06084FE">
      <w:start w:val="1"/>
      <w:numFmt w:val="bullet"/>
      <w:lvlText w:val="o"/>
      <w:lvlJc w:val="left"/>
      <w:pPr>
        <w:ind w:left="5760" w:hanging="360"/>
      </w:pPr>
      <w:rPr>
        <w:rFonts w:ascii="Courier New" w:hAnsi="Courier New" w:hint="default"/>
      </w:rPr>
    </w:lvl>
    <w:lvl w:ilvl="8" w:tplc="9702A9DE">
      <w:start w:val="1"/>
      <w:numFmt w:val="bullet"/>
      <w:lvlText w:val=""/>
      <w:lvlJc w:val="left"/>
      <w:pPr>
        <w:ind w:left="6480" w:hanging="360"/>
      </w:pPr>
      <w:rPr>
        <w:rFonts w:ascii="Wingdings" w:hAnsi="Wingdings" w:hint="default"/>
      </w:rPr>
    </w:lvl>
  </w:abstractNum>
  <w:abstractNum w:abstractNumId="19">
    <w:nsid w:val="29CE7A7C"/>
    <w:multiLevelType w:val="hybridMultilevel"/>
    <w:tmpl w:val="508C8330"/>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0">
    <w:nsid w:val="3022395C"/>
    <w:multiLevelType w:val="hybridMultilevel"/>
    <w:tmpl w:val="7D80FCD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nsid w:val="30E5095D"/>
    <w:multiLevelType w:val="hybridMultilevel"/>
    <w:tmpl w:val="DE3ADE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9F9527F"/>
    <w:multiLevelType w:val="hybridMultilevel"/>
    <w:tmpl w:val="BC545CF0"/>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3">
    <w:nsid w:val="3B432A52"/>
    <w:multiLevelType w:val="hybridMultilevel"/>
    <w:tmpl w:val="CA3C06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BE45D58"/>
    <w:multiLevelType w:val="hybridMultilevel"/>
    <w:tmpl w:val="BC545CF0"/>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5">
    <w:nsid w:val="3C9A1291"/>
    <w:multiLevelType w:val="hybridMultilevel"/>
    <w:tmpl w:val="F9D61496"/>
    <w:lvl w:ilvl="0" w:tplc="135C0E3C">
      <w:start w:val="1"/>
      <w:numFmt w:val="upperRoman"/>
      <w:lvlText w:val="%1."/>
      <w:lvlJc w:val="right"/>
      <w:pPr>
        <w:ind w:left="720" w:hanging="360"/>
      </w:pPr>
    </w:lvl>
    <w:lvl w:ilvl="1" w:tplc="7040C1B0">
      <w:start w:val="1"/>
      <w:numFmt w:val="lowerLetter"/>
      <w:lvlText w:val="%2."/>
      <w:lvlJc w:val="left"/>
      <w:pPr>
        <w:ind w:left="1440" w:hanging="360"/>
      </w:pPr>
    </w:lvl>
    <w:lvl w:ilvl="2" w:tplc="32BCB936">
      <w:start w:val="1"/>
      <w:numFmt w:val="lowerRoman"/>
      <w:lvlText w:val="%3."/>
      <w:lvlJc w:val="right"/>
      <w:pPr>
        <w:ind w:left="2160" w:hanging="180"/>
      </w:pPr>
    </w:lvl>
    <w:lvl w:ilvl="3" w:tplc="F2D0CAC8">
      <w:start w:val="1"/>
      <w:numFmt w:val="decimal"/>
      <w:lvlText w:val="%4."/>
      <w:lvlJc w:val="left"/>
      <w:pPr>
        <w:ind w:left="2880" w:hanging="360"/>
      </w:pPr>
    </w:lvl>
    <w:lvl w:ilvl="4" w:tplc="EAB25B52">
      <w:start w:val="1"/>
      <w:numFmt w:val="lowerLetter"/>
      <w:lvlText w:val="%5."/>
      <w:lvlJc w:val="left"/>
      <w:pPr>
        <w:ind w:left="3600" w:hanging="360"/>
      </w:pPr>
    </w:lvl>
    <w:lvl w:ilvl="5" w:tplc="CB52AA4A">
      <w:start w:val="1"/>
      <w:numFmt w:val="lowerRoman"/>
      <w:lvlText w:val="%6."/>
      <w:lvlJc w:val="right"/>
      <w:pPr>
        <w:ind w:left="4320" w:hanging="180"/>
      </w:pPr>
    </w:lvl>
    <w:lvl w:ilvl="6" w:tplc="8B7EF158">
      <w:start w:val="1"/>
      <w:numFmt w:val="decimal"/>
      <w:lvlText w:val="%7."/>
      <w:lvlJc w:val="left"/>
      <w:pPr>
        <w:ind w:left="5040" w:hanging="360"/>
      </w:pPr>
    </w:lvl>
    <w:lvl w:ilvl="7" w:tplc="4A8C5F3C">
      <w:start w:val="1"/>
      <w:numFmt w:val="lowerLetter"/>
      <w:lvlText w:val="%8."/>
      <w:lvlJc w:val="left"/>
      <w:pPr>
        <w:ind w:left="5760" w:hanging="360"/>
      </w:pPr>
    </w:lvl>
    <w:lvl w:ilvl="8" w:tplc="D7B6E294">
      <w:start w:val="1"/>
      <w:numFmt w:val="lowerRoman"/>
      <w:lvlText w:val="%9."/>
      <w:lvlJc w:val="right"/>
      <w:pPr>
        <w:ind w:left="6480" w:hanging="180"/>
      </w:pPr>
    </w:lvl>
  </w:abstractNum>
  <w:abstractNum w:abstractNumId="26">
    <w:nsid w:val="3D342F57"/>
    <w:multiLevelType w:val="hybridMultilevel"/>
    <w:tmpl w:val="9A32178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155093D"/>
    <w:multiLevelType w:val="multilevel"/>
    <w:tmpl w:val="6804F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ulo1ARF"/>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8AD696B"/>
    <w:multiLevelType w:val="multilevel"/>
    <w:tmpl w:val="728605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D8A7735"/>
    <w:multiLevelType w:val="hybridMultilevel"/>
    <w:tmpl w:val="04D0D8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DA9093D"/>
    <w:multiLevelType w:val="hybridMultilevel"/>
    <w:tmpl w:val="351A9AE2"/>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1">
    <w:nsid w:val="4E6F4F38"/>
    <w:multiLevelType w:val="hybridMultilevel"/>
    <w:tmpl w:val="E0525988"/>
    <w:lvl w:ilvl="0" w:tplc="3E1890B6">
      <w:start w:val="1"/>
      <w:numFmt w:val="lowerLetter"/>
      <w:lvlText w:val="%1."/>
      <w:lvlJc w:val="left"/>
      <w:pPr>
        <w:ind w:left="720" w:hanging="360"/>
      </w:pPr>
    </w:lvl>
    <w:lvl w:ilvl="1" w:tplc="14D45BD6">
      <w:start w:val="1"/>
      <w:numFmt w:val="lowerLetter"/>
      <w:lvlText w:val="%2."/>
      <w:lvlJc w:val="left"/>
      <w:pPr>
        <w:ind w:left="1440" w:hanging="360"/>
      </w:pPr>
    </w:lvl>
    <w:lvl w:ilvl="2" w:tplc="8248AD78">
      <w:start w:val="1"/>
      <w:numFmt w:val="lowerRoman"/>
      <w:lvlText w:val="%3."/>
      <w:lvlJc w:val="right"/>
      <w:pPr>
        <w:ind w:left="2160" w:hanging="180"/>
      </w:pPr>
    </w:lvl>
    <w:lvl w:ilvl="3" w:tplc="699A9D12">
      <w:start w:val="1"/>
      <w:numFmt w:val="decimal"/>
      <w:lvlText w:val="%4."/>
      <w:lvlJc w:val="left"/>
      <w:pPr>
        <w:ind w:left="2880" w:hanging="360"/>
      </w:pPr>
    </w:lvl>
    <w:lvl w:ilvl="4" w:tplc="264C9E8C">
      <w:start w:val="1"/>
      <w:numFmt w:val="lowerLetter"/>
      <w:lvlText w:val="%5."/>
      <w:lvlJc w:val="left"/>
      <w:pPr>
        <w:ind w:left="3600" w:hanging="360"/>
      </w:pPr>
    </w:lvl>
    <w:lvl w:ilvl="5" w:tplc="03F63F8A">
      <w:start w:val="1"/>
      <w:numFmt w:val="lowerRoman"/>
      <w:lvlText w:val="%6."/>
      <w:lvlJc w:val="right"/>
      <w:pPr>
        <w:ind w:left="4320" w:hanging="180"/>
      </w:pPr>
    </w:lvl>
    <w:lvl w:ilvl="6" w:tplc="17F44166">
      <w:start w:val="1"/>
      <w:numFmt w:val="decimal"/>
      <w:lvlText w:val="%7."/>
      <w:lvlJc w:val="left"/>
      <w:pPr>
        <w:ind w:left="5040" w:hanging="360"/>
      </w:pPr>
    </w:lvl>
    <w:lvl w:ilvl="7" w:tplc="563A512A">
      <w:start w:val="1"/>
      <w:numFmt w:val="lowerLetter"/>
      <w:lvlText w:val="%8."/>
      <w:lvlJc w:val="left"/>
      <w:pPr>
        <w:ind w:left="5760" w:hanging="360"/>
      </w:pPr>
    </w:lvl>
    <w:lvl w:ilvl="8" w:tplc="3552F594">
      <w:start w:val="1"/>
      <w:numFmt w:val="lowerRoman"/>
      <w:lvlText w:val="%9."/>
      <w:lvlJc w:val="right"/>
      <w:pPr>
        <w:ind w:left="6480" w:hanging="180"/>
      </w:pPr>
    </w:lvl>
  </w:abstractNum>
  <w:abstractNum w:abstractNumId="32">
    <w:nsid w:val="55F60C2F"/>
    <w:multiLevelType w:val="hybridMultilevel"/>
    <w:tmpl w:val="3024254A"/>
    <w:lvl w:ilvl="0" w:tplc="04160017">
      <w:start w:val="1"/>
      <w:numFmt w:val="lowerLetter"/>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nsid w:val="56E26924"/>
    <w:multiLevelType w:val="hybridMultilevel"/>
    <w:tmpl w:val="CA3C06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7B458A4"/>
    <w:multiLevelType w:val="hybridMultilevel"/>
    <w:tmpl w:val="C916068C"/>
    <w:lvl w:ilvl="0" w:tplc="7B8E761A">
      <w:start w:val="1"/>
      <w:numFmt w:val="decimal"/>
      <w:lvlText w:val="%1."/>
      <w:lvlJc w:val="left"/>
      <w:pPr>
        <w:ind w:left="720" w:hanging="360"/>
      </w:pPr>
    </w:lvl>
    <w:lvl w:ilvl="1" w:tplc="3856A9E6">
      <w:numFmt w:val="none"/>
      <w:lvlText w:val=""/>
      <w:lvlJc w:val="left"/>
      <w:pPr>
        <w:tabs>
          <w:tab w:val="num" w:pos="360"/>
        </w:tabs>
      </w:pPr>
    </w:lvl>
    <w:lvl w:ilvl="2" w:tplc="57060B44">
      <w:start w:val="1"/>
      <w:numFmt w:val="lowerRoman"/>
      <w:lvlText w:val="%3."/>
      <w:lvlJc w:val="right"/>
      <w:pPr>
        <w:ind w:left="2160" w:hanging="180"/>
      </w:pPr>
    </w:lvl>
    <w:lvl w:ilvl="3" w:tplc="98B4C8C6">
      <w:start w:val="1"/>
      <w:numFmt w:val="decimal"/>
      <w:lvlText w:val="%4."/>
      <w:lvlJc w:val="left"/>
      <w:pPr>
        <w:ind w:left="2880" w:hanging="360"/>
      </w:pPr>
    </w:lvl>
    <w:lvl w:ilvl="4" w:tplc="F87E7F38">
      <w:start w:val="1"/>
      <w:numFmt w:val="lowerLetter"/>
      <w:lvlText w:val="%5."/>
      <w:lvlJc w:val="left"/>
      <w:pPr>
        <w:ind w:left="3600" w:hanging="360"/>
      </w:pPr>
    </w:lvl>
    <w:lvl w:ilvl="5" w:tplc="EBDE2EEE">
      <w:start w:val="1"/>
      <w:numFmt w:val="lowerRoman"/>
      <w:lvlText w:val="%6."/>
      <w:lvlJc w:val="right"/>
      <w:pPr>
        <w:ind w:left="4320" w:hanging="180"/>
      </w:pPr>
    </w:lvl>
    <w:lvl w:ilvl="6" w:tplc="E99A42E2">
      <w:start w:val="1"/>
      <w:numFmt w:val="decimal"/>
      <w:lvlText w:val="%7."/>
      <w:lvlJc w:val="left"/>
      <w:pPr>
        <w:ind w:left="5040" w:hanging="360"/>
      </w:pPr>
    </w:lvl>
    <w:lvl w:ilvl="7" w:tplc="6454521E">
      <w:start w:val="1"/>
      <w:numFmt w:val="lowerLetter"/>
      <w:lvlText w:val="%8."/>
      <w:lvlJc w:val="left"/>
      <w:pPr>
        <w:ind w:left="5760" w:hanging="360"/>
      </w:pPr>
    </w:lvl>
    <w:lvl w:ilvl="8" w:tplc="AF189B52">
      <w:start w:val="1"/>
      <w:numFmt w:val="lowerRoman"/>
      <w:lvlText w:val="%9."/>
      <w:lvlJc w:val="right"/>
      <w:pPr>
        <w:ind w:left="6480" w:hanging="180"/>
      </w:pPr>
    </w:lvl>
  </w:abstractNum>
  <w:abstractNum w:abstractNumId="35">
    <w:nsid w:val="5A3911F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A774C4C"/>
    <w:multiLevelType w:val="multilevel"/>
    <w:tmpl w:val="1D3E16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B5A429A"/>
    <w:multiLevelType w:val="hybridMultilevel"/>
    <w:tmpl w:val="B7D635DA"/>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8">
    <w:nsid w:val="63381A33"/>
    <w:multiLevelType w:val="hybridMultilevel"/>
    <w:tmpl w:val="BCD02402"/>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9">
    <w:nsid w:val="732F15D7"/>
    <w:multiLevelType w:val="hybridMultilevel"/>
    <w:tmpl w:val="3E14D8DE"/>
    <w:lvl w:ilvl="0" w:tplc="8160D6E8">
      <w:start w:val="1"/>
      <w:numFmt w:val="decimal"/>
      <w:lvlText w:val="%1."/>
      <w:lvlJc w:val="left"/>
      <w:pPr>
        <w:ind w:left="1428" w:hanging="360"/>
      </w:pPr>
    </w:lvl>
    <w:lvl w:ilvl="1" w:tplc="2D2EA87A">
      <w:start w:val="1"/>
      <w:numFmt w:val="decimal"/>
      <w:lvlText w:val="%2."/>
      <w:lvlJc w:val="left"/>
      <w:pPr>
        <w:ind w:left="2148" w:hanging="360"/>
      </w:pPr>
    </w:lvl>
    <w:lvl w:ilvl="2" w:tplc="D6D8CEC8">
      <w:start w:val="1"/>
      <w:numFmt w:val="lowerRoman"/>
      <w:lvlText w:val="%3."/>
      <w:lvlJc w:val="right"/>
      <w:pPr>
        <w:ind w:left="2868" w:hanging="180"/>
      </w:pPr>
    </w:lvl>
    <w:lvl w:ilvl="3" w:tplc="8EACFED6">
      <w:start w:val="1"/>
      <w:numFmt w:val="decimal"/>
      <w:lvlText w:val="%4."/>
      <w:lvlJc w:val="left"/>
      <w:pPr>
        <w:ind w:left="3588" w:hanging="360"/>
      </w:pPr>
    </w:lvl>
    <w:lvl w:ilvl="4" w:tplc="E88AB6D0">
      <w:start w:val="1"/>
      <w:numFmt w:val="lowerLetter"/>
      <w:lvlText w:val="%5."/>
      <w:lvlJc w:val="left"/>
      <w:pPr>
        <w:ind w:left="4308" w:hanging="360"/>
      </w:pPr>
    </w:lvl>
    <w:lvl w:ilvl="5" w:tplc="D91EE1E6">
      <w:start w:val="1"/>
      <w:numFmt w:val="lowerRoman"/>
      <w:lvlText w:val="%6."/>
      <w:lvlJc w:val="right"/>
      <w:pPr>
        <w:ind w:left="5028" w:hanging="180"/>
      </w:pPr>
    </w:lvl>
    <w:lvl w:ilvl="6" w:tplc="F0105708">
      <w:start w:val="1"/>
      <w:numFmt w:val="decimal"/>
      <w:lvlText w:val="%7."/>
      <w:lvlJc w:val="left"/>
      <w:pPr>
        <w:ind w:left="5748" w:hanging="360"/>
      </w:pPr>
    </w:lvl>
    <w:lvl w:ilvl="7" w:tplc="481A593C">
      <w:start w:val="1"/>
      <w:numFmt w:val="lowerLetter"/>
      <w:lvlText w:val="%8."/>
      <w:lvlJc w:val="left"/>
      <w:pPr>
        <w:ind w:left="6468" w:hanging="360"/>
      </w:pPr>
    </w:lvl>
    <w:lvl w:ilvl="8" w:tplc="CA1629C8">
      <w:start w:val="1"/>
      <w:numFmt w:val="lowerRoman"/>
      <w:lvlText w:val="%9."/>
      <w:lvlJc w:val="right"/>
      <w:pPr>
        <w:ind w:left="7188" w:hanging="180"/>
      </w:pPr>
    </w:lvl>
  </w:abstractNum>
  <w:abstractNum w:abstractNumId="40">
    <w:nsid w:val="73CE6DD4"/>
    <w:multiLevelType w:val="hybridMultilevel"/>
    <w:tmpl w:val="7EF868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4AF3F6D"/>
    <w:multiLevelType w:val="hybridMultilevel"/>
    <w:tmpl w:val="CA3C06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4E1371C"/>
    <w:multiLevelType w:val="hybridMultilevel"/>
    <w:tmpl w:val="FFFFFFFF"/>
    <w:lvl w:ilvl="0" w:tplc="DA14D7F6">
      <w:start w:val="1"/>
      <w:numFmt w:val="upperLetter"/>
      <w:lvlText w:val="%1."/>
      <w:lvlJc w:val="left"/>
      <w:pPr>
        <w:ind w:left="720" w:hanging="360"/>
      </w:pPr>
    </w:lvl>
    <w:lvl w:ilvl="1" w:tplc="BA66748A">
      <w:start w:val="1"/>
      <w:numFmt w:val="lowerLetter"/>
      <w:lvlText w:val="%2."/>
      <w:lvlJc w:val="left"/>
      <w:pPr>
        <w:ind w:left="1440" w:hanging="360"/>
      </w:pPr>
    </w:lvl>
    <w:lvl w:ilvl="2" w:tplc="5ABA0A78">
      <w:start w:val="1"/>
      <w:numFmt w:val="lowerRoman"/>
      <w:lvlText w:val="%3."/>
      <w:lvlJc w:val="right"/>
      <w:pPr>
        <w:ind w:left="2160" w:hanging="180"/>
      </w:pPr>
    </w:lvl>
    <w:lvl w:ilvl="3" w:tplc="F642041C">
      <w:start w:val="1"/>
      <w:numFmt w:val="decimal"/>
      <w:lvlText w:val="%4."/>
      <w:lvlJc w:val="left"/>
      <w:pPr>
        <w:ind w:left="2880" w:hanging="360"/>
      </w:pPr>
    </w:lvl>
    <w:lvl w:ilvl="4" w:tplc="0546CD76">
      <w:start w:val="1"/>
      <w:numFmt w:val="lowerLetter"/>
      <w:lvlText w:val="%5."/>
      <w:lvlJc w:val="left"/>
      <w:pPr>
        <w:ind w:left="3600" w:hanging="360"/>
      </w:pPr>
    </w:lvl>
    <w:lvl w:ilvl="5" w:tplc="CD1C3A5C">
      <w:start w:val="1"/>
      <w:numFmt w:val="lowerRoman"/>
      <w:lvlText w:val="%6."/>
      <w:lvlJc w:val="right"/>
      <w:pPr>
        <w:ind w:left="4320" w:hanging="180"/>
      </w:pPr>
    </w:lvl>
    <w:lvl w:ilvl="6" w:tplc="2822EFBC">
      <w:start w:val="1"/>
      <w:numFmt w:val="decimal"/>
      <w:lvlText w:val="%7."/>
      <w:lvlJc w:val="left"/>
      <w:pPr>
        <w:ind w:left="5040" w:hanging="360"/>
      </w:pPr>
    </w:lvl>
    <w:lvl w:ilvl="7" w:tplc="9FECC1E6">
      <w:start w:val="1"/>
      <w:numFmt w:val="lowerLetter"/>
      <w:lvlText w:val="%8."/>
      <w:lvlJc w:val="left"/>
      <w:pPr>
        <w:ind w:left="5760" w:hanging="360"/>
      </w:pPr>
    </w:lvl>
    <w:lvl w:ilvl="8" w:tplc="34D0A090">
      <w:start w:val="1"/>
      <w:numFmt w:val="lowerRoman"/>
      <w:lvlText w:val="%9."/>
      <w:lvlJc w:val="right"/>
      <w:pPr>
        <w:ind w:left="6480" w:hanging="180"/>
      </w:pPr>
    </w:lvl>
  </w:abstractNum>
  <w:abstractNum w:abstractNumId="43">
    <w:nsid w:val="768523C7"/>
    <w:multiLevelType w:val="hybridMultilevel"/>
    <w:tmpl w:val="BA9EE030"/>
    <w:lvl w:ilvl="0" w:tplc="08160013">
      <w:start w:val="1"/>
      <w:numFmt w:val="upp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nsid w:val="7C384BDD"/>
    <w:multiLevelType w:val="hybridMultilevel"/>
    <w:tmpl w:val="9DE256AE"/>
    <w:lvl w:ilvl="0" w:tplc="E6969A6C">
      <w:start w:val="1"/>
      <w:numFmt w:val="decimal"/>
      <w:suff w:val="nothing"/>
      <w:lvlText w:val="Tabela %1 – "/>
      <w:lvlJc w:val="left"/>
      <w:pPr>
        <w:ind w:left="4047" w:hanging="360"/>
      </w:pPr>
      <w:rPr>
        <w:b/>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39"/>
  </w:num>
  <w:num w:numId="3">
    <w:abstractNumId w:val="15"/>
  </w:num>
  <w:num w:numId="4">
    <w:abstractNumId w:val="31"/>
  </w:num>
  <w:num w:numId="5">
    <w:abstractNumId w:val="16"/>
  </w:num>
  <w:num w:numId="6">
    <w:abstractNumId w:val="36"/>
  </w:num>
  <w:num w:numId="7">
    <w:abstractNumId w:val="10"/>
  </w:num>
  <w:num w:numId="8">
    <w:abstractNumId w:val="29"/>
  </w:num>
  <w:num w:numId="9">
    <w:abstractNumId w:val="38"/>
  </w:num>
  <w:num w:numId="10">
    <w:abstractNumId w:val="17"/>
  </w:num>
  <w:num w:numId="11">
    <w:abstractNumId w:val="44"/>
  </w:num>
  <w:num w:numId="12">
    <w:abstractNumId w:val="21"/>
  </w:num>
  <w:num w:numId="13">
    <w:abstractNumId w:val="36"/>
  </w:num>
  <w:num w:numId="14">
    <w:abstractNumId w:val="27"/>
  </w:num>
  <w:num w:numId="15">
    <w:abstractNumId w:val="3"/>
  </w:num>
  <w:num w:numId="16">
    <w:abstractNumId w:val="23"/>
  </w:num>
  <w:num w:numId="17">
    <w:abstractNumId w:val="5"/>
  </w:num>
  <w:num w:numId="18">
    <w:abstractNumId w:val="41"/>
  </w:num>
  <w:num w:numId="19">
    <w:abstractNumId w:val="32"/>
  </w:num>
  <w:num w:numId="20">
    <w:abstractNumId w:val="12"/>
  </w:num>
  <w:num w:numId="21">
    <w:abstractNumId w:val="0"/>
  </w:num>
  <w:num w:numId="22">
    <w:abstractNumId w:val="33"/>
  </w:num>
  <w:num w:numId="23">
    <w:abstractNumId w:val="24"/>
  </w:num>
  <w:num w:numId="24">
    <w:abstractNumId w:val="11"/>
  </w:num>
  <w:num w:numId="25">
    <w:abstractNumId w:val="26"/>
  </w:num>
  <w:num w:numId="26">
    <w:abstractNumId w:val="22"/>
  </w:num>
  <w:num w:numId="27">
    <w:abstractNumId w:val="13"/>
  </w:num>
  <w:num w:numId="28">
    <w:abstractNumId w:val="6"/>
  </w:num>
  <w:num w:numId="29">
    <w:abstractNumId w:val="1"/>
  </w:num>
  <w:num w:numId="30">
    <w:abstractNumId w:val="4"/>
  </w:num>
  <w:num w:numId="31">
    <w:abstractNumId w:val="30"/>
  </w:num>
  <w:num w:numId="32">
    <w:abstractNumId w:val="40"/>
  </w:num>
  <w:num w:numId="33">
    <w:abstractNumId w:val="37"/>
  </w:num>
  <w:num w:numId="34">
    <w:abstractNumId w:val="9"/>
  </w:num>
  <w:num w:numId="35">
    <w:abstractNumId w:val="35"/>
  </w:num>
  <w:num w:numId="36">
    <w:abstractNumId w:val="28"/>
  </w:num>
  <w:num w:numId="37">
    <w:abstractNumId w:val="8"/>
  </w:num>
  <w:num w:numId="38">
    <w:abstractNumId w:val="19"/>
  </w:num>
  <w:num w:numId="39">
    <w:abstractNumId w:val="18"/>
  </w:num>
  <w:num w:numId="40">
    <w:abstractNumId w:val="42"/>
  </w:num>
  <w:num w:numId="41">
    <w:abstractNumId w:val="7"/>
  </w:num>
  <w:num w:numId="42">
    <w:abstractNumId w:val="2"/>
  </w:num>
  <w:num w:numId="43">
    <w:abstractNumId w:val="34"/>
  </w:num>
  <w:num w:numId="44">
    <w:abstractNumId w:val="20"/>
  </w:num>
  <w:num w:numId="45">
    <w:abstractNumId w:val="5"/>
  </w:num>
  <w:num w:numId="46">
    <w:abstractNumId w:val="43"/>
  </w:num>
  <w:num w:numId="47">
    <w:abstractNumId w:val="5"/>
  </w:num>
  <w:num w:numId="48">
    <w:abstractNumId w:val="5"/>
  </w:num>
  <w:num w:numId="49">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5E8"/>
    <w:rsid w:val="0000029F"/>
    <w:rsid w:val="00000418"/>
    <w:rsid w:val="00000467"/>
    <w:rsid w:val="00000744"/>
    <w:rsid w:val="000008FA"/>
    <w:rsid w:val="00000AC7"/>
    <w:rsid w:val="00000C60"/>
    <w:rsid w:val="00000D92"/>
    <w:rsid w:val="00000E67"/>
    <w:rsid w:val="00001078"/>
    <w:rsid w:val="00001410"/>
    <w:rsid w:val="00001679"/>
    <w:rsid w:val="000017AF"/>
    <w:rsid w:val="00001AE4"/>
    <w:rsid w:val="00001BA0"/>
    <w:rsid w:val="00001C10"/>
    <w:rsid w:val="00001D03"/>
    <w:rsid w:val="00001DF6"/>
    <w:rsid w:val="00002141"/>
    <w:rsid w:val="00002323"/>
    <w:rsid w:val="00002665"/>
    <w:rsid w:val="000026E9"/>
    <w:rsid w:val="00002E24"/>
    <w:rsid w:val="00003091"/>
    <w:rsid w:val="0000340C"/>
    <w:rsid w:val="00003419"/>
    <w:rsid w:val="00003532"/>
    <w:rsid w:val="00003747"/>
    <w:rsid w:val="00003906"/>
    <w:rsid w:val="00003ECB"/>
    <w:rsid w:val="0000413B"/>
    <w:rsid w:val="00004396"/>
    <w:rsid w:val="000043F9"/>
    <w:rsid w:val="000050C6"/>
    <w:rsid w:val="00005144"/>
    <w:rsid w:val="000053CF"/>
    <w:rsid w:val="00005676"/>
    <w:rsid w:val="00005C0A"/>
    <w:rsid w:val="00006322"/>
    <w:rsid w:val="0000632E"/>
    <w:rsid w:val="000064C5"/>
    <w:rsid w:val="000064CB"/>
    <w:rsid w:val="000068BF"/>
    <w:rsid w:val="00006F8D"/>
    <w:rsid w:val="00006FA9"/>
    <w:rsid w:val="00006FCC"/>
    <w:rsid w:val="00007315"/>
    <w:rsid w:val="00007497"/>
    <w:rsid w:val="000076E2"/>
    <w:rsid w:val="00007D1A"/>
    <w:rsid w:val="000101B2"/>
    <w:rsid w:val="0001020B"/>
    <w:rsid w:val="00010664"/>
    <w:rsid w:val="00010863"/>
    <w:rsid w:val="00010A73"/>
    <w:rsid w:val="00010B82"/>
    <w:rsid w:val="00010C49"/>
    <w:rsid w:val="00010F2D"/>
    <w:rsid w:val="00011033"/>
    <w:rsid w:val="000110D7"/>
    <w:rsid w:val="000112EF"/>
    <w:rsid w:val="000113A2"/>
    <w:rsid w:val="0001148E"/>
    <w:rsid w:val="000114DC"/>
    <w:rsid w:val="000116DC"/>
    <w:rsid w:val="0001186B"/>
    <w:rsid w:val="00011CFC"/>
    <w:rsid w:val="00011E98"/>
    <w:rsid w:val="0001209C"/>
    <w:rsid w:val="00012229"/>
    <w:rsid w:val="000123D6"/>
    <w:rsid w:val="00012A9D"/>
    <w:rsid w:val="00012AD3"/>
    <w:rsid w:val="00012B56"/>
    <w:rsid w:val="00012DE5"/>
    <w:rsid w:val="00012E9E"/>
    <w:rsid w:val="00013311"/>
    <w:rsid w:val="000134D3"/>
    <w:rsid w:val="000136B1"/>
    <w:rsid w:val="000138BF"/>
    <w:rsid w:val="00013A39"/>
    <w:rsid w:val="00013B1F"/>
    <w:rsid w:val="00013B35"/>
    <w:rsid w:val="00013CE3"/>
    <w:rsid w:val="00013ED9"/>
    <w:rsid w:val="0001400E"/>
    <w:rsid w:val="000142DC"/>
    <w:rsid w:val="00014301"/>
    <w:rsid w:val="0001476D"/>
    <w:rsid w:val="00014949"/>
    <w:rsid w:val="00014AF2"/>
    <w:rsid w:val="0001501D"/>
    <w:rsid w:val="0001530D"/>
    <w:rsid w:val="0001543E"/>
    <w:rsid w:val="00015588"/>
    <w:rsid w:val="000157F8"/>
    <w:rsid w:val="000158AA"/>
    <w:rsid w:val="00015D86"/>
    <w:rsid w:val="00015E7C"/>
    <w:rsid w:val="00015F45"/>
    <w:rsid w:val="00015F48"/>
    <w:rsid w:val="0001626F"/>
    <w:rsid w:val="00016452"/>
    <w:rsid w:val="00016661"/>
    <w:rsid w:val="000167C5"/>
    <w:rsid w:val="00016858"/>
    <w:rsid w:val="00016867"/>
    <w:rsid w:val="000169F2"/>
    <w:rsid w:val="00016E55"/>
    <w:rsid w:val="00016E76"/>
    <w:rsid w:val="00016EA2"/>
    <w:rsid w:val="00017608"/>
    <w:rsid w:val="000176EF"/>
    <w:rsid w:val="0001797B"/>
    <w:rsid w:val="000179EC"/>
    <w:rsid w:val="00017C77"/>
    <w:rsid w:val="0002006D"/>
    <w:rsid w:val="0002015D"/>
    <w:rsid w:val="00020248"/>
    <w:rsid w:val="00020265"/>
    <w:rsid w:val="00020344"/>
    <w:rsid w:val="0002058F"/>
    <w:rsid w:val="0002086C"/>
    <w:rsid w:val="00020886"/>
    <w:rsid w:val="000209ED"/>
    <w:rsid w:val="00020A00"/>
    <w:rsid w:val="00020A5D"/>
    <w:rsid w:val="00020E1A"/>
    <w:rsid w:val="00020FEB"/>
    <w:rsid w:val="00021442"/>
    <w:rsid w:val="000215A3"/>
    <w:rsid w:val="0002185D"/>
    <w:rsid w:val="00021A58"/>
    <w:rsid w:val="00021C9C"/>
    <w:rsid w:val="00022155"/>
    <w:rsid w:val="0002217C"/>
    <w:rsid w:val="000224D6"/>
    <w:rsid w:val="00022679"/>
    <w:rsid w:val="0002272D"/>
    <w:rsid w:val="00022851"/>
    <w:rsid w:val="0002289E"/>
    <w:rsid w:val="0002292C"/>
    <w:rsid w:val="000229FD"/>
    <w:rsid w:val="00022EC0"/>
    <w:rsid w:val="00023335"/>
    <w:rsid w:val="00023372"/>
    <w:rsid w:val="00023376"/>
    <w:rsid w:val="000233A1"/>
    <w:rsid w:val="00023593"/>
    <w:rsid w:val="00023720"/>
    <w:rsid w:val="00023ABE"/>
    <w:rsid w:val="00023E41"/>
    <w:rsid w:val="00023FAF"/>
    <w:rsid w:val="00024170"/>
    <w:rsid w:val="00024326"/>
    <w:rsid w:val="0002434B"/>
    <w:rsid w:val="000245A4"/>
    <w:rsid w:val="000247A5"/>
    <w:rsid w:val="000249B8"/>
    <w:rsid w:val="00024DB8"/>
    <w:rsid w:val="00024F01"/>
    <w:rsid w:val="00025434"/>
    <w:rsid w:val="0002551E"/>
    <w:rsid w:val="0002557A"/>
    <w:rsid w:val="000256EA"/>
    <w:rsid w:val="0002572B"/>
    <w:rsid w:val="000258C5"/>
    <w:rsid w:val="000258DC"/>
    <w:rsid w:val="00025A39"/>
    <w:rsid w:val="00025A97"/>
    <w:rsid w:val="00025BAE"/>
    <w:rsid w:val="00025E9E"/>
    <w:rsid w:val="00025EF4"/>
    <w:rsid w:val="0002639A"/>
    <w:rsid w:val="00026598"/>
    <w:rsid w:val="00026756"/>
    <w:rsid w:val="00026781"/>
    <w:rsid w:val="00026846"/>
    <w:rsid w:val="00026AEC"/>
    <w:rsid w:val="00026B2A"/>
    <w:rsid w:val="00026D79"/>
    <w:rsid w:val="0002723F"/>
    <w:rsid w:val="000272D0"/>
    <w:rsid w:val="000273E8"/>
    <w:rsid w:val="000275FE"/>
    <w:rsid w:val="000277B8"/>
    <w:rsid w:val="00027841"/>
    <w:rsid w:val="000279B3"/>
    <w:rsid w:val="00027CDB"/>
    <w:rsid w:val="00027DF5"/>
    <w:rsid w:val="00027EA7"/>
    <w:rsid w:val="00027F87"/>
    <w:rsid w:val="000301D2"/>
    <w:rsid w:val="00030343"/>
    <w:rsid w:val="00030479"/>
    <w:rsid w:val="00030508"/>
    <w:rsid w:val="0003060F"/>
    <w:rsid w:val="0003085C"/>
    <w:rsid w:val="00030E51"/>
    <w:rsid w:val="00030FE8"/>
    <w:rsid w:val="0003115D"/>
    <w:rsid w:val="00031380"/>
    <w:rsid w:val="0003139D"/>
    <w:rsid w:val="000313A6"/>
    <w:rsid w:val="00031787"/>
    <w:rsid w:val="000317A7"/>
    <w:rsid w:val="00031BA4"/>
    <w:rsid w:val="00031C88"/>
    <w:rsid w:val="00031CAB"/>
    <w:rsid w:val="00031F32"/>
    <w:rsid w:val="000326D2"/>
    <w:rsid w:val="00032707"/>
    <w:rsid w:val="0003299D"/>
    <w:rsid w:val="00032A4F"/>
    <w:rsid w:val="00032B9E"/>
    <w:rsid w:val="00032EC9"/>
    <w:rsid w:val="00033091"/>
    <w:rsid w:val="000330C0"/>
    <w:rsid w:val="0003374C"/>
    <w:rsid w:val="00033821"/>
    <w:rsid w:val="00033A8E"/>
    <w:rsid w:val="000341FC"/>
    <w:rsid w:val="000345CF"/>
    <w:rsid w:val="000347CA"/>
    <w:rsid w:val="00034980"/>
    <w:rsid w:val="00034E7E"/>
    <w:rsid w:val="00034FD3"/>
    <w:rsid w:val="0003507B"/>
    <w:rsid w:val="000353F4"/>
    <w:rsid w:val="00035409"/>
    <w:rsid w:val="00035440"/>
    <w:rsid w:val="000357D1"/>
    <w:rsid w:val="00035C6D"/>
    <w:rsid w:val="00035DF9"/>
    <w:rsid w:val="0003614B"/>
    <w:rsid w:val="000362F5"/>
    <w:rsid w:val="00036458"/>
    <w:rsid w:val="00036592"/>
    <w:rsid w:val="0003669B"/>
    <w:rsid w:val="00036782"/>
    <w:rsid w:val="000367C9"/>
    <w:rsid w:val="0003699F"/>
    <w:rsid w:val="00036B08"/>
    <w:rsid w:val="00036FF9"/>
    <w:rsid w:val="00037036"/>
    <w:rsid w:val="000370AD"/>
    <w:rsid w:val="0003720E"/>
    <w:rsid w:val="00037382"/>
    <w:rsid w:val="00037424"/>
    <w:rsid w:val="0003755D"/>
    <w:rsid w:val="0003777B"/>
    <w:rsid w:val="00037966"/>
    <w:rsid w:val="00040187"/>
    <w:rsid w:val="00040716"/>
    <w:rsid w:val="000407DF"/>
    <w:rsid w:val="000408A3"/>
    <w:rsid w:val="00040927"/>
    <w:rsid w:val="00040D97"/>
    <w:rsid w:val="00040EC9"/>
    <w:rsid w:val="00041071"/>
    <w:rsid w:val="0004109D"/>
    <w:rsid w:val="000410C0"/>
    <w:rsid w:val="00041294"/>
    <w:rsid w:val="0004134F"/>
    <w:rsid w:val="000416E9"/>
    <w:rsid w:val="000418BC"/>
    <w:rsid w:val="00041C68"/>
    <w:rsid w:val="00041E6D"/>
    <w:rsid w:val="00041ECC"/>
    <w:rsid w:val="00041EEA"/>
    <w:rsid w:val="00041F07"/>
    <w:rsid w:val="0004215F"/>
    <w:rsid w:val="0004238A"/>
    <w:rsid w:val="00042419"/>
    <w:rsid w:val="0004260B"/>
    <w:rsid w:val="00042869"/>
    <w:rsid w:val="00042F77"/>
    <w:rsid w:val="00042FB0"/>
    <w:rsid w:val="00043020"/>
    <w:rsid w:val="00043053"/>
    <w:rsid w:val="00043343"/>
    <w:rsid w:val="00043423"/>
    <w:rsid w:val="000434C2"/>
    <w:rsid w:val="00043756"/>
    <w:rsid w:val="0004391C"/>
    <w:rsid w:val="00043A1C"/>
    <w:rsid w:val="00044146"/>
    <w:rsid w:val="0004456C"/>
    <w:rsid w:val="00044967"/>
    <w:rsid w:val="00044B4E"/>
    <w:rsid w:val="00045038"/>
    <w:rsid w:val="00045164"/>
    <w:rsid w:val="000454A8"/>
    <w:rsid w:val="000454BF"/>
    <w:rsid w:val="000459A3"/>
    <w:rsid w:val="00045F6A"/>
    <w:rsid w:val="00045FD4"/>
    <w:rsid w:val="000461B5"/>
    <w:rsid w:val="00046667"/>
    <w:rsid w:val="000467B2"/>
    <w:rsid w:val="00046C8C"/>
    <w:rsid w:val="000471D8"/>
    <w:rsid w:val="0004748B"/>
    <w:rsid w:val="000475B8"/>
    <w:rsid w:val="000475D3"/>
    <w:rsid w:val="0004766B"/>
    <w:rsid w:val="00047738"/>
    <w:rsid w:val="0004780A"/>
    <w:rsid w:val="000479D1"/>
    <w:rsid w:val="00047E7F"/>
    <w:rsid w:val="00047EF0"/>
    <w:rsid w:val="00047F62"/>
    <w:rsid w:val="00050415"/>
    <w:rsid w:val="00050B1E"/>
    <w:rsid w:val="00050BDB"/>
    <w:rsid w:val="00051061"/>
    <w:rsid w:val="000510DE"/>
    <w:rsid w:val="00051136"/>
    <w:rsid w:val="000513C2"/>
    <w:rsid w:val="000514CD"/>
    <w:rsid w:val="0005156B"/>
    <w:rsid w:val="0005174B"/>
    <w:rsid w:val="0005182E"/>
    <w:rsid w:val="00051869"/>
    <w:rsid w:val="000518FE"/>
    <w:rsid w:val="000519B2"/>
    <w:rsid w:val="00051B8B"/>
    <w:rsid w:val="00051D0B"/>
    <w:rsid w:val="00051E22"/>
    <w:rsid w:val="00052025"/>
    <w:rsid w:val="0005207C"/>
    <w:rsid w:val="00052096"/>
    <w:rsid w:val="00052291"/>
    <w:rsid w:val="000522E9"/>
    <w:rsid w:val="00052B24"/>
    <w:rsid w:val="00052C8A"/>
    <w:rsid w:val="000532BD"/>
    <w:rsid w:val="00053402"/>
    <w:rsid w:val="000537FA"/>
    <w:rsid w:val="00053885"/>
    <w:rsid w:val="0005392C"/>
    <w:rsid w:val="000539AB"/>
    <w:rsid w:val="00053B2D"/>
    <w:rsid w:val="00053DFF"/>
    <w:rsid w:val="00053EEB"/>
    <w:rsid w:val="000544D7"/>
    <w:rsid w:val="000545AC"/>
    <w:rsid w:val="0005464E"/>
    <w:rsid w:val="0005467B"/>
    <w:rsid w:val="00054A2E"/>
    <w:rsid w:val="0005527A"/>
    <w:rsid w:val="00055677"/>
    <w:rsid w:val="00055688"/>
    <w:rsid w:val="00055731"/>
    <w:rsid w:val="0005574A"/>
    <w:rsid w:val="00055B82"/>
    <w:rsid w:val="00055D1D"/>
    <w:rsid w:val="00055E5C"/>
    <w:rsid w:val="000560D0"/>
    <w:rsid w:val="00056279"/>
    <w:rsid w:val="0005635F"/>
    <w:rsid w:val="000564BE"/>
    <w:rsid w:val="000565B4"/>
    <w:rsid w:val="000565E7"/>
    <w:rsid w:val="00056A8B"/>
    <w:rsid w:val="00056C52"/>
    <w:rsid w:val="00056F86"/>
    <w:rsid w:val="00057051"/>
    <w:rsid w:val="00057149"/>
    <w:rsid w:val="0005743E"/>
    <w:rsid w:val="0005774F"/>
    <w:rsid w:val="0005780E"/>
    <w:rsid w:val="00057ECD"/>
    <w:rsid w:val="00060038"/>
    <w:rsid w:val="00060156"/>
    <w:rsid w:val="000604FD"/>
    <w:rsid w:val="00060598"/>
    <w:rsid w:val="00060861"/>
    <w:rsid w:val="00060920"/>
    <w:rsid w:val="00060942"/>
    <w:rsid w:val="00060975"/>
    <w:rsid w:val="00060A86"/>
    <w:rsid w:val="00060EC2"/>
    <w:rsid w:val="00061228"/>
    <w:rsid w:val="00061412"/>
    <w:rsid w:val="00061462"/>
    <w:rsid w:val="00061948"/>
    <w:rsid w:val="0006199E"/>
    <w:rsid w:val="000619F6"/>
    <w:rsid w:val="00061B71"/>
    <w:rsid w:val="00061D06"/>
    <w:rsid w:val="00061F4F"/>
    <w:rsid w:val="0006221B"/>
    <w:rsid w:val="000622CE"/>
    <w:rsid w:val="00062504"/>
    <w:rsid w:val="00062633"/>
    <w:rsid w:val="000628CC"/>
    <w:rsid w:val="00062AB4"/>
    <w:rsid w:val="00062D89"/>
    <w:rsid w:val="00062EA2"/>
    <w:rsid w:val="000632DD"/>
    <w:rsid w:val="000633B0"/>
    <w:rsid w:val="00063457"/>
    <w:rsid w:val="0006350E"/>
    <w:rsid w:val="000635D9"/>
    <w:rsid w:val="000638D1"/>
    <w:rsid w:val="00063912"/>
    <w:rsid w:val="00063BEA"/>
    <w:rsid w:val="00063E58"/>
    <w:rsid w:val="00063F02"/>
    <w:rsid w:val="00063F58"/>
    <w:rsid w:val="00064582"/>
    <w:rsid w:val="0006474F"/>
    <w:rsid w:val="0006476A"/>
    <w:rsid w:val="00064B97"/>
    <w:rsid w:val="00064EB2"/>
    <w:rsid w:val="000650B6"/>
    <w:rsid w:val="0006526C"/>
    <w:rsid w:val="00065D3E"/>
    <w:rsid w:val="00065F6A"/>
    <w:rsid w:val="00066006"/>
    <w:rsid w:val="00066013"/>
    <w:rsid w:val="000662D8"/>
    <w:rsid w:val="00066408"/>
    <w:rsid w:val="000669E7"/>
    <w:rsid w:val="00066F84"/>
    <w:rsid w:val="00067052"/>
    <w:rsid w:val="0006738F"/>
    <w:rsid w:val="000673C6"/>
    <w:rsid w:val="000673F4"/>
    <w:rsid w:val="000677A7"/>
    <w:rsid w:val="00067B1E"/>
    <w:rsid w:val="00067C5A"/>
    <w:rsid w:val="00067C95"/>
    <w:rsid w:val="00067E5C"/>
    <w:rsid w:val="00070001"/>
    <w:rsid w:val="000702FD"/>
    <w:rsid w:val="0007067C"/>
    <w:rsid w:val="00070BF6"/>
    <w:rsid w:val="000713AA"/>
    <w:rsid w:val="0007155D"/>
    <w:rsid w:val="000715EB"/>
    <w:rsid w:val="000719B7"/>
    <w:rsid w:val="00071BD3"/>
    <w:rsid w:val="00071F79"/>
    <w:rsid w:val="0007220D"/>
    <w:rsid w:val="0007230D"/>
    <w:rsid w:val="00072406"/>
    <w:rsid w:val="0007262D"/>
    <w:rsid w:val="000727BD"/>
    <w:rsid w:val="000727F9"/>
    <w:rsid w:val="00072837"/>
    <w:rsid w:val="0007287C"/>
    <w:rsid w:val="00072A66"/>
    <w:rsid w:val="00072D31"/>
    <w:rsid w:val="0007314E"/>
    <w:rsid w:val="000731AF"/>
    <w:rsid w:val="000732E4"/>
    <w:rsid w:val="00073819"/>
    <w:rsid w:val="0007399B"/>
    <w:rsid w:val="000739C8"/>
    <w:rsid w:val="00073B07"/>
    <w:rsid w:val="00073C67"/>
    <w:rsid w:val="00073D6B"/>
    <w:rsid w:val="000740AA"/>
    <w:rsid w:val="000740C0"/>
    <w:rsid w:val="00074230"/>
    <w:rsid w:val="000749A0"/>
    <w:rsid w:val="00074A46"/>
    <w:rsid w:val="00074ACD"/>
    <w:rsid w:val="00074CF3"/>
    <w:rsid w:val="00074E35"/>
    <w:rsid w:val="000752DE"/>
    <w:rsid w:val="0007562E"/>
    <w:rsid w:val="00075913"/>
    <w:rsid w:val="0007593C"/>
    <w:rsid w:val="00075BB0"/>
    <w:rsid w:val="00075EE0"/>
    <w:rsid w:val="00076714"/>
    <w:rsid w:val="00076BBB"/>
    <w:rsid w:val="00076D4A"/>
    <w:rsid w:val="00076D76"/>
    <w:rsid w:val="00076F89"/>
    <w:rsid w:val="0007718B"/>
    <w:rsid w:val="00077309"/>
    <w:rsid w:val="00077406"/>
    <w:rsid w:val="00077B44"/>
    <w:rsid w:val="00077B51"/>
    <w:rsid w:val="00077F4B"/>
    <w:rsid w:val="00080454"/>
    <w:rsid w:val="000806EA"/>
    <w:rsid w:val="00080739"/>
    <w:rsid w:val="00080909"/>
    <w:rsid w:val="0008120A"/>
    <w:rsid w:val="00081889"/>
    <w:rsid w:val="0008199B"/>
    <w:rsid w:val="00081C5C"/>
    <w:rsid w:val="00081E7E"/>
    <w:rsid w:val="00081E9A"/>
    <w:rsid w:val="000822B9"/>
    <w:rsid w:val="00082397"/>
    <w:rsid w:val="000829A7"/>
    <w:rsid w:val="00082A2E"/>
    <w:rsid w:val="00082B0F"/>
    <w:rsid w:val="00082DDD"/>
    <w:rsid w:val="00082F08"/>
    <w:rsid w:val="00083075"/>
    <w:rsid w:val="0008338C"/>
    <w:rsid w:val="000834C1"/>
    <w:rsid w:val="00083AF6"/>
    <w:rsid w:val="00083B47"/>
    <w:rsid w:val="00083BD0"/>
    <w:rsid w:val="00083C52"/>
    <w:rsid w:val="000842C5"/>
    <w:rsid w:val="00084560"/>
    <w:rsid w:val="0008485D"/>
    <w:rsid w:val="00084C80"/>
    <w:rsid w:val="00084CA6"/>
    <w:rsid w:val="00084EF4"/>
    <w:rsid w:val="00084FEB"/>
    <w:rsid w:val="0008501C"/>
    <w:rsid w:val="000852EA"/>
    <w:rsid w:val="00085366"/>
    <w:rsid w:val="00085567"/>
    <w:rsid w:val="000858F4"/>
    <w:rsid w:val="00085E74"/>
    <w:rsid w:val="00085F67"/>
    <w:rsid w:val="0008620C"/>
    <w:rsid w:val="00086409"/>
    <w:rsid w:val="00086494"/>
    <w:rsid w:val="00086802"/>
    <w:rsid w:val="00086B35"/>
    <w:rsid w:val="00086FB9"/>
    <w:rsid w:val="00087132"/>
    <w:rsid w:val="000871A1"/>
    <w:rsid w:val="00087296"/>
    <w:rsid w:val="0008736D"/>
    <w:rsid w:val="000875CC"/>
    <w:rsid w:val="0008779D"/>
    <w:rsid w:val="00087B88"/>
    <w:rsid w:val="00087C93"/>
    <w:rsid w:val="00087CC7"/>
    <w:rsid w:val="00090317"/>
    <w:rsid w:val="000907E8"/>
    <w:rsid w:val="00090DAA"/>
    <w:rsid w:val="00091F06"/>
    <w:rsid w:val="0009205C"/>
    <w:rsid w:val="000924A2"/>
    <w:rsid w:val="00092C8F"/>
    <w:rsid w:val="00092CE8"/>
    <w:rsid w:val="00092D46"/>
    <w:rsid w:val="00092EAF"/>
    <w:rsid w:val="00092EE4"/>
    <w:rsid w:val="00092EFA"/>
    <w:rsid w:val="0009306E"/>
    <w:rsid w:val="000930CB"/>
    <w:rsid w:val="000930D7"/>
    <w:rsid w:val="000933B7"/>
    <w:rsid w:val="00093492"/>
    <w:rsid w:val="00093682"/>
    <w:rsid w:val="00093A18"/>
    <w:rsid w:val="00093E71"/>
    <w:rsid w:val="000943E5"/>
    <w:rsid w:val="0009451F"/>
    <w:rsid w:val="00094AA6"/>
    <w:rsid w:val="00094C25"/>
    <w:rsid w:val="00094DCA"/>
    <w:rsid w:val="00094F5E"/>
    <w:rsid w:val="0009507F"/>
    <w:rsid w:val="00095180"/>
    <w:rsid w:val="00095477"/>
    <w:rsid w:val="000957AC"/>
    <w:rsid w:val="00095A0C"/>
    <w:rsid w:val="00095A5C"/>
    <w:rsid w:val="00095E6B"/>
    <w:rsid w:val="00095F44"/>
    <w:rsid w:val="0009679D"/>
    <w:rsid w:val="00096AEB"/>
    <w:rsid w:val="00096C38"/>
    <w:rsid w:val="00096E35"/>
    <w:rsid w:val="00096EAD"/>
    <w:rsid w:val="0009719A"/>
    <w:rsid w:val="00097290"/>
    <w:rsid w:val="000974B8"/>
    <w:rsid w:val="00097663"/>
    <w:rsid w:val="000976D5"/>
    <w:rsid w:val="00097A79"/>
    <w:rsid w:val="00097A8A"/>
    <w:rsid w:val="000A0198"/>
    <w:rsid w:val="000A06B2"/>
    <w:rsid w:val="000A07A2"/>
    <w:rsid w:val="000A085D"/>
    <w:rsid w:val="000A0A37"/>
    <w:rsid w:val="000A0C01"/>
    <w:rsid w:val="000A0E08"/>
    <w:rsid w:val="000A0EBC"/>
    <w:rsid w:val="000A0FDC"/>
    <w:rsid w:val="000A1A69"/>
    <w:rsid w:val="000A1C60"/>
    <w:rsid w:val="000A1EF0"/>
    <w:rsid w:val="000A2073"/>
    <w:rsid w:val="000A2090"/>
    <w:rsid w:val="000A21B5"/>
    <w:rsid w:val="000A2435"/>
    <w:rsid w:val="000A2629"/>
    <w:rsid w:val="000A2659"/>
    <w:rsid w:val="000A2E9F"/>
    <w:rsid w:val="000A2F5E"/>
    <w:rsid w:val="000A2F97"/>
    <w:rsid w:val="000A2FE5"/>
    <w:rsid w:val="000A31D4"/>
    <w:rsid w:val="000A327F"/>
    <w:rsid w:val="000A3337"/>
    <w:rsid w:val="000A360A"/>
    <w:rsid w:val="000A37C7"/>
    <w:rsid w:val="000A3864"/>
    <w:rsid w:val="000A38EF"/>
    <w:rsid w:val="000A3F1C"/>
    <w:rsid w:val="000A3F9F"/>
    <w:rsid w:val="000A3FCE"/>
    <w:rsid w:val="000A43E9"/>
    <w:rsid w:val="000A44B2"/>
    <w:rsid w:val="000A4995"/>
    <w:rsid w:val="000A4ACF"/>
    <w:rsid w:val="000A4C37"/>
    <w:rsid w:val="000A4CCF"/>
    <w:rsid w:val="000A4D34"/>
    <w:rsid w:val="000A5396"/>
    <w:rsid w:val="000A5E16"/>
    <w:rsid w:val="000A616E"/>
    <w:rsid w:val="000A6421"/>
    <w:rsid w:val="000A6896"/>
    <w:rsid w:val="000A6C1A"/>
    <w:rsid w:val="000A6D25"/>
    <w:rsid w:val="000A6F6A"/>
    <w:rsid w:val="000A701D"/>
    <w:rsid w:val="000A710F"/>
    <w:rsid w:val="000A7134"/>
    <w:rsid w:val="000A71BC"/>
    <w:rsid w:val="000A71D3"/>
    <w:rsid w:val="000A73EF"/>
    <w:rsid w:val="000A742A"/>
    <w:rsid w:val="000A757B"/>
    <w:rsid w:val="000A76A7"/>
    <w:rsid w:val="000A76C2"/>
    <w:rsid w:val="000A791A"/>
    <w:rsid w:val="000A7AC7"/>
    <w:rsid w:val="000A7B52"/>
    <w:rsid w:val="000A7C96"/>
    <w:rsid w:val="000B01AF"/>
    <w:rsid w:val="000B037A"/>
    <w:rsid w:val="000B05A9"/>
    <w:rsid w:val="000B087F"/>
    <w:rsid w:val="000B0AB1"/>
    <w:rsid w:val="000B0B1F"/>
    <w:rsid w:val="000B0B69"/>
    <w:rsid w:val="000B0B7D"/>
    <w:rsid w:val="000B0F93"/>
    <w:rsid w:val="000B1158"/>
    <w:rsid w:val="000B11B1"/>
    <w:rsid w:val="000B1218"/>
    <w:rsid w:val="000B12A6"/>
    <w:rsid w:val="000B1596"/>
    <w:rsid w:val="000B171F"/>
    <w:rsid w:val="000B1B4D"/>
    <w:rsid w:val="000B1DF5"/>
    <w:rsid w:val="000B207D"/>
    <w:rsid w:val="000B2108"/>
    <w:rsid w:val="000B22ED"/>
    <w:rsid w:val="000B2374"/>
    <w:rsid w:val="000B2431"/>
    <w:rsid w:val="000B24B0"/>
    <w:rsid w:val="000B2550"/>
    <w:rsid w:val="000B2582"/>
    <w:rsid w:val="000B2C45"/>
    <w:rsid w:val="000B305A"/>
    <w:rsid w:val="000B3165"/>
    <w:rsid w:val="000B32D0"/>
    <w:rsid w:val="000B33EC"/>
    <w:rsid w:val="000B3416"/>
    <w:rsid w:val="000B359D"/>
    <w:rsid w:val="000B39A7"/>
    <w:rsid w:val="000B39EF"/>
    <w:rsid w:val="000B3A97"/>
    <w:rsid w:val="000B3C54"/>
    <w:rsid w:val="000B41E1"/>
    <w:rsid w:val="000B4209"/>
    <w:rsid w:val="000B4381"/>
    <w:rsid w:val="000B4417"/>
    <w:rsid w:val="000B4418"/>
    <w:rsid w:val="000B45A5"/>
    <w:rsid w:val="000B4617"/>
    <w:rsid w:val="000B4840"/>
    <w:rsid w:val="000B496A"/>
    <w:rsid w:val="000B4CE6"/>
    <w:rsid w:val="000B4D56"/>
    <w:rsid w:val="000B4F34"/>
    <w:rsid w:val="000B4F4F"/>
    <w:rsid w:val="000B5084"/>
    <w:rsid w:val="000B5092"/>
    <w:rsid w:val="000B5490"/>
    <w:rsid w:val="000B54DD"/>
    <w:rsid w:val="000B58A1"/>
    <w:rsid w:val="000B5D7F"/>
    <w:rsid w:val="000B5EDC"/>
    <w:rsid w:val="000B5F15"/>
    <w:rsid w:val="000B5F69"/>
    <w:rsid w:val="000B612E"/>
    <w:rsid w:val="000B64E5"/>
    <w:rsid w:val="000B68F5"/>
    <w:rsid w:val="000B69FC"/>
    <w:rsid w:val="000B6B51"/>
    <w:rsid w:val="000B6C70"/>
    <w:rsid w:val="000B6E4D"/>
    <w:rsid w:val="000B6F6C"/>
    <w:rsid w:val="000B732C"/>
    <w:rsid w:val="000B7738"/>
    <w:rsid w:val="000B797E"/>
    <w:rsid w:val="000B7C9D"/>
    <w:rsid w:val="000B7F6D"/>
    <w:rsid w:val="000B7FE4"/>
    <w:rsid w:val="000C02E5"/>
    <w:rsid w:val="000C0455"/>
    <w:rsid w:val="000C04C6"/>
    <w:rsid w:val="000C05C3"/>
    <w:rsid w:val="000C0784"/>
    <w:rsid w:val="000C0F9B"/>
    <w:rsid w:val="000C1082"/>
    <w:rsid w:val="000C124A"/>
    <w:rsid w:val="000C12A5"/>
    <w:rsid w:val="000C16BD"/>
    <w:rsid w:val="000C19EB"/>
    <w:rsid w:val="000C2163"/>
    <w:rsid w:val="000C216A"/>
    <w:rsid w:val="000C22E6"/>
    <w:rsid w:val="000C235B"/>
    <w:rsid w:val="000C23F1"/>
    <w:rsid w:val="000C2621"/>
    <w:rsid w:val="000C28A4"/>
    <w:rsid w:val="000C2F68"/>
    <w:rsid w:val="000C306C"/>
    <w:rsid w:val="000C3468"/>
    <w:rsid w:val="000C3473"/>
    <w:rsid w:val="000C34A1"/>
    <w:rsid w:val="000C3A20"/>
    <w:rsid w:val="000C3C71"/>
    <w:rsid w:val="000C3D66"/>
    <w:rsid w:val="000C3E72"/>
    <w:rsid w:val="000C4143"/>
    <w:rsid w:val="000C482A"/>
    <w:rsid w:val="000C48E4"/>
    <w:rsid w:val="000C4A63"/>
    <w:rsid w:val="000C4AB0"/>
    <w:rsid w:val="000C4DA2"/>
    <w:rsid w:val="000C51CB"/>
    <w:rsid w:val="000C53C4"/>
    <w:rsid w:val="000C5420"/>
    <w:rsid w:val="000C552B"/>
    <w:rsid w:val="000C55EF"/>
    <w:rsid w:val="000C5D80"/>
    <w:rsid w:val="000C623B"/>
    <w:rsid w:val="000C629D"/>
    <w:rsid w:val="000C636F"/>
    <w:rsid w:val="000C6687"/>
    <w:rsid w:val="000C67B5"/>
    <w:rsid w:val="000C69F5"/>
    <w:rsid w:val="000C6AA1"/>
    <w:rsid w:val="000C6BE5"/>
    <w:rsid w:val="000C7012"/>
    <w:rsid w:val="000C730E"/>
    <w:rsid w:val="000C754B"/>
    <w:rsid w:val="000C764D"/>
    <w:rsid w:val="000C7733"/>
    <w:rsid w:val="000C77CA"/>
    <w:rsid w:val="000C7894"/>
    <w:rsid w:val="000C78B8"/>
    <w:rsid w:val="000C79C7"/>
    <w:rsid w:val="000C7ABE"/>
    <w:rsid w:val="000C7C34"/>
    <w:rsid w:val="000C7D0B"/>
    <w:rsid w:val="000C7E8F"/>
    <w:rsid w:val="000D012E"/>
    <w:rsid w:val="000D036F"/>
    <w:rsid w:val="000D0374"/>
    <w:rsid w:val="000D04F7"/>
    <w:rsid w:val="000D050C"/>
    <w:rsid w:val="000D069E"/>
    <w:rsid w:val="000D078F"/>
    <w:rsid w:val="000D0A1D"/>
    <w:rsid w:val="000D0AFC"/>
    <w:rsid w:val="000D0C6E"/>
    <w:rsid w:val="000D0E31"/>
    <w:rsid w:val="000D0EAA"/>
    <w:rsid w:val="000D1034"/>
    <w:rsid w:val="000D109E"/>
    <w:rsid w:val="000D1165"/>
    <w:rsid w:val="000D1451"/>
    <w:rsid w:val="000D17A6"/>
    <w:rsid w:val="000D1CF1"/>
    <w:rsid w:val="000D1DBF"/>
    <w:rsid w:val="000D1DFB"/>
    <w:rsid w:val="000D1F9F"/>
    <w:rsid w:val="000D21E7"/>
    <w:rsid w:val="000D2826"/>
    <w:rsid w:val="000D28E1"/>
    <w:rsid w:val="000D28F9"/>
    <w:rsid w:val="000D2D73"/>
    <w:rsid w:val="000D2FBF"/>
    <w:rsid w:val="000D32AF"/>
    <w:rsid w:val="000D32FD"/>
    <w:rsid w:val="000D33C9"/>
    <w:rsid w:val="000D369B"/>
    <w:rsid w:val="000D3957"/>
    <w:rsid w:val="000D3D20"/>
    <w:rsid w:val="000D402B"/>
    <w:rsid w:val="000D4265"/>
    <w:rsid w:val="000D4392"/>
    <w:rsid w:val="000D447F"/>
    <w:rsid w:val="000D45D1"/>
    <w:rsid w:val="000D46FD"/>
    <w:rsid w:val="000D479D"/>
    <w:rsid w:val="000D492D"/>
    <w:rsid w:val="000D497D"/>
    <w:rsid w:val="000D4DF7"/>
    <w:rsid w:val="000D4F27"/>
    <w:rsid w:val="000D5017"/>
    <w:rsid w:val="000D55FD"/>
    <w:rsid w:val="000D5719"/>
    <w:rsid w:val="000D5816"/>
    <w:rsid w:val="000D5C17"/>
    <w:rsid w:val="000D5D61"/>
    <w:rsid w:val="000D5DED"/>
    <w:rsid w:val="000D6419"/>
    <w:rsid w:val="000D6440"/>
    <w:rsid w:val="000D666A"/>
    <w:rsid w:val="000D693F"/>
    <w:rsid w:val="000D6D4B"/>
    <w:rsid w:val="000D6E4D"/>
    <w:rsid w:val="000D6F88"/>
    <w:rsid w:val="000D6F97"/>
    <w:rsid w:val="000D7085"/>
    <w:rsid w:val="000D78BD"/>
    <w:rsid w:val="000D78DA"/>
    <w:rsid w:val="000D79B0"/>
    <w:rsid w:val="000D7B7D"/>
    <w:rsid w:val="000D7D6B"/>
    <w:rsid w:val="000D7DF4"/>
    <w:rsid w:val="000D7EA9"/>
    <w:rsid w:val="000E0135"/>
    <w:rsid w:val="000E0220"/>
    <w:rsid w:val="000E02D7"/>
    <w:rsid w:val="000E034A"/>
    <w:rsid w:val="000E0689"/>
    <w:rsid w:val="000E073B"/>
    <w:rsid w:val="000E08E5"/>
    <w:rsid w:val="000E096D"/>
    <w:rsid w:val="000E0B67"/>
    <w:rsid w:val="000E0E59"/>
    <w:rsid w:val="000E0F32"/>
    <w:rsid w:val="000E11F5"/>
    <w:rsid w:val="000E14D9"/>
    <w:rsid w:val="000E16FE"/>
    <w:rsid w:val="000E1973"/>
    <w:rsid w:val="000E1A36"/>
    <w:rsid w:val="000E1A80"/>
    <w:rsid w:val="000E1C1E"/>
    <w:rsid w:val="000E2408"/>
    <w:rsid w:val="000E243A"/>
    <w:rsid w:val="000E292B"/>
    <w:rsid w:val="000E29F6"/>
    <w:rsid w:val="000E2C34"/>
    <w:rsid w:val="000E2C3F"/>
    <w:rsid w:val="000E37D3"/>
    <w:rsid w:val="000E3BF0"/>
    <w:rsid w:val="000E3C66"/>
    <w:rsid w:val="000E4036"/>
    <w:rsid w:val="000E42A7"/>
    <w:rsid w:val="000E4843"/>
    <w:rsid w:val="000E4855"/>
    <w:rsid w:val="000E486C"/>
    <w:rsid w:val="000E4963"/>
    <w:rsid w:val="000E497E"/>
    <w:rsid w:val="000E4B42"/>
    <w:rsid w:val="000E4F59"/>
    <w:rsid w:val="000E51AE"/>
    <w:rsid w:val="000E51C5"/>
    <w:rsid w:val="000E53E5"/>
    <w:rsid w:val="000E560B"/>
    <w:rsid w:val="000E58A8"/>
    <w:rsid w:val="000E5C35"/>
    <w:rsid w:val="000E5C53"/>
    <w:rsid w:val="000E5DBF"/>
    <w:rsid w:val="000E5E39"/>
    <w:rsid w:val="000E5E6B"/>
    <w:rsid w:val="000E5FEF"/>
    <w:rsid w:val="000E5FF7"/>
    <w:rsid w:val="000E61CD"/>
    <w:rsid w:val="000E6397"/>
    <w:rsid w:val="000E63DA"/>
    <w:rsid w:val="000E63F5"/>
    <w:rsid w:val="000E6482"/>
    <w:rsid w:val="000E6636"/>
    <w:rsid w:val="000E67F9"/>
    <w:rsid w:val="000E6926"/>
    <w:rsid w:val="000E6D93"/>
    <w:rsid w:val="000E74C8"/>
    <w:rsid w:val="000E77B7"/>
    <w:rsid w:val="000E78F5"/>
    <w:rsid w:val="000E7938"/>
    <w:rsid w:val="000E7A73"/>
    <w:rsid w:val="000E7CCD"/>
    <w:rsid w:val="000E7CFF"/>
    <w:rsid w:val="000E7E1A"/>
    <w:rsid w:val="000E7FE9"/>
    <w:rsid w:val="000F016A"/>
    <w:rsid w:val="000F0365"/>
    <w:rsid w:val="000F0C84"/>
    <w:rsid w:val="000F0CB9"/>
    <w:rsid w:val="000F107A"/>
    <w:rsid w:val="000F12C0"/>
    <w:rsid w:val="000F1331"/>
    <w:rsid w:val="000F1385"/>
    <w:rsid w:val="000F142A"/>
    <w:rsid w:val="000F15BE"/>
    <w:rsid w:val="000F1645"/>
    <w:rsid w:val="000F1872"/>
    <w:rsid w:val="000F188B"/>
    <w:rsid w:val="000F1A8E"/>
    <w:rsid w:val="000F1A8F"/>
    <w:rsid w:val="000F1DEA"/>
    <w:rsid w:val="000F20A2"/>
    <w:rsid w:val="000F229E"/>
    <w:rsid w:val="000F2448"/>
    <w:rsid w:val="000F246A"/>
    <w:rsid w:val="000F2512"/>
    <w:rsid w:val="000F2C1E"/>
    <w:rsid w:val="000F2C70"/>
    <w:rsid w:val="000F2D31"/>
    <w:rsid w:val="000F2F43"/>
    <w:rsid w:val="000F2F48"/>
    <w:rsid w:val="000F2F49"/>
    <w:rsid w:val="000F32F9"/>
    <w:rsid w:val="000F33C9"/>
    <w:rsid w:val="000F33EF"/>
    <w:rsid w:val="000F3449"/>
    <w:rsid w:val="000F3490"/>
    <w:rsid w:val="000F36AE"/>
    <w:rsid w:val="000F3771"/>
    <w:rsid w:val="000F3C9F"/>
    <w:rsid w:val="000F3CEE"/>
    <w:rsid w:val="000F3F5D"/>
    <w:rsid w:val="000F3F6D"/>
    <w:rsid w:val="000F3F9D"/>
    <w:rsid w:val="000F4164"/>
    <w:rsid w:val="000F449E"/>
    <w:rsid w:val="000F4A18"/>
    <w:rsid w:val="000F4EAF"/>
    <w:rsid w:val="000F4F1F"/>
    <w:rsid w:val="000F4F61"/>
    <w:rsid w:val="000F4F76"/>
    <w:rsid w:val="000F4FBC"/>
    <w:rsid w:val="000F5001"/>
    <w:rsid w:val="000F5197"/>
    <w:rsid w:val="000F5233"/>
    <w:rsid w:val="000F523F"/>
    <w:rsid w:val="000F54C3"/>
    <w:rsid w:val="000F5714"/>
    <w:rsid w:val="000F5A08"/>
    <w:rsid w:val="000F5A78"/>
    <w:rsid w:val="000F5D31"/>
    <w:rsid w:val="000F5D9A"/>
    <w:rsid w:val="000F5E6F"/>
    <w:rsid w:val="000F5F96"/>
    <w:rsid w:val="000F5FD6"/>
    <w:rsid w:val="000F6336"/>
    <w:rsid w:val="000F68DE"/>
    <w:rsid w:val="000F6A33"/>
    <w:rsid w:val="000F6FA4"/>
    <w:rsid w:val="000F7054"/>
    <w:rsid w:val="000F73F4"/>
    <w:rsid w:val="000F7922"/>
    <w:rsid w:val="000F79E8"/>
    <w:rsid w:val="000F7BC1"/>
    <w:rsid w:val="000F7BDF"/>
    <w:rsid w:val="000F7D8C"/>
    <w:rsid w:val="000F7E06"/>
    <w:rsid w:val="000F7F2A"/>
    <w:rsid w:val="00100120"/>
    <w:rsid w:val="00100194"/>
    <w:rsid w:val="001002DA"/>
    <w:rsid w:val="0010038E"/>
    <w:rsid w:val="001004A8"/>
    <w:rsid w:val="001007C7"/>
    <w:rsid w:val="00100813"/>
    <w:rsid w:val="00100B2D"/>
    <w:rsid w:val="00100B41"/>
    <w:rsid w:val="00100C6C"/>
    <w:rsid w:val="00100C70"/>
    <w:rsid w:val="00100EF9"/>
    <w:rsid w:val="001015EA"/>
    <w:rsid w:val="001016B2"/>
    <w:rsid w:val="00101752"/>
    <w:rsid w:val="001017F9"/>
    <w:rsid w:val="00101973"/>
    <w:rsid w:val="00101AEF"/>
    <w:rsid w:val="00101C4F"/>
    <w:rsid w:val="00101D0D"/>
    <w:rsid w:val="00101D0F"/>
    <w:rsid w:val="00101E15"/>
    <w:rsid w:val="00101E2E"/>
    <w:rsid w:val="00101EBB"/>
    <w:rsid w:val="00101F0C"/>
    <w:rsid w:val="0010208C"/>
    <w:rsid w:val="001020F2"/>
    <w:rsid w:val="00102124"/>
    <w:rsid w:val="001021DF"/>
    <w:rsid w:val="0010227B"/>
    <w:rsid w:val="0010232B"/>
    <w:rsid w:val="0010241D"/>
    <w:rsid w:val="001026A7"/>
    <w:rsid w:val="00102A81"/>
    <w:rsid w:val="00102BC4"/>
    <w:rsid w:val="00102E03"/>
    <w:rsid w:val="00102E2E"/>
    <w:rsid w:val="00103173"/>
    <w:rsid w:val="0010336B"/>
    <w:rsid w:val="0010336F"/>
    <w:rsid w:val="0010347A"/>
    <w:rsid w:val="00103573"/>
    <w:rsid w:val="001035B8"/>
    <w:rsid w:val="00103897"/>
    <w:rsid w:val="00103BBD"/>
    <w:rsid w:val="00103DD4"/>
    <w:rsid w:val="00103F77"/>
    <w:rsid w:val="001043AA"/>
    <w:rsid w:val="0010448C"/>
    <w:rsid w:val="001046F5"/>
    <w:rsid w:val="0010507B"/>
    <w:rsid w:val="00105413"/>
    <w:rsid w:val="001056FA"/>
    <w:rsid w:val="00105982"/>
    <w:rsid w:val="00105AA4"/>
    <w:rsid w:val="00105B0F"/>
    <w:rsid w:val="001061E1"/>
    <w:rsid w:val="0010644C"/>
    <w:rsid w:val="001064A5"/>
    <w:rsid w:val="001068BD"/>
    <w:rsid w:val="00106A99"/>
    <w:rsid w:val="00106BC0"/>
    <w:rsid w:val="00106D57"/>
    <w:rsid w:val="00106F7D"/>
    <w:rsid w:val="001070D8"/>
    <w:rsid w:val="0010725C"/>
    <w:rsid w:val="0010773E"/>
    <w:rsid w:val="001079DB"/>
    <w:rsid w:val="00107A31"/>
    <w:rsid w:val="00107C04"/>
    <w:rsid w:val="00107C1D"/>
    <w:rsid w:val="00107D13"/>
    <w:rsid w:val="00107FF0"/>
    <w:rsid w:val="001102C1"/>
    <w:rsid w:val="0011035B"/>
    <w:rsid w:val="00110495"/>
    <w:rsid w:val="00110760"/>
    <w:rsid w:val="001108EC"/>
    <w:rsid w:val="00110C63"/>
    <w:rsid w:val="00110F9E"/>
    <w:rsid w:val="001114CC"/>
    <w:rsid w:val="001114D8"/>
    <w:rsid w:val="001118FD"/>
    <w:rsid w:val="00111D88"/>
    <w:rsid w:val="00111FC9"/>
    <w:rsid w:val="00111FD9"/>
    <w:rsid w:val="0011212B"/>
    <w:rsid w:val="001121F1"/>
    <w:rsid w:val="00112204"/>
    <w:rsid w:val="00112263"/>
    <w:rsid w:val="001126AC"/>
    <w:rsid w:val="001126FE"/>
    <w:rsid w:val="001127A6"/>
    <w:rsid w:val="00112D7D"/>
    <w:rsid w:val="00112D8A"/>
    <w:rsid w:val="00112EE0"/>
    <w:rsid w:val="00112F3D"/>
    <w:rsid w:val="00113247"/>
    <w:rsid w:val="00113354"/>
    <w:rsid w:val="001135BD"/>
    <w:rsid w:val="0011360E"/>
    <w:rsid w:val="0011388E"/>
    <w:rsid w:val="001138D2"/>
    <w:rsid w:val="00113921"/>
    <w:rsid w:val="00113BE5"/>
    <w:rsid w:val="00113E5A"/>
    <w:rsid w:val="00113ED6"/>
    <w:rsid w:val="00113FDF"/>
    <w:rsid w:val="00114047"/>
    <w:rsid w:val="001140C8"/>
    <w:rsid w:val="001140DE"/>
    <w:rsid w:val="0011418E"/>
    <w:rsid w:val="00114464"/>
    <w:rsid w:val="001148D1"/>
    <w:rsid w:val="00114AED"/>
    <w:rsid w:val="00114BA3"/>
    <w:rsid w:val="00114DED"/>
    <w:rsid w:val="00114E36"/>
    <w:rsid w:val="00115204"/>
    <w:rsid w:val="0011555F"/>
    <w:rsid w:val="001155F8"/>
    <w:rsid w:val="0011577C"/>
    <w:rsid w:val="001157D7"/>
    <w:rsid w:val="0011594A"/>
    <w:rsid w:val="00115AE0"/>
    <w:rsid w:val="00115B00"/>
    <w:rsid w:val="00115C3A"/>
    <w:rsid w:val="00115D8B"/>
    <w:rsid w:val="001160D1"/>
    <w:rsid w:val="00116265"/>
    <w:rsid w:val="00116539"/>
    <w:rsid w:val="00116808"/>
    <w:rsid w:val="00116941"/>
    <w:rsid w:val="00116956"/>
    <w:rsid w:val="00116ABD"/>
    <w:rsid w:val="00116C1F"/>
    <w:rsid w:val="00116C4C"/>
    <w:rsid w:val="0011713C"/>
    <w:rsid w:val="001171F4"/>
    <w:rsid w:val="00117240"/>
    <w:rsid w:val="0011725D"/>
    <w:rsid w:val="0011729D"/>
    <w:rsid w:val="001173BB"/>
    <w:rsid w:val="00117517"/>
    <w:rsid w:val="00117662"/>
    <w:rsid w:val="0011767C"/>
    <w:rsid w:val="0011789B"/>
    <w:rsid w:val="00117E14"/>
    <w:rsid w:val="00117EDF"/>
    <w:rsid w:val="0012022A"/>
    <w:rsid w:val="00120272"/>
    <w:rsid w:val="00120273"/>
    <w:rsid w:val="00120556"/>
    <w:rsid w:val="00120573"/>
    <w:rsid w:val="0012058C"/>
    <w:rsid w:val="001206A5"/>
    <w:rsid w:val="001206B5"/>
    <w:rsid w:val="001206C7"/>
    <w:rsid w:val="001207A7"/>
    <w:rsid w:val="00120896"/>
    <w:rsid w:val="00120908"/>
    <w:rsid w:val="001209A1"/>
    <w:rsid w:val="00120AB7"/>
    <w:rsid w:val="00120BD7"/>
    <w:rsid w:val="00120D26"/>
    <w:rsid w:val="0012124F"/>
    <w:rsid w:val="00121275"/>
    <w:rsid w:val="0012171C"/>
    <w:rsid w:val="00121850"/>
    <w:rsid w:val="0012190C"/>
    <w:rsid w:val="00121AF9"/>
    <w:rsid w:val="00121EF4"/>
    <w:rsid w:val="001225D6"/>
    <w:rsid w:val="00122842"/>
    <w:rsid w:val="0012296C"/>
    <w:rsid w:val="00122AB2"/>
    <w:rsid w:val="00122B1B"/>
    <w:rsid w:val="00122BFB"/>
    <w:rsid w:val="00122C86"/>
    <w:rsid w:val="00122DC0"/>
    <w:rsid w:val="00122F91"/>
    <w:rsid w:val="0012300E"/>
    <w:rsid w:val="00123019"/>
    <w:rsid w:val="0012315C"/>
    <w:rsid w:val="001234E5"/>
    <w:rsid w:val="001235A6"/>
    <w:rsid w:val="001236E7"/>
    <w:rsid w:val="0012398B"/>
    <w:rsid w:val="00123B09"/>
    <w:rsid w:val="00123BD5"/>
    <w:rsid w:val="00123CE3"/>
    <w:rsid w:val="00123DB1"/>
    <w:rsid w:val="0012413A"/>
    <w:rsid w:val="00124388"/>
    <w:rsid w:val="001245AA"/>
    <w:rsid w:val="0012467E"/>
    <w:rsid w:val="00124A8F"/>
    <w:rsid w:val="00124CBD"/>
    <w:rsid w:val="00124EB8"/>
    <w:rsid w:val="00125033"/>
    <w:rsid w:val="00125078"/>
    <w:rsid w:val="00125366"/>
    <w:rsid w:val="0012552D"/>
    <w:rsid w:val="0012556D"/>
    <w:rsid w:val="001255C7"/>
    <w:rsid w:val="001256E5"/>
    <w:rsid w:val="001258C0"/>
    <w:rsid w:val="00125A9C"/>
    <w:rsid w:val="00125B3A"/>
    <w:rsid w:val="00125ED2"/>
    <w:rsid w:val="00126168"/>
    <w:rsid w:val="00126285"/>
    <w:rsid w:val="00126325"/>
    <w:rsid w:val="00126372"/>
    <w:rsid w:val="00126483"/>
    <w:rsid w:val="001266B9"/>
    <w:rsid w:val="001268F8"/>
    <w:rsid w:val="00126D39"/>
    <w:rsid w:val="00126E9B"/>
    <w:rsid w:val="00126F2F"/>
    <w:rsid w:val="001274D9"/>
    <w:rsid w:val="00127511"/>
    <w:rsid w:val="00127542"/>
    <w:rsid w:val="00127586"/>
    <w:rsid w:val="00127673"/>
    <w:rsid w:val="00127847"/>
    <w:rsid w:val="00127D46"/>
    <w:rsid w:val="00127F44"/>
    <w:rsid w:val="00127FA8"/>
    <w:rsid w:val="00130013"/>
    <w:rsid w:val="0013034C"/>
    <w:rsid w:val="0013043C"/>
    <w:rsid w:val="00130543"/>
    <w:rsid w:val="001305C6"/>
    <w:rsid w:val="001309A2"/>
    <w:rsid w:val="001309D9"/>
    <w:rsid w:val="00130D2A"/>
    <w:rsid w:val="00130E90"/>
    <w:rsid w:val="001312F9"/>
    <w:rsid w:val="00131580"/>
    <w:rsid w:val="001318DA"/>
    <w:rsid w:val="00131AD6"/>
    <w:rsid w:val="00131D44"/>
    <w:rsid w:val="00131E03"/>
    <w:rsid w:val="00132314"/>
    <w:rsid w:val="00132515"/>
    <w:rsid w:val="0013276E"/>
    <w:rsid w:val="001327BC"/>
    <w:rsid w:val="001328AC"/>
    <w:rsid w:val="00132922"/>
    <w:rsid w:val="00132A8D"/>
    <w:rsid w:val="00132F70"/>
    <w:rsid w:val="00132FF9"/>
    <w:rsid w:val="001333F2"/>
    <w:rsid w:val="00133440"/>
    <w:rsid w:val="001337A3"/>
    <w:rsid w:val="00133BE6"/>
    <w:rsid w:val="00133D07"/>
    <w:rsid w:val="00133DA2"/>
    <w:rsid w:val="001342CB"/>
    <w:rsid w:val="001346AE"/>
    <w:rsid w:val="0013490E"/>
    <w:rsid w:val="00134E00"/>
    <w:rsid w:val="00134FE3"/>
    <w:rsid w:val="00135159"/>
    <w:rsid w:val="00135209"/>
    <w:rsid w:val="00135240"/>
    <w:rsid w:val="00135373"/>
    <w:rsid w:val="00135401"/>
    <w:rsid w:val="00135C93"/>
    <w:rsid w:val="00136058"/>
    <w:rsid w:val="00136117"/>
    <w:rsid w:val="00136131"/>
    <w:rsid w:val="00136134"/>
    <w:rsid w:val="00136315"/>
    <w:rsid w:val="001364CA"/>
    <w:rsid w:val="00136673"/>
    <w:rsid w:val="00136A25"/>
    <w:rsid w:val="00136C5D"/>
    <w:rsid w:val="00136EC6"/>
    <w:rsid w:val="00136F47"/>
    <w:rsid w:val="001371BB"/>
    <w:rsid w:val="001374F7"/>
    <w:rsid w:val="00137875"/>
    <w:rsid w:val="00137B10"/>
    <w:rsid w:val="00137C61"/>
    <w:rsid w:val="00137CD0"/>
    <w:rsid w:val="00137EA2"/>
    <w:rsid w:val="0014002F"/>
    <w:rsid w:val="001402AF"/>
    <w:rsid w:val="0014084E"/>
    <w:rsid w:val="00140EF3"/>
    <w:rsid w:val="0014121A"/>
    <w:rsid w:val="0014128B"/>
    <w:rsid w:val="001412F2"/>
    <w:rsid w:val="001413A5"/>
    <w:rsid w:val="00141794"/>
    <w:rsid w:val="00141A96"/>
    <w:rsid w:val="00141E25"/>
    <w:rsid w:val="00141EDE"/>
    <w:rsid w:val="00141FEE"/>
    <w:rsid w:val="001420D2"/>
    <w:rsid w:val="00142271"/>
    <w:rsid w:val="0014228B"/>
    <w:rsid w:val="001422AB"/>
    <w:rsid w:val="001425F0"/>
    <w:rsid w:val="00142613"/>
    <w:rsid w:val="00142AD2"/>
    <w:rsid w:val="00142E85"/>
    <w:rsid w:val="00143007"/>
    <w:rsid w:val="0014306B"/>
    <w:rsid w:val="001433CB"/>
    <w:rsid w:val="0014353F"/>
    <w:rsid w:val="00143716"/>
    <w:rsid w:val="0014377A"/>
    <w:rsid w:val="00143798"/>
    <w:rsid w:val="001437AB"/>
    <w:rsid w:val="001439E5"/>
    <w:rsid w:val="00143A84"/>
    <w:rsid w:val="00144109"/>
    <w:rsid w:val="001448F0"/>
    <w:rsid w:val="00144C0C"/>
    <w:rsid w:val="00144D84"/>
    <w:rsid w:val="00144F68"/>
    <w:rsid w:val="00145014"/>
    <w:rsid w:val="001454AD"/>
    <w:rsid w:val="0014551B"/>
    <w:rsid w:val="0014566C"/>
    <w:rsid w:val="00145806"/>
    <w:rsid w:val="00145888"/>
    <w:rsid w:val="00145AA7"/>
    <w:rsid w:val="00145B35"/>
    <w:rsid w:val="00145BD1"/>
    <w:rsid w:val="00146114"/>
    <w:rsid w:val="0014667E"/>
    <w:rsid w:val="00146E0C"/>
    <w:rsid w:val="00146E2E"/>
    <w:rsid w:val="00146F16"/>
    <w:rsid w:val="00146F76"/>
    <w:rsid w:val="00147033"/>
    <w:rsid w:val="001471DD"/>
    <w:rsid w:val="001471F3"/>
    <w:rsid w:val="001474B8"/>
    <w:rsid w:val="00147600"/>
    <w:rsid w:val="0015004A"/>
    <w:rsid w:val="0015012F"/>
    <w:rsid w:val="001502C0"/>
    <w:rsid w:val="00150319"/>
    <w:rsid w:val="001504DB"/>
    <w:rsid w:val="0015068D"/>
    <w:rsid w:val="001507E9"/>
    <w:rsid w:val="0015091A"/>
    <w:rsid w:val="00150D19"/>
    <w:rsid w:val="00150E72"/>
    <w:rsid w:val="0015108E"/>
    <w:rsid w:val="001511D7"/>
    <w:rsid w:val="0015177C"/>
    <w:rsid w:val="00151A0C"/>
    <w:rsid w:val="00151EE1"/>
    <w:rsid w:val="00152100"/>
    <w:rsid w:val="00152156"/>
    <w:rsid w:val="001523B6"/>
    <w:rsid w:val="0015244E"/>
    <w:rsid w:val="001529A2"/>
    <w:rsid w:val="001529AC"/>
    <w:rsid w:val="00152B3C"/>
    <w:rsid w:val="00152C11"/>
    <w:rsid w:val="00152F58"/>
    <w:rsid w:val="00152F5E"/>
    <w:rsid w:val="001533E7"/>
    <w:rsid w:val="001534AC"/>
    <w:rsid w:val="00153707"/>
    <w:rsid w:val="001537F1"/>
    <w:rsid w:val="00153806"/>
    <w:rsid w:val="00153E30"/>
    <w:rsid w:val="0015412E"/>
    <w:rsid w:val="001547B7"/>
    <w:rsid w:val="001548D0"/>
    <w:rsid w:val="00154E80"/>
    <w:rsid w:val="00154F96"/>
    <w:rsid w:val="00155200"/>
    <w:rsid w:val="0015527A"/>
    <w:rsid w:val="0015558E"/>
    <w:rsid w:val="001557AD"/>
    <w:rsid w:val="001557F4"/>
    <w:rsid w:val="001557F5"/>
    <w:rsid w:val="00155967"/>
    <w:rsid w:val="001559C7"/>
    <w:rsid w:val="00155AE6"/>
    <w:rsid w:val="00155D0B"/>
    <w:rsid w:val="00155F29"/>
    <w:rsid w:val="00155F30"/>
    <w:rsid w:val="0015615A"/>
    <w:rsid w:val="00156302"/>
    <w:rsid w:val="001568E2"/>
    <w:rsid w:val="00156916"/>
    <w:rsid w:val="001569C0"/>
    <w:rsid w:val="00156AA2"/>
    <w:rsid w:val="00156E6B"/>
    <w:rsid w:val="00156EDE"/>
    <w:rsid w:val="00157086"/>
    <w:rsid w:val="00157336"/>
    <w:rsid w:val="00157373"/>
    <w:rsid w:val="0015749A"/>
    <w:rsid w:val="0015775A"/>
    <w:rsid w:val="00160094"/>
    <w:rsid w:val="001603DC"/>
    <w:rsid w:val="00160693"/>
    <w:rsid w:val="0016088B"/>
    <w:rsid w:val="00160A8A"/>
    <w:rsid w:val="00160CB9"/>
    <w:rsid w:val="00160D0D"/>
    <w:rsid w:val="0016157C"/>
    <w:rsid w:val="00161738"/>
    <w:rsid w:val="0016177C"/>
    <w:rsid w:val="0016193C"/>
    <w:rsid w:val="00161D07"/>
    <w:rsid w:val="00161D85"/>
    <w:rsid w:val="00161EE4"/>
    <w:rsid w:val="00161F47"/>
    <w:rsid w:val="001621C4"/>
    <w:rsid w:val="00162392"/>
    <w:rsid w:val="00162969"/>
    <w:rsid w:val="00162A17"/>
    <w:rsid w:val="00162B3E"/>
    <w:rsid w:val="00162DB4"/>
    <w:rsid w:val="001632FA"/>
    <w:rsid w:val="0016351E"/>
    <w:rsid w:val="001635EF"/>
    <w:rsid w:val="001637A2"/>
    <w:rsid w:val="00163916"/>
    <w:rsid w:val="00163A2D"/>
    <w:rsid w:val="00163ABE"/>
    <w:rsid w:val="00163D0B"/>
    <w:rsid w:val="00163DE7"/>
    <w:rsid w:val="00163FD0"/>
    <w:rsid w:val="00164245"/>
    <w:rsid w:val="001645FC"/>
    <w:rsid w:val="00164605"/>
    <w:rsid w:val="00164907"/>
    <w:rsid w:val="00164D53"/>
    <w:rsid w:val="00164ED9"/>
    <w:rsid w:val="00164F16"/>
    <w:rsid w:val="001652E6"/>
    <w:rsid w:val="0016535D"/>
    <w:rsid w:val="001654CC"/>
    <w:rsid w:val="001655A8"/>
    <w:rsid w:val="00165665"/>
    <w:rsid w:val="0016583A"/>
    <w:rsid w:val="00165A98"/>
    <w:rsid w:val="00165B61"/>
    <w:rsid w:val="00165C52"/>
    <w:rsid w:val="00165CDC"/>
    <w:rsid w:val="00165E02"/>
    <w:rsid w:val="00165FCB"/>
    <w:rsid w:val="001667D0"/>
    <w:rsid w:val="00166973"/>
    <w:rsid w:val="00166B72"/>
    <w:rsid w:val="00166B81"/>
    <w:rsid w:val="00166D4F"/>
    <w:rsid w:val="00166EE6"/>
    <w:rsid w:val="00166FD8"/>
    <w:rsid w:val="0016701A"/>
    <w:rsid w:val="001674EF"/>
    <w:rsid w:val="0016766E"/>
    <w:rsid w:val="00167ACB"/>
    <w:rsid w:val="00167ACC"/>
    <w:rsid w:val="00167AEE"/>
    <w:rsid w:val="00167C5E"/>
    <w:rsid w:val="00167E40"/>
    <w:rsid w:val="00167FCF"/>
    <w:rsid w:val="0017009B"/>
    <w:rsid w:val="00170368"/>
    <w:rsid w:val="00170589"/>
    <w:rsid w:val="001705E6"/>
    <w:rsid w:val="0017080B"/>
    <w:rsid w:val="00170B06"/>
    <w:rsid w:val="00170D3E"/>
    <w:rsid w:val="00170D49"/>
    <w:rsid w:val="00170E85"/>
    <w:rsid w:val="00170EF4"/>
    <w:rsid w:val="00170F01"/>
    <w:rsid w:val="00170F20"/>
    <w:rsid w:val="001712E9"/>
    <w:rsid w:val="00171478"/>
    <w:rsid w:val="00171539"/>
    <w:rsid w:val="0017158C"/>
    <w:rsid w:val="00171D3B"/>
    <w:rsid w:val="00172129"/>
    <w:rsid w:val="0017262F"/>
    <w:rsid w:val="0017289A"/>
    <w:rsid w:val="00172D16"/>
    <w:rsid w:val="00172EC6"/>
    <w:rsid w:val="00173076"/>
    <w:rsid w:val="00173236"/>
    <w:rsid w:val="001732B2"/>
    <w:rsid w:val="0017349D"/>
    <w:rsid w:val="00173585"/>
    <w:rsid w:val="00173803"/>
    <w:rsid w:val="00173B4F"/>
    <w:rsid w:val="00173BB6"/>
    <w:rsid w:val="00173C40"/>
    <w:rsid w:val="00173C9C"/>
    <w:rsid w:val="0017438C"/>
    <w:rsid w:val="00174560"/>
    <w:rsid w:val="001745A5"/>
    <w:rsid w:val="0017466A"/>
    <w:rsid w:val="00174989"/>
    <w:rsid w:val="00174A69"/>
    <w:rsid w:val="00174F9C"/>
    <w:rsid w:val="001751F7"/>
    <w:rsid w:val="00175253"/>
    <w:rsid w:val="00175336"/>
    <w:rsid w:val="0017558D"/>
    <w:rsid w:val="0017560A"/>
    <w:rsid w:val="00175672"/>
    <w:rsid w:val="001757B8"/>
    <w:rsid w:val="00175DB6"/>
    <w:rsid w:val="00175F21"/>
    <w:rsid w:val="00175FC7"/>
    <w:rsid w:val="00175FEF"/>
    <w:rsid w:val="0017657C"/>
    <w:rsid w:val="001768FE"/>
    <w:rsid w:val="00176B54"/>
    <w:rsid w:val="00176DB3"/>
    <w:rsid w:val="00176E91"/>
    <w:rsid w:val="00176EEF"/>
    <w:rsid w:val="00177196"/>
    <w:rsid w:val="00177359"/>
    <w:rsid w:val="00177808"/>
    <w:rsid w:val="00177B87"/>
    <w:rsid w:val="00177DA3"/>
    <w:rsid w:val="00177DDF"/>
    <w:rsid w:val="00177E13"/>
    <w:rsid w:val="00177F61"/>
    <w:rsid w:val="001801BC"/>
    <w:rsid w:val="001803CA"/>
    <w:rsid w:val="00180476"/>
    <w:rsid w:val="001807FD"/>
    <w:rsid w:val="00180BDE"/>
    <w:rsid w:val="00180C2F"/>
    <w:rsid w:val="00180C36"/>
    <w:rsid w:val="00180F6B"/>
    <w:rsid w:val="00180F85"/>
    <w:rsid w:val="001811F1"/>
    <w:rsid w:val="001811FB"/>
    <w:rsid w:val="0018143C"/>
    <w:rsid w:val="00181774"/>
    <w:rsid w:val="0018196B"/>
    <w:rsid w:val="00181A2F"/>
    <w:rsid w:val="00181BC4"/>
    <w:rsid w:val="00181CFE"/>
    <w:rsid w:val="00181EAB"/>
    <w:rsid w:val="00181F65"/>
    <w:rsid w:val="00182210"/>
    <w:rsid w:val="0018224E"/>
    <w:rsid w:val="00182480"/>
    <w:rsid w:val="00182908"/>
    <w:rsid w:val="00182ACD"/>
    <w:rsid w:val="00182BD4"/>
    <w:rsid w:val="00182C07"/>
    <w:rsid w:val="00182CD7"/>
    <w:rsid w:val="00182DF8"/>
    <w:rsid w:val="00182F73"/>
    <w:rsid w:val="00182F8B"/>
    <w:rsid w:val="001831D7"/>
    <w:rsid w:val="001834F4"/>
    <w:rsid w:val="00183539"/>
    <w:rsid w:val="001839C9"/>
    <w:rsid w:val="00183ABD"/>
    <w:rsid w:val="00183DF3"/>
    <w:rsid w:val="00183EBA"/>
    <w:rsid w:val="001841A9"/>
    <w:rsid w:val="001847D3"/>
    <w:rsid w:val="00184A42"/>
    <w:rsid w:val="0018539C"/>
    <w:rsid w:val="001853A6"/>
    <w:rsid w:val="00185455"/>
    <w:rsid w:val="001854F3"/>
    <w:rsid w:val="00185775"/>
    <w:rsid w:val="00185968"/>
    <w:rsid w:val="00185A2B"/>
    <w:rsid w:val="00185EB7"/>
    <w:rsid w:val="001860D1"/>
    <w:rsid w:val="001862F6"/>
    <w:rsid w:val="00186490"/>
    <w:rsid w:val="00186675"/>
    <w:rsid w:val="00186756"/>
    <w:rsid w:val="00186843"/>
    <w:rsid w:val="00186FC8"/>
    <w:rsid w:val="00186FFD"/>
    <w:rsid w:val="0018719B"/>
    <w:rsid w:val="001871CC"/>
    <w:rsid w:val="00187204"/>
    <w:rsid w:val="0018756F"/>
    <w:rsid w:val="001875EA"/>
    <w:rsid w:val="00187826"/>
    <w:rsid w:val="001878D5"/>
    <w:rsid w:val="00187928"/>
    <w:rsid w:val="00187A21"/>
    <w:rsid w:val="00187A8F"/>
    <w:rsid w:val="00187F07"/>
    <w:rsid w:val="00187FFA"/>
    <w:rsid w:val="00190019"/>
    <w:rsid w:val="00190084"/>
    <w:rsid w:val="001900DE"/>
    <w:rsid w:val="0019017C"/>
    <w:rsid w:val="001901B0"/>
    <w:rsid w:val="001901FA"/>
    <w:rsid w:val="00190289"/>
    <w:rsid w:val="0019051C"/>
    <w:rsid w:val="001905A0"/>
    <w:rsid w:val="001906A8"/>
    <w:rsid w:val="00190742"/>
    <w:rsid w:val="00191196"/>
    <w:rsid w:val="00191EA6"/>
    <w:rsid w:val="0019216C"/>
    <w:rsid w:val="0019237E"/>
    <w:rsid w:val="00192597"/>
    <w:rsid w:val="001928F6"/>
    <w:rsid w:val="00193060"/>
    <w:rsid w:val="001931BA"/>
    <w:rsid w:val="00193673"/>
    <w:rsid w:val="001937E6"/>
    <w:rsid w:val="0019395C"/>
    <w:rsid w:val="00193AC6"/>
    <w:rsid w:val="00193BF0"/>
    <w:rsid w:val="00193D22"/>
    <w:rsid w:val="00193D59"/>
    <w:rsid w:val="00194373"/>
    <w:rsid w:val="0019441E"/>
    <w:rsid w:val="00194474"/>
    <w:rsid w:val="0019448C"/>
    <w:rsid w:val="00194532"/>
    <w:rsid w:val="00194563"/>
    <w:rsid w:val="00194C88"/>
    <w:rsid w:val="00194D65"/>
    <w:rsid w:val="00194F06"/>
    <w:rsid w:val="00195024"/>
    <w:rsid w:val="001952D5"/>
    <w:rsid w:val="001953CB"/>
    <w:rsid w:val="001955B7"/>
    <w:rsid w:val="00195679"/>
    <w:rsid w:val="001957A8"/>
    <w:rsid w:val="00195D33"/>
    <w:rsid w:val="00195FC0"/>
    <w:rsid w:val="00196144"/>
    <w:rsid w:val="00196251"/>
    <w:rsid w:val="00196252"/>
    <w:rsid w:val="001964B0"/>
    <w:rsid w:val="00196601"/>
    <w:rsid w:val="00196A66"/>
    <w:rsid w:val="00196B70"/>
    <w:rsid w:val="00196C75"/>
    <w:rsid w:val="00196E95"/>
    <w:rsid w:val="00196ECC"/>
    <w:rsid w:val="00196F1E"/>
    <w:rsid w:val="0019714A"/>
    <w:rsid w:val="0019715C"/>
    <w:rsid w:val="00197224"/>
    <w:rsid w:val="001973D0"/>
    <w:rsid w:val="0019742C"/>
    <w:rsid w:val="00197512"/>
    <w:rsid w:val="0019760D"/>
    <w:rsid w:val="00197830"/>
    <w:rsid w:val="00197BAB"/>
    <w:rsid w:val="00197CFE"/>
    <w:rsid w:val="00197DC5"/>
    <w:rsid w:val="00197F19"/>
    <w:rsid w:val="001A02E4"/>
    <w:rsid w:val="001A0390"/>
    <w:rsid w:val="001A06C6"/>
    <w:rsid w:val="001A073A"/>
    <w:rsid w:val="001A077D"/>
    <w:rsid w:val="001A0861"/>
    <w:rsid w:val="001A0BA8"/>
    <w:rsid w:val="001A0D0F"/>
    <w:rsid w:val="001A0D42"/>
    <w:rsid w:val="001A1001"/>
    <w:rsid w:val="001A107F"/>
    <w:rsid w:val="001A10BF"/>
    <w:rsid w:val="001A11E6"/>
    <w:rsid w:val="001A13B9"/>
    <w:rsid w:val="001A14CD"/>
    <w:rsid w:val="001A1956"/>
    <w:rsid w:val="001A199B"/>
    <w:rsid w:val="001A1B82"/>
    <w:rsid w:val="001A1C56"/>
    <w:rsid w:val="001A1C84"/>
    <w:rsid w:val="001A1D63"/>
    <w:rsid w:val="001A238A"/>
    <w:rsid w:val="001A2480"/>
    <w:rsid w:val="001A2641"/>
    <w:rsid w:val="001A2860"/>
    <w:rsid w:val="001A28B4"/>
    <w:rsid w:val="001A29F7"/>
    <w:rsid w:val="001A2A27"/>
    <w:rsid w:val="001A2D4F"/>
    <w:rsid w:val="001A2F86"/>
    <w:rsid w:val="001A2FA0"/>
    <w:rsid w:val="001A3139"/>
    <w:rsid w:val="001A31A9"/>
    <w:rsid w:val="001A3289"/>
    <w:rsid w:val="001A3497"/>
    <w:rsid w:val="001A36C9"/>
    <w:rsid w:val="001A3720"/>
    <w:rsid w:val="001A39FC"/>
    <w:rsid w:val="001A3A7B"/>
    <w:rsid w:val="001A401F"/>
    <w:rsid w:val="001A4518"/>
    <w:rsid w:val="001A4629"/>
    <w:rsid w:val="001A4772"/>
    <w:rsid w:val="001A4AC0"/>
    <w:rsid w:val="001A4AD9"/>
    <w:rsid w:val="001A4ADE"/>
    <w:rsid w:val="001A4CC1"/>
    <w:rsid w:val="001A4CCF"/>
    <w:rsid w:val="001A4D38"/>
    <w:rsid w:val="001A4F2A"/>
    <w:rsid w:val="001A50B7"/>
    <w:rsid w:val="001A5646"/>
    <w:rsid w:val="001A569A"/>
    <w:rsid w:val="001A56B1"/>
    <w:rsid w:val="001A56EF"/>
    <w:rsid w:val="001A5772"/>
    <w:rsid w:val="001A584F"/>
    <w:rsid w:val="001A5F8B"/>
    <w:rsid w:val="001A6227"/>
    <w:rsid w:val="001A6476"/>
    <w:rsid w:val="001A66F0"/>
    <w:rsid w:val="001A6701"/>
    <w:rsid w:val="001A69CA"/>
    <w:rsid w:val="001A6BC6"/>
    <w:rsid w:val="001A6C34"/>
    <w:rsid w:val="001A6C68"/>
    <w:rsid w:val="001A7082"/>
    <w:rsid w:val="001A75A5"/>
    <w:rsid w:val="001A762C"/>
    <w:rsid w:val="001A7691"/>
    <w:rsid w:val="001A76CD"/>
    <w:rsid w:val="001A7776"/>
    <w:rsid w:val="001A7BF2"/>
    <w:rsid w:val="001A7E66"/>
    <w:rsid w:val="001B0027"/>
    <w:rsid w:val="001B017F"/>
    <w:rsid w:val="001B071A"/>
    <w:rsid w:val="001B07A7"/>
    <w:rsid w:val="001B0844"/>
    <w:rsid w:val="001B0998"/>
    <w:rsid w:val="001B0A32"/>
    <w:rsid w:val="001B0B46"/>
    <w:rsid w:val="001B0E7A"/>
    <w:rsid w:val="001B0F78"/>
    <w:rsid w:val="001B0FA9"/>
    <w:rsid w:val="001B13DA"/>
    <w:rsid w:val="001B1466"/>
    <w:rsid w:val="001B1906"/>
    <w:rsid w:val="001B1B3D"/>
    <w:rsid w:val="001B1C70"/>
    <w:rsid w:val="001B2409"/>
    <w:rsid w:val="001B250B"/>
    <w:rsid w:val="001B2889"/>
    <w:rsid w:val="001B2A74"/>
    <w:rsid w:val="001B2C3A"/>
    <w:rsid w:val="001B2C9B"/>
    <w:rsid w:val="001B2EBA"/>
    <w:rsid w:val="001B2ED0"/>
    <w:rsid w:val="001B319F"/>
    <w:rsid w:val="001B3254"/>
    <w:rsid w:val="001B328E"/>
    <w:rsid w:val="001B3408"/>
    <w:rsid w:val="001B3708"/>
    <w:rsid w:val="001B37B5"/>
    <w:rsid w:val="001B37C1"/>
    <w:rsid w:val="001B3A83"/>
    <w:rsid w:val="001B3C8A"/>
    <w:rsid w:val="001B3FB4"/>
    <w:rsid w:val="001B4134"/>
    <w:rsid w:val="001B41A4"/>
    <w:rsid w:val="001B443B"/>
    <w:rsid w:val="001B4464"/>
    <w:rsid w:val="001B4529"/>
    <w:rsid w:val="001B458D"/>
    <w:rsid w:val="001B4A9F"/>
    <w:rsid w:val="001B4D9D"/>
    <w:rsid w:val="001B5088"/>
    <w:rsid w:val="001B5429"/>
    <w:rsid w:val="001B5D70"/>
    <w:rsid w:val="001B5D82"/>
    <w:rsid w:val="001B6034"/>
    <w:rsid w:val="001B64C1"/>
    <w:rsid w:val="001B67E9"/>
    <w:rsid w:val="001B6B6E"/>
    <w:rsid w:val="001B6BAB"/>
    <w:rsid w:val="001B6CC2"/>
    <w:rsid w:val="001B6F89"/>
    <w:rsid w:val="001B7111"/>
    <w:rsid w:val="001B7265"/>
    <w:rsid w:val="001B75DB"/>
    <w:rsid w:val="001B7819"/>
    <w:rsid w:val="001B7922"/>
    <w:rsid w:val="001B79A3"/>
    <w:rsid w:val="001B7EB3"/>
    <w:rsid w:val="001B7FC6"/>
    <w:rsid w:val="001C00B1"/>
    <w:rsid w:val="001C00B8"/>
    <w:rsid w:val="001C01B3"/>
    <w:rsid w:val="001C0A26"/>
    <w:rsid w:val="001C0F30"/>
    <w:rsid w:val="001C0F8D"/>
    <w:rsid w:val="001C10F9"/>
    <w:rsid w:val="001C1322"/>
    <w:rsid w:val="001C15D3"/>
    <w:rsid w:val="001C166B"/>
    <w:rsid w:val="001C1A38"/>
    <w:rsid w:val="001C1A89"/>
    <w:rsid w:val="001C1FCC"/>
    <w:rsid w:val="001C1FFC"/>
    <w:rsid w:val="001C2062"/>
    <w:rsid w:val="001C224E"/>
    <w:rsid w:val="001C245C"/>
    <w:rsid w:val="001C257D"/>
    <w:rsid w:val="001C25E6"/>
    <w:rsid w:val="001C2719"/>
    <w:rsid w:val="001C2728"/>
    <w:rsid w:val="001C2A9D"/>
    <w:rsid w:val="001C2D37"/>
    <w:rsid w:val="001C3308"/>
    <w:rsid w:val="001C3532"/>
    <w:rsid w:val="001C35FF"/>
    <w:rsid w:val="001C398E"/>
    <w:rsid w:val="001C39AF"/>
    <w:rsid w:val="001C3A98"/>
    <w:rsid w:val="001C3E4C"/>
    <w:rsid w:val="001C3E53"/>
    <w:rsid w:val="001C40A7"/>
    <w:rsid w:val="001C4223"/>
    <w:rsid w:val="001C492B"/>
    <w:rsid w:val="001C4E49"/>
    <w:rsid w:val="001C4E6D"/>
    <w:rsid w:val="001C5037"/>
    <w:rsid w:val="001C50B4"/>
    <w:rsid w:val="001C5141"/>
    <w:rsid w:val="001C5143"/>
    <w:rsid w:val="001C57BD"/>
    <w:rsid w:val="001C5B0F"/>
    <w:rsid w:val="001C5C07"/>
    <w:rsid w:val="001C613E"/>
    <w:rsid w:val="001C66AE"/>
    <w:rsid w:val="001C698C"/>
    <w:rsid w:val="001C6A4E"/>
    <w:rsid w:val="001C6CD9"/>
    <w:rsid w:val="001C6DBA"/>
    <w:rsid w:val="001C6E1D"/>
    <w:rsid w:val="001C6EF1"/>
    <w:rsid w:val="001C722C"/>
    <w:rsid w:val="001C7249"/>
    <w:rsid w:val="001C7315"/>
    <w:rsid w:val="001C74D3"/>
    <w:rsid w:val="001C76F6"/>
    <w:rsid w:val="001C7822"/>
    <w:rsid w:val="001C78D6"/>
    <w:rsid w:val="001C7BAE"/>
    <w:rsid w:val="001C7D31"/>
    <w:rsid w:val="001C7E97"/>
    <w:rsid w:val="001C7F07"/>
    <w:rsid w:val="001D0341"/>
    <w:rsid w:val="001D0392"/>
    <w:rsid w:val="001D058E"/>
    <w:rsid w:val="001D0748"/>
    <w:rsid w:val="001D0AAD"/>
    <w:rsid w:val="001D0D06"/>
    <w:rsid w:val="001D135B"/>
    <w:rsid w:val="001D142B"/>
    <w:rsid w:val="001D1A56"/>
    <w:rsid w:val="001D1B9F"/>
    <w:rsid w:val="001D1C95"/>
    <w:rsid w:val="001D1CCA"/>
    <w:rsid w:val="001D1E36"/>
    <w:rsid w:val="001D1E71"/>
    <w:rsid w:val="001D1EB3"/>
    <w:rsid w:val="001D1EC1"/>
    <w:rsid w:val="001D230F"/>
    <w:rsid w:val="001D2356"/>
    <w:rsid w:val="001D2691"/>
    <w:rsid w:val="001D2E27"/>
    <w:rsid w:val="001D2F06"/>
    <w:rsid w:val="001D32C7"/>
    <w:rsid w:val="001D3592"/>
    <w:rsid w:val="001D362D"/>
    <w:rsid w:val="001D3651"/>
    <w:rsid w:val="001D3752"/>
    <w:rsid w:val="001D3A41"/>
    <w:rsid w:val="001D3C63"/>
    <w:rsid w:val="001D3FB6"/>
    <w:rsid w:val="001D4353"/>
    <w:rsid w:val="001D4354"/>
    <w:rsid w:val="001D4859"/>
    <w:rsid w:val="001D489B"/>
    <w:rsid w:val="001D4B13"/>
    <w:rsid w:val="001D4E45"/>
    <w:rsid w:val="001D4FDB"/>
    <w:rsid w:val="001D5242"/>
    <w:rsid w:val="001D536A"/>
    <w:rsid w:val="001D5419"/>
    <w:rsid w:val="001D55E4"/>
    <w:rsid w:val="001D57A9"/>
    <w:rsid w:val="001D57B0"/>
    <w:rsid w:val="001D5BAD"/>
    <w:rsid w:val="001D60B3"/>
    <w:rsid w:val="001D6362"/>
    <w:rsid w:val="001D637E"/>
    <w:rsid w:val="001D65C5"/>
    <w:rsid w:val="001D66E6"/>
    <w:rsid w:val="001D6BB4"/>
    <w:rsid w:val="001D704D"/>
    <w:rsid w:val="001D718D"/>
    <w:rsid w:val="001D7611"/>
    <w:rsid w:val="001D7869"/>
    <w:rsid w:val="001D7A78"/>
    <w:rsid w:val="001D7AFC"/>
    <w:rsid w:val="001D7B57"/>
    <w:rsid w:val="001D7BB5"/>
    <w:rsid w:val="001D7F53"/>
    <w:rsid w:val="001E01BB"/>
    <w:rsid w:val="001E0354"/>
    <w:rsid w:val="001E096D"/>
    <w:rsid w:val="001E0CAB"/>
    <w:rsid w:val="001E0ED8"/>
    <w:rsid w:val="001E0F5C"/>
    <w:rsid w:val="001E167E"/>
    <w:rsid w:val="001E16BB"/>
    <w:rsid w:val="001E1804"/>
    <w:rsid w:val="001E1958"/>
    <w:rsid w:val="001E1D80"/>
    <w:rsid w:val="001E1E65"/>
    <w:rsid w:val="001E1FFB"/>
    <w:rsid w:val="001E20EE"/>
    <w:rsid w:val="001E2202"/>
    <w:rsid w:val="001E23D4"/>
    <w:rsid w:val="001E2515"/>
    <w:rsid w:val="001E2BD1"/>
    <w:rsid w:val="001E2DE0"/>
    <w:rsid w:val="001E30C2"/>
    <w:rsid w:val="001E313B"/>
    <w:rsid w:val="001E3164"/>
    <w:rsid w:val="001E3390"/>
    <w:rsid w:val="001E37E4"/>
    <w:rsid w:val="001E390B"/>
    <w:rsid w:val="001E39E1"/>
    <w:rsid w:val="001E3B79"/>
    <w:rsid w:val="001E3C64"/>
    <w:rsid w:val="001E3CBD"/>
    <w:rsid w:val="001E4171"/>
    <w:rsid w:val="001E4296"/>
    <w:rsid w:val="001E446E"/>
    <w:rsid w:val="001E44D0"/>
    <w:rsid w:val="001E488E"/>
    <w:rsid w:val="001E4A03"/>
    <w:rsid w:val="001E4B4F"/>
    <w:rsid w:val="001E4C0F"/>
    <w:rsid w:val="001E4F67"/>
    <w:rsid w:val="001E5030"/>
    <w:rsid w:val="001E5568"/>
    <w:rsid w:val="001E5583"/>
    <w:rsid w:val="001E5609"/>
    <w:rsid w:val="001E5653"/>
    <w:rsid w:val="001E5668"/>
    <w:rsid w:val="001E56E8"/>
    <w:rsid w:val="001E57E5"/>
    <w:rsid w:val="001E58DD"/>
    <w:rsid w:val="001E58E2"/>
    <w:rsid w:val="001E5A06"/>
    <w:rsid w:val="001E5D07"/>
    <w:rsid w:val="001E6118"/>
    <w:rsid w:val="001E611C"/>
    <w:rsid w:val="001E62D4"/>
    <w:rsid w:val="001E634D"/>
    <w:rsid w:val="001E6392"/>
    <w:rsid w:val="001E67ED"/>
    <w:rsid w:val="001E6ECE"/>
    <w:rsid w:val="001E7328"/>
    <w:rsid w:val="001E7777"/>
    <w:rsid w:val="001E7965"/>
    <w:rsid w:val="001E7970"/>
    <w:rsid w:val="001E79E7"/>
    <w:rsid w:val="001E7CDD"/>
    <w:rsid w:val="001E7F75"/>
    <w:rsid w:val="001F00FC"/>
    <w:rsid w:val="001F03CF"/>
    <w:rsid w:val="001F04AB"/>
    <w:rsid w:val="001F04EE"/>
    <w:rsid w:val="001F058C"/>
    <w:rsid w:val="001F05EF"/>
    <w:rsid w:val="001F06ED"/>
    <w:rsid w:val="001F0709"/>
    <w:rsid w:val="001F07F8"/>
    <w:rsid w:val="001F08C0"/>
    <w:rsid w:val="001F08C6"/>
    <w:rsid w:val="001F1601"/>
    <w:rsid w:val="001F18C5"/>
    <w:rsid w:val="001F1A7E"/>
    <w:rsid w:val="001F1AF9"/>
    <w:rsid w:val="001F1F39"/>
    <w:rsid w:val="001F1F9C"/>
    <w:rsid w:val="001F20C0"/>
    <w:rsid w:val="001F219C"/>
    <w:rsid w:val="001F223E"/>
    <w:rsid w:val="001F2253"/>
    <w:rsid w:val="001F24BA"/>
    <w:rsid w:val="001F2647"/>
    <w:rsid w:val="001F2824"/>
    <w:rsid w:val="001F2921"/>
    <w:rsid w:val="001F2A0B"/>
    <w:rsid w:val="001F2C8E"/>
    <w:rsid w:val="001F2E66"/>
    <w:rsid w:val="001F3078"/>
    <w:rsid w:val="001F32F7"/>
    <w:rsid w:val="001F3321"/>
    <w:rsid w:val="001F33C6"/>
    <w:rsid w:val="001F3419"/>
    <w:rsid w:val="001F372A"/>
    <w:rsid w:val="001F441E"/>
    <w:rsid w:val="001F4844"/>
    <w:rsid w:val="001F4B23"/>
    <w:rsid w:val="001F4C38"/>
    <w:rsid w:val="001F4CAC"/>
    <w:rsid w:val="001F4DFD"/>
    <w:rsid w:val="001F5403"/>
    <w:rsid w:val="001F5476"/>
    <w:rsid w:val="001F569F"/>
    <w:rsid w:val="001F56A1"/>
    <w:rsid w:val="001F5A8A"/>
    <w:rsid w:val="001F5C35"/>
    <w:rsid w:val="001F5EE2"/>
    <w:rsid w:val="001F6061"/>
    <w:rsid w:val="001F6278"/>
    <w:rsid w:val="001F655A"/>
    <w:rsid w:val="001F67D2"/>
    <w:rsid w:val="001F6937"/>
    <w:rsid w:val="001F6B7A"/>
    <w:rsid w:val="001F6EAD"/>
    <w:rsid w:val="001F6F1A"/>
    <w:rsid w:val="001F6FEB"/>
    <w:rsid w:val="001F71F0"/>
    <w:rsid w:val="001F73D5"/>
    <w:rsid w:val="001F7670"/>
    <w:rsid w:val="001F79A5"/>
    <w:rsid w:val="001F7B26"/>
    <w:rsid w:val="001F7BBD"/>
    <w:rsid w:val="001F7C6F"/>
    <w:rsid w:val="001F7CFA"/>
    <w:rsid w:val="00200041"/>
    <w:rsid w:val="0020017F"/>
    <w:rsid w:val="0020038F"/>
    <w:rsid w:val="0020074D"/>
    <w:rsid w:val="0020095C"/>
    <w:rsid w:val="002009F4"/>
    <w:rsid w:val="00200E1E"/>
    <w:rsid w:val="00201095"/>
    <w:rsid w:val="0020122C"/>
    <w:rsid w:val="00201582"/>
    <w:rsid w:val="002019E5"/>
    <w:rsid w:val="00201BD8"/>
    <w:rsid w:val="00201BD9"/>
    <w:rsid w:val="00201EB4"/>
    <w:rsid w:val="00201F73"/>
    <w:rsid w:val="002020B3"/>
    <w:rsid w:val="002021B2"/>
    <w:rsid w:val="002022B6"/>
    <w:rsid w:val="00202327"/>
    <w:rsid w:val="00202339"/>
    <w:rsid w:val="00202707"/>
    <w:rsid w:val="0020278E"/>
    <w:rsid w:val="002027FF"/>
    <w:rsid w:val="002029A1"/>
    <w:rsid w:val="002029EB"/>
    <w:rsid w:val="00202BCA"/>
    <w:rsid w:val="00202C82"/>
    <w:rsid w:val="00202CB2"/>
    <w:rsid w:val="00202CB8"/>
    <w:rsid w:val="00202D0A"/>
    <w:rsid w:val="00202ECC"/>
    <w:rsid w:val="0020309D"/>
    <w:rsid w:val="002030A9"/>
    <w:rsid w:val="00203396"/>
    <w:rsid w:val="0020352E"/>
    <w:rsid w:val="002037AA"/>
    <w:rsid w:val="00203E24"/>
    <w:rsid w:val="00203F00"/>
    <w:rsid w:val="00203FBD"/>
    <w:rsid w:val="0020418E"/>
    <w:rsid w:val="002044B6"/>
    <w:rsid w:val="00204C3D"/>
    <w:rsid w:val="00204DC0"/>
    <w:rsid w:val="00205070"/>
    <w:rsid w:val="002050C2"/>
    <w:rsid w:val="002050E2"/>
    <w:rsid w:val="002055CF"/>
    <w:rsid w:val="00205818"/>
    <w:rsid w:val="00205D8D"/>
    <w:rsid w:val="00205D9C"/>
    <w:rsid w:val="0020624E"/>
    <w:rsid w:val="002063DF"/>
    <w:rsid w:val="00206424"/>
    <w:rsid w:val="0020656C"/>
    <w:rsid w:val="00206A7C"/>
    <w:rsid w:val="00206D2F"/>
    <w:rsid w:val="00206F95"/>
    <w:rsid w:val="00206FAE"/>
    <w:rsid w:val="00207891"/>
    <w:rsid w:val="00207FFC"/>
    <w:rsid w:val="002100B0"/>
    <w:rsid w:val="002100DD"/>
    <w:rsid w:val="002101A2"/>
    <w:rsid w:val="002101CC"/>
    <w:rsid w:val="00210222"/>
    <w:rsid w:val="0021040D"/>
    <w:rsid w:val="0021049E"/>
    <w:rsid w:val="002104B8"/>
    <w:rsid w:val="0021084F"/>
    <w:rsid w:val="00211400"/>
    <w:rsid w:val="0021141B"/>
    <w:rsid w:val="002114E8"/>
    <w:rsid w:val="0021164D"/>
    <w:rsid w:val="00211732"/>
    <w:rsid w:val="00211D9B"/>
    <w:rsid w:val="00211F61"/>
    <w:rsid w:val="002125C2"/>
    <w:rsid w:val="00212816"/>
    <w:rsid w:val="00212BCC"/>
    <w:rsid w:val="00212D68"/>
    <w:rsid w:val="00212F5C"/>
    <w:rsid w:val="00213615"/>
    <w:rsid w:val="00213D2A"/>
    <w:rsid w:val="002140FA"/>
    <w:rsid w:val="002142EA"/>
    <w:rsid w:val="00214539"/>
    <w:rsid w:val="002145BB"/>
    <w:rsid w:val="0021468A"/>
    <w:rsid w:val="002149A8"/>
    <w:rsid w:val="00214AAF"/>
    <w:rsid w:val="00214D0B"/>
    <w:rsid w:val="00214DC1"/>
    <w:rsid w:val="00214E6F"/>
    <w:rsid w:val="00214FC3"/>
    <w:rsid w:val="00215089"/>
    <w:rsid w:val="0021526F"/>
    <w:rsid w:val="002152DC"/>
    <w:rsid w:val="0021584E"/>
    <w:rsid w:val="002158EA"/>
    <w:rsid w:val="00215919"/>
    <w:rsid w:val="00215B54"/>
    <w:rsid w:val="00215CF3"/>
    <w:rsid w:val="00215D13"/>
    <w:rsid w:val="002160E7"/>
    <w:rsid w:val="002161B7"/>
    <w:rsid w:val="00216440"/>
    <w:rsid w:val="0021672F"/>
    <w:rsid w:val="002167B9"/>
    <w:rsid w:val="00216BE7"/>
    <w:rsid w:val="00216DA8"/>
    <w:rsid w:val="00217126"/>
    <w:rsid w:val="0021728B"/>
    <w:rsid w:val="0021737B"/>
    <w:rsid w:val="00217622"/>
    <w:rsid w:val="002177D2"/>
    <w:rsid w:val="002179D8"/>
    <w:rsid w:val="00217A81"/>
    <w:rsid w:val="00217AE4"/>
    <w:rsid w:val="00217C34"/>
    <w:rsid w:val="00217C3D"/>
    <w:rsid w:val="00217C3F"/>
    <w:rsid w:val="00217DCB"/>
    <w:rsid w:val="00217E59"/>
    <w:rsid w:val="002201AB"/>
    <w:rsid w:val="002204CE"/>
    <w:rsid w:val="002204E0"/>
    <w:rsid w:val="002207DE"/>
    <w:rsid w:val="00220B9F"/>
    <w:rsid w:val="00220F05"/>
    <w:rsid w:val="00220F20"/>
    <w:rsid w:val="0022104E"/>
    <w:rsid w:val="0022104F"/>
    <w:rsid w:val="0022129C"/>
    <w:rsid w:val="0022176D"/>
    <w:rsid w:val="00221879"/>
    <w:rsid w:val="002219A4"/>
    <w:rsid w:val="00221C03"/>
    <w:rsid w:val="00221CF5"/>
    <w:rsid w:val="00221DEA"/>
    <w:rsid w:val="00221F60"/>
    <w:rsid w:val="0022256C"/>
    <w:rsid w:val="0022289C"/>
    <w:rsid w:val="00222D1C"/>
    <w:rsid w:val="002232FE"/>
    <w:rsid w:val="0022346F"/>
    <w:rsid w:val="00223747"/>
    <w:rsid w:val="00223904"/>
    <w:rsid w:val="00223971"/>
    <w:rsid w:val="002239B8"/>
    <w:rsid w:val="00223A64"/>
    <w:rsid w:val="00223C9C"/>
    <w:rsid w:val="00223CF7"/>
    <w:rsid w:val="00224D66"/>
    <w:rsid w:val="00224D9A"/>
    <w:rsid w:val="00224EB9"/>
    <w:rsid w:val="00224FF9"/>
    <w:rsid w:val="00225005"/>
    <w:rsid w:val="00225100"/>
    <w:rsid w:val="002251E3"/>
    <w:rsid w:val="002255D9"/>
    <w:rsid w:val="0022562D"/>
    <w:rsid w:val="00225836"/>
    <w:rsid w:val="00225959"/>
    <w:rsid w:val="00225C77"/>
    <w:rsid w:val="00225E3F"/>
    <w:rsid w:val="002261E1"/>
    <w:rsid w:val="00226306"/>
    <w:rsid w:val="0022630F"/>
    <w:rsid w:val="0022645B"/>
    <w:rsid w:val="002265CE"/>
    <w:rsid w:val="00226D91"/>
    <w:rsid w:val="00227098"/>
    <w:rsid w:val="0022728F"/>
    <w:rsid w:val="002273C0"/>
    <w:rsid w:val="00227461"/>
    <w:rsid w:val="002275A8"/>
    <w:rsid w:val="00227853"/>
    <w:rsid w:val="002301ED"/>
    <w:rsid w:val="002304D6"/>
    <w:rsid w:val="00230535"/>
    <w:rsid w:val="002307B1"/>
    <w:rsid w:val="00230817"/>
    <w:rsid w:val="002308F7"/>
    <w:rsid w:val="00230B75"/>
    <w:rsid w:val="00230D16"/>
    <w:rsid w:val="002310EC"/>
    <w:rsid w:val="00231167"/>
    <w:rsid w:val="00231263"/>
    <w:rsid w:val="0023190A"/>
    <w:rsid w:val="00231DB5"/>
    <w:rsid w:val="002321F1"/>
    <w:rsid w:val="00232225"/>
    <w:rsid w:val="0023238B"/>
    <w:rsid w:val="002323F7"/>
    <w:rsid w:val="00232452"/>
    <w:rsid w:val="0023254A"/>
    <w:rsid w:val="002325D2"/>
    <w:rsid w:val="00232665"/>
    <w:rsid w:val="002328EF"/>
    <w:rsid w:val="00232949"/>
    <w:rsid w:val="002329B8"/>
    <w:rsid w:val="00232A82"/>
    <w:rsid w:val="00232B82"/>
    <w:rsid w:val="00232CBE"/>
    <w:rsid w:val="00232D54"/>
    <w:rsid w:val="00232F10"/>
    <w:rsid w:val="0023340C"/>
    <w:rsid w:val="00233618"/>
    <w:rsid w:val="002336A5"/>
    <w:rsid w:val="00233C07"/>
    <w:rsid w:val="00233C24"/>
    <w:rsid w:val="00234179"/>
    <w:rsid w:val="00234377"/>
    <w:rsid w:val="00234956"/>
    <w:rsid w:val="00234CCB"/>
    <w:rsid w:val="00234D38"/>
    <w:rsid w:val="00234DC9"/>
    <w:rsid w:val="00234FC5"/>
    <w:rsid w:val="00235012"/>
    <w:rsid w:val="00235131"/>
    <w:rsid w:val="00235239"/>
    <w:rsid w:val="002353BA"/>
    <w:rsid w:val="00235546"/>
    <w:rsid w:val="002355A6"/>
    <w:rsid w:val="00235717"/>
    <w:rsid w:val="00235782"/>
    <w:rsid w:val="00235794"/>
    <w:rsid w:val="00235835"/>
    <w:rsid w:val="00235868"/>
    <w:rsid w:val="00235B47"/>
    <w:rsid w:val="00235FF2"/>
    <w:rsid w:val="0023600E"/>
    <w:rsid w:val="00236082"/>
    <w:rsid w:val="002360C1"/>
    <w:rsid w:val="00236340"/>
    <w:rsid w:val="00236A88"/>
    <w:rsid w:val="00236D4A"/>
    <w:rsid w:val="0023751A"/>
    <w:rsid w:val="002376D1"/>
    <w:rsid w:val="00237F4A"/>
    <w:rsid w:val="002400D2"/>
    <w:rsid w:val="00240A31"/>
    <w:rsid w:val="00240D46"/>
    <w:rsid w:val="0024107B"/>
    <w:rsid w:val="0024108F"/>
    <w:rsid w:val="0024129F"/>
    <w:rsid w:val="0024141A"/>
    <w:rsid w:val="0024169E"/>
    <w:rsid w:val="00241C01"/>
    <w:rsid w:val="00241D80"/>
    <w:rsid w:val="00241FA1"/>
    <w:rsid w:val="002420D7"/>
    <w:rsid w:val="00242193"/>
    <w:rsid w:val="002422E0"/>
    <w:rsid w:val="00242687"/>
    <w:rsid w:val="00242BB6"/>
    <w:rsid w:val="00242F32"/>
    <w:rsid w:val="002438AB"/>
    <w:rsid w:val="00243CD7"/>
    <w:rsid w:val="00243D7C"/>
    <w:rsid w:val="00243F3E"/>
    <w:rsid w:val="002440EC"/>
    <w:rsid w:val="00244150"/>
    <w:rsid w:val="00244273"/>
    <w:rsid w:val="00244479"/>
    <w:rsid w:val="00244497"/>
    <w:rsid w:val="00244696"/>
    <w:rsid w:val="00244814"/>
    <w:rsid w:val="00244853"/>
    <w:rsid w:val="00244A6F"/>
    <w:rsid w:val="00244A84"/>
    <w:rsid w:val="00244B87"/>
    <w:rsid w:val="00244BAC"/>
    <w:rsid w:val="00244C4F"/>
    <w:rsid w:val="002451B2"/>
    <w:rsid w:val="002452F3"/>
    <w:rsid w:val="00245365"/>
    <w:rsid w:val="002455A0"/>
    <w:rsid w:val="002457C8"/>
    <w:rsid w:val="002459B6"/>
    <w:rsid w:val="00245C96"/>
    <w:rsid w:val="00245E75"/>
    <w:rsid w:val="00245E8A"/>
    <w:rsid w:val="00245FB4"/>
    <w:rsid w:val="00245FE6"/>
    <w:rsid w:val="002464DF"/>
    <w:rsid w:val="00246606"/>
    <w:rsid w:val="00246A47"/>
    <w:rsid w:val="00246AD6"/>
    <w:rsid w:val="00246C82"/>
    <w:rsid w:val="00246E50"/>
    <w:rsid w:val="002471D3"/>
    <w:rsid w:val="00247449"/>
    <w:rsid w:val="00247502"/>
    <w:rsid w:val="002475B1"/>
    <w:rsid w:val="0024775C"/>
    <w:rsid w:val="00247793"/>
    <w:rsid w:val="002477AC"/>
    <w:rsid w:val="00247862"/>
    <w:rsid w:val="002479E0"/>
    <w:rsid w:val="00247BF8"/>
    <w:rsid w:val="00247C0E"/>
    <w:rsid w:val="002501DF"/>
    <w:rsid w:val="002509EB"/>
    <w:rsid w:val="00250B4C"/>
    <w:rsid w:val="00250C35"/>
    <w:rsid w:val="00250C5B"/>
    <w:rsid w:val="00250D59"/>
    <w:rsid w:val="002511DC"/>
    <w:rsid w:val="0025136B"/>
    <w:rsid w:val="002513EA"/>
    <w:rsid w:val="002515E9"/>
    <w:rsid w:val="0025178F"/>
    <w:rsid w:val="002519B8"/>
    <w:rsid w:val="00251AEB"/>
    <w:rsid w:val="00251D38"/>
    <w:rsid w:val="00251DAE"/>
    <w:rsid w:val="00251E2F"/>
    <w:rsid w:val="00252044"/>
    <w:rsid w:val="002522B6"/>
    <w:rsid w:val="002524B3"/>
    <w:rsid w:val="002524B9"/>
    <w:rsid w:val="00252506"/>
    <w:rsid w:val="00252526"/>
    <w:rsid w:val="002525C8"/>
    <w:rsid w:val="00252712"/>
    <w:rsid w:val="0025271A"/>
    <w:rsid w:val="002529BB"/>
    <w:rsid w:val="00252C78"/>
    <w:rsid w:val="00252D9E"/>
    <w:rsid w:val="00252E3F"/>
    <w:rsid w:val="002535B2"/>
    <w:rsid w:val="00253976"/>
    <w:rsid w:val="00253A2A"/>
    <w:rsid w:val="00253C22"/>
    <w:rsid w:val="00253C55"/>
    <w:rsid w:val="00253E9A"/>
    <w:rsid w:val="00254183"/>
    <w:rsid w:val="00254A44"/>
    <w:rsid w:val="00254B4F"/>
    <w:rsid w:val="00254DFB"/>
    <w:rsid w:val="0025500D"/>
    <w:rsid w:val="002550FE"/>
    <w:rsid w:val="002551A2"/>
    <w:rsid w:val="00255222"/>
    <w:rsid w:val="0025528E"/>
    <w:rsid w:val="00255403"/>
    <w:rsid w:val="0025557F"/>
    <w:rsid w:val="00255A9B"/>
    <w:rsid w:val="00255E76"/>
    <w:rsid w:val="00256006"/>
    <w:rsid w:val="002560A2"/>
    <w:rsid w:val="0025633F"/>
    <w:rsid w:val="00256396"/>
    <w:rsid w:val="00256895"/>
    <w:rsid w:val="00256FB0"/>
    <w:rsid w:val="002574FB"/>
    <w:rsid w:val="0025759C"/>
    <w:rsid w:val="00257C84"/>
    <w:rsid w:val="00257CD4"/>
    <w:rsid w:val="00257E63"/>
    <w:rsid w:val="0026006D"/>
    <w:rsid w:val="0026083F"/>
    <w:rsid w:val="00260915"/>
    <w:rsid w:val="00260919"/>
    <w:rsid w:val="0026099F"/>
    <w:rsid w:val="002613A0"/>
    <w:rsid w:val="0026159F"/>
    <w:rsid w:val="0026184D"/>
    <w:rsid w:val="00261A9B"/>
    <w:rsid w:val="00261C00"/>
    <w:rsid w:val="00261DDE"/>
    <w:rsid w:val="00261EC5"/>
    <w:rsid w:val="00262037"/>
    <w:rsid w:val="00262665"/>
    <w:rsid w:val="002626F3"/>
    <w:rsid w:val="002627CB"/>
    <w:rsid w:val="0026297A"/>
    <w:rsid w:val="00262A63"/>
    <w:rsid w:val="00262ACE"/>
    <w:rsid w:val="00262BA8"/>
    <w:rsid w:val="00262FF6"/>
    <w:rsid w:val="002630E1"/>
    <w:rsid w:val="00263A15"/>
    <w:rsid w:val="00263A3C"/>
    <w:rsid w:val="00263AEA"/>
    <w:rsid w:val="00263E13"/>
    <w:rsid w:val="00263E4F"/>
    <w:rsid w:val="00263F6B"/>
    <w:rsid w:val="002642ED"/>
    <w:rsid w:val="00264372"/>
    <w:rsid w:val="0026438E"/>
    <w:rsid w:val="0026452C"/>
    <w:rsid w:val="002646A0"/>
    <w:rsid w:val="0026489E"/>
    <w:rsid w:val="00264BBA"/>
    <w:rsid w:val="00264CA1"/>
    <w:rsid w:val="00265031"/>
    <w:rsid w:val="002650C7"/>
    <w:rsid w:val="00265240"/>
    <w:rsid w:val="00265518"/>
    <w:rsid w:val="00265624"/>
    <w:rsid w:val="0026580A"/>
    <w:rsid w:val="00265850"/>
    <w:rsid w:val="00265ACC"/>
    <w:rsid w:val="002660B0"/>
    <w:rsid w:val="0026610B"/>
    <w:rsid w:val="002661CD"/>
    <w:rsid w:val="00266222"/>
    <w:rsid w:val="00266317"/>
    <w:rsid w:val="0026668C"/>
    <w:rsid w:val="0026680B"/>
    <w:rsid w:val="00266AE5"/>
    <w:rsid w:val="00266AED"/>
    <w:rsid w:val="00266C49"/>
    <w:rsid w:val="00266D25"/>
    <w:rsid w:val="00266D6E"/>
    <w:rsid w:val="00266FB8"/>
    <w:rsid w:val="002671F8"/>
    <w:rsid w:val="0026739B"/>
    <w:rsid w:val="002675FC"/>
    <w:rsid w:val="00267B44"/>
    <w:rsid w:val="00267BF8"/>
    <w:rsid w:val="002703B8"/>
    <w:rsid w:val="00270648"/>
    <w:rsid w:val="002706DB"/>
    <w:rsid w:val="002709DC"/>
    <w:rsid w:val="00270DC2"/>
    <w:rsid w:val="00271224"/>
    <w:rsid w:val="00271263"/>
    <w:rsid w:val="002713A8"/>
    <w:rsid w:val="00271703"/>
    <w:rsid w:val="00271865"/>
    <w:rsid w:val="00271908"/>
    <w:rsid w:val="002719AE"/>
    <w:rsid w:val="002719B0"/>
    <w:rsid w:val="00271FFE"/>
    <w:rsid w:val="00272084"/>
    <w:rsid w:val="002720C1"/>
    <w:rsid w:val="00272238"/>
    <w:rsid w:val="00272351"/>
    <w:rsid w:val="002723B1"/>
    <w:rsid w:val="00272590"/>
    <w:rsid w:val="002725FE"/>
    <w:rsid w:val="002727C9"/>
    <w:rsid w:val="002729A6"/>
    <w:rsid w:val="00272E68"/>
    <w:rsid w:val="00273218"/>
    <w:rsid w:val="002735F2"/>
    <w:rsid w:val="00273AFB"/>
    <w:rsid w:val="00273BC8"/>
    <w:rsid w:val="00273C06"/>
    <w:rsid w:val="002742F8"/>
    <w:rsid w:val="00274415"/>
    <w:rsid w:val="0027447E"/>
    <w:rsid w:val="00274CB8"/>
    <w:rsid w:val="00274E17"/>
    <w:rsid w:val="002751AA"/>
    <w:rsid w:val="0027565F"/>
    <w:rsid w:val="002758A2"/>
    <w:rsid w:val="002758A5"/>
    <w:rsid w:val="00275DAB"/>
    <w:rsid w:val="002761D7"/>
    <w:rsid w:val="002765D3"/>
    <w:rsid w:val="00276E71"/>
    <w:rsid w:val="00276F65"/>
    <w:rsid w:val="00277356"/>
    <w:rsid w:val="00277569"/>
    <w:rsid w:val="0027788B"/>
    <w:rsid w:val="00277932"/>
    <w:rsid w:val="00277B7D"/>
    <w:rsid w:val="00277C7B"/>
    <w:rsid w:val="00277F92"/>
    <w:rsid w:val="002801DC"/>
    <w:rsid w:val="002804EC"/>
    <w:rsid w:val="0028056C"/>
    <w:rsid w:val="002805A1"/>
    <w:rsid w:val="0028093E"/>
    <w:rsid w:val="00280975"/>
    <w:rsid w:val="00280A17"/>
    <w:rsid w:val="00281027"/>
    <w:rsid w:val="00281224"/>
    <w:rsid w:val="002813B1"/>
    <w:rsid w:val="002813B5"/>
    <w:rsid w:val="002817C7"/>
    <w:rsid w:val="002818A7"/>
    <w:rsid w:val="00281A3A"/>
    <w:rsid w:val="00281F34"/>
    <w:rsid w:val="00281F4E"/>
    <w:rsid w:val="00281F6D"/>
    <w:rsid w:val="002820E6"/>
    <w:rsid w:val="0028228C"/>
    <w:rsid w:val="002826C0"/>
    <w:rsid w:val="002827AB"/>
    <w:rsid w:val="002828AA"/>
    <w:rsid w:val="00282966"/>
    <w:rsid w:val="00282BD4"/>
    <w:rsid w:val="002831C9"/>
    <w:rsid w:val="0028325B"/>
    <w:rsid w:val="0028332E"/>
    <w:rsid w:val="002833CF"/>
    <w:rsid w:val="0028360D"/>
    <w:rsid w:val="00283877"/>
    <w:rsid w:val="00283DD2"/>
    <w:rsid w:val="00284087"/>
    <w:rsid w:val="002840CB"/>
    <w:rsid w:val="00284480"/>
    <w:rsid w:val="0028482A"/>
    <w:rsid w:val="00284883"/>
    <w:rsid w:val="002848C7"/>
    <w:rsid w:val="00284DA9"/>
    <w:rsid w:val="00285197"/>
    <w:rsid w:val="0028562E"/>
    <w:rsid w:val="00285843"/>
    <w:rsid w:val="002858C6"/>
    <w:rsid w:val="00285B63"/>
    <w:rsid w:val="00285BE5"/>
    <w:rsid w:val="00285C35"/>
    <w:rsid w:val="00286299"/>
    <w:rsid w:val="002863BF"/>
    <w:rsid w:val="00286558"/>
    <w:rsid w:val="00286577"/>
    <w:rsid w:val="00286B94"/>
    <w:rsid w:val="00286D94"/>
    <w:rsid w:val="0028714B"/>
    <w:rsid w:val="0028726D"/>
    <w:rsid w:val="002872FD"/>
    <w:rsid w:val="00287494"/>
    <w:rsid w:val="002874D4"/>
    <w:rsid w:val="00287548"/>
    <w:rsid w:val="00287799"/>
    <w:rsid w:val="002879F4"/>
    <w:rsid w:val="00287F39"/>
    <w:rsid w:val="002902FE"/>
    <w:rsid w:val="00290364"/>
    <w:rsid w:val="002903F6"/>
    <w:rsid w:val="00290464"/>
    <w:rsid w:val="00290592"/>
    <w:rsid w:val="002906DE"/>
    <w:rsid w:val="002907ED"/>
    <w:rsid w:val="002908FA"/>
    <w:rsid w:val="00290B81"/>
    <w:rsid w:val="00290F01"/>
    <w:rsid w:val="002912A1"/>
    <w:rsid w:val="002912DD"/>
    <w:rsid w:val="00291475"/>
    <w:rsid w:val="002914AE"/>
    <w:rsid w:val="00291896"/>
    <w:rsid w:val="0029198F"/>
    <w:rsid w:val="00291D3A"/>
    <w:rsid w:val="00291FE3"/>
    <w:rsid w:val="0029212E"/>
    <w:rsid w:val="0029240C"/>
    <w:rsid w:val="00292429"/>
    <w:rsid w:val="00292530"/>
    <w:rsid w:val="00292B53"/>
    <w:rsid w:val="00292CFD"/>
    <w:rsid w:val="00292DEC"/>
    <w:rsid w:val="002930A9"/>
    <w:rsid w:val="00293161"/>
    <w:rsid w:val="0029330F"/>
    <w:rsid w:val="002935A9"/>
    <w:rsid w:val="0029385C"/>
    <w:rsid w:val="00293A19"/>
    <w:rsid w:val="00293E49"/>
    <w:rsid w:val="0029415C"/>
    <w:rsid w:val="00294268"/>
    <w:rsid w:val="0029454F"/>
    <w:rsid w:val="00294EA2"/>
    <w:rsid w:val="0029503A"/>
    <w:rsid w:val="0029513A"/>
    <w:rsid w:val="00295200"/>
    <w:rsid w:val="0029532F"/>
    <w:rsid w:val="002953B3"/>
    <w:rsid w:val="0029543A"/>
    <w:rsid w:val="00295448"/>
    <w:rsid w:val="00295728"/>
    <w:rsid w:val="00295845"/>
    <w:rsid w:val="00295861"/>
    <w:rsid w:val="00295A6C"/>
    <w:rsid w:val="00295B0D"/>
    <w:rsid w:val="00295B56"/>
    <w:rsid w:val="00296802"/>
    <w:rsid w:val="00296973"/>
    <w:rsid w:val="0029698A"/>
    <w:rsid w:val="00296A1F"/>
    <w:rsid w:val="00296AF5"/>
    <w:rsid w:val="00296E28"/>
    <w:rsid w:val="00296EE4"/>
    <w:rsid w:val="00297063"/>
    <w:rsid w:val="002973A3"/>
    <w:rsid w:val="002973C7"/>
    <w:rsid w:val="002975A4"/>
    <w:rsid w:val="00297612"/>
    <w:rsid w:val="00297630"/>
    <w:rsid w:val="00297B06"/>
    <w:rsid w:val="00297E27"/>
    <w:rsid w:val="002A0071"/>
    <w:rsid w:val="002A0223"/>
    <w:rsid w:val="002A056E"/>
    <w:rsid w:val="002A064A"/>
    <w:rsid w:val="002A066E"/>
    <w:rsid w:val="002A07B1"/>
    <w:rsid w:val="002A0968"/>
    <w:rsid w:val="002A099A"/>
    <w:rsid w:val="002A0C6B"/>
    <w:rsid w:val="002A0CA0"/>
    <w:rsid w:val="002A0FCC"/>
    <w:rsid w:val="002A10CF"/>
    <w:rsid w:val="002A10E2"/>
    <w:rsid w:val="002A13A0"/>
    <w:rsid w:val="002A1570"/>
    <w:rsid w:val="002A1840"/>
    <w:rsid w:val="002A1BA3"/>
    <w:rsid w:val="002A1CCD"/>
    <w:rsid w:val="002A2179"/>
    <w:rsid w:val="002A21DD"/>
    <w:rsid w:val="002A22D2"/>
    <w:rsid w:val="002A2671"/>
    <w:rsid w:val="002A29B9"/>
    <w:rsid w:val="002A2A92"/>
    <w:rsid w:val="002A2B39"/>
    <w:rsid w:val="002A2B6A"/>
    <w:rsid w:val="002A2BD2"/>
    <w:rsid w:val="002A2EA8"/>
    <w:rsid w:val="002A2EEC"/>
    <w:rsid w:val="002A3263"/>
    <w:rsid w:val="002A33C1"/>
    <w:rsid w:val="002A37F2"/>
    <w:rsid w:val="002A3DFA"/>
    <w:rsid w:val="002A3EC9"/>
    <w:rsid w:val="002A401F"/>
    <w:rsid w:val="002A42B5"/>
    <w:rsid w:val="002A4354"/>
    <w:rsid w:val="002A4679"/>
    <w:rsid w:val="002A474A"/>
    <w:rsid w:val="002A48F5"/>
    <w:rsid w:val="002A4B6C"/>
    <w:rsid w:val="002A4C70"/>
    <w:rsid w:val="002A4D65"/>
    <w:rsid w:val="002A4F26"/>
    <w:rsid w:val="002A4F54"/>
    <w:rsid w:val="002A52ED"/>
    <w:rsid w:val="002A531D"/>
    <w:rsid w:val="002A551F"/>
    <w:rsid w:val="002A5649"/>
    <w:rsid w:val="002A5DC1"/>
    <w:rsid w:val="002A61F1"/>
    <w:rsid w:val="002A62D5"/>
    <w:rsid w:val="002A64FF"/>
    <w:rsid w:val="002A6732"/>
    <w:rsid w:val="002A6892"/>
    <w:rsid w:val="002A69DE"/>
    <w:rsid w:val="002A6B34"/>
    <w:rsid w:val="002A6CA5"/>
    <w:rsid w:val="002A7060"/>
    <w:rsid w:val="002A76D1"/>
    <w:rsid w:val="002A7A5D"/>
    <w:rsid w:val="002A7C29"/>
    <w:rsid w:val="002A7DEE"/>
    <w:rsid w:val="002A7E2C"/>
    <w:rsid w:val="002A7E7F"/>
    <w:rsid w:val="002A7FBC"/>
    <w:rsid w:val="002ACE7E"/>
    <w:rsid w:val="002B0010"/>
    <w:rsid w:val="002B0366"/>
    <w:rsid w:val="002B036A"/>
    <w:rsid w:val="002B064D"/>
    <w:rsid w:val="002B07E3"/>
    <w:rsid w:val="002B0896"/>
    <w:rsid w:val="002B0DB4"/>
    <w:rsid w:val="002B101D"/>
    <w:rsid w:val="002B1096"/>
    <w:rsid w:val="002B191E"/>
    <w:rsid w:val="002B1DC4"/>
    <w:rsid w:val="002B1ED8"/>
    <w:rsid w:val="002B2171"/>
    <w:rsid w:val="002B2175"/>
    <w:rsid w:val="002B2528"/>
    <w:rsid w:val="002B25EE"/>
    <w:rsid w:val="002B2BF8"/>
    <w:rsid w:val="002B2CC2"/>
    <w:rsid w:val="002B2DDD"/>
    <w:rsid w:val="002B2E62"/>
    <w:rsid w:val="002B2FEE"/>
    <w:rsid w:val="002B3183"/>
    <w:rsid w:val="002B3271"/>
    <w:rsid w:val="002B37D1"/>
    <w:rsid w:val="002B39EB"/>
    <w:rsid w:val="002B3DF8"/>
    <w:rsid w:val="002B3E33"/>
    <w:rsid w:val="002B3F79"/>
    <w:rsid w:val="002B43EE"/>
    <w:rsid w:val="002B4432"/>
    <w:rsid w:val="002B44F8"/>
    <w:rsid w:val="002B478E"/>
    <w:rsid w:val="002B4959"/>
    <w:rsid w:val="002B4A66"/>
    <w:rsid w:val="002B4C18"/>
    <w:rsid w:val="002B4F51"/>
    <w:rsid w:val="002B512D"/>
    <w:rsid w:val="002B513F"/>
    <w:rsid w:val="002B52DF"/>
    <w:rsid w:val="002B52E1"/>
    <w:rsid w:val="002B5655"/>
    <w:rsid w:val="002B5718"/>
    <w:rsid w:val="002B5C89"/>
    <w:rsid w:val="002B5DBD"/>
    <w:rsid w:val="002B618E"/>
    <w:rsid w:val="002B6285"/>
    <w:rsid w:val="002B62D5"/>
    <w:rsid w:val="002B62E5"/>
    <w:rsid w:val="002B63AB"/>
    <w:rsid w:val="002B665F"/>
    <w:rsid w:val="002B67AB"/>
    <w:rsid w:val="002B6C14"/>
    <w:rsid w:val="002B6D76"/>
    <w:rsid w:val="002B6F49"/>
    <w:rsid w:val="002B71BE"/>
    <w:rsid w:val="002B725C"/>
    <w:rsid w:val="002B72E6"/>
    <w:rsid w:val="002B7A63"/>
    <w:rsid w:val="002B7B2D"/>
    <w:rsid w:val="002B7C82"/>
    <w:rsid w:val="002B7F22"/>
    <w:rsid w:val="002C0127"/>
    <w:rsid w:val="002C014F"/>
    <w:rsid w:val="002C01FC"/>
    <w:rsid w:val="002C02A4"/>
    <w:rsid w:val="002C05B8"/>
    <w:rsid w:val="002C05F7"/>
    <w:rsid w:val="002C0602"/>
    <w:rsid w:val="002C079E"/>
    <w:rsid w:val="002C07B7"/>
    <w:rsid w:val="002C08D3"/>
    <w:rsid w:val="002C0931"/>
    <w:rsid w:val="002C09F5"/>
    <w:rsid w:val="002C0B1F"/>
    <w:rsid w:val="002C0BEE"/>
    <w:rsid w:val="002C0C4B"/>
    <w:rsid w:val="002C0D18"/>
    <w:rsid w:val="002C0DA3"/>
    <w:rsid w:val="002C1138"/>
    <w:rsid w:val="002C138F"/>
    <w:rsid w:val="002C1713"/>
    <w:rsid w:val="002C1777"/>
    <w:rsid w:val="002C17F1"/>
    <w:rsid w:val="002C18BD"/>
    <w:rsid w:val="002C1E8A"/>
    <w:rsid w:val="002C2116"/>
    <w:rsid w:val="002C221D"/>
    <w:rsid w:val="002C241E"/>
    <w:rsid w:val="002C2A6A"/>
    <w:rsid w:val="002C2EAA"/>
    <w:rsid w:val="002C30DC"/>
    <w:rsid w:val="002C3289"/>
    <w:rsid w:val="002C422B"/>
    <w:rsid w:val="002C4268"/>
    <w:rsid w:val="002C4843"/>
    <w:rsid w:val="002C4A68"/>
    <w:rsid w:val="002C4E63"/>
    <w:rsid w:val="002C56A0"/>
    <w:rsid w:val="002C573A"/>
    <w:rsid w:val="002C59FB"/>
    <w:rsid w:val="002C605E"/>
    <w:rsid w:val="002C64C8"/>
    <w:rsid w:val="002C652F"/>
    <w:rsid w:val="002C66E8"/>
    <w:rsid w:val="002C688C"/>
    <w:rsid w:val="002C6B17"/>
    <w:rsid w:val="002C6BDE"/>
    <w:rsid w:val="002C6D99"/>
    <w:rsid w:val="002C6E11"/>
    <w:rsid w:val="002C6F11"/>
    <w:rsid w:val="002C71DB"/>
    <w:rsid w:val="002C72E4"/>
    <w:rsid w:val="002C76FD"/>
    <w:rsid w:val="002C7734"/>
    <w:rsid w:val="002C77FA"/>
    <w:rsid w:val="002C786D"/>
    <w:rsid w:val="002C7A79"/>
    <w:rsid w:val="002C7B88"/>
    <w:rsid w:val="002C7DA3"/>
    <w:rsid w:val="002C7DA9"/>
    <w:rsid w:val="002C7F9A"/>
    <w:rsid w:val="002D0032"/>
    <w:rsid w:val="002D0647"/>
    <w:rsid w:val="002D0836"/>
    <w:rsid w:val="002D086D"/>
    <w:rsid w:val="002D0875"/>
    <w:rsid w:val="002D0B18"/>
    <w:rsid w:val="002D0BAD"/>
    <w:rsid w:val="002D0DBE"/>
    <w:rsid w:val="002D0F7F"/>
    <w:rsid w:val="002D1050"/>
    <w:rsid w:val="002D10F1"/>
    <w:rsid w:val="002D164B"/>
    <w:rsid w:val="002D1895"/>
    <w:rsid w:val="002D1CCD"/>
    <w:rsid w:val="002D1D06"/>
    <w:rsid w:val="002D1E58"/>
    <w:rsid w:val="002D210D"/>
    <w:rsid w:val="002D2250"/>
    <w:rsid w:val="002D2A23"/>
    <w:rsid w:val="002D2F74"/>
    <w:rsid w:val="002D2FDF"/>
    <w:rsid w:val="002D3011"/>
    <w:rsid w:val="002D31DE"/>
    <w:rsid w:val="002D331F"/>
    <w:rsid w:val="002D333E"/>
    <w:rsid w:val="002D34A5"/>
    <w:rsid w:val="002D3693"/>
    <w:rsid w:val="002D3732"/>
    <w:rsid w:val="002D374C"/>
    <w:rsid w:val="002D39A8"/>
    <w:rsid w:val="002D39EB"/>
    <w:rsid w:val="002D3DEB"/>
    <w:rsid w:val="002D3EA2"/>
    <w:rsid w:val="002D3FE0"/>
    <w:rsid w:val="002D4163"/>
    <w:rsid w:val="002D4524"/>
    <w:rsid w:val="002D46A1"/>
    <w:rsid w:val="002D4752"/>
    <w:rsid w:val="002D48CF"/>
    <w:rsid w:val="002D499B"/>
    <w:rsid w:val="002D49A2"/>
    <w:rsid w:val="002D4DA9"/>
    <w:rsid w:val="002D4F03"/>
    <w:rsid w:val="002D5015"/>
    <w:rsid w:val="002D5438"/>
    <w:rsid w:val="002D551D"/>
    <w:rsid w:val="002D55D0"/>
    <w:rsid w:val="002D5719"/>
    <w:rsid w:val="002D5737"/>
    <w:rsid w:val="002D5741"/>
    <w:rsid w:val="002D59F5"/>
    <w:rsid w:val="002D5A30"/>
    <w:rsid w:val="002D5B10"/>
    <w:rsid w:val="002D5BFD"/>
    <w:rsid w:val="002D5C00"/>
    <w:rsid w:val="002D5D1F"/>
    <w:rsid w:val="002D5E5A"/>
    <w:rsid w:val="002D5FB7"/>
    <w:rsid w:val="002D6975"/>
    <w:rsid w:val="002D6AB5"/>
    <w:rsid w:val="002D6B64"/>
    <w:rsid w:val="002D6E5B"/>
    <w:rsid w:val="002D7067"/>
    <w:rsid w:val="002D7354"/>
    <w:rsid w:val="002D736C"/>
    <w:rsid w:val="002D7B7D"/>
    <w:rsid w:val="002D7C4C"/>
    <w:rsid w:val="002D7CCE"/>
    <w:rsid w:val="002D7D83"/>
    <w:rsid w:val="002D7FA9"/>
    <w:rsid w:val="002DE43A"/>
    <w:rsid w:val="002E013C"/>
    <w:rsid w:val="002E035B"/>
    <w:rsid w:val="002E035D"/>
    <w:rsid w:val="002E03EE"/>
    <w:rsid w:val="002E0668"/>
    <w:rsid w:val="002E0803"/>
    <w:rsid w:val="002E09EA"/>
    <w:rsid w:val="002E10F7"/>
    <w:rsid w:val="002E1233"/>
    <w:rsid w:val="002E1448"/>
    <w:rsid w:val="002E14EA"/>
    <w:rsid w:val="002E150C"/>
    <w:rsid w:val="002E157B"/>
    <w:rsid w:val="002E1979"/>
    <w:rsid w:val="002E1BBE"/>
    <w:rsid w:val="002E1C48"/>
    <w:rsid w:val="002E1CF5"/>
    <w:rsid w:val="002E1E7A"/>
    <w:rsid w:val="002E1F69"/>
    <w:rsid w:val="002E1FC8"/>
    <w:rsid w:val="002E2CB8"/>
    <w:rsid w:val="002E3F11"/>
    <w:rsid w:val="002E427E"/>
    <w:rsid w:val="002E43D8"/>
    <w:rsid w:val="002E4A9A"/>
    <w:rsid w:val="002E4ADA"/>
    <w:rsid w:val="002E4CE5"/>
    <w:rsid w:val="002E4CFE"/>
    <w:rsid w:val="002E4F2E"/>
    <w:rsid w:val="002E57EB"/>
    <w:rsid w:val="002E5A99"/>
    <w:rsid w:val="002E5D94"/>
    <w:rsid w:val="002E5DE2"/>
    <w:rsid w:val="002E5EF3"/>
    <w:rsid w:val="002E5FED"/>
    <w:rsid w:val="002E603A"/>
    <w:rsid w:val="002E60FC"/>
    <w:rsid w:val="002E69CA"/>
    <w:rsid w:val="002E6AE9"/>
    <w:rsid w:val="002E6BC6"/>
    <w:rsid w:val="002E6D16"/>
    <w:rsid w:val="002E72D9"/>
    <w:rsid w:val="002E753F"/>
    <w:rsid w:val="002E75F1"/>
    <w:rsid w:val="002E7713"/>
    <w:rsid w:val="002E7729"/>
    <w:rsid w:val="002E77CA"/>
    <w:rsid w:val="002E78B4"/>
    <w:rsid w:val="002E7905"/>
    <w:rsid w:val="002F0078"/>
    <w:rsid w:val="002F04C2"/>
    <w:rsid w:val="002F0574"/>
    <w:rsid w:val="002F05C8"/>
    <w:rsid w:val="002F0AC3"/>
    <w:rsid w:val="002F0B8E"/>
    <w:rsid w:val="002F0D56"/>
    <w:rsid w:val="002F0EF5"/>
    <w:rsid w:val="002F0FF8"/>
    <w:rsid w:val="002F10A2"/>
    <w:rsid w:val="002F13D2"/>
    <w:rsid w:val="002F17DB"/>
    <w:rsid w:val="002F1D8E"/>
    <w:rsid w:val="002F204A"/>
    <w:rsid w:val="002F2071"/>
    <w:rsid w:val="002F2141"/>
    <w:rsid w:val="002F2793"/>
    <w:rsid w:val="002F28D5"/>
    <w:rsid w:val="002F29AB"/>
    <w:rsid w:val="002F2FA2"/>
    <w:rsid w:val="002F32EE"/>
    <w:rsid w:val="002F32FA"/>
    <w:rsid w:val="002F34AB"/>
    <w:rsid w:val="002F35AE"/>
    <w:rsid w:val="002F35BF"/>
    <w:rsid w:val="002F3749"/>
    <w:rsid w:val="002F3759"/>
    <w:rsid w:val="002F3B38"/>
    <w:rsid w:val="002F3BD0"/>
    <w:rsid w:val="002F3E13"/>
    <w:rsid w:val="002F3E63"/>
    <w:rsid w:val="002F3EAD"/>
    <w:rsid w:val="002F4103"/>
    <w:rsid w:val="002F4186"/>
    <w:rsid w:val="002F4274"/>
    <w:rsid w:val="002F4518"/>
    <w:rsid w:val="002F4A8F"/>
    <w:rsid w:val="002F4E1C"/>
    <w:rsid w:val="002F5068"/>
    <w:rsid w:val="002F5597"/>
    <w:rsid w:val="002F575D"/>
    <w:rsid w:val="002F5B9F"/>
    <w:rsid w:val="002F5BA0"/>
    <w:rsid w:val="002F5C47"/>
    <w:rsid w:val="002F5DC3"/>
    <w:rsid w:val="002F5DDB"/>
    <w:rsid w:val="002F604C"/>
    <w:rsid w:val="002F6364"/>
    <w:rsid w:val="002F6713"/>
    <w:rsid w:val="002F67CD"/>
    <w:rsid w:val="002F67D5"/>
    <w:rsid w:val="002F6CF2"/>
    <w:rsid w:val="002F6EF3"/>
    <w:rsid w:val="002F7221"/>
    <w:rsid w:val="002F723A"/>
    <w:rsid w:val="002F79CA"/>
    <w:rsid w:val="002F7D51"/>
    <w:rsid w:val="002F7E74"/>
    <w:rsid w:val="002F7FB9"/>
    <w:rsid w:val="0030015E"/>
    <w:rsid w:val="00300221"/>
    <w:rsid w:val="003003DF"/>
    <w:rsid w:val="003004CD"/>
    <w:rsid w:val="003005FB"/>
    <w:rsid w:val="00301226"/>
    <w:rsid w:val="0030122F"/>
    <w:rsid w:val="0030158A"/>
    <w:rsid w:val="003017E6"/>
    <w:rsid w:val="003018DB"/>
    <w:rsid w:val="0030199B"/>
    <w:rsid w:val="00301CDA"/>
    <w:rsid w:val="00301E1E"/>
    <w:rsid w:val="00302027"/>
    <w:rsid w:val="0030206F"/>
    <w:rsid w:val="00302381"/>
    <w:rsid w:val="00302428"/>
    <w:rsid w:val="003025E5"/>
    <w:rsid w:val="0030279D"/>
    <w:rsid w:val="00302DB6"/>
    <w:rsid w:val="00303433"/>
    <w:rsid w:val="00303514"/>
    <w:rsid w:val="003037ED"/>
    <w:rsid w:val="0030397E"/>
    <w:rsid w:val="00303AB1"/>
    <w:rsid w:val="00303CF5"/>
    <w:rsid w:val="00303EF9"/>
    <w:rsid w:val="0030429F"/>
    <w:rsid w:val="00304542"/>
    <w:rsid w:val="003045BF"/>
    <w:rsid w:val="00304775"/>
    <w:rsid w:val="003047E5"/>
    <w:rsid w:val="00304A0D"/>
    <w:rsid w:val="00304AAC"/>
    <w:rsid w:val="00304ED0"/>
    <w:rsid w:val="00304F5F"/>
    <w:rsid w:val="00305047"/>
    <w:rsid w:val="003053D5"/>
    <w:rsid w:val="0030540F"/>
    <w:rsid w:val="00305504"/>
    <w:rsid w:val="00305811"/>
    <w:rsid w:val="00305A1D"/>
    <w:rsid w:val="00305C69"/>
    <w:rsid w:val="00305FBE"/>
    <w:rsid w:val="00306318"/>
    <w:rsid w:val="00306399"/>
    <w:rsid w:val="003063C7"/>
    <w:rsid w:val="00306475"/>
    <w:rsid w:val="00306EA6"/>
    <w:rsid w:val="00306F68"/>
    <w:rsid w:val="003071CB"/>
    <w:rsid w:val="00307302"/>
    <w:rsid w:val="00307BED"/>
    <w:rsid w:val="00307F0F"/>
    <w:rsid w:val="00307F17"/>
    <w:rsid w:val="00310086"/>
    <w:rsid w:val="0031016E"/>
    <w:rsid w:val="00310266"/>
    <w:rsid w:val="003102FD"/>
    <w:rsid w:val="00310406"/>
    <w:rsid w:val="00310879"/>
    <w:rsid w:val="00310C00"/>
    <w:rsid w:val="00310C7D"/>
    <w:rsid w:val="00310EEC"/>
    <w:rsid w:val="00310FED"/>
    <w:rsid w:val="00311071"/>
    <w:rsid w:val="0031107F"/>
    <w:rsid w:val="00311414"/>
    <w:rsid w:val="0031179D"/>
    <w:rsid w:val="0031191D"/>
    <w:rsid w:val="0031205B"/>
    <w:rsid w:val="00312094"/>
    <w:rsid w:val="00312141"/>
    <w:rsid w:val="003123A0"/>
    <w:rsid w:val="003124AE"/>
    <w:rsid w:val="003126BC"/>
    <w:rsid w:val="00312948"/>
    <w:rsid w:val="00312D68"/>
    <w:rsid w:val="00312E53"/>
    <w:rsid w:val="00312F76"/>
    <w:rsid w:val="003130DE"/>
    <w:rsid w:val="00313314"/>
    <w:rsid w:val="00313365"/>
    <w:rsid w:val="0031338B"/>
    <w:rsid w:val="00313462"/>
    <w:rsid w:val="003134B0"/>
    <w:rsid w:val="00313620"/>
    <w:rsid w:val="003137D8"/>
    <w:rsid w:val="0031380B"/>
    <w:rsid w:val="003138F6"/>
    <w:rsid w:val="0031390C"/>
    <w:rsid w:val="00313E40"/>
    <w:rsid w:val="00313E58"/>
    <w:rsid w:val="00313F9B"/>
    <w:rsid w:val="00313FF1"/>
    <w:rsid w:val="00314391"/>
    <w:rsid w:val="003144E8"/>
    <w:rsid w:val="0031474F"/>
    <w:rsid w:val="00314773"/>
    <w:rsid w:val="003149E2"/>
    <w:rsid w:val="00314D2F"/>
    <w:rsid w:val="00314E07"/>
    <w:rsid w:val="00314F24"/>
    <w:rsid w:val="0031542B"/>
    <w:rsid w:val="00315764"/>
    <w:rsid w:val="0031581D"/>
    <w:rsid w:val="00315930"/>
    <w:rsid w:val="00315B78"/>
    <w:rsid w:val="00315C2D"/>
    <w:rsid w:val="00315E8B"/>
    <w:rsid w:val="00316070"/>
    <w:rsid w:val="0031608A"/>
    <w:rsid w:val="00316268"/>
    <w:rsid w:val="003169D4"/>
    <w:rsid w:val="00316FD7"/>
    <w:rsid w:val="00317151"/>
    <w:rsid w:val="003174A5"/>
    <w:rsid w:val="003177D0"/>
    <w:rsid w:val="00317C2E"/>
    <w:rsid w:val="003200CF"/>
    <w:rsid w:val="003201FB"/>
    <w:rsid w:val="003203E6"/>
    <w:rsid w:val="0032040C"/>
    <w:rsid w:val="0032061D"/>
    <w:rsid w:val="0032077D"/>
    <w:rsid w:val="00320AA3"/>
    <w:rsid w:val="00320C22"/>
    <w:rsid w:val="00320FC0"/>
    <w:rsid w:val="003212E7"/>
    <w:rsid w:val="00321628"/>
    <w:rsid w:val="00321A68"/>
    <w:rsid w:val="00321CE1"/>
    <w:rsid w:val="00321CEF"/>
    <w:rsid w:val="00321D3C"/>
    <w:rsid w:val="00322044"/>
    <w:rsid w:val="0032206A"/>
    <w:rsid w:val="00322190"/>
    <w:rsid w:val="0032242B"/>
    <w:rsid w:val="00322697"/>
    <w:rsid w:val="003229DE"/>
    <w:rsid w:val="00322B48"/>
    <w:rsid w:val="00322DB3"/>
    <w:rsid w:val="00322DB9"/>
    <w:rsid w:val="00322F79"/>
    <w:rsid w:val="00323118"/>
    <w:rsid w:val="0032320B"/>
    <w:rsid w:val="00323257"/>
    <w:rsid w:val="00323466"/>
    <w:rsid w:val="00323793"/>
    <w:rsid w:val="00323D52"/>
    <w:rsid w:val="00323DBB"/>
    <w:rsid w:val="003244DB"/>
    <w:rsid w:val="00324C66"/>
    <w:rsid w:val="00324D1A"/>
    <w:rsid w:val="00324D61"/>
    <w:rsid w:val="00324FF5"/>
    <w:rsid w:val="00325333"/>
    <w:rsid w:val="0032537A"/>
    <w:rsid w:val="00325A0C"/>
    <w:rsid w:val="00325A18"/>
    <w:rsid w:val="00325ADD"/>
    <w:rsid w:val="00325DC2"/>
    <w:rsid w:val="0032667B"/>
    <w:rsid w:val="00326839"/>
    <w:rsid w:val="003268C4"/>
    <w:rsid w:val="003269F2"/>
    <w:rsid w:val="00326DAF"/>
    <w:rsid w:val="00326E28"/>
    <w:rsid w:val="00326E76"/>
    <w:rsid w:val="00326EBE"/>
    <w:rsid w:val="00327142"/>
    <w:rsid w:val="00327194"/>
    <w:rsid w:val="003271AA"/>
    <w:rsid w:val="003272BE"/>
    <w:rsid w:val="0032732C"/>
    <w:rsid w:val="003274F9"/>
    <w:rsid w:val="003279E3"/>
    <w:rsid w:val="00327C71"/>
    <w:rsid w:val="00327D18"/>
    <w:rsid w:val="00327E5F"/>
    <w:rsid w:val="00330336"/>
    <w:rsid w:val="00330446"/>
    <w:rsid w:val="003306B6"/>
    <w:rsid w:val="00330A73"/>
    <w:rsid w:val="00330B42"/>
    <w:rsid w:val="00330ED5"/>
    <w:rsid w:val="00330F2C"/>
    <w:rsid w:val="00330F47"/>
    <w:rsid w:val="003311A5"/>
    <w:rsid w:val="0033146D"/>
    <w:rsid w:val="003314CA"/>
    <w:rsid w:val="0033154A"/>
    <w:rsid w:val="00331B6D"/>
    <w:rsid w:val="00331BD4"/>
    <w:rsid w:val="00331F2A"/>
    <w:rsid w:val="00332295"/>
    <w:rsid w:val="00332399"/>
    <w:rsid w:val="00332573"/>
    <w:rsid w:val="003326A5"/>
    <w:rsid w:val="00332B96"/>
    <w:rsid w:val="00332C9A"/>
    <w:rsid w:val="00332CE1"/>
    <w:rsid w:val="00332D0E"/>
    <w:rsid w:val="00332FDB"/>
    <w:rsid w:val="00333207"/>
    <w:rsid w:val="003334FD"/>
    <w:rsid w:val="00333897"/>
    <w:rsid w:val="0033391F"/>
    <w:rsid w:val="00333ADE"/>
    <w:rsid w:val="00333CD3"/>
    <w:rsid w:val="00333D38"/>
    <w:rsid w:val="00333DEC"/>
    <w:rsid w:val="0033402E"/>
    <w:rsid w:val="00334759"/>
    <w:rsid w:val="00334821"/>
    <w:rsid w:val="003348A3"/>
    <w:rsid w:val="00334AB5"/>
    <w:rsid w:val="00334E57"/>
    <w:rsid w:val="00334EA9"/>
    <w:rsid w:val="00334F66"/>
    <w:rsid w:val="00334FF1"/>
    <w:rsid w:val="0033531B"/>
    <w:rsid w:val="00335550"/>
    <w:rsid w:val="0033594F"/>
    <w:rsid w:val="003359BD"/>
    <w:rsid w:val="00335E6D"/>
    <w:rsid w:val="003360D1"/>
    <w:rsid w:val="003365AC"/>
    <w:rsid w:val="00336688"/>
    <w:rsid w:val="00336A1E"/>
    <w:rsid w:val="00336EA5"/>
    <w:rsid w:val="00337AA4"/>
    <w:rsid w:val="00337B61"/>
    <w:rsid w:val="00337BCA"/>
    <w:rsid w:val="00337C12"/>
    <w:rsid w:val="00337C22"/>
    <w:rsid w:val="00337C39"/>
    <w:rsid w:val="00340341"/>
    <w:rsid w:val="003403EC"/>
    <w:rsid w:val="003407BA"/>
    <w:rsid w:val="00340996"/>
    <w:rsid w:val="003409E0"/>
    <w:rsid w:val="00340B4F"/>
    <w:rsid w:val="00341027"/>
    <w:rsid w:val="003410AF"/>
    <w:rsid w:val="003412EA"/>
    <w:rsid w:val="00341309"/>
    <w:rsid w:val="00341604"/>
    <w:rsid w:val="00341808"/>
    <w:rsid w:val="00341908"/>
    <w:rsid w:val="00341D96"/>
    <w:rsid w:val="00341FD5"/>
    <w:rsid w:val="003420A4"/>
    <w:rsid w:val="003420B6"/>
    <w:rsid w:val="003420D5"/>
    <w:rsid w:val="0034239A"/>
    <w:rsid w:val="0034257F"/>
    <w:rsid w:val="00342980"/>
    <w:rsid w:val="003429AC"/>
    <w:rsid w:val="00342A6E"/>
    <w:rsid w:val="00342D3B"/>
    <w:rsid w:val="00342DBE"/>
    <w:rsid w:val="00342E06"/>
    <w:rsid w:val="00342FCD"/>
    <w:rsid w:val="00343027"/>
    <w:rsid w:val="00343125"/>
    <w:rsid w:val="00343335"/>
    <w:rsid w:val="00343360"/>
    <w:rsid w:val="003435ED"/>
    <w:rsid w:val="00343837"/>
    <w:rsid w:val="00343BA7"/>
    <w:rsid w:val="00343BCA"/>
    <w:rsid w:val="00343C8D"/>
    <w:rsid w:val="00343D2D"/>
    <w:rsid w:val="00343D3D"/>
    <w:rsid w:val="00343EFB"/>
    <w:rsid w:val="0034400A"/>
    <w:rsid w:val="0034434A"/>
    <w:rsid w:val="00344584"/>
    <w:rsid w:val="003446EF"/>
    <w:rsid w:val="003447CC"/>
    <w:rsid w:val="00344BC0"/>
    <w:rsid w:val="00344CC6"/>
    <w:rsid w:val="00344D44"/>
    <w:rsid w:val="0034533F"/>
    <w:rsid w:val="00345468"/>
    <w:rsid w:val="00345976"/>
    <w:rsid w:val="00345A22"/>
    <w:rsid w:val="00345A73"/>
    <w:rsid w:val="00345DDE"/>
    <w:rsid w:val="0034665E"/>
    <w:rsid w:val="00346675"/>
    <w:rsid w:val="00346719"/>
    <w:rsid w:val="0034676A"/>
    <w:rsid w:val="0034678D"/>
    <w:rsid w:val="00346822"/>
    <w:rsid w:val="003468E0"/>
    <w:rsid w:val="00346AD0"/>
    <w:rsid w:val="00346CEF"/>
    <w:rsid w:val="00346D23"/>
    <w:rsid w:val="00346D61"/>
    <w:rsid w:val="00347216"/>
    <w:rsid w:val="00347429"/>
    <w:rsid w:val="00347511"/>
    <w:rsid w:val="00347679"/>
    <w:rsid w:val="00347A91"/>
    <w:rsid w:val="00347B4E"/>
    <w:rsid w:val="00347CCB"/>
    <w:rsid w:val="00347FDF"/>
    <w:rsid w:val="0035034F"/>
    <w:rsid w:val="0035046C"/>
    <w:rsid w:val="00350634"/>
    <w:rsid w:val="0035075D"/>
    <w:rsid w:val="00350B4E"/>
    <w:rsid w:val="00350C32"/>
    <w:rsid w:val="00351524"/>
    <w:rsid w:val="003519B8"/>
    <w:rsid w:val="00351A57"/>
    <w:rsid w:val="00351B58"/>
    <w:rsid w:val="00351D7F"/>
    <w:rsid w:val="00351F5C"/>
    <w:rsid w:val="003521E3"/>
    <w:rsid w:val="003521F6"/>
    <w:rsid w:val="003524D9"/>
    <w:rsid w:val="003528EC"/>
    <w:rsid w:val="00352BB4"/>
    <w:rsid w:val="00352C56"/>
    <w:rsid w:val="00352E1C"/>
    <w:rsid w:val="00352E59"/>
    <w:rsid w:val="00352E5C"/>
    <w:rsid w:val="00353616"/>
    <w:rsid w:val="0035378F"/>
    <w:rsid w:val="0035387D"/>
    <w:rsid w:val="003538C6"/>
    <w:rsid w:val="00353D69"/>
    <w:rsid w:val="003540ED"/>
    <w:rsid w:val="003541D4"/>
    <w:rsid w:val="00354475"/>
    <w:rsid w:val="00354594"/>
    <w:rsid w:val="00354609"/>
    <w:rsid w:val="0035468E"/>
    <w:rsid w:val="003546AF"/>
    <w:rsid w:val="003546F6"/>
    <w:rsid w:val="00354B57"/>
    <w:rsid w:val="00354F7D"/>
    <w:rsid w:val="003550AB"/>
    <w:rsid w:val="0035544C"/>
    <w:rsid w:val="00355793"/>
    <w:rsid w:val="0035592C"/>
    <w:rsid w:val="00355996"/>
    <w:rsid w:val="00355C3D"/>
    <w:rsid w:val="003562C1"/>
    <w:rsid w:val="003564B2"/>
    <w:rsid w:val="00356546"/>
    <w:rsid w:val="00356988"/>
    <w:rsid w:val="00356E43"/>
    <w:rsid w:val="00356F27"/>
    <w:rsid w:val="00356F51"/>
    <w:rsid w:val="0035703E"/>
    <w:rsid w:val="00357583"/>
    <w:rsid w:val="003576C8"/>
    <w:rsid w:val="00357BC6"/>
    <w:rsid w:val="00360400"/>
    <w:rsid w:val="003606ED"/>
    <w:rsid w:val="00360711"/>
    <w:rsid w:val="003608B3"/>
    <w:rsid w:val="00360935"/>
    <w:rsid w:val="003609D7"/>
    <w:rsid w:val="00360B09"/>
    <w:rsid w:val="00360EB2"/>
    <w:rsid w:val="0036158B"/>
    <w:rsid w:val="0036168D"/>
    <w:rsid w:val="0036171C"/>
    <w:rsid w:val="00361768"/>
    <w:rsid w:val="003618DF"/>
    <w:rsid w:val="003619C0"/>
    <w:rsid w:val="00362033"/>
    <w:rsid w:val="0036208F"/>
    <w:rsid w:val="003621ED"/>
    <w:rsid w:val="003621F9"/>
    <w:rsid w:val="00362234"/>
    <w:rsid w:val="00362271"/>
    <w:rsid w:val="003622C3"/>
    <w:rsid w:val="0036232A"/>
    <w:rsid w:val="0036255D"/>
    <w:rsid w:val="00362715"/>
    <w:rsid w:val="00362836"/>
    <w:rsid w:val="003628BD"/>
    <w:rsid w:val="0036296E"/>
    <w:rsid w:val="00362C1C"/>
    <w:rsid w:val="00362C3C"/>
    <w:rsid w:val="00362C91"/>
    <w:rsid w:val="00362D65"/>
    <w:rsid w:val="00362FE2"/>
    <w:rsid w:val="00363106"/>
    <w:rsid w:val="0036339E"/>
    <w:rsid w:val="003634E5"/>
    <w:rsid w:val="003636C5"/>
    <w:rsid w:val="003637B6"/>
    <w:rsid w:val="003637DB"/>
    <w:rsid w:val="003638A3"/>
    <w:rsid w:val="00363D62"/>
    <w:rsid w:val="00363EDF"/>
    <w:rsid w:val="00364013"/>
    <w:rsid w:val="0036424B"/>
    <w:rsid w:val="00364578"/>
    <w:rsid w:val="0036473F"/>
    <w:rsid w:val="003647D4"/>
    <w:rsid w:val="0036494E"/>
    <w:rsid w:val="00364B5B"/>
    <w:rsid w:val="00364B86"/>
    <w:rsid w:val="00364F09"/>
    <w:rsid w:val="00364FBE"/>
    <w:rsid w:val="0036507A"/>
    <w:rsid w:val="003652C7"/>
    <w:rsid w:val="003652C9"/>
    <w:rsid w:val="00365307"/>
    <w:rsid w:val="003653E7"/>
    <w:rsid w:val="003654AE"/>
    <w:rsid w:val="00365505"/>
    <w:rsid w:val="00365BA3"/>
    <w:rsid w:val="00365C8C"/>
    <w:rsid w:val="00365F2E"/>
    <w:rsid w:val="00365F61"/>
    <w:rsid w:val="00365F8B"/>
    <w:rsid w:val="003660EB"/>
    <w:rsid w:val="0036621A"/>
    <w:rsid w:val="00366B76"/>
    <w:rsid w:val="00366EBA"/>
    <w:rsid w:val="00366FC8"/>
    <w:rsid w:val="00366FD2"/>
    <w:rsid w:val="0036721F"/>
    <w:rsid w:val="00367267"/>
    <w:rsid w:val="003672A8"/>
    <w:rsid w:val="003674B0"/>
    <w:rsid w:val="003675EA"/>
    <w:rsid w:val="003676A1"/>
    <w:rsid w:val="003678A1"/>
    <w:rsid w:val="00367C0B"/>
    <w:rsid w:val="00367CD6"/>
    <w:rsid w:val="00367D3D"/>
    <w:rsid w:val="00367E22"/>
    <w:rsid w:val="00367E5F"/>
    <w:rsid w:val="003701D3"/>
    <w:rsid w:val="00370403"/>
    <w:rsid w:val="003709E5"/>
    <w:rsid w:val="00370BB7"/>
    <w:rsid w:val="00370E65"/>
    <w:rsid w:val="00371445"/>
    <w:rsid w:val="003714E1"/>
    <w:rsid w:val="003718E1"/>
    <w:rsid w:val="003718F4"/>
    <w:rsid w:val="00371A37"/>
    <w:rsid w:val="00371AB1"/>
    <w:rsid w:val="00371B12"/>
    <w:rsid w:val="00371D2D"/>
    <w:rsid w:val="00371EBA"/>
    <w:rsid w:val="00372349"/>
    <w:rsid w:val="00372933"/>
    <w:rsid w:val="00372C4F"/>
    <w:rsid w:val="00372ED5"/>
    <w:rsid w:val="00372EDF"/>
    <w:rsid w:val="003732A7"/>
    <w:rsid w:val="00373315"/>
    <w:rsid w:val="0037356D"/>
    <w:rsid w:val="0037383B"/>
    <w:rsid w:val="00373949"/>
    <w:rsid w:val="00373D6E"/>
    <w:rsid w:val="00373EF7"/>
    <w:rsid w:val="00373F8E"/>
    <w:rsid w:val="00374069"/>
    <w:rsid w:val="003745C7"/>
    <w:rsid w:val="0037460E"/>
    <w:rsid w:val="0037465A"/>
    <w:rsid w:val="00374688"/>
    <w:rsid w:val="00374A3A"/>
    <w:rsid w:val="00374FA7"/>
    <w:rsid w:val="00375073"/>
    <w:rsid w:val="0037537A"/>
    <w:rsid w:val="00375520"/>
    <w:rsid w:val="003757D8"/>
    <w:rsid w:val="003757DA"/>
    <w:rsid w:val="003759DE"/>
    <w:rsid w:val="00375BB7"/>
    <w:rsid w:val="00375CC8"/>
    <w:rsid w:val="00375DC4"/>
    <w:rsid w:val="00375E57"/>
    <w:rsid w:val="00376249"/>
    <w:rsid w:val="003766CC"/>
    <w:rsid w:val="0037674A"/>
    <w:rsid w:val="003767F6"/>
    <w:rsid w:val="00376B4F"/>
    <w:rsid w:val="00376C28"/>
    <w:rsid w:val="00376CAC"/>
    <w:rsid w:val="00376EB9"/>
    <w:rsid w:val="00376FFE"/>
    <w:rsid w:val="00377199"/>
    <w:rsid w:val="003773B0"/>
    <w:rsid w:val="003775BD"/>
    <w:rsid w:val="00377762"/>
    <w:rsid w:val="00377788"/>
    <w:rsid w:val="003777C7"/>
    <w:rsid w:val="003778D5"/>
    <w:rsid w:val="00377B85"/>
    <w:rsid w:val="00377C16"/>
    <w:rsid w:val="003801D6"/>
    <w:rsid w:val="00380359"/>
    <w:rsid w:val="0038058D"/>
    <w:rsid w:val="00380668"/>
    <w:rsid w:val="00380732"/>
    <w:rsid w:val="00380A48"/>
    <w:rsid w:val="00380A64"/>
    <w:rsid w:val="00380AC0"/>
    <w:rsid w:val="00380F59"/>
    <w:rsid w:val="00380FF1"/>
    <w:rsid w:val="0038135E"/>
    <w:rsid w:val="003813FF"/>
    <w:rsid w:val="00381618"/>
    <w:rsid w:val="003818FC"/>
    <w:rsid w:val="00381DC8"/>
    <w:rsid w:val="00381E43"/>
    <w:rsid w:val="00381F00"/>
    <w:rsid w:val="00381F71"/>
    <w:rsid w:val="00382026"/>
    <w:rsid w:val="0038214B"/>
    <w:rsid w:val="0038216A"/>
    <w:rsid w:val="003821B5"/>
    <w:rsid w:val="00382247"/>
    <w:rsid w:val="003823A7"/>
    <w:rsid w:val="00383200"/>
    <w:rsid w:val="00383372"/>
    <w:rsid w:val="0038353C"/>
    <w:rsid w:val="003837CF"/>
    <w:rsid w:val="00383954"/>
    <w:rsid w:val="00383C2A"/>
    <w:rsid w:val="00383DCA"/>
    <w:rsid w:val="003840D4"/>
    <w:rsid w:val="003840FB"/>
    <w:rsid w:val="0038423D"/>
    <w:rsid w:val="003843F7"/>
    <w:rsid w:val="003846A2"/>
    <w:rsid w:val="00384DD4"/>
    <w:rsid w:val="00385072"/>
    <w:rsid w:val="003851A0"/>
    <w:rsid w:val="00385832"/>
    <w:rsid w:val="003859BC"/>
    <w:rsid w:val="00385ACC"/>
    <w:rsid w:val="00385B78"/>
    <w:rsid w:val="00385B9E"/>
    <w:rsid w:val="00385FB8"/>
    <w:rsid w:val="00386456"/>
    <w:rsid w:val="00386948"/>
    <w:rsid w:val="00386AF6"/>
    <w:rsid w:val="00386D2B"/>
    <w:rsid w:val="00386F89"/>
    <w:rsid w:val="00387122"/>
    <w:rsid w:val="0038735E"/>
    <w:rsid w:val="003875DB"/>
    <w:rsid w:val="003876BE"/>
    <w:rsid w:val="00387726"/>
    <w:rsid w:val="00387905"/>
    <w:rsid w:val="00387987"/>
    <w:rsid w:val="003879FB"/>
    <w:rsid w:val="00390107"/>
    <w:rsid w:val="003901BE"/>
    <w:rsid w:val="003903D6"/>
    <w:rsid w:val="00390425"/>
    <w:rsid w:val="003904A6"/>
    <w:rsid w:val="00390CF3"/>
    <w:rsid w:val="00390FF7"/>
    <w:rsid w:val="003910D0"/>
    <w:rsid w:val="00391231"/>
    <w:rsid w:val="003913C2"/>
    <w:rsid w:val="003913EB"/>
    <w:rsid w:val="003914BB"/>
    <w:rsid w:val="003916E0"/>
    <w:rsid w:val="003917B1"/>
    <w:rsid w:val="00391911"/>
    <w:rsid w:val="00391DF0"/>
    <w:rsid w:val="00391E86"/>
    <w:rsid w:val="0039213E"/>
    <w:rsid w:val="00392373"/>
    <w:rsid w:val="003924FA"/>
    <w:rsid w:val="003926BE"/>
    <w:rsid w:val="003927BD"/>
    <w:rsid w:val="003931D5"/>
    <w:rsid w:val="00393811"/>
    <w:rsid w:val="00393864"/>
    <w:rsid w:val="0039387C"/>
    <w:rsid w:val="00393A7F"/>
    <w:rsid w:val="00393C2A"/>
    <w:rsid w:val="00393CEE"/>
    <w:rsid w:val="00393DD8"/>
    <w:rsid w:val="00393E26"/>
    <w:rsid w:val="00393EC2"/>
    <w:rsid w:val="00393FAD"/>
    <w:rsid w:val="0039421F"/>
    <w:rsid w:val="003942B1"/>
    <w:rsid w:val="003942B5"/>
    <w:rsid w:val="00394713"/>
    <w:rsid w:val="0039476D"/>
    <w:rsid w:val="00394776"/>
    <w:rsid w:val="00394865"/>
    <w:rsid w:val="00394A19"/>
    <w:rsid w:val="00394E3B"/>
    <w:rsid w:val="00394F62"/>
    <w:rsid w:val="00395087"/>
    <w:rsid w:val="003951FD"/>
    <w:rsid w:val="003952AD"/>
    <w:rsid w:val="00395404"/>
    <w:rsid w:val="00395449"/>
    <w:rsid w:val="0039552F"/>
    <w:rsid w:val="003958A9"/>
    <w:rsid w:val="00395A3A"/>
    <w:rsid w:val="00395CB9"/>
    <w:rsid w:val="00395D9E"/>
    <w:rsid w:val="00395EF2"/>
    <w:rsid w:val="003964E4"/>
    <w:rsid w:val="003967F1"/>
    <w:rsid w:val="00396B45"/>
    <w:rsid w:val="00396C4A"/>
    <w:rsid w:val="00396CF6"/>
    <w:rsid w:val="00396E7C"/>
    <w:rsid w:val="00396EB8"/>
    <w:rsid w:val="00396F8A"/>
    <w:rsid w:val="00397216"/>
    <w:rsid w:val="00397293"/>
    <w:rsid w:val="00397459"/>
    <w:rsid w:val="00397D2D"/>
    <w:rsid w:val="003A0326"/>
    <w:rsid w:val="003A0631"/>
    <w:rsid w:val="003A06D4"/>
    <w:rsid w:val="003A0D1C"/>
    <w:rsid w:val="003A0D3C"/>
    <w:rsid w:val="003A0FBE"/>
    <w:rsid w:val="003A1269"/>
    <w:rsid w:val="003A1362"/>
    <w:rsid w:val="003A1762"/>
    <w:rsid w:val="003A17FC"/>
    <w:rsid w:val="003A187F"/>
    <w:rsid w:val="003A1A6E"/>
    <w:rsid w:val="003A1DAB"/>
    <w:rsid w:val="003A1E8E"/>
    <w:rsid w:val="003A22FC"/>
    <w:rsid w:val="003A249C"/>
    <w:rsid w:val="003A25A3"/>
    <w:rsid w:val="003A29F7"/>
    <w:rsid w:val="003A2C9D"/>
    <w:rsid w:val="003A2E1A"/>
    <w:rsid w:val="003A2EED"/>
    <w:rsid w:val="003A2EF3"/>
    <w:rsid w:val="003A3115"/>
    <w:rsid w:val="003A358A"/>
    <w:rsid w:val="003A364C"/>
    <w:rsid w:val="003A36F3"/>
    <w:rsid w:val="003A39E2"/>
    <w:rsid w:val="003A3B05"/>
    <w:rsid w:val="003A3CCD"/>
    <w:rsid w:val="003A3D1F"/>
    <w:rsid w:val="003A3E26"/>
    <w:rsid w:val="003A3F38"/>
    <w:rsid w:val="003A405F"/>
    <w:rsid w:val="003A408B"/>
    <w:rsid w:val="003A411E"/>
    <w:rsid w:val="003A434B"/>
    <w:rsid w:val="003A4451"/>
    <w:rsid w:val="003A44CA"/>
    <w:rsid w:val="003A45AC"/>
    <w:rsid w:val="003A494F"/>
    <w:rsid w:val="003A495E"/>
    <w:rsid w:val="003A4A98"/>
    <w:rsid w:val="003A4C26"/>
    <w:rsid w:val="003A4D10"/>
    <w:rsid w:val="003A4D31"/>
    <w:rsid w:val="003A5163"/>
    <w:rsid w:val="003A5279"/>
    <w:rsid w:val="003A54C6"/>
    <w:rsid w:val="003A5979"/>
    <w:rsid w:val="003A5C27"/>
    <w:rsid w:val="003A60B4"/>
    <w:rsid w:val="003A645E"/>
    <w:rsid w:val="003A6694"/>
    <w:rsid w:val="003A67A4"/>
    <w:rsid w:val="003A6C99"/>
    <w:rsid w:val="003A6CFB"/>
    <w:rsid w:val="003A6D61"/>
    <w:rsid w:val="003A6DE5"/>
    <w:rsid w:val="003A6E39"/>
    <w:rsid w:val="003A6F54"/>
    <w:rsid w:val="003A71F0"/>
    <w:rsid w:val="003A7211"/>
    <w:rsid w:val="003A72D3"/>
    <w:rsid w:val="003A7373"/>
    <w:rsid w:val="003A76FE"/>
    <w:rsid w:val="003A7903"/>
    <w:rsid w:val="003A7A43"/>
    <w:rsid w:val="003A7C9C"/>
    <w:rsid w:val="003A7D25"/>
    <w:rsid w:val="003A7FCB"/>
    <w:rsid w:val="003B0161"/>
    <w:rsid w:val="003B01F2"/>
    <w:rsid w:val="003B03B6"/>
    <w:rsid w:val="003B0506"/>
    <w:rsid w:val="003B0773"/>
    <w:rsid w:val="003B084F"/>
    <w:rsid w:val="003B092D"/>
    <w:rsid w:val="003B0C08"/>
    <w:rsid w:val="003B0F20"/>
    <w:rsid w:val="003B0F51"/>
    <w:rsid w:val="003B0FE9"/>
    <w:rsid w:val="003B12DE"/>
    <w:rsid w:val="003B1350"/>
    <w:rsid w:val="003B19B8"/>
    <w:rsid w:val="003B1C02"/>
    <w:rsid w:val="003B1D2E"/>
    <w:rsid w:val="003B1DC2"/>
    <w:rsid w:val="003B20B9"/>
    <w:rsid w:val="003B210A"/>
    <w:rsid w:val="003B24CC"/>
    <w:rsid w:val="003B2B1F"/>
    <w:rsid w:val="003B2CCB"/>
    <w:rsid w:val="003B2D83"/>
    <w:rsid w:val="003B2DE5"/>
    <w:rsid w:val="003B2F19"/>
    <w:rsid w:val="003B2F75"/>
    <w:rsid w:val="003B35A4"/>
    <w:rsid w:val="003B3B1F"/>
    <w:rsid w:val="003B3C96"/>
    <w:rsid w:val="003B3D98"/>
    <w:rsid w:val="003B3EAF"/>
    <w:rsid w:val="003B3F1A"/>
    <w:rsid w:val="003B409C"/>
    <w:rsid w:val="003B4144"/>
    <w:rsid w:val="003B428C"/>
    <w:rsid w:val="003B46C3"/>
    <w:rsid w:val="003B46DF"/>
    <w:rsid w:val="003B4A57"/>
    <w:rsid w:val="003B4E5A"/>
    <w:rsid w:val="003B4E8B"/>
    <w:rsid w:val="003B4EB4"/>
    <w:rsid w:val="003B4F66"/>
    <w:rsid w:val="003B518A"/>
    <w:rsid w:val="003B51A1"/>
    <w:rsid w:val="003B51C7"/>
    <w:rsid w:val="003B5567"/>
    <w:rsid w:val="003B55B6"/>
    <w:rsid w:val="003B5955"/>
    <w:rsid w:val="003B5A24"/>
    <w:rsid w:val="003B5C78"/>
    <w:rsid w:val="003B5C8E"/>
    <w:rsid w:val="003B5E5F"/>
    <w:rsid w:val="003B612F"/>
    <w:rsid w:val="003B6183"/>
    <w:rsid w:val="003B6601"/>
    <w:rsid w:val="003B6654"/>
    <w:rsid w:val="003B671C"/>
    <w:rsid w:val="003B67FA"/>
    <w:rsid w:val="003B6A27"/>
    <w:rsid w:val="003B6A7C"/>
    <w:rsid w:val="003B6CFA"/>
    <w:rsid w:val="003B6D55"/>
    <w:rsid w:val="003B6DA3"/>
    <w:rsid w:val="003B6DB3"/>
    <w:rsid w:val="003B70EE"/>
    <w:rsid w:val="003B72D1"/>
    <w:rsid w:val="003B72EE"/>
    <w:rsid w:val="003B779D"/>
    <w:rsid w:val="003B78C8"/>
    <w:rsid w:val="003B7FF4"/>
    <w:rsid w:val="003C04AE"/>
    <w:rsid w:val="003C051C"/>
    <w:rsid w:val="003C057D"/>
    <w:rsid w:val="003C074B"/>
    <w:rsid w:val="003C0893"/>
    <w:rsid w:val="003C09F8"/>
    <w:rsid w:val="003C0AF4"/>
    <w:rsid w:val="003C0EC0"/>
    <w:rsid w:val="003C139E"/>
    <w:rsid w:val="003C1428"/>
    <w:rsid w:val="003C1644"/>
    <w:rsid w:val="003C1D21"/>
    <w:rsid w:val="003C1E1C"/>
    <w:rsid w:val="003C1EEE"/>
    <w:rsid w:val="003C1FEE"/>
    <w:rsid w:val="003C28C7"/>
    <w:rsid w:val="003C2E0B"/>
    <w:rsid w:val="003C31DB"/>
    <w:rsid w:val="003C32A8"/>
    <w:rsid w:val="003C33CF"/>
    <w:rsid w:val="003C34CB"/>
    <w:rsid w:val="003C36C7"/>
    <w:rsid w:val="003C36EF"/>
    <w:rsid w:val="003C3BA2"/>
    <w:rsid w:val="003C3E7B"/>
    <w:rsid w:val="003C3FFB"/>
    <w:rsid w:val="003C4150"/>
    <w:rsid w:val="003C4680"/>
    <w:rsid w:val="003C46B0"/>
    <w:rsid w:val="003C46D5"/>
    <w:rsid w:val="003C4849"/>
    <w:rsid w:val="003C5149"/>
    <w:rsid w:val="003C548E"/>
    <w:rsid w:val="003C54E0"/>
    <w:rsid w:val="003C5519"/>
    <w:rsid w:val="003C55BE"/>
    <w:rsid w:val="003C5788"/>
    <w:rsid w:val="003C5953"/>
    <w:rsid w:val="003C5EF5"/>
    <w:rsid w:val="003C62DC"/>
    <w:rsid w:val="003C65AE"/>
    <w:rsid w:val="003C6866"/>
    <w:rsid w:val="003C6891"/>
    <w:rsid w:val="003C6893"/>
    <w:rsid w:val="003C6C13"/>
    <w:rsid w:val="003C71B5"/>
    <w:rsid w:val="003C7448"/>
    <w:rsid w:val="003C756A"/>
    <w:rsid w:val="003C77CD"/>
    <w:rsid w:val="003C7938"/>
    <w:rsid w:val="003C7E70"/>
    <w:rsid w:val="003D08EE"/>
    <w:rsid w:val="003D0901"/>
    <w:rsid w:val="003D0A19"/>
    <w:rsid w:val="003D0BC4"/>
    <w:rsid w:val="003D0BCA"/>
    <w:rsid w:val="003D0C03"/>
    <w:rsid w:val="003D0CCD"/>
    <w:rsid w:val="003D0EC6"/>
    <w:rsid w:val="003D1098"/>
    <w:rsid w:val="003D117B"/>
    <w:rsid w:val="003D130D"/>
    <w:rsid w:val="003D1B77"/>
    <w:rsid w:val="003D1C8A"/>
    <w:rsid w:val="003D1DEF"/>
    <w:rsid w:val="003D1E74"/>
    <w:rsid w:val="003D2176"/>
    <w:rsid w:val="003D2592"/>
    <w:rsid w:val="003D26B1"/>
    <w:rsid w:val="003D2B52"/>
    <w:rsid w:val="003D2D80"/>
    <w:rsid w:val="003D306A"/>
    <w:rsid w:val="003D30BE"/>
    <w:rsid w:val="003D31CE"/>
    <w:rsid w:val="003D322A"/>
    <w:rsid w:val="003D34E4"/>
    <w:rsid w:val="003D34F3"/>
    <w:rsid w:val="003D3575"/>
    <w:rsid w:val="003D35E4"/>
    <w:rsid w:val="003D3732"/>
    <w:rsid w:val="003D373B"/>
    <w:rsid w:val="003D378F"/>
    <w:rsid w:val="003D38A8"/>
    <w:rsid w:val="003D3DB3"/>
    <w:rsid w:val="003D3EE9"/>
    <w:rsid w:val="003D45A7"/>
    <w:rsid w:val="003D4899"/>
    <w:rsid w:val="003D4974"/>
    <w:rsid w:val="003D4B33"/>
    <w:rsid w:val="003D5053"/>
    <w:rsid w:val="003D506A"/>
    <w:rsid w:val="003D5135"/>
    <w:rsid w:val="003D520E"/>
    <w:rsid w:val="003D56D4"/>
    <w:rsid w:val="003D5791"/>
    <w:rsid w:val="003D5A13"/>
    <w:rsid w:val="003D5E1B"/>
    <w:rsid w:val="003D5E78"/>
    <w:rsid w:val="003D6077"/>
    <w:rsid w:val="003D6198"/>
    <w:rsid w:val="003D64B6"/>
    <w:rsid w:val="003D6902"/>
    <w:rsid w:val="003D6AAD"/>
    <w:rsid w:val="003D6D0D"/>
    <w:rsid w:val="003D6ED8"/>
    <w:rsid w:val="003D6F24"/>
    <w:rsid w:val="003D6FC6"/>
    <w:rsid w:val="003D6FE7"/>
    <w:rsid w:val="003D70A5"/>
    <w:rsid w:val="003D713B"/>
    <w:rsid w:val="003D71CA"/>
    <w:rsid w:val="003D7924"/>
    <w:rsid w:val="003D7B19"/>
    <w:rsid w:val="003D7B8E"/>
    <w:rsid w:val="003D7C4D"/>
    <w:rsid w:val="003D7E3B"/>
    <w:rsid w:val="003E0059"/>
    <w:rsid w:val="003E06B5"/>
    <w:rsid w:val="003E06D8"/>
    <w:rsid w:val="003E090D"/>
    <w:rsid w:val="003E0AA1"/>
    <w:rsid w:val="003E0AC6"/>
    <w:rsid w:val="003E0EBD"/>
    <w:rsid w:val="003E10CE"/>
    <w:rsid w:val="003E141A"/>
    <w:rsid w:val="003E14E2"/>
    <w:rsid w:val="003E16E9"/>
    <w:rsid w:val="003E17D3"/>
    <w:rsid w:val="003E1B43"/>
    <w:rsid w:val="003E1BDA"/>
    <w:rsid w:val="003E1D1E"/>
    <w:rsid w:val="003E1F92"/>
    <w:rsid w:val="003E1FCA"/>
    <w:rsid w:val="003E2350"/>
    <w:rsid w:val="003E24DF"/>
    <w:rsid w:val="003E24FE"/>
    <w:rsid w:val="003E2738"/>
    <w:rsid w:val="003E285A"/>
    <w:rsid w:val="003E2BA6"/>
    <w:rsid w:val="003E2C69"/>
    <w:rsid w:val="003E2D35"/>
    <w:rsid w:val="003E2E21"/>
    <w:rsid w:val="003E2E9E"/>
    <w:rsid w:val="003E2F90"/>
    <w:rsid w:val="003E3096"/>
    <w:rsid w:val="003E31C3"/>
    <w:rsid w:val="003E31C4"/>
    <w:rsid w:val="003E3564"/>
    <w:rsid w:val="003E35ED"/>
    <w:rsid w:val="003E37B5"/>
    <w:rsid w:val="003E3B51"/>
    <w:rsid w:val="003E3C4D"/>
    <w:rsid w:val="003E3C9F"/>
    <w:rsid w:val="003E405A"/>
    <w:rsid w:val="003E45CE"/>
    <w:rsid w:val="003E4665"/>
    <w:rsid w:val="003E46FB"/>
    <w:rsid w:val="003E4710"/>
    <w:rsid w:val="003E49DB"/>
    <w:rsid w:val="003E4B26"/>
    <w:rsid w:val="003E4C51"/>
    <w:rsid w:val="003E4DB5"/>
    <w:rsid w:val="003E4DDA"/>
    <w:rsid w:val="003E4FB9"/>
    <w:rsid w:val="003E51C4"/>
    <w:rsid w:val="003E5917"/>
    <w:rsid w:val="003E5955"/>
    <w:rsid w:val="003E5D58"/>
    <w:rsid w:val="003E5D90"/>
    <w:rsid w:val="003E6683"/>
    <w:rsid w:val="003E6FDE"/>
    <w:rsid w:val="003E71FB"/>
    <w:rsid w:val="003E754B"/>
    <w:rsid w:val="003E75ED"/>
    <w:rsid w:val="003E7740"/>
    <w:rsid w:val="003E7777"/>
    <w:rsid w:val="003E79C6"/>
    <w:rsid w:val="003E7AC6"/>
    <w:rsid w:val="003E7E57"/>
    <w:rsid w:val="003F0137"/>
    <w:rsid w:val="003F06D6"/>
    <w:rsid w:val="003F07D7"/>
    <w:rsid w:val="003F0943"/>
    <w:rsid w:val="003F0C67"/>
    <w:rsid w:val="003F0F0D"/>
    <w:rsid w:val="003F132C"/>
    <w:rsid w:val="003F13A5"/>
    <w:rsid w:val="003F1496"/>
    <w:rsid w:val="003F15B9"/>
    <w:rsid w:val="003F16D8"/>
    <w:rsid w:val="003F19C6"/>
    <w:rsid w:val="003F1E00"/>
    <w:rsid w:val="003F1F9D"/>
    <w:rsid w:val="003F221A"/>
    <w:rsid w:val="003F2319"/>
    <w:rsid w:val="003F2453"/>
    <w:rsid w:val="003F2536"/>
    <w:rsid w:val="003F274F"/>
    <w:rsid w:val="003F2933"/>
    <w:rsid w:val="003F2BB4"/>
    <w:rsid w:val="003F2D6C"/>
    <w:rsid w:val="003F2F04"/>
    <w:rsid w:val="003F3074"/>
    <w:rsid w:val="003F3128"/>
    <w:rsid w:val="003F3394"/>
    <w:rsid w:val="003F343D"/>
    <w:rsid w:val="003F3664"/>
    <w:rsid w:val="003F3728"/>
    <w:rsid w:val="003F37BC"/>
    <w:rsid w:val="003F37F7"/>
    <w:rsid w:val="003F3886"/>
    <w:rsid w:val="003F3A1F"/>
    <w:rsid w:val="003F3AAB"/>
    <w:rsid w:val="003F3C45"/>
    <w:rsid w:val="003F3FD1"/>
    <w:rsid w:val="003F4270"/>
    <w:rsid w:val="003F43E6"/>
    <w:rsid w:val="003F4D26"/>
    <w:rsid w:val="003F4D4C"/>
    <w:rsid w:val="003F4EB8"/>
    <w:rsid w:val="003F4ED5"/>
    <w:rsid w:val="003F4F9D"/>
    <w:rsid w:val="003F4FFE"/>
    <w:rsid w:val="003F501C"/>
    <w:rsid w:val="003F56E4"/>
    <w:rsid w:val="003F5888"/>
    <w:rsid w:val="003F5B11"/>
    <w:rsid w:val="003F5B26"/>
    <w:rsid w:val="003F5C6B"/>
    <w:rsid w:val="003F5FC6"/>
    <w:rsid w:val="003F606D"/>
    <w:rsid w:val="003F6088"/>
    <w:rsid w:val="003F63BE"/>
    <w:rsid w:val="003F6504"/>
    <w:rsid w:val="003F681C"/>
    <w:rsid w:val="003F69DC"/>
    <w:rsid w:val="003F6A87"/>
    <w:rsid w:val="003F6B15"/>
    <w:rsid w:val="003F6C8A"/>
    <w:rsid w:val="003F6DDC"/>
    <w:rsid w:val="003F705C"/>
    <w:rsid w:val="003F70EA"/>
    <w:rsid w:val="003F72F6"/>
    <w:rsid w:val="003F740A"/>
    <w:rsid w:val="003F7557"/>
    <w:rsid w:val="003F758B"/>
    <w:rsid w:val="003F78AC"/>
    <w:rsid w:val="003F7A90"/>
    <w:rsid w:val="003F7BD8"/>
    <w:rsid w:val="003F7C24"/>
    <w:rsid w:val="003F7D2E"/>
    <w:rsid w:val="003F7DD1"/>
    <w:rsid w:val="0040033C"/>
    <w:rsid w:val="00400713"/>
    <w:rsid w:val="00400733"/>
    <w:rsid w:val="00400752"/>
    <w:rsid w:val="00400AC0"/>
    <w:rsid w:val="00400C02"/>
    <w:rsid w:val="00400C8C"/>
    <w:rsid w:val="00400D22"/>
    <w:rsid w:val="00400DD1"/>
    <w:rsid w:val="004010C4"/>
    <w:rsid w:val="00401411"/>
    <w:rsid w:val="00401580"/>
    <w:rsid w:val="00401B95"/>
    <w:rsid w:val="00401F50"/>
    <w:rsid w:val="0040318C"/>
    <w:rsid w:val="004032DA"/>
    <w:rsid w:val="0040345E"/>
    <w:rsid w:val="0040348F"/>
    <w:rsid w:val="004036A2"/>
    <w:rsid w:val="00403A3C"/>
    <w:rsid w:val="00404056"/>
    <w:rsid w:val="00404454"/>
    <w:rsid w:val="004044BA"/>
    <w:rsid w:val="00404871"/>
    <w:rsid w:val="004048E3"/>
    <w:rsid w:val="00404A24"/>
    <w:rsid w:val="00404BD4"/>
    <w:rsid w:val="00404C4E"/>
    <w:rsid w:val="00405315"/>
    <w:rsid w:val="00405656"/>
    <w:rsid w:val="0040571A"/>
    <w:rsid w:val="00405753"/>
    <w:rsid w:val="00405769"/>
    <w:rsid w:val="00405841"/>
    <w:rsid w:val="00406205"/>
    <w:rsid w:val="00406546"/>
    <w:rsid w:val="004068B7"/>
    <w:rsid w:val="00406FC0"/>
    <w:rsid w:val="0040745C"/>
    <w:rsid w:val="0040761B"/>
    <w:rsid w:val="004078B5"/>
    <w:rsid w:val="00407961"/>
    <w:rsid w:val="00407974"/>
    <w:rsid w:val="00407C5D"/>
    <w:rsid w:val="00407F9B"/>
    <w:rsid w:val="0041065A"/>
    <w:rsid w:val="0041078B"/>
    <w:rsid w:val="0041081B"/>
    <w:rsid w:val="004108C5"/>
    <w:rsid w:val="0041099C"/>
    <w:rsid w:val="00410E9B"/>
    <w:rsid w:val="00411671"/>
    <w:rsid w:val="0041186F"/>
    <w:rsid w:val="00411931"/>
    <w:rsid w:val="004123F0"/>
    <w:rsid w:val="004123FF"/>
    <w:rsid w:val="0041268B"/>
    <w:rsid w:val="004127BD"/>
    <w:rsid w:val="004127C9"/>
    <w:rsid w:val="00412B78"/>
    <w:rsid w:val="00412BFA"/>
    <w:rsid w:val="00412E23"/>
    <w:rsid w:val="00412E81"/>
    <w:rsid w:val="00413105"/>
    <w:rsid w:val="004134B5"/>
    <w:rsid w:val="004135AF"/>
    <w:rsid w:val="004137C1"/>
    <w:rsid w:val="004138D2"/>
    <w:rsid w:val="00413916"/>
    <w:rsid w:val="00413A01"/>
    <w:rsid w:val="00413F0A"/>
    <w:rsid w:val="00413FF9"/>
    <w:rsid w:val="004141C3"/>
    <w:rsid w:val="004141E6"/>
    <w:rsid w:val="0041446C"/>
    <w:rsid w:val="004146A7"/>
    <w:rsid w:val="0041493E"/>
    <w:rsid w:val="00414A69"/>
    <w:rsid w:val="00414B6A"/>
    <w:rsid w:val="00414BEB"/>
    <w:rsid w:val="00414BF1"/>
    <w:rsid w:val="00414D62"/>
    <w:rsid w:val="00414D6F"/>
    <w:rsid w:val="004150C5"/>
    <w:rsid w:val="004151D3"/>
    <w:rsid w:val="004152B9"/>
    <w:rsid w:val="00415463"/>
    <w:rsid w:val="004154D9"/>
    <w:rsid w:val="004155DB"/>
    <w:rsid w:val="00415AED"/>
    <w:rsid w:val="00415E04"/>
    <w:rsid w:val="0041616A"/>
    <w:rsid w:val="004162A5"/>
    <w:rsid w:val="0041671D"/>
    <w:rsid w:val="0041681C"/>
    <w:rsid w:val="00416B73"/>
    <w:rsid w:val="00417074"/>
    <w:rsid w:val="004170B9"/>
    <w:rsid w:val="00417174"/>
    <w:rsid w:val="00417445"/>
    <w:rsid w:val="00417A2B"/>
    <w:rsid w:val="00417F5A"/>
    <w:rsid w:val="00419720"/>
    <w:rsid w:val="00420108"/>
    <w:rsid w:val="00420230"/>
    <w:rsid w:val="004203B8"/>
    <w:rsid w:val="00420473"/>
    <w:rsid w:val="0042096A"/>
    <w:rsid w:val="00420C09"/>
    <w:rsid w:val="00420F02"/>
    <w:rsid w:val="00420FF2"/>
    <w:rsid w:val="00421306"/>
    <w:rsid w:val="004213B7"/>
    <w:rsid w:val="00421714"/>
    <w:rsid w:val="00422417"/>
    <w:rsid w:val="00422485"/>
    <w:rsid w:val="00422596"/>
    <w:rsid w:val="0042268F"/>
    <w:rsid w:val="00422732"/>
    <w:rsid w:val="00422967"/>
    <w:rsid w:val="00422D28"/>
    <w:rsid w:val="00423030"/>
    <w:rsid w:val="0042308C"/>
    <w:rsid w:val="004232A0"/>
    <w:rsid w:val="0042393B"/>
    <w:rsid w:val="0042397B"/>
    <w:rsid w:val="00423A1C"/>
    <w:rsid w:val="00423FB5"/>
    <w:rsid w:val="0042406C"/>
    <w:rsid w:val="00424267"/>
    <w:rsid w:val="00424293"/>
    <w:rsid w:val="00424501"/>
    <w:rsid w:val="0042458C"/>
    <w:rsid w:val="00424633"/>
    <w:rsid w:val="00424D7D"/>
    <w:rsid w:val="004252C6"/>
    <w:rsid w:val="00425319"/>
    <w:rsid w:val="004253E6"/>
    <w:rsid w:val="0042574A"/>
    <w:rsid w:val="0042599C"/>
    <w:rsid w:val="00425B6D"/>
    <w:rsid w:val="00426002"/>
    <w:rsid w:val="00426392"/>
    <w:rsid w:val="00426440"/>
    <w:rsid w:val="004268B2"/>
    <w:rsid w:val="004269E6"/>
    <w:rsid w:val="00426B56"/>
    <w:rsid w:val="00427137"/>
    <w:rsid w:val="004276EA"/>
    <w:rsid w:val="00427875"/>
    <w:rsid w:val="00427967"/>
    <w:rsid w:val="00427983"/>
    <w:rsid w:val="004279C1"/>
    <w:rsid w:val="00427B15"/>
    <w:rsid w:val="00427C20"/>
    <w:rsid w:val="00427F10"/>
    <w:rsid w:val="00427F5F"/>
    <w:rsid w:val="0043005F"/>
    <w:rsid w:val="00430183"/>
    <w:rsid w:val="00430392"/>
    <w:rsid w:val="0043085C"/>
    <w:rsid w:val="00430887"/>
    <w:rsid w:val="00430CCF"/>
    <w:rsid w:val="00430E8E"/>
    <w:rsid w:val="00431396"/>
    <w:rsid w:val="0043155F"/>
    <w:rsid w:val="00431632"/>
    <w:rsid w:val="00431C92"/>
    <w:rsid w:val="00431C95"/>
    <w:rsid w:val="00431DE6"/>
    <w:rsid w:val="00432096"/>
    <w:rsid w:val="00432267"/>
    <w:rsid w:val="004328F7"/>
    <w:rsid w:val="00433039"/>
    <w:rsid w:val="00433165"/>
    <w:rsid w:val="00433219"/>
    <w:rsid w:val="0043358B"/>
    <w:rsid w:val="00434180"/>
    <w:rsid w:val="00434863"/>
    <w:rsid w:val="00434A25"/>
    <w:rsid w:val="00434A64"/>
    <w:rsid w:val="00434BAA"/>
    <w:rsid w:val="00434BEA"/>
    <w:rsid w:val="00434D7E"/>
    <w:rsid w:val="00434DC0"/>
    <w:rsid w:val="00434E14"/>
    <w:rsid w:val="00434EC1"/>
    <w:rsid w:val="00434FB5"/>
    <w:rsid w:val="00434FD6"/>
    <w:rsid w:val="004350EC"/>
    <w:rsid w:val="00435494"/>
    <w:rsid w:val="00435537"/>
    <w:rsid w:val="004356FE"/>
    <w:rsid w:val="0043583D"/>
    <w:rsid w:val="00435956"/>
    <w:rsid w:val="004359BC"/>
    <w:rsid w:val="004364C4"/>
    <w:rsid w:val="004364E1"/>
    <w:rsid w:val="0043656F"/>
    <w:rsid w:val="00436742"/>
    <w:rsid w:val="004368BF"/>
    <w:rsid w:val="00436992"/>
    <w:rsid w:val="00436DCA"/>
    <w:rsid w:val="004371BA"/>
    <w:rsid w:val="004373C8"/>
    <w:rsid w:val="00437837"/>
    <w:rsid w:val="00437A14"/>
    <w:rsid w:val="00437E77"/>
    <w:rsid w:val="00437FFB"/>
    <w:rsid w:val="004402D0"/>
    <w:rsid w:val="00440572"/>
    <w:rsid w:val="00440B6D"/>
    <w:rsid w:val="00440BCA"/>
    <w:rsid w:val="00440E3F"/>
    <w:rsid w:val="00440F42"/>
    <w:rsid w:val="00440FDF"/>
    <w:rsid w:val="00440FE9"/>
    <w:rsid w:val="00441007"/>
    <w:rsid w:val="00441431"/>
    <w:rsid w:val="004415EE"/>
    <w:rsid w:val="00441857"/>
    <w:rsid w:val="004419B5"/>
    <w:rsid w:val="00441B03"/>
    <w:rsid w:val="00441B1E"/>
    <w:rsid w:val="00441D68"/>
    <w:rsid w:val="00441E2C"/>
    <w:rsid w:val="004420BA"/>
    <w:rsid w:val="004421BD"/>
    <w:rsid w:val="004422DC"/>
    <w:rsid w:val="00442321"/>
    <w:rsid w:val="00442529"/>
    <w:rsid w:val="00442DBE"/>
    <w:rsid w:val="00442EE3"/>
    <w:rsid w:val="00442FC4"/>
    <w:rsid w:val="00443009"/>
    <w:rsid w:val="004434CC"/>
    <w:rsid w:val="00443709"/>
    <w:rsid w:val="004437EE"/>
    <w:rsid w:val="004438EB"/>
    <w:rsid w:val="00443932"/>
    <w:rsid w:val="004439B2"/>
    <w:rsid w:val="004439B3"/>
    <w:rsid w:val="00443A88"/>
    <w:rsid w:val="00443F7B"/>
    <w:rsid w:val="004440DD"/>
    <w:rsid w:val="00444291"/>
    <w:rsid w:val="0044439A"/>
    <w:rsid w:val="004443E4"/>
    <w:rsid w:val="0044450B"/>
    <w:rsid w:val="00444521"/>
    <w:rsid w:val="0044462C"/>
    <w:rsid w:val="0044482C"/>
    <w:rsid w:val="004448FD"/>
    <w:rsid w:val="004449B9"/>
    <w:rsid w:val="004449BE"/>
    <w:rsid w:val="00444E32"/>
    <w:rsid w:val="00444F4F"/>
    <w:rsid w:val="00444FCF"/>
    <w:rsid w:val="00445325"/>
    <w:rsid w:val="00445900"/>
    <w:rsid w:val="00445990"/>
    <w:rsid w:val="00445B11"/>
    <w:rsid w:val="00445BA7"/>
    <w:rsid w:val="00445C70"/>
    <w:rsid w:val="00445F58"/>
    <w:rsid w:val="00446013"/>
    <w:rsid w:val="004462A1"/>
    <w:rsid w:val="004462AD"/>
    <w:rsid w:val="00446760"/>
    <w:rsid w:val="00446B0E"/>
    <w:rsid w:val="00446BCD"/>
    <w:rsid w:val="00446EEE"/>
    <w:rsid w:val="00446FDF"/>
    <w:rsid w:val="0044721C"/>
    <w:rsid w:val="0044752E"/>
    <w:rsid w:val="004476CB"/>
    <w:rsid w:val="004476E4"/>
    <w:rsid w:val="00447710"/>
    <w:rsid w:val="00447858"/>
    <w:rsid w:val="0044793E"/>
    <w:rsid w:val="004479B2"/>
    <w:rsid w:val="00447A21"/>
    <w:rsid w:val="00447EF4"/>
    <w:rsid w:val="0045045C"/>
    <w:rsid w:val="00451237"/>
    <w:rsid w:val="00451350"/>
    <w:rsid w:val="00451809"/>
    <w:rsid w:val="0045263B"/>
    <w:rsid w:val="00452697"/>
    <w:rsid w:val="00452700"/>
    <w:rsid w:val="00452718"/>
    <w:rsid w:val="0045287D"/>
    <w:rsid w:val="004528EB"/>
    <w:rsid w:val="0045298E"/>
    <w:rsid w:val="00452D2D"/>
    <w:rsid w:val="00452D3A"/>
    <w:rsid w:val="00452EF5"/>
    <w:rsid w:val="0045305B"/>
    <w:rsid w:val="00453330"/>
    <w:rsid w:val="00453527"/>
    <w:rsid w:val="00453676"/>
    <w:rsid w:val="0045442F"/>
    <w:rsid w:val="00454987"/>
    <w:rsid w:val="00454B06"/>
    <w:rsid w:val="00454BF2"/>
    <w:rsid w:val="00454C24"/>
    <w:rsid w:val="00454D40"/>
    <w:rsid w:val="00454D71"/>
    <w:rsid w:val="004551E1"/>
    <w:rsid w:val="00455221"/>
    <w:rsid w:val="0045548F"/>
    <w:rsid w:val="0045556C"/>
    <w:rsid w:val="00455582"/>
    <w:rsid w:val="004555B9"/>
    <w:rsid w:val="004555D8"/>
    <w:rsid w:val="004557FE"/>
    <w:rsid w:val="004559BF"/>
    <w:rsid w:val="00455D70"/>
    <w:rsid w:val="00455DF8"/>
    <w:rsid w:val="0045604B"/>
    <w:rsid w:val="004561E4"/>
    <w:rsid w:val="004565D2"/>
    <w:rsid w:val="00456607"/>
    <w:rsid w:val="00456623"/>
    <w:rsid w:val="00456DF4"/>
    <w:rsid w:val="004571D2"/>
    <w:rsid w:val="00457652"/>
    <w:rsid w:val="00457739"/>
    <w:rsid w:val="00457A4E"/>
    <w:rsid w:val="00457B70"/>
    <w:rsid w:val="00457BAA"/>
    <w:rsid w:val="00457C6B"/>
    <w:rsid w:val="00457EBD"/>
    <w:rsid w:val="004602A4"/>
    <w:rsid w:val="004603A7"/>
    <w:rsid w:val="004606CA"/>
    <w:rsid w:val="00460B1B"/>
    <w:rsid w:val="00460C80"/>
    <w:rsid w:val="00460DCF"/>
    <w:rsid w:val="00460DED"/>
    <w:rsid w:val="00461070"/>
    <w:rsid w:val="00461122"/>
    <w:rsid w:val="00461137"/>
    <w:rsid w:val="004612DE"/>
    <w:rsid w:val="00461601"/>
    <w:rsid w:val="0046165B"/>
    <w:rsid w:val="00461679"/>
    <w:rsid w:val="004619BF"/>
    <w:rsid w:val="00461A06"/>
    <w:rsid w:val="0046214C"/>
    <w:rsid w:val="004621C3"/>
    <w:rsid w:val="00462245"/>
    <w:rsid w:val="00462273"/>
    <w:rsid w:val="004623EF"/>
    <w:rsid w:val="00462602"/>
    <w:rsid w:val="00462888"/>
    <w:rsid w:val="00462FAF"/>
    <w:rsid w:val="00463665"/>
    <w:rsid w:val="00463752"/>
    <w:rsid w:val="0046381A"/>
    <w:rsid w:val="00463AF5"/>
    <w:rsid w:val="00463B15"/>
    <w:rsid w:val="00463B2E"/>
    <w:rsid w:val="00463B50"/>
    <w:rsid w:val="00463B94"/>
    <w:rsid w:val="00463CF4"/>
    <w:rsid w:val="00463ED5"/>
    <w:rsid w:val="00463F3E"/>
    <w:rsid w:val="00464066"/>
    <w:rsid w:val="0046418D"/>
    <w:rsid w:val="0046440B"/>
    <w:rsid w:val="0046446A"/>
    <w:rsid w:val="004644A8"/>
    <w:rsid w:val="004645AE"/>
    <w:rsid w:val="004646C8"/>
    <w:rsid w:val="00464BB6"/>
    <w:rsid w:val="00464D3E"/>
    <w:rsid w:val="00464E76"/>
    <w:rsid w:val="00464EA1"/>
    <w:rsid w:val="00464ED5"/>
    <w:rsid w:val="00464F24"/>
    <w:rsid w:val="00464F91"/>
    <w:rsid w:val="00465037"/>
    <w:rsid w:val="0046506A"/>
    <w:rsid w:val="00465239"/>
    <w:rsid w:val="004654A5"/>
    <w:rsid w:val="00465734"/>
    <w:rsid w:val="0046574E"/>
    <w:rsid w:val="00465CF0"/>
    <w:rsid w:val="00465F50"/>
    <w:rsid w:val="00465F6D"/>
    <w:rsid w:val="00465F7C"/>
    <w:rsid w:val="00465FF1"/>
    <w:rsid w:val="00466295"/>
    <w:rsid w:val="0046638B"/>
    <w:rsid w:val="004663E3"/>
    <w:rsid w:val="0046652E"/>
    <w:rsid w:val="004666B4"/>
    <w:rsid w:val="00466BFC"/>
    <w:rsid w:val="00466C0E"/>
    <w:rsid w:val="00466C26"/>
    <w:rsid w:val="00466C77"/>
    <w:rsid w:val="00466E42"/>
    <w:rsid w:val="004674B2"/>
    <w:rsid w:val="00467603"/>
    <w:rsid w:val="004678D3"/>
    <w:rsid w:val="00467BDB"/>
    <w:rsid w:val="00467C03"/>
    <w:rsid w:val="00467CF9"/>
    <w:rsid w:val="0047016D"/>
    <w:rsid w:val="004701C3"/>
    <w:rsid w:val="004702C1"/>
    <w:rsid w:val="004704A2"/>
    <w:rsid w:val="0047096F"/>
    <w:rsid w:val="00470D6D"/>
    <w:rsid w:val="00470DD0"/>
    <w:rsid w:val="00470EF8"/>
    <w:rsid w:val="00471745"/>
    <w:rsid w:val="004719AC"/>
    <w:rsid w:val="004719F9"/>
    <w:rsid w:val="00471C32"/>
    <w:rsid w:val="00471DBF"/>
    <w:rsid w:val="004720B5"/>
    <w:rsid w:val="004724B1"/>
    <w:rsid w:val="004728BE"/>
    <w:rsid w:val="004728DB"/>
    <w:rsid w:val="00472D1A"/>
    <w:rsid w:val="00472DF4"/>
    <w:rsid w:val="00472E0B"/>
    <w:rsid w:val="00473930"/>
    <w:rsid w:val="00473D4F"/>
    <w:rsid w:val="0047408D"/>
    <w:rsid w:val="00474156"/>
    <w:rsid w:val="004741F3"/>
    <w:rsid w:val="004743E3"/>
    <w:rsid w:val="00474872"/>
    <w:rsid w:val="00474ADE"/>
    <w:rsid w:val="00474F98"/>
    <w:rsid w:val="00475434"/>
    <w:rsid w:val="00475889"/>
    <w:rsid w:val="004759CC"/>
    <w:rsid w:val="00475FD1"/>
    <w:rsid w:val="00476069"/>
    <w:rsid w:val="00476175"/>
    <w:rsid w:val="004762E1"/>
    <w:rsid w:val="004764E2"/>
    <w:rsid w:val="00476524"/>
    <w:rsid w:val="004767A4"/>
    <w:rsid w:val="00476BA8"/>
    <w:rsid w:val="00476D8A"/>
    <w:rsid w:val="00476DE0"/>
    <w:rsid w:val="00476F28"/>
    <w:rsid w:val="00477019"/>
    <w:rsid w:val="00477099"/>
    <w:rsid w:val="004770B3"/>
    <w:rsid w:val="00477263"/>
    <w:rsid w:val="00477270"/>
    <w:rsid w:val="00477543"/>
    <w:rsid w:val="004775B3"/>
    <w:rsid w:val="00477883"/>
    <w:rsid w:val="004778BD"/>
    <w:rsid w:val="00477B3A"/>
    <w:rsid w:val="00477C9B"/>
    <w:rsid w:val="00477D14"/>
    <w:rsid w:val="00477E62"/>
    <w:rsid w:val="00477E8D"/>
    <w:rsid w:val="00477F59"/>
    <w:rsid w:val="0048068B"/>
    <w:rsid w:val="00480739"/>
    <w:rsid w:val="0048076E"/>
    <w:rsid w:val="0048082F"/>
    <w:rsid w:val="00480B2C"/>
    <w:rsid w:val="00480C05"/>
    <w:rsid w:val="00480F32"/>
    <w:rsid w:val="00481659"/>
    <w:rsid w:val="00481893"/>
    <w:rsid w:val="00481BAA"/>
    <w:rsid w:val="00481E5C"/>
    <w:rsid w:val="00481EC3"/>
    <w:rsid w:val="00482264"/>
    <w:rsid w:val="004822BC"/>
    <w:rsid w:val="00482426"/>
    <w:rsid w:val="004824E1"/>
    <w:rsid w:val="0048251D"/>
    <w:rsid w:val="0048251F"/>
    <w:rsid w:val="004825FE"/>
    <w:rsid w:val="0048276A"/>
    <w:rsid w:val="004831EC"/>
    <w:rsid w:val="0048333F"/>
    <w:rsid w:val="0048371B"/>
    <w:rsid w:val="004837F1"/>
    <w:rsid w:val="0048384D"/>
    <w:rsid w:val="00483901"/>
    <w:rsid w:val="00483CF5"/>
    <w:rsid w:val="004846AB"/>
    <w:rsid w:val="00484707"/>
    <w:rsid w:val="00484D7F"/>
    <w:rsid w:val="00484F3B"/>
    <w:rsid w:val="00484F5B"/>
    <w:rsid w:val="004850A6"/>
    <w:rsid w:val="004856B5"/>
    <w:rsid w:val="004857D5"/>
    <w:rsid w:val="00485966"/>
    <w:rsid w:val="00485B0A"/>
    <w:rsid w:val="00485C5C"/>
    <w:rsid w:val="004864CD"/>
    <w:rsid w:val="0048657F"/>
    <w:rsid w:val="004866D2"/>
    <w:rsid w:val="004866D6"/>
    <w:rsid w:val="0048680C"/>
    <w:rsid w:val="00486926"/>
    <w:rsid w:val="00486BB7"/>
    <w:rsid w:val="00486C03"/>
    <w:rsid w:val="00486FFB"/>
    <w:rsid w:val="00487171"/>
    <w:rsid w:val="004871FA"/>
    <w:rsid w:val="004873B8"/>
    <w:rsid w:val="00487445"/>
    <w:rsid w:val="00487588"/>
    <w:rsid w:val="00487DA4"/>
    <w:rsid w:val="00487DE1"/>
    <w:rsid w:val="00487E1C"/>
    <w:rsid w:val="004901B1"/>
    <w:rsid w:val="00490352"/>
    <w:rsid w:val="004907A5"/>
    <w:rsid w:val="00490A60"/>
    <w:rsid w:val="00490A94"/>
    <w:rsid w:val="00490CD8"/>
    <w:rsid w:val="00491520"/>
    <w:rsid w:val="004917FB"/>
    <w:rsid w:val="00491AC5"/>
    <w:rsid w:val="00491EC2"/>
    <w:rsid w:val="00491F00"/>
    <w:rsid w:val="00491FB0"/>
    <w:rsid w:val="00492207"/>
    <w:rsid w:val="0049223B"/>
    <w:rsid w:val="00492413"/>
    <w:rsid w:val="0049287C"/>
    <w:rsid w:val="004928E6"/>
    <w:rsid w:val="00492F04"/>
    <w:rsid w:val="00493173"/>
    <w:rsid w:val="0049323B"/>
    <w:rsid w:val="004933BB"/>
    <w:rsid w:val="004933DC"/>
    <w:rsid w:val="0049354C"/>
    <w:rsid w:val="004935A8"/>
    <w:rsid w:val="004939B0"/>
    <w:rsid w:val="00493C76"/>
    <w:rsid w:val="00494017"/>
    <w:rsid w:val="004940D0"/>
    <w:rsid w:val="00494103"/>
    <w:rsid w:val="0049499B"/>
    <w:rsid w:val="00494A6A"/>
    <w:rsid w:val="00494A92"/>
    <w:rsid w:val="00494B14"/>
    <w:rsid w:val="00494B55"/>
    <w:rsid w:val="00495206"/>
    <w:rsid w:val="0049526C"/>
    <w:rsid w:val="0049535F"/>
    <w:rsid w:val="0049538A"/>
    <w:rsid w:val="0049539A"/>
    <w:rsid w:val="00495479"/>
    <w:rsid w:val="00495779"/>
    <w:rsid w:val="0049589B"/>
    <w:rsid w:val="00495A37"/>
    <w:rsid w:val="00495AA0"/>
    <w:rsid w:val="00495D27"/>
    <w:rsid w:val="00495EAB"/>
    <w:rsid w:val="00495EBE"/>
    <w:rsid w:val="0049631A"/>
    <w:rsid w:val="004965C2"/>
    <w:rsid w:val="00496828"/>
    <w:rsid w:val="00496836"/>
    <w:rsid w:val="00496CF9"/>
    <w:rsid w:val="00496DB7"/>
    <w:rsid w:val="00496EEA"/>
    <w:rsid w:val="004976F5"/>
    <w:rsid w:val="00497927"/>
    <w:rsid w:val="00497DEB"/>
    <w:rsid w:val="00497FAD"/>
    <w:rsid w:val="004A040F"/>
    <w:rsid w:val="004A0455"/>
    <w:rsid w:val="004A0460"/>
    <w:rsid w:val="004A0562"/>
    <w:rsid w:val="004A05EE"/>
    <w:rsid w:val="004A0C76"/>
    <w:rsid w:val="004A0F85"/>
    <w:rsid w:val="004A10C2"/>
    <w:rsid w:val="004A1165"/>
    <w:rsid w:val="004A1226"/>
    <w:rsid w:val="004A1414"/>
    <w:rsid w:val="004A1A09"/>
    <w:rsid w:val="004A1EE6"/>
    <w:rsid w:val="004A1F2F"/>
    <w:rsid w:val="004A1F63"/>
    <w:rsid w:val="004A207B"/>
    <w:rsid w:val="004A2096"/>
    <w:rsid w:val="004A21CB"/>
    <w:rsid w:val="004A2223"/>
    <w:rsid w:val="004A23D5"/>
    <w:rsid w:val="004A242A"/>
    <w:rsid w:val="004A24AA"/>
    <w:rsid w:val="004A2604"/>
    <w:rsid w:val="004A275B"/>
    <w:rsid w:val="004A296E"/>
    <w:rsid w:val="004A2D83"/>
    <w:rsid w:val="004A2F12"/>
    <w:rsid w:val="004A2FC2"/>
    <w:rsid w:val="004A38CE"/>
    <w:rsid w:val="004A3BCB"/>
    <w:rsid w:val="004A3D9C"/>
    <w:rsid w:val="004A3FBD"/>
    <w:rsid w:val="004A430A"/>
    <w:rsid w:val="004A4562"/>
    <w:rsid w:val="004A46C0"/>
    <w:rsid w:val="004A49BE"/>
    <w:rsid w:val="004A4AFA"/>
    <w:rsid w:val="004A4E05"/>
    <w:rsid w:val="004A4E48"/>
    <w:rsid w:val="004A4F62"/>
    <w:rsid w:val="004A5124"/>
    <w:rsid w:val="004A5134"/>
    <w:rsid w:val="004A52EC"/>
    <w:rsid w:val="004A55EE"/>
    <w:rsid w:val="004A569B"/>
    <w:rsid w:val="004A5820"/>
    <w:rsid w:val="004A58D6"/>
    <w:rsid w:val="004A602B"/>
    <w:rsid w:val="004A6306"/>
    <w:rsid w:val="004A6585"/>
    <w:rsid w:val="004A658E"/>
    <w:rsid w:val="004A6723"/>
    <w:rsid w:val="004A68B5"/>
    <w:rsid w:val="004A6999"/>
    <w:rsid w:val="004A6E9F"/>
    <w:rsid w:val="004A6F43"/>
    <w:rsid w:val="004A7117"/>
    <w:rsid w:val="004A71D5"/>
    <w:rsid w:val="004A7206"/>
    <w:rsid w:val="004A72A4"/>
    <w:rsid w:val="004A7491"/>
    <w:rsid w:val="004A7C5F"/>
    <w:rsid w:val="004A7D17"/>
    <w:rsid w:val="004B0255"/>
    <w:rsid w:val="004B08C2"/>
    <w:rsid w:val="004B11C9"/>
    <w:rsid w:val="004B1453"/>
    <w:rsid w:val="004B16DB"/>
    <w:rsid w:val="004B1824"/>
    <w:rsid w:val="004B1A23"/>
    <w:rsid w:val="004B1BA2"/>
    <w:rsid w:val="004B1D72"/>
    <w:rsid w:val="004B1ED2"/>
    <w:rsid w:val="004B21E2"/>
    <w:rsid w:val="004B2222"/>
    <w:rsid w:val="004B243A"/>
    <w:rsid w:val="004B2542"/>
    <w:rsid w:val="004B2747"/>
    <w:rsid w:val="004B2906"/>
    <w:rsid w:val="004B2C20"/>
    <w:rsid w:val="004B357F"/>
    <w:rsid w:val="004B387D"/>
    <w:rsid w:val="004B3913"/>
    <w:rsid w:val="004B3A82"/>
    <w:rsid w:val="004B3AC4"/>
    <w:rsid w:val="004B3CEF"/>
    <w:rsid w:val="004B416B"/>
    <w:rsid w:val="004B4238"/>
    <w:rsid w:val="004B44E1"/>
    <w:rsid w:val="004B4642"/>
    <w:rsid w:val="004B49D1"/>
    <w:rsid w:val="004B4B55"/>
    <w:rsid w:val="004B4B94"/>
    <w:rsid w:val="004B4D2D"/>
    <w:rsid w:val="004B4DC3"/>
    <w:rsid w:val="004B531C"/>
    <w:rsid w:val="004B55CC"/>
    <w:rsid w:val="004B55DB"/>
    <w:rsid w:val="004B560A"/>
    <w:rsid w:val="004B5B34"/>
    <w:rsid w:val="004B5C53"/>
    <w:rsid w:val="004B5CE9"/>
    <w:rsid w:val="004B5D19"/>
    <w:rsid w:val="004B5E31"/>
    <w:rsid w:val="004B5ED9"/>
    <w:rsid w:val="004B5EE2"/>
    <w:rsid w:val="004B6092"/>
    <w:rsid w:val="004B624C"/>
    <w:rsid w:val="004B6547"/>
    <w:rsid w:val="004B65D2"/>
    <w:rsid w:val="004B66C5"/>
    <w:rsid w:val="004B6BB1"/>
    <w:rsid w:val="004B6E08"/>
    <w:rsid w:val="004B6E26"/>
    <w:rsid w:val="004B6EB7"/>
    <w:rsid w:val="004B7049"/>
    <w:rsid w:val="004B7093"/>
    <w:rsid w:val="004B7233"/>
    <w:rsid w:val="004B73FF"/>
    <w:rsid w:val="004B75F4"/>
    <w:rsid w:val="004B7A09"/>
    <w:rsid w:val="004B7AB3"/>
    <w:rsid w:val="004B7E37"/>
    <w:rsid w:val="004B7E47"/>
    <w:rsid w:val="004B7EE3"/>
    <w:rsid w:val="004B7FAC"/>
    <w:rsid w:val="004B7FC4"/>
    <w:rsid w:val="004C0140"/>
    <w:rsid w:val="004C060C"/>
    <w:rsid w:val="004C070E"/>
    <w:rsid w:val="004C07A9"/>
    <w:rsid w:val="004C0980"/>
    <w:rsid w:val="004C0B6E"/>
    <w:rsid w:val="004C11BA"/>
    <w:rsid w:val="004C122D"/>
    <w:rsid w:val="004C12B5"/>
    <w:rsid w:val="004C151E"/>
    <w:rsid w:val="004C19A8"/>
    <w:rsid w:val="004C19CC"/>
    <w:rsid w:val="004C1C8E"/>
    <w:rsid w:val="004C2098"/>
    <w:rsid w:val="004C2498"/>
    <w:rsid w:val="004C24F5"/>
    <w:rsid w:val="004C252B"/>
    <w:rsid w:val="004C271F"/>
    <w:rsid w:val="004C27FC"/>
    <w:rsid w:val="004C2916"/>
    <w:rsid w:val="004C2B94"/>
    <w:rsid w:val="004C2FEB"/>
    <w:rsid w:val="004C30C9"/>
    <w:rsid w:val="004C32C0"/>
    <w:rsid w:val="004C36D8"/>
    <w:rsid w:val="004C3AE0"/>
    <w:rsid w:val="004C3D07"/>
    <w:rsid w:val="004C41DC"/>
    <w:rsid w:val="004C43E5"/>
    <w:rsid w:val="004C497F"/>
    <w:rsid w:val="004C4A77"/>
    <w:rsid w:val="004C4C59"/>
    <w:rsid w:val="004C4D06"/>
    <w:rsid w:val="004C5110"/>
    <w:rsid w:val="004C5200"/>
    <w:rsid w:val="004C54A5"/>
    <w:rsid w:val="004C55FA"/>
    <w:rsid w:val="004C5861"/>
    <w:rsid w:val="004C58AA"/>
    <w:rsid w:val="004C5B20"/>
    <w:rsid w:val="004C5B22"/>
    <w:rsid w:val="004C605F"/>
    <w:rsid w:val="004C67AD"/>
    <w:rsid w:val="004C68C6"/>
    <w:rsid w:val="004C6977"/>
    <w:rsid w:val="004C6B0C"/>
    <w:rsid w:val="004C6BC9"/>
    <w:rsid w:val="004C6F7D"/>
    <w:rsid w:val="004C7354"/>
    <w:rsid w:val="004C7552"/>
    <w:rsid w:val="004C78B9"/>
    <w:rsid w:val="004C795C"/>
    <w:rsid w:val="004C7A5C"/>
    <w:rsid w:val="004C7EC7"/>
    <w:rsid w:val="004C7F48"/>
    <w:rsid w:val="004D00AB"/>
    <w:rsid w:val="004D02F9"/>
    <w:rsid w:val="004D0329"/>
    <w:rsid w:val="004D0334"/>
    <w:rsid w:val="004D060E"/>
    <w:rsid w:val="004D0778"/>
    <w:rsid w:val="004D077A"/>
    <w:rsid w:val="004D085F"/>
    <w:rsid w:val="004D08CB"/>
    <w:rsid w:val="004D0900"/>
    <w:rsid w:val="004D0ABE"/>
    <w:rsid w:val="004D0B37"/>
    <w:rsid w:val="004D0C1F"/>
    <w:rsid w:val="004D12FE"/>
    <w:rsid w:val="004D19B5"/>
    <w:rsid w:val="004D1DF2"/>
    <w:rsid w:val="004D2567"/>
    <w:rsid w:val="004D263F"/>
    <w:rsid w:val="004D2D4A"/>
    <w:rsid w:val="004D2EED"/>
    <w:rsid w:val="004D2F1E"/>
    <w:rsid w:val="004D3288"/>
    <w:rsid w:val="004D342E"/>
    <w:rsid w:val="004D3A31"/>
    <w:rsid w:val="004D3C29"/>
    <w:rsid w:val="004D4104"/>
    <w:rsid w:val="004D4807"/>
    <w:rsid w:val="004D4808"/>
    <w:rsid w:val="004D4CB8"/>
    <w:rsid w:val="004D52DA"/>
    <w:rsid w:val="004D5393"/>
    <w:rsid w:val="004D54FB"/>
    <w:rsid w:val="004D55E0"/>
    <w:rsid w:val="004D5AE1"/>
    <w:rsid w:val="004D5D33"/>
    <w:rsid w:val="004D624E"/>
    <w:rsid w:val="004D6DF2"/>
    <w:rsid w:val="004D73D0"/>
    <w:rsid w:val="004D7917"/>
    <w:rsid w:val="004D791B"/>
    <w:rsid w:val="004D794D"/>
    <w:rsid w:val="004D7A80"/>
    <w:rsid w:val="004D7BEC"/>
    <w:rsid w:val="004D7C88"/>
    <w:rsid w:val="004D7D2F"/>
    <w:rsid w:val="004D7E5A"/>
    <w:rsid w:val="004E00CB"/>
    <w:rsid w:val="004E02D0"/>
    <w:rsid w:val="004E036B"/>
    <w:rsid w:val="004E0474"/>
    <w:rsid w:val="004E0527"/>
    <w:rsid w:val="004E0656"/>
    <w:rsid w:val="004E0BC7"/>
    <w:rsid w:val="004E0F2B"/>
    <w:rsid w:val="004E0F47"/>
    <w:rsid w:val="004E10A4"/>
    <w:rsid w:val="004E10E8"/>
    <w:rsid w:val="004E11C9"/>
    <w:rsid w:val="004E14B3"/>
    <w:rsid w:val="004E1713"/>
    <w:rsid w:val="004E192C"/>
    <w:rsid w:val="004E1A77"/>
    <w:rsid w:val="004E1AA3"/>
    <w:rsid w:val="004E1F6E"/>
    <w:rsid w:val="004E1F8B"/>
    <w:rsid w:val="004E201C"/>
    <w:rsid w:val="004E2094"/>
    <w:rsid w:val="004E20B4"/>
    <w:rsid w:val="004E213D"/>
    <w:rsid w:val="004E221E"/>
    <w:rsid w:val="004E23F5"/>
    <w:rsid w:val="004E25ED"/>
    <w:rsid w:val="004E28D1"/>
    <w:rsid w:val="004E2F36"/>
    <w:rsid w:val="004E2FF2"/>
    <w:rsid w:val="004E316C"/>
    <w:rsid w:val="004E352C"/>
    <w:rsid w:val="004E35F7"/>
    <w:rsid w:val="004E377D"/>
    <w:rsid w:val="004E381E"/>
    <w:rsid w:val="004E3B9A"/>
    <w:rsid w:val="004E3F21"/>
    <w:rsid w:val="004E3FAB"/>
    <w:rsid w:val="004E4186"/>
    <w:rsid w:val="004E4290"/>
    <w:rsid w:val="004E430A"/>
    <w:rsid w:val="004E43D1"/>
    <w:rsid w:val="004E4460"/>
    <w:rsid w:val="004E4574"/>
    <w:rsid w:val="004E48B7"/>
    <w:rsid w:val="004E4924"/>
    <w:rsid w:val="004E4A9B"/>
    <w:rsid w:val="004E4AD2"/>
    <w:rsid w:val="004E4D56"/>
    <w:rsid w:val="004E4DB9"/>
    <w:rsid w:val="004E52CE"/>
    <w:rsid w:val="004E540E"/>
    <w:rsid w:val="004E558A"/>
    <w:rsid w:val="004E5867"/>
    <w:rsid w:val="004E5958"/>
    <w:rsid w:val="004E59F2"/>
    <w:rsid w:val="004E5AB4"/>
    <w:rsid w:val="004E5BD6"/>
    <w:rsid w:val="004E5DFE"/>
    <w:rsid w:val="004E6026"/>
    <w:rsid w:val="004E6027"/>
    <w:rsid w:val="004E62FE"/>
    <w:rsid w:val="004E6443"/>
    <w:rsid w:val="004E64B1"/>
    <w:rsid w:val="004E6533"/>
    <w:rsid w:val="004E6643"/>
    <w:rsid w:val="004E6A70"/>
    <w:rsid w:val="004E6BD0"/>
    <w:rsid w:val="004E6D30"/>
    <w:rsid w:val="004E6FA5"/>
    <w:rsid w:val="004E720C"/>
    <w:rsid w:val="004E725E"/>
    <w:rsid w:val="004E737C"/>
    <w:rsid w:val="004E74C5"/>
    <w:rsid w:val="004E7ACB"/>
    <w:rsid w:val="004E7B3C"/>
    <w:rsid w:val="004E7CA1"/>
    <w:rsid w:val="004F0060"/>
    <w:rsid w:val="004F0070"/>
    <w:rsid w:val="004F0149"/>
    <w:rsid w:val="004F01A9"/>
    <w:rsid w:val="004F043D"/>
    <w:rsid w:val="004F094E"/>
    <w:rsid w:val="004F0BEB"/>
    <w:rsid w:val="004F0CC0"/>
    <w:rsid w:val="004F1165"/>
    <w:rsid w:val="004F116A"/>
    <w:rsid w:val="004F1382"/>
    <w:rsid w:val="004F14E6"/>
    <w:rsid w:val="004F1577"/>
    <w:rsid w:val="004F172C"/>
    <w:rsid w:val="004F1846"/>
    <w:rsid w:val="004F1FE2"/>
    <w:rsid w:val="004F2126"/>
    <w:rsid w:val="004F212C"/>
    <w:rsid w:val="004F2323"/>
    <w:rsid w:val="004F2E0E"/>
    <w:rsid w:val="004F3391"/>
    <w:rsid w:val="004F37EF"/>
    <w:rsid w:val="004F38B4"/>
    <w:rsid w:val="004F3D5F"/>
    <w:rsid w:val="004F4066"/>
    <w:rsid w:val="004F41E4"/>
    <w:rsid w:val="004F44DC"/>
    <w:rsid w:val="004F4538"/>
    <w:rsid w:val="004F4B2D"/>
    <w:rsid w:val="004F4BFF"/>
    <w:rsid w:val="004F4CFB"/>
    <w:rsid w:val="004F5082"/>
    <w:rsid w:val="004F51A4"/>
    <w:rsid w:val="004F541E"/>
    <w:rsid w:val="004F5434"/>
    <w:rsid w:val="004F54D6"/>
    <w:rsid w:val="004F55B7"/>
    <w:rsid w:val="004F565B"/>
    <w:rsid w:val="004F56B8"/>
    <w:rsid w:val="004F57B9"/>
    <w:rsid w:val="004F587E"/>
    <w:rsid w:val="004F5AC0"/>
    <w:rsid w:val="004F5B48"/>
    <w:rsid w:val="004F5CF6"/>
    <w:rsid w:val="004F61D1"/>
    <w:rsid w:val="004F6580"/>
    <w:rsid w:val="004F68D8"/>
    <w:rsid w:val="004F690F"/>
    <w:rsid w:val="004F69D1"/>
    <w:rsid w:val="004F6AE2"/>
    <w:rsid w:val="004F6AF0"/>
    <w:rsid w:val="004F6B8E"/>
    <w:rsid w:val="004F6CA2"/>
    <w:rsid w:val="004F6FB9"/>
    <w:rsid w:val="004F706D"/>
    <w:rsid w:val="004F72D0"/>
    <w:rsid w:val="004F7329"/>
    <w:rsid w:val="004F74DF"/>
    <w:rsid w:val="004F7577"/>
    <w:rsid w:val="004F77AE"/>
    <w:rsid w:val="004F7969"/>
    <w:rsid w:val="004F7E79"/>
    <w:rsid w:val="004F7EFC"/>
    <w:rsid w:val="004F7F75"/>
    <w:rsid w:val="004F7FE1"/>
    <w:rsid w:val="00500201"/>
    <w:rsid w:val="0050029E"/>
    <w:rsid w:val="005004AF"/>
    <w:rsid w:val="005006F3"/>
    <w:rsid w:val="005008AC"/>
    <w:rsid w:val="005009EA"/>
    <w:rsid w:val="00500C09"/>
    <w:rsid w:val="00500DC9"/>
    <w:rsid w:val="00500DCA"/>
    <w:rsid w:val="00500EF2"/>
    <w:rsid w:val="00501133"/>
    <w:rsid w:val="0050113C"/>
    <w:rsid w:val="00501195"/>
    <w:rsid w:val="00501612"/>
    <w:rsid w:val="0050171B"/>
    <w:rsid w:val="005018A2"/>
    <w:rsid w:val="005018A8"/>
    <w:rsid w:val="00502089"/>
    <w:rsid w:val="005024C0"/>
    <w:rsid w:val="00502667"/>
    <w:rsid w:val="00502D3B"/>
    <w:rsid w:val="00502D4F"/>
    <w:rsid w:val="00502E3F"/>
    <w:rsid w:val="0050391F"/>
    <w:rsid w:val="00503BD7"/>
    <w:rsid w:val="00503E72"/>
    <w:rsid w:val="00504015"/>
    <w:rsid w:val="005043C0"/>
    <w:rsid w:val="00504699"/>
    <w:rsid w:val="00504839"/>
    <w:rsid w:val="00504D46"/>
    <w:rsid w:val="0050584A"/>
    <w:rsid w:val="00505B15"/>
    <w:rsid w:val="00505D3C"/>
    <w:rsid w:val="00505DCA"/>
    <w:rsid w:val="00505EDC"/>
    <w:rsid w:val="00505F2A"/>
    <w:rsid w:val="005064D2"/>
    <w:rsid w:val="00506618"/>
    <w:rsid w:val="00506F53"/>
    <w:rsid w:val="00506F76"/>
    <w:rsid w:val="005070BF"/>
    <w:rsid w:val="00507583"/>
    <w:rsid w:val="005075DF"/>
    <w:rsid w:val="00507879"/>
    <w:rsid w:val="00507970"/>
    <w:rsid w:val="00507A38"/>
    <w:rsid w:val="0051005D"/>
    <w:rsid w:val="00510194"/>
    <w:rsid w:val="0051087C"/>
    <w:rsid w:val="00510FC3"/>
    <w:rsid w:val="0051164C"/>
    <w:rsid w:val="00511753"/>
    <w:rsid w:val="005118CA"/>
    <w:rsid w:val="00511BA2"/>
    <w:rsid w:val="00511D9E"/>
    <w:rsid w:val="00512490"/>
    <w:rsid w:val="00512507"/>
    <w:rsid w:val="005125DB"/>
    <w:rsid w:val="00512701"/>
    <w:rsid w:val="00512B07"/>
    <w:rsid w:val="00512C82"/>
    <w:rsid w:val="00512CD8"/>
    <w:rsid w:val="00513149"/>
    <w:rsid w:val="005132AE"/>
    <w:rsid w:val="00513431"/>
    <w:rsid w:val="00513578"/>
    <w:rsid w:val="0051357F"/>
    <w:rsid w:val="00513869"/>
    <w:rsid w:val="005138BE"/>
    <w:rsid w:val="00513C93"/>
    <w:rsid w:val="00513CE4"/>
    <w:rsid w:val="00513D8C"/>
    <w:rsid w:val="005145EB"/>
    <w:rsid w:val="00514803"/>
    <w:rsid w:val="00514A7B"/>
    <w:rsid w:val="00514AB4"/>
    <w:rsid w:val="00514B7D"/>
    <w:rsid w:val="00514D4D"/>
    <w:rsid w:val="00514D93"/>
    <w:rsid w:val="00514EF1"/>
    <w:rsid w:val="00515055"/>
    <w:rsid w:val="0051527B"/>
    <w:rsid w:val="00515311"/>
    <w:rsid w:val="00515564"/>
    <w:rsid w:val="00515626"/>
    <w:rsid w:val="00515646"/>
    <w:rsid w:val="00515683"/>
    <w:rsid w:val="0051578E"/>
    <w:rsid w:val="005158B1"/>
    <w:rsid w:val="00515C6E"/>
    <w:rsid w:val="00515C7F"/>
    <w:rsid w:val="00515D5A"/>
    <w:rsid w:val="00515FE1"/>
    <w:rsid w:val="00516118"/>
    <w:rsid w:val="0051611C"/>
    <w:rsid w:val="005162AE"/>
    <w:rsid w:val="0051640E"/>
    <w:rsid w:val="0051646B"/>
    <w:rsid w:val="0051664D"/>
    <w:rsid w:val="005166F4"/>
    <w:rsid w:val="005168B8"/>
    <w:rsid w:val="005168F2"/>
    <w:rsid w:val="005169DB"/>
    <w:rsid w:val="00516B91"/>
    <w:rsid w:val="00516BA5"/>
    <w:rsid w:val="00517166"/>
    <w:rsid w:val="0051748B"/>
    <w:rsid w:val="00517523"/>
    <w:rsid w:val="00517705"/>
    <w:rsid w:val="00517753"/>
    <w:rsid w:val="0051793B"/>
    <w:rsid w:val="00517959"/>
    <w:rsid w:val="0051795F"/>
    <w:rsid w:val="00517DB1"/>
    <w:rsid w:val="00517E2B"/>
    <w:rsid w:val="00520001"/>
    <w:rsid w:val="00520588"/>
    <w:rsid w:val="00520F52"/>
    <w:rsid w:val="00520FC9"/>
    <w:rsid w:val="005210BD"/>
    <w:rsid w:val="0052124C"/>
    <w:rsid w:val="005219E1"/>
    <w:rsid w:val="00521D0D"/>
    <w:rsid w:val="0052200C"/>
    <w:rsid w:val="00522729"/>
    <w:rsid w:val="005227CA"/>
    <w:rsid w:val="005228DA"/>
    <w:rsid w:val="00522B55"/>
    <w:rsid w:val="00522E58"/>
    <w:rsid w:val="0052335B"/>
    <w:rsid w:val="005236C5"/>
    <w:rsid w:val="005239B4"/>
    <w:rsid w:val="005239D5"/>
    <w:rsid w:val="00523C5A"/>
    <w:rsid w:val="00523EB0"/>
    <w:rsid w:val="00523ECC"/>
    <w:rsid w:val="00524030"/>
    <w:rsid w:val="00524417"/>
    <w:rsid w:val="0052444F"/>
    <w:rsid w:val="005246CF"/>
    <w:rsid w:val="00524703"/>
    <w:rsid w:val="00524A68"/>
    <w:rsid w:val="0052558F"/>
    <w:rsid w:val="005255CA"/>
    <w:rsid w:val="005255EC"/>
    <w:rsid w:val="00525636"/>
    <w:rsid w:val="0052565E"/>
    <w:rsid w:val="0052567D"/>
    <w:rsid w:val="0052570E"/>
    <w:rsid w:val="00525772"/>
    <w:rsid w:val="0052583C"/>
    <w:rsid w:val="005258F9"/>
    <w:rsid w:val="00525A07"/>
    <w:rsid w:val="00525A82"/>
    <w:rsid w:val="00525B9A"/>
    <w:rsid w:val="00525D1E"/>
    <w:rsid w:val="0052619D"/>
    <w:rsid w:val="005262B3"/>
    <w:rsid w:val="005269B7"/>
    <w:rsid w:val="00526A35"/>
    <w:rsid w:val="00526EBE"/>
    <w:rsid w:val="005272B7"/>
    <w:rsid w:val="005273A3"/>
    <w:rsid w:val="005273F4"/>
    <w:rsid w:val="00527785"/>
    <w:rsid w:val="005277E6"/>
    <w:rsid w:val="00527AC2"/>
    <w:rsid w:val="00527AC3"/>
    <w:rsid w:val="00527B63"/>
    <w:rsid w:val="00527E99"/>
    <w:rsid w:val="0053074E"/>
    <w:rsid w:val="0053078A"/>
    <w:rsid w:val="0053090A"/>
    <w:rsid w:val="00530959"/>
    <w:rsid w:val="00530A57"/>
    <w:rsid w:val="00530C19"/>
    <w:rsid w:val="00530CBD"/>
    <w:rsid w:val="005314E8"/>
    <w:rsid w:val="0053154C"/>
    <w:rsid w:val="00531575"/>
    <w:rsid w:val="00531703"/>
    <w:rsid w:val="005318EF"/>
    <w:rsid w:val="0053193C"/>
    <w:rsid w:val="00531BF5"/>
    <w:rsid w:val="00531DF3"/>
    <w:rsid w:val="00531E37"/>
    <w:rsid w:val="00531FF7"/>
    <w:rsid w:val="00532112"/>
    <w:rsid w:val="005321C7"/>
    <w:rsid w:val="005322C0"/>
    <w:rsid w:val="005322FA"/>
    <w:rsid w:val="0053241C"/>
    <w:rsid w:val="00532688"/>
    <w:rsid w:val="00532762"/>
    <w:rsid w:val="005329C1"/>
    <w:rsid w:val="00532EE3"/>
    <w:rsid w:val="00533004"/>
    <w:rsid w:val="0053393B"/>
    <w:rsid w:val="00533A3A"/>
    <w:rsid w:val="00533ADD"/>
    <w:rsid w:val="00533BCB"/>
    <w:rsid w:val="00533C93"/>
    <w:rsid w:val="00533E93"/>
    <w:rsid w:val="00533EAE"/>
    <w:rsid w:val="005342CD"/>
    <w:rsid w:val="00534422"/>
    <w:rsid w:val="0053453F"/>
    <w:rsid w:val="00534A19"/>
    <w:rsid w:val="00534D8F"/>
    <w:rsid w:val="0053516A"/>
    <w:rsid w:val="00535326"/>
    <w:rsid w:val="0053551B"/>
    <w:rsid w:val="00535A76"/>
    <w:rsid w:val="00535D11"/>
    <w:rsid w:val="0053604F"/>
    <w:rsid w:val="0053655E"/>
    <w:rsid w:val="00536E88"/>
    <w:rsid w:val="00536F0E"/>
    <w:rsid w:val="00536FBF"/>
    <w:rsid w:val="00537159"/>
    <w:rsid w:val="0053743D"/>
    <w:rsid w:val="0053746A"/>
    <w:rsid w:val="005374A3"/>
    <w:rsid w:val="00537579"/>
    <w:rsid w:val="0053772D"/>
    <w:rsid w:val="00537794"/>
    <w:rsid w:val="005379EB"/>
    <w:rsid w:val="00537A6D"/>
    <w:rsid w:val="00537A7F"/>
    <w:rsid w:val="00537B18"/>
    <w:rsid w:val="00537BC1"/>
    <w:rsid w:val="00537C16"/>
    <w:rsid w:val="00537CAD"/>
    <w:rsid w:val="00537CF8"/>
    <w:rsid w:val="00537DBF"/>
    <w:rsid w:val="005402A3"/>
    <w:rsid w:val="005405D9"/>
    <w:rsid w:val="00540663"/>
    <w:rsid w:val="005408B0"/>
    <w:rsid w:val="00540AAD"/>
    <w:rsid w:val="00540D5F"/>
    <w:rsid w:val="00541360"/>
    <w:rsid w:val="005415A7"/>
    <w:rsid w:val="00541805"/>
    <w:rsid w:val="00541945"/>
    <w:rsid w:val="00541BAD"/>
    <w:rsid w:val="00541BF4"/>
    <w:rsid w:val="00541D57"/>
    <w:rsid w:val="00542010"/>
    <w:rsid w:val="0054231C"/>
    <w:rsid w:val="0054269B"/>
    <w:rsid w:val="00542931"/>
    <w:rsid w:val="00542B38"/>
    <w:rsid w:val="00542DCC"/>
    <w:rsid w:val="00542F39"/>
    <w:rsid w:val="00542F99"/>
    <w:rsid w:val="005430FB"/>
    <w:rsid w:val="0054391D"/>
    <w:rsid w:val="00544013"/>
    <w:rsid w:val="00544519"/>
    <w:rsid w:val="00544630"/>
    <w:rsid w:val="005447E1"/>
    <w:rsid w:val="00544987"/>
    <w:rsid w:val="005449BA"/>
    <w:rsid w:val="00544D76"/>
    <w:rsid w:val="00544E24"/>
    <w:rsid w:val="00544E32"/>
    <w:rsid w:val="00544F60"/>
    <w:rsid w:val="00545028"/>
    <w:rsid w:val="0054509A"/>
    <w:rsid w:val="0054519C"/>
    <w:rsid w:val="005452B2"/>
    <w:rsid w:val="005453C4"/>
    <w:rsid w:val="00545423"/>
    <w:rsid w:val="00545623"/>
    <w:rsid w:val="005458D3"/>
    <w:rsid w:val="0054592C"/>
    <w:rsid w:val="00545961"/>
    <w:rsid w:val="00546269"/>
    <w:rsid w:val="005462A0"/>
    <w:rsid w:val="0054637A"/>
    <w:rsid w:val="00546869"/>
    <w:rsid w:val="00546899"/>
    <w:rsid w:val="00546B07"/>
    <w:rsid w:val="00546C31"/>
    <w:rsid w:val="00546D03"/>
    <w:rsid w:val="0054726D"/>
    <w:rsid w:val="00547995"/>
    <w:rsid w:val="005479D5"/>
    <w:rsid w:val="00547B1B"/>
    <w:rsid w:val="00547F81"/>
    <w:rsid w:val="0054DECA"/>
    <w:rsid w:val="00550112"/>
    <w:rsid w:val="005503C7"/>
    <w:rsid w:val="00550530"/>
    <w:rsid w:val="0055058D"/>
    <w:rsid w:val="005505F7"/>
    <w:rsid w:val="00550640"/>
    <w:rsid w:val="00550823"/>
    <w:rsid w:val="005509AF"/>
    <w:rsid w:val="00550C4E"/>
    <w:rsid w:val="00550CA3"/>
    <w:rsid w:val="005511A9"/>
    <w:rsid w:val="00551404"/>
    <w:rsid w:val="0055143E"/>
    <w:rsid w:val="00551571"/>
    <w:rsid w:val="00551D29"/>
    <w:rsid w:val="00551F96"/>
    <w:rsid w:val="00552114"/>
    <w:rsid w:val="00552197"/>
    <w:rsid w:val="00552390"/>
    <w:rsid w:val="005527D1"/>
    <w:rsid w:val="0055289F"/>
    <w:rsid w:val="00552CF6"/>
    <w:rsid w:val="00553487"/>
    <w:rsid w:val="00553511"/>
    <w:rsid w:val="00553586"/>
    <w:rsid w:val="00553728"/>
    <w:rsid w:val="005539AD"/>
    <w:rsid w:val="00553AFE"/>
    <w:rsid w:val="00553EC4"/>
    <w:rsid w:val="00554042"/>
    <w:rsid w:val="00554490"/>
    <w:rsid w:val="005548F4"/>
    <w:rsid w:val="00554A49"/>
    <w:rsid w:val="00554A6C"/>
    <w:rsid w:val="00554BD6"/>
    <w:rsid w:val="00554C01"/>
    <w:rsid w:val="00554DFC"/>
    <w:rsid w:val="00554EEE"/>
    <w:rsid w:val="00555039"/>
    <w:rsid w:val="005550AE"/>
    <w:rsid w:val="00555122"/>
    <w:rsid w:val="00555204"/>
    <w:rsid w:val="005553A6"/>
    <w:rsid w:val="005554F1"/>
    <w:rsid w:val="0055589E"/>
    <w:rsid w:val="00555EC4"/>
    <w:rsid w:val="00556042"/>
    <w:rsid w:val="005561B2"/>
    <w:rsid w:val="0055625E"/>
    <w:rsid w:val="00556483"/>
    <w:rsid w:val="005567B9"/>
    <w:rsid w:val="0055697D"/>
    <w:rsid w:val="00556CDE"/>
    <w:rsid w:val="00556D83"/>
    <w:rsid w:val="00556FC5"/>
    <w:rsid w:val="005571A6"/>
    <w:rsid w:val="005573E8"/>
    <w:rsid w:val="00557B50"/>
    <w:rsid w:val="00557E2E"/>
    <w:rsid w:val="0056005B"/>
    <w:rsid w:val="005600E0"/>
    <w:rsid w:val="00560254"/>
    <w:rsid w:val="005603B9"/>
    <w:rsid w:val="005603F2"/>
    <w:rsid w:val="005606D4"/>
    <w:rsid w:val="0056099E"/>
    <w:rsid w:val="00560D09"/>
    <w:rsid w:val="00560FB4"/>
    <w:rsid w:val="00561232"/>
    <w:rsid w:val="00561392"/>
    <w:rsid w:val="00561519"/>
    <w:rsid w:val="00561645"/>
    <w:rsid w:val="005617CE"/>
    <w:rsid w:val="00561AB6"/>
    <w:rsid w:val="00561ADB"/>
    <w:rsid w:val="00561EC6"/>
    <w:rsid w:val="0056205C"/>
    <w:rsid w:val="005621EF"/>
    <w:rsid w:val="005621F1"/>
    <w:rsid w:val="00562202"/>
    <w:rsid w:val="00562689"/>
    <w:rsid w:val="00562994"/>
    <w:rsid w:val="00562A77"/>
    <w:rsid w:val="00562B30"/>
    <w:rsid w:val="00562C6E"/>
    <w:rsid w:val="00562DB7"/>
    <w:rsid w:val="00562F68"/>
    <w:rsid w:val="005635AF"/>
    <w:rsid w:val="00563799"/>
    <w:rsid w:val="00563ACD"/>
    <w:rsid w:val="00563EFA"/>
    <w:rsid w:val="00563F85"/>
    <w:rsid w:val="00564181"/>
    <w:rsid w:val="005644E3"/>
    <w:rsid w:val="00564614"/>
    <w:rsid w:val="00564C75"/>
    <w:rsid w:val="00564DCC"/>
    <w:rsid w:val="00564E71"/>
    <w:rsid w:val="00564EF4"/>
    <w:rsid w:val="00564FA5"/>
    <w:rsid w:val="00565092"/>
    <w:rsid w:val="0056525C"/>
    <w:rsid w:val="00565816"/>
    <w:rsid w:val="00565D86"/>
    <w:rsid w:val="0056608E"/>
    <w:rsid w:val="005661D7"/>
    <w:rsid w:val="0056630C"/>
    <w:rsid w:val="00566597"/>
    <w:rsid w:val="0056684C"/>
    <w:rsid w:val="00566A6E"/>
    <w:rsid w:val="00566C21"/>
    <w:rsid w:val="00566E05"/>
    <w:rsid w:val="00566E4F"/>
    <w:rsid w:val="00566F70"/>
    <w:rsid w:val="00566FEE"/>
    <w:rsid w:val="00567229"/>
    <w:rsid w:val="00567534"/>
    <w:rsid w:val="00567794"/>
    <w:rsid w:val="00567B06"/>
    <w:rsid w:val="00567B0D"/>
    <w:rsid w:val="00567B73"/>
    <w:rsid w:val="00570574"/>
    <w:rsid w:val="005705C3"/>
    <w:rsid w:val="00570AB8"/>
    <w:rsid w:val="00570B8A"/>
    <w:rsid w:val="00570BB9"/>
    <w:rsid w:val="00570BD0"/>
    <w:rsid w:val="00570FB4"/>
    <w:rsid w:val="005712AE"/>
    <w:rsid w:val="0057148E"/>
    <w:rsid w:val="0057162A"/>
    <w:rsid w:val="00571710"/>
    <w:rsid w:val="00571848"/>
    <w:rsid w:val="00571FEC"/>
    <w:rsid w:val="005723F1"/>
    <w:rsid w:val="00572886"/>
    <w:rsid w:val="00572CB6"/>
    <w:rsid w:val="00572D39"/>
    <w:rsid w:val="00573455"/>
    <w:rsid w:val="0057348E"/>
    <w:rsid w:val="0057379D"/>
    <w:rsid w:val="005737E3"/>
    <w:rsid w:val="005739DA"/>
    <w:rsid w:val="00573C8E"/>
    <w:rsid w:val="005740AA"/>
    <w:rsid w:val="005744E1"/>
    <w:rsid w:val="0057479B"/>
    <w:rsid w:val="005749B1"/>
    <w:rsid w:val="00574A3F"/>
    <w:rsid w:val="00574AE5"/>
    <w:rsid w:val="00574B43"/>
    <w:rsid w:val="00574E4C"/>
    <w:rsid w:val="00574EBE"/>
    <w:rsid w:val="0057510D"/>
    <w:rsid w:val="00575390"/>
    <w:rsid w:val="00575454"/>
    <w:rsid w:val="005754F9"/>
    <w:rsid w:val="005756FC"/>
    <w:rsid w:val="00575B78"/>
    <w:rsid w:val="00575C49"/>
    <w:rsid w:val="00575D1F"/>
    <w:rsid w:val="00576011"/>
    <w:rsid w:val="00576332"/>
    <w:rsid w:val="00576337"/>
    <w:rsid w:val="005763A0"/>
    <w:rsid w:val="00576541"/>
    <w:rsid w:val="005767BD"/>
    <w:rsid w:val="00576996"/>
    <w:rsid w:val="00576B0D"/>
    <w:rsid w:val="00576D44"/>
    <w:rsid w:val="00576D4F"/>
    <w:rsid w:val="005770B2"/>
    <w:rsid w:val="00577110"/>
    <w:rsid w:val="00577414"/>
    <w:rsid w:val="0057752C"/>
    <w:rsid w:val="00577814"/>
    <w:rsid w:val="005778C8"/>
    <w:rsid w:val="00577DD4"/>
    <w:rsid w:val="00577F4D"/>
    <w:rsid w:val="00577F92"/>
    <w:rsid w:val="005800DF"/>
    <w:rsid w:val="00580169"/>
    <w:rsid w:val="00580393"/>
    <w:rsid w:val="00580487"/>
    <w:rsid w:val="00580493"/>
    <w:rsid w:val="00580586"/>
    <w:rsid w:val="00580675"/>
    <w:rsid w:val="0058075E"/>
    <w:rsid w:val="005807E9"/>
    <w:rsid w:val="00580A71"/>
    <w:rsid w:val="00580FC0"/>
    <w:rsid w:val="00581217"/>
    <w:rsid w:val="005813F0"/>
    <w:rsid w:val="005816C7"/>
    <w:rsid w:val="005817AC"/>
    <w:rsid w:val="00581A72"/>
    <w:rsid w:val="00581B2B"/>
    <w:rsid w:val="00581D9E"/>
    <w:rsid w:val="00581DA4"/>
    <w:rsid w:val="00582452"/>
    <w:rsid w:val="00582466"/>
    <w:rsid w:val="0058265A"/>
    <w:rsid w:val="005827B2"/>
    <w:rsid w:val="00582830"/>
    <w:rsid w:val="00582A30"/>
    <w:rsid w:val="00582AA1"/>
    <w:rsid w:val="00582B0B"/>
    <w:rsid w:val="00582B77"/>
    <w:rsid w:val="00582BCE"/>
    <w:rsid w:val="00582C1B"/>
    <w:rsid w:val="00582E14"/>
    <w:rsid w:val="00582FB4"/>
    <w:rsid w:val="00582FE8"/>
    <w:rsid w:val="0058344D"/>
    <w:rsid w:val="005836F3"/>
    <w:rsid w:val="00583838"/>
    <w:rsid w:val="00583B05"/>
    <w:rsid w:val="00583F76"/>
    <w:rsid w:val="005841A2"/>
    <w:rsid w:val="00584289"/>
    <w:rsid w:val="00584415"/>
    <w:rsid w:val="00584533"/>
    <w:rsid w:val="00584D1A"/>
    <w:rsid w:val="0058517D"/>
    <w:rsid w:val="005855A0"/>
    <w:rsid w:val="0058573D"/>
    <w:rsid w:val="0058593D"/>
    <w:rsid w:val="005859E0"/>
    <w:rsid w:val="00585A87"/>
    <w:rsid w:val="00585C60"/>
    <w:rsid w:val="00585EB9"/>
    <w:rsid w:val="00586363"/>
    <w:rsid w:val="00586429"/>
    <w:rsid w:val="00586ADA"/>
    <w:rsid w:val="00586C85"/>
    <w:rsid w:val="00586DE2"/>
    <w:rsid w:val="00586E4D"/>
    <w:rsid w:val="00586F25"/>
    <w:rsid w:val="00586F68"/>
    <w:rsid w:val="005877AE"/>
    <w:rsid w:val="00590499"/>
    <w:rsid w:val="005904D8"/>
    <w:rsid w:val="00590AFD"/>
    <w:rsid w:val="00590F00"/>
    <w:rsid w:val="00590F2C"/>
    <w:rsid w:val="00591011"/>
    <w:rsid w:val="00591297"/>
    <w:rsid w:val="005916C8"/>
    <w:rsid w:val="00591A7F"/>
    <w:rsid w:val="00591AED"/>
    <w:rsid w:val="00591BED"/>
    <w:rsid w:val="00591D0E"/>
    <w:rsid w:val="00591E8E"/>
    <w:rsid w:val="005925E5"/>
    <w:rsid w:val="005926F1"/>
    <w:rsid w:val="00592AD1"/>
    <w:rsid w:val="00592CA2"/>
    <w:rsid w:val="00592D2B"/>
    <w:rsid w:val="00592E4D"/>
    <w:rsid w:val="00592FC6"/>
    <w:rsid w:val="0059304A"/>
    <w:rsid w:val="005933B5"/>
    <w:rsid w:val="0059359C"/>
    <w:rsid w:val="00593883"/>
    <w:rsid w:val="005939C2"/>
    <w:rsid w:val="00593ACE"/>
    <w:rsid w:val="00593AF3"/>
    <w:rsid w:val="00593BE1"/>
    <w:rsid w:val="00593CDD"/>
    <w:rsid w:val="00593EB0"/>
    <w:rsid w:val="00593ED9"/>
    <w:rsid w:val="00594113"/>
    <w:rsid w:val="00594248"/>
    <w:rsid w:val="00594295"/>
    <w:rsid w:val="0059435B"/>
    <w:rsid w:val="005943D6"/>
    <w:rsid w:val="00594C8B"/>
    <w:rsid w:val="00594EB1"/>
    <w:rsid w:val="00595036"/>
    <w:rsid w:val="00595977"/>
    <w:rsid w:val="00595A2F"/>
    <w:rsid w:val="00595B5B"/>
    <w:rsid w:val="00595E57"/>
    <w:rsid w:val="00595E7C"/>
    <w:rsid w:val="00596062"/>
    <w:rsid w:val="0059625D"/>
    <w:rsid w:val="005963B7"/>
    <w:rsid w:val="00596662"/>
    <w:rsid w:val="00596663"/>
    <w:rsid w:val="005967B4"/>
    <w:rsid w:val="00596808"/>
    <w:rsid w:val="00596ACE"/>
    <w:rsid w:val="00596C42"/>
    <w:rsid w:val="00596E7C"/>
    <w:rsid w:val="00596F51"/>
    <w:rsid w:val="00597517"/>
    <w:rsid w:val="00597EE5"/>
    <w:rsid w:val="00597F5A"/>
    <w:rsid w:val="005A03FC"/>
    <w:rsid w:val="005A0421"/>
    <w:rsid w:val="005A04B9"/>
    <w:rsid w:val="005A0697"/>
    <w:rsid w:val="005A070C"/>
    <w:rsid w:val="005A0DD0"/>
    <w:rsid w:val="005A1303"/>
    <w:rsid w:val="005A13DE"/>
    <w:rsid w:val="005A174C"/>
    <w:rsid w:val="005A189C"/>
    <w:rsid w:val="005A1AB3"/>
    <w:rsid w:val="005A1D8D"/>
    <w:rsid w:val="005A1DE6"/>
    <w:rsid w:val="005A1E81"/>
    <w:rsid w:val="005A24E5"/>
    <w:rsid w:val="005A25C4"/>
    <w:rsid w:val="005A269C"/>
    <w:rsid w:val="005A2A52"/>
    <w:rsid w:val="005A2A9D"/>
    <w:rsid w:val="005A2E64"/>
    <w:rsid w:val="005A3081"/>
    <w:rsid w:val="005A31DC"/>
    <w:rsid w:val="005A32A7"/>
    <w:rsid w:val="005A32F1"/>
    <w:rsid w:val="005A3742"/>
    <w:rsid w:val="005A384B"/>
    <w:rsid w:val="005A38B6"/>
    <w:rsid w:val="005A3B96"/>
    <w:rsid w:val="005A3F8E"/>
    <w:rsid w:val="005A5290"/>
    <w:rsid w:val="005A534E"/>
    <w:rsid w:val="005A55B3"/>
    <w:rsid w:val="005A5ABB"/>
    <w:rsid w:val="005A5B51"/>
    <w:rsid w:val="005A5D8C"/>
    <w:rsid w:val="005A61AF"/>
    <w:rsid w:val="005A62C4"/>
    <w:rsid w:val="005A663E"/>
    <w:rsid w:val="005A6797"/>
    <w:rsid w:val="005A6887"/>
    <w:rsid w:val="005A69DA"/>
    <w:rsid w:val="005A6C44"/>
    <w:rsid w:val="005A6DDD"/>
    <w:rsid w:val="005A6F49"/>
    <w:rsid w:val="005A720D"/>
    <w:rsid w:val="005A745D"/>
    <w:rsid w:val="005A74DA"/>
    <w:rsid w:val="005A75C7"/>
    <w:rsid w:val="005A76B0"/>
    <w:rsid w:val="005A7DAC"/>
    <w:rsid w:val="005A7DB0"/>
    <w:rsid w:val="005A7F34"/>
    <w:rsid w:val="005A7FA7"/>
    <w:rsid w:val="005B01CC"/>
    <w:rsid w:val="005B054F"/>
    <w:rsid w:val="005B0632"/>
    <w:rsid w:val="005B0B98"/>
    <w:rsid w:val="005B0C49"/>
    <w:rsid w:val="005B0DA8"/>
    <w:rsid w:val="005B0E0A"/>
    <w:rsid w:val="005B0E39"/>
    <w:rsid w:val="005B0EF8"/>
    <w:rsid w:val="005B113E"/>
    <w:rsid w:val="005B1364"/>
    <w:rsid w:val="005B1572"/>
    <w:rsid w:val="005B1963"/>
    <w:rsid w:val="005B1B36"/>
    <w:rsid w:val="005B1B39"/>
    <w:rsid w:val="005B276D"/>
    <w:rsid w:val="005B280C"/>
    <w:rsid w:val="005B2ACE"/>
    <w:rsid w:val="005B2B11"/>
    <w:rsid w:val="005B2BAB"/>
    <w:rsid w:val="005B2D50"/>
    <w:rsid w:val="005B2DA8"/>
    <w:rsid w:val="005B2FFE"/>
    <w:rsid w:val="005B3010"/>
    <w:rsid w:val="005B31FE"/>
    <w:rsid w:val="005B33C3"/>
    <w:rsid w:val="005B3664"/>
    <w:rsid w:val="005B394B"/>
    <w:rsid w:val="005B3A08"/>
    <w:rsid w:val="005B3EDD"/>
    <w:rsid w:val="005B3FF1"/>
    <w:rsid w:val="005B404E"/>
    <w:rsid w:val="005B4160"/>
    <w:rsid w:val="005B4262"/>
    <w:rsid w:val="005B4306"/>
    <w:rsid w:val="005B43D3"/>
    <w:rsid w:val="005B4434"/>
    <w:rsid w:val="005B4AFD"/>
    <w:rsid w:val="005B4B94"/>
    <w:rsid w:val="005B4BC0"/>
    <w:rsid w:val="005B4E71"/>
    <w:rsid w:val="005B4F17"/>
    <w:rsid w:val="005B506A"/>
    <w:rsid w:val="005B5078"/>
    <w:rsid w:val="005B536F"/>
    <w:rsid w:val="005B53BF"/>
    <w:rsid w:val="005B5714"/>
    <w:rsid w:val="005B58CB"/>
    <w:rsid w:val="005B598B"/>
    <w:rsid w:val="005B5A9F"/>
    <w:rsid w:val="005B5AB9"/>
    <w:rsid w:val="005B5B10"/>
    <w:rsid w:val="005B5CD5"/>
    <w:rsid w:val="005B5E6A"/>
    <w:rsid w:val="005B6037"/>
    <w:rsid w:val="005B60F6"/>
    <w:rsid w:val="005B6443"/>
    <w:rsid w:val="005B6573"/>
    <w:rsid w:val="005B6633"/>
    <w:rsid w:val="005B68CC"/>
    <w:rsid w:val="005B6A29"/>
    <w:rsid w:val="005B6B13"/>
    <w:rsid w:val="005B6B34"/>
    <w:rsid w:val="005B6DA0"/>
    <w:rsid w:val="005B71B4"/>
    <w:rsid w:val="005B74DF"/>
    <w:rsid w:val="005B752D"/>
    <w:rsid w:val="005B7603"/>
    <w:rsid w:val="005B7659"/>
    <w:rsid w:val="005B7983"/>
    <w:rsid w:val="005B798A"/>
    <w:rsid w:val="005B7B90"/>
    <w:rsid w:val="005B7E7E"/>
    <w:rsid w:val="005B7EA7"/>
    <w:rsid w:val="005B7EE4"/>
    <w:rsid w:val="005B7F06"/>
    <w:rsid w:val="005C030E"/>
    <w:rsid w:val="005C066E"/>
    <w:rsid w:val="005C0B32"/>
    <w:rsid w:val="005C0F6F"/>
    <w:rsid w:val="005C12D6"/>
    <w:rsid w:val="005C1592"/>
    <w:rsid w:val="005C196F"/>
    <w:rsid w:val="005C1D4C"/>
    <w:rsid w:val="005C2264"/>
    <w:rsid w:val="005C2301"/>
    <w:rsid w:val="005C23F9"/>
    <w:rsid w:val="005C2709"/>
    <w:rsid w:val="005C2925"/>
    <w:rsid w:val="005C2A08"/>
    <w:rsid w:val="005C3059"/>
    <w:rsid w:val="005C3496"/>
    <w:rsid w:val="005C3724"/>
    <w:rsid w:val="005C372F"/>
    <w:rsid w:val="005C3887"/>
    <w:rsid w:val="005C394F"/>
    <w:rsid w:val="005C3AEE"/>
    <w:rsid w:val="005C3C98"/>
    <w:rsid w:val="005C3E79"/>
    <w:rsid w:val="005C460E"/>
    <w:rsid w:val="005C4822"/>
    <w:rsid w:val="005C4FBD"/>
    <w:rsid w:val="005C5000"/>
    <w:rsid w:val="005C52D3"/>
    <w:rsid w:val="005C550F"/>
    <w:rsid w:val="005C5610"/>
    <w:rsid w:val="005C579B"/>
    <w:rsid w:val="005C583A"/>
    <w:rsid w:val="005C59B7"/>
    <w:rsid w:val="005C5A00"/>
    <w:rsid w:val="005C5A13"/>
    <w:rsid w:val="005C5D8A"/>
    <w:rsid w:val="005C6133"/>
    <w:rsid w:val="005C62B8"/>
    <w:rsid w:val="005C669A"/>
    <w:rsid w:val="005C67C1"/>
    <w:rsid w:val="005C68DE"/>
    <w:rsid w:val="005C6940"/>
    <w:rsid w:val="005C69E8"/>
    <w:rsid w:val="005C6EF4"/>
    <w:rsid w:val="005C70CB"/>
    <w:rsid w:val="005C713A"/>
    <w:rsid w:val="005C7247"/>
    <w:rsid w:val="005C72DF"/>
    <w:rsid w:val="005C7325"/>
    <w:rsid w:val="005C7B00"/>
    <w:rsid w:val="005C7BAE"/>
    <w:rsid w:val="005C7FA5"/>
    <w:rsid w:val="005C7FBE"/>
    <w:rsid w:val="005D01B2"/>
    <w:rsid w:val="005D03AC"/>
    <w:rsid w:val="005D07F8"/>
    <w:rsid w:val="005D09BD"/>
    <w:rsid w:val="005D0A44"/>
    <w:rsid w:val="005D0A56"/>
    <w:rsid w:val="005D0C30"/>
    <w:rsid w:val="005D0C53"/>
    <w:rsid w:val="005D0FE3"/>
    <w:rsid w:val="005D15D9"/>
    <w:rsid w:val="005D167F"/>
    <w:rsid w:val="005D1B7D"/>
    <w:rsid w:val="005D1CB5"/>
    <w:rsid w:val="005D1FC3"/>
    <w:rsid w:val="005D206E"/>
    <w:rsid w:val="005D21D7"/>
    <w:rsid w:val="005D2248"/>
    <w:rsid w:val="005D2272"/>
    <w:rsid w:val="005D2765"/>
    <w:rsid w:val="005D29DF"/>
    <w:rsid w:val="005D306B"/>
    <w:rsid w:val="005D3084"/>
    <w:rsid w:val="005D30A6"/>
    <w:rsid w:val="005D3428"/>
    <w:rsid w:val="005D3707"/>
    <w:rsid w:val="005D3BBC"/>
    <w:rsid w:val="005D3C19"/>
    <w:rsid w:val="005D3D6F"/>
    <w:rsid w:val="005D43C9"/>
    <w:rsid w:val="005D4B36"/>
    <w:rsid w:val="005D4C37"/>
    <w:rsid w:val="005D4D59"/>
    <w:rsid w:val="005D4EF7"/>
    <w:rsid w:val="005D507E"/>
    <w:rsid w:val="005D521B"/>
    <w:rsid w:val="005D55BE"/>
    <w:rsid w:val="005D568B"/>
    <w:rsid w:val="005D56D6"/>
    <w:rsid w:val="005D5858"/>
    <w:rsid w:val="005D59FE"/>
    <w:rsid w:val="005D5A86"/>
    <w:rsid w:val="005D5C3B"/>
    <w:rsid w:val="005D5CC3"/>
    <w:rsid w:val="005D6018"/>
    <w:rsid w:val="005D64E4"/>
    <w:rsid w:val="005D68B9"/>
    <w:rsid w:val="005D6935"/>
    <w:rsid w:val="005D69EC"/>
    <w:rsid w:val="005D6A3E"/>
    <w:rsid w:val="005D6F3F"/>
    <w:rsid w:val="005D71E2"/>
    <w:rsid w:val="005D73A9"/>
    <w:rsid w:val="005D7702"/>
    <w:rsid w:val="005D78B4"/>
    <w:rsid w:val="005D7CB3"/>
    <w:rsid w:val="005D7E6E"/>
    <w:rsid w:val="005E022D"/>
    <w:rsid w:val="005E04B5"/>
    <w:rsid w:val="005E06E1"/>
    <w:rsid w:val="005E08FB"/>
    <w:rsid w:val="005E0949"/>
    <w:rsid w:val="005E09FE"/>
    <w:rsid w:val="005E0DEC"/>
    <w:rsid w:val="005E0FB2"/>
    <w:rsid w:val="005E0FE2"/>
    <w:rsid w:val="005E15CB"/>
    <w:rsid w:val="005E17FB"/>
    <w:rsid w:val="005E18D9"/>
    <w:rsid w:val="005E1C44"/>
    <w:rsid w:val="005E1DA0"/>
    <w:rsid w:val="005E1DD2"/>
    <w:rsid w:val="005E1F74"/>
    <w:rsid w:val="005E20AA"/>
    <w:rsid w:val="005E221F"/>
    <w:rsid w:val="005E249B"/>
    <w:rsid w:val="005E24B5"/>
    <w:rsid w:val="005E25AF"/>
    <w:rsid w:val="005E263B"/>
    <w:rsid w:val="005E2EF6"/>
    <w:rsid w:val="005E3125"/>
    <w:rsid w:val="005E3881"/>
    <w:rsid w:val="005E3ADA"/>
    <w:rsid w:val="005E3C5D"/>
    <w:rsid w:val="005E3E5A"/>
    <w:rsid w:val="005E3FA5"/>
    <w:rsid w:val="005E4023"/>
    <w:rsid w:val="005E418F"/>
    <w:rsid w:val="005E4223"/>
    <w:rsid w:val="005E4272"/>
    <w:rsid w:val="005E4483"/>
    <w:rsid w:val="005E44E6"/>
    <w:rsid w:val="005E4748"/>
    <w:rsid w:val="005E4A22"/>
    <w:rsid w:val="005E4A6B"/>
    <w:rsid w:val="005E4BC2"/>
    <w:rsid w:val="005E50D6"/>
    <w:rsid w:val="005E5138"/>
    <w:rsid w:val="005E5234"/>
    <w:rsid w:val="005E5254"/>
    <w:rsid w:val="005E52F3"/>
    <w:rsid w:val="005E567A"/>
    <w:rsid w:val="005E56EA"/>
    <w:rsid w:val="005E58A5"/>
    <w:rsid w:val="005E58F1"/>
    <w:rsid w:val="005E5B52"/>
    <w:rsid w:val="005E5CE5"/>
    <w:rsid w:val="005E5DBA"/>
    <w:rsid w:val="005E6578"/>
    <w:rsid w:val="005E6621"/>
    <w:rsid w:val="005E6998"/>
    <w:rsid w:val="005E6D5D"/>
    <w:rsid w:val="005E7167"/>
    <w:rsid w:val="005E71B8"/>
    <w:rsid w:val="005E7C45"/>
    <w:rsid w:val="005E7F7E"/>
    <w:rsid w:val="005F005E"/>
    <w:rsid w:val="005F045C"/>
    <w:rsid w:val="005F04AB"/>
    <w:rsid w:val="005F0952"/>
    <w:rsid w:val="005F0A5A"/>
    <w:rsid w:val="005F0B76"/>
    <w:rsid w:val="005F0C7B"/>
    <w:rsid w:val="005F0F77"/>
    <w:rsid w:val="005F1161"/>
    <w:rsid w:val="005F14A8"/>
    <w:rsid w:val="005F19F9"/>
    <w:rsid w:val="005F1B59"/>
    <w:rsid w:val="005F20D0"/>
    <w:rsid w:val="005F20F7"/>
    <w:rsid w:val="005F2391"/>
    <w:rsid w:val="005F2944"/>
    <w:rsid w:val="005F2D10"/>
    <w:rsid w:val="005F2DAF"/>
    <w:rsid w:val="005F2DC6"/>
    <w:rsid w:val="005F2E2C"/>
    <w:rsid w:val="005F2F2A"/>
    <w:rsid w:val="005F304C"/>
    <w:rsid w:val="005F3227"/>
    <w:rsid w:val="005F32D2"/>
    <w:rsid w:val="005F3392"/>
    <w:rsid w:val="005F353A"/>
    <w:rsid w:val="005F35F4"/>
    <w:rsid w:val="005F369A"/>
    <w:rsid w:val="005F373A"/>
    <w:rsid w:val="005F3783"/>
    <w:rsid w:val="005F3B72"/>
    <w:rsid w:val="005F3D66"/>
    <w:rsid w:val="005F41AF"/>
    <w:rsid w:val="005F4488"/>
    <w:rsid w:val="005F468E"/>
    <w:rsid w:val="005F4819"/>
    <w:rsid w:val="005F48F3"/>
    <w:rsid w:val="005F4971"/>
    <w:rsid w:val="005F4BA9"/>
    <w:rsid w:val="005F4E76"/>
    <w:rsid w:val="005F506F"/>
    <w:rsid w:val="005F50B8"/>
    <w:rsid w:val="005F56FC"/>
    <w:rsid w:val="005F5B60"/>
    <w:rsid w:val="005F5DA5"/>
    <w:rsid w:val="005F5E42"/>
    <w:rsid w:val="005F5E63"/>
    <w:rsid w:val="005F5EE5"/>
    <w:rsid w:val="005F617A"/>
    <w:rsid w:val="005F61D7"/>
    <w:rsid w:val="005F635E"/>
    <w:rsid w:val="005F659B"/>
    <w:rsid w:val="005F675A"/>
    <w:rsid w:val="005F6BC7"/>
    <w:rsid w:val="005F6CF3"/>
    <w:rsid w:val="005F705F"/>
    <w:rsid w:val="005F726C"/>
    <w:rsid w:val="005F7389"/>
    <w:rsid w:val="005F73CE"/>
    <w:rsid w:val="005F7A70"/>
    <w:rsid w:val="005F7A8A"/>
    <w:rsid w:val="005F7DFE"/>
    <w:rsid w:val="005F7F24"/>
    <w:rsid w:val="005F7F85"/>
    <w:rsid w:val="0060015E"/>
    <w:rsid w:val="006001D3"/>
    <w:rsid w:val="00600425"/>
    <w:rsid w:val="0060063B"/>
    <w:rsid w:val="00600B27"/>
    <w:rsid w:val="00600C95"/>
    <w:rsid w:val="00601087"/>
    <w:rsid w:val="00601498"/>
    <w:rsid w:val="00601524"/>
    <w:rsid w:val="00601840"/>
    <w:rsid w:val="00601859"/>
    <w:rsid w:val="006019AE"/>
    <w:rsid w:val="00601B49"/>
    <w:rsid w:val="00601DB0"/>
    <w:rsid w:val="00601E6B"/>
    <w:rsid w:val="006024CC"/>
    <w:rsid w:val="006025D0"/>
    <w:rsid w:val="006028A4"/>
    <w:rsid w:val="00602A05"/>
    <w:rsid w:val="00602A51"/>
    <w:rsid w:val="00602A97"/>
    <w:rsid w:val="00602AD9"/>
    <w:rsid w:val="00602D02"/>
    <w:rsid w:val="006032CE"/>
    <w:rsid w:val="006033A1"/>
    <w:rsid w:val="00603818"/>
    <w:rsid w:val="0060381C"/>
    <w:rsid w:val="006038CB"/>
    <w:rsid w:val="00603B1D"/>
    <w:rsid w:val="00603C91"/>
    <w:rsid w:val="00603F56"/>
    <w:rsid w:val="00604343"/>
    <w:rsid w:val="00604443"/>
    <w:rsid w:val="0060445A"/>
    <w:rsid w:val="00604B79"/>
    <w:rsid w:val="00604CDD"/>
    <w:rsid w:val="00604E29"/>
    <w:rsid w:val="00605389"/>
    <w:rsid w:val="00606224"/>
    <w:rsid w:val="0060622D"/>
    <w:rsid w:val="006067DA"/>
    <w:rsid w:val="0060694D"/>
    <w:rsid w:val="00606D6B"/>
    <w:rsid w:val="006071F6"/>
    <w:rsid w:val="00607350"/>
    <w:rsid w:val="0060754F"/>
    <w:rsid w:val="00607586"/>
    <w:rsid w:val="00607C55"/>
    <w:rsid w:val="00607E76"/>
    <w:rsid w:val="00610095"/>
    <w:rsid w:val="00610218"/>
    <w:rsid w:val="00610264"/>
    <w:rsid w:val="006102B5"/>
    <w:rsid w:val="00610398"/>
    <w:rsid w:val="0061039C"/>
    <w:rsid w:val="00610559"/>
    <w:rsid w:val="00610E44"/>
    <w:rsid w:val="00610EF5"/>
    <w:rsid w:val="00611510"/>
    <w:rsid w:val="0061163F"/>
    <w:rsid w:val="00611675"/>
    <w:rsid w:val="006117FC"/>
    <w:rsid w:val="00611895"/>
    <w:rsid w:val="006118DE"/>
    <w:rsid w:val="00611B16"/>
    <w:rsid w:val="00611C18"/>
    <w:rsid w:val="00611C63"/>
    <w:rsid w:val="006122C2"/>
    <w:rsid w:val="006125DE"/>
    <w:rsid w:val="006127C1"/>
    <w:rsid w:val="00612849"/>
    <w:rsid w:val="00612980"/>
    <w:rsid w:val="006129F2"/>
    <w:rsid w:val="00612A1A"/>
    <w:rsid w:val="00612EC5"/>
    <w:rsid w:val="006131E5"/>
    <w:rsid w:val="00613884"/>
    <w:rsid w:val="0061389D"/>
    <w:rsid w:val="00613CEB"/>
    <w:rsid w:val="00613F9E"/>
    <w:rsid w:val="0061428E"/>
    <w:rsid w:val="00614551"/>
    <w:rsid w:val="00614553"/>
    <w:rsid w:val="00614AA0"/>
    <w:rsid w:val="00614D2F"/>
    <w:rsid w:val="00614E5C"/>
    <w:rsid w:val="00615002"/>
    <w:rsid w:val="0061536C"/>
    <w:rsid w:val="00615658"/>
    <w:rsid w:val="00615948"/>
    <w:rsid w:val="00615C16"/>
    <w:rsid w:val="00615F00"/>
    <w:rsid w:val="00615FE2"/>
    <w:rsid w:val="006160E4"/>
    <w:rsid w:val="0061614E"/>
    <w:rsid w:val="0061669C"/>
    <w:rsid w:val="0061728C"/>
    <w:rsid w:val="00617398"/>
    <w:rsid w:val="00617632"/>
    <w:rsid w:val="006176E0"/>
    <w:rsid w:val="006176FE"/>
    <w:rsid w:val="006176FF"/>
    <w:rsid w:val="006177F4"/>
    <w:rsid w:val="006179E0"/>
    <w:rsid w:val="00617B6F"/>
    <w:rsid w:val="00617D6D"/>
    <w:rsid w:val="00617EB4"/>
    <w:rsid w:val="00620192"/>
    <w:rsid w:val="006201CA"/>
    <w:rsid w:val="00620205"/>
    <w:rsid w:val="0062049E"/>
    <w:rsid w:val="006204DB"/>
    <w:rsid w:val="006206D1"/>
    <w:rsid w:val="0062071F"/>
    <w:rsid w:val="0062072E"/>
    <w:rsid w:val="00620C02"/>
    <w:rsid w:val="00620CC2"/>
    <w:rsid w:val="00621579"/>
    <w:rsid w:val="0062174F"/>
    <w:rsid w:val="00621789"/>
    <w:rsid w:val="00621883"/>
    <w:rsid w:val="0062191B"/>
    <w:rsid w:val="00621ACF"/>
    <w:rsid w:val="00621D55"/>
    <w:rsid w:val="00622198"/>
    <w:rsid w:val="00622719"/>
    <w:rsid w:val="00622C63"/>
    <w:rsid w:val="00622F64"/>
    <w:rsid w:val="006230EF"/>
    <w:rsid w:val="0062324B"/>
    <w:rsid w:val="0062333A"/>
    <w:rsid w:val="00623469"/>
    <w:rsid w:val="00623727"/>
    <w:rsid w:val="00623753"/>
    <w:rsid w:val="00623B8B"/>
    <w:rsid w:val="00623D6C"/>
    <w:rsid w:val="00623DE9"/>
    <w:rsid w:val="00623FB8"/>
    <w:rsid w:val="006240D2"/>
    <w:rsid w:val="00624BC7"/>
    <w:rsid w:val="00625013"/>
    <w:rsid w:val="0062538F"/>
    <w:rsid w:val="0062543E"/>
    <w:rsid w:val="0062565F"/>
    <w:rsid w:val="00625877"/>
    <w:rsid w:val="00625CBE"/>
    <w:rsid w:val="00625E85"/>
    <w:rsid w:val="00626304"/>
    <w:rsid w:val="00626B63"/>
    <w:rsid w:val="00626DD4"/>
    <w:rsid w:val="006270E4"/>
    <w:rsid w:val="0062723F"/>
    <w:rsid w:val="006272B3"/>
    <w:rsid w:val="00627706"/>
    <w:rsid w:val="006277E5"/>
    <w:rsid w:val="00627905"/>
    <w:rsid w:val="00627B7B"/>
    <w:rsid w:val="00630042"/>
    <w:rsid w:val="0063004D"/>
    <w:rsid w:val="006300DB"/>
    <w:rsid w:val="006303C8"/>
    <w:rsid w:val="00630432"/>
    <w:rsid w:val="00630802"/>
    <w:rsid w:val="0063089F"/>
    <w:rsid w:val="006309F5"/>
    <w:rsid w:val="00630F73"/>
    <w:rsid w:val="006311D6"/>
    <w:rsid w:val="00631210"/>
    <w:rsid w:val="0063151A"/>
    <w:rsid w:val="00631643"/>
    <w:rsid w:val="00631864"/>
    <w:rsid w:val="006319AD"/>
    <w:rsid w:val="00631A5E"/>
    <w:rsid w:val="00631B35"/>
    <w:rsid w:val="00631B6A"/>
    <w:rsid w:val="00631D92"/>
    <w:rsid w:val="0063200C"/>
    <w:rsid w:val="00632549"/>
    <w:rsid w:val="00632B13"/>
    <w:rsid w:val="00632C7D"/>
    <w:rsid w:val="00632E32"/>
    <w:rsid w:val="006331B3"/>
    <w:rsid w:val="00633782"/>
    <w:rsid w:val="00633B59"/>
    <w:rsid w:val="00633E46"/>
    <w:rsid w:val="00633E94"/>
    <w:rsid w:val="00633F19"/>
    <w:rsid w:val="0063400A"/>
    <w:rsid w:val="006340F8"/>
    <w:rsid w:val="0063411A"/>
    <w:rsid w:val="00634123"/>
    <w:rsid w:val="00634332"/>
    <w:rsid w:val="0063434F"/>
    <w:rsid w:val="00634417"/>
    <w:rsid w:val="006345F2"/>
    <w:rsid w:val="00634719"/>
    <w:rsid w:val="00634D6B"/>
    <w:rsid w:val="00634DBC"/>
    <w:rsid w:val="006359E8"/>
    <w:rsid w:val="00635AFD"/>
    <w:rsid w:val="00635C27"/>
    <w:rsid w:val="006361D8"/>
    <w:rsid w:val="006362AE"/>
    <w:rsid w:val="00636728"/>
    <w:rsid w:val="00636844"/>
    <w:rsid w:val="006368C5"/>
    <w:rsid w:val="006368C9"/>
    <w:rsid w:val="00636AA4"/>
    <w:rsid w:val="00636C85"/>
    <w:rsid w:val="00636D89"/>
    <w:rsid w:val="00636DA8"/>
    <w:rsid w:val="00637325"/>
    <w:rsid w:val="00637394"/>
    <w:rsid w:val="00637565"/>
    <w:rsid w:val="00637771"/>
    <w:rsid w:val="0063780C"/>
    <w:rsid w:val="00637E12"/>
    <w:rsid w:val="00637EA3"/>
    <w:rsid w:val="0064030E"/>
    <w:rsid w:val="0064035B"/>
    <w:rsid w:val="00640629"/>
    <w:rsid w:val="0064071E"/>
    <w:rsid w:val="006407C7"/>
    <w:rsid w:val="00640A03"/>
    <w:rsid w:val="00640A94"/>
    <w:rsid w:val="00640BF4"/>
    <w:rsid w:val="00640C28"/>
    <w:rsid w:val="00640EA4"/>
    <w:rsid w:val="00640EE7"/>
    <w:rsid w:val="00640FED"/>
    <w:rsid w:val="00641004"/>
    <w:rsid w:val="00641018"/>
    <w:rsid w:val="00641024"/>
    <w:rsid w:val="0064113C"/>
    <w:rsid w:val="006413B0"/>
    <w:rsid w:val="006416AC"/>
    <w:rsid w:val="0064185D"/>
    <w:rsid w:val="006419E5"/>
    <w:rsid w:val="00641AC6"/>
    <w:rsid w:val="00641B79"/>
    <w:rsid w:val="00641C29"/>
    <w:rsid w:val="00641F41"/>
    <w:rsid w:val="00641FDB"/>
    <w:rsid w:val="00642586"/>
    <w:rsid w:val="00642751"/>
    <w:rsid w:val="00642998"/>
    <w:rsid w:val="00642D14"/>
    <w:rsid w:val="00642DD1"/>
    <w:rsid w:val="0064323A"/>
    <w:rsid w:val="006433C1"/>
    <w:rsid w:val="006435B2"/>
    <w:rsid w:val="00643612"/>
    <w:rsid w:val="00643653"/>
    <w:rsid w:val="006437AE"/>
    <w:rsid w:val="00643B46"/>
    <w:rsid w:val="006441A3"/>
    <w:rsid w:val="00644231"/>
    <w:rsid w:val="00644429"/>
    <w:rsid w:val="006444CE"/>
    <w:rsid w:val="0064450C"/>
    <w:rsid w:val="0064456D"/>
    <w:rsid w:val="006449E7"/>
    <w:rsid w:val="00644CCC"/>
    <w:rsid w:val="00644EEF"/>
    <w:rsid w:val="00644EFC"/>
    <w:rsid w:val="00644F92"/>
    <w:rsid w:val="00645101"/>
    <w:rsid w:val="0064531C"/>
    <w:rsid w:val="0064532C"/>
    <w:rsid w:val="00645484"/>
    <w:rsid w:val="006455DE"/>
    <w:rsid w:val="00645A23"/>
    <w:rsid w:val="00645E05"/>
    <w:rsid w:val="00645F0A"/>
    <w:rsid w:val="006462A3"/>
    <w:rsid w:val="00646353"/>
    <w:rsid w:val="0064656B"/>
    <w:rsid w:val="00646590"/>
    <w:rsid w:val="00646606"/>
    <w:rsid w:val="0064689E"/>
    <w:rsid w:val="00646BFA"/>
    <w:rsid w:val="00646C89"/>
    <w:rsid w:val="00646FEB"/>
    <w:rsid w:val="00647238"/>
    <w:rsid w:val="00647250"/>
    <w:rsid w:val="00647335"/>
    <w:rsid w:val="0064797C"/>
    <w:rsid w:val="00647A89"/>
    <w:rsid w:val="006503A7"/>
    <w:rsid w:val="006503FE"/>
    <w:rsid w:val="00650476"/>
    <w:rsid w:val="006504B3"/>
    <w:rsid w:val="006504F3"/>
    <w:rsid w:val="006506F8"/>
    <w:rsid w:val="0065091A"/>
    <w:rsid w:val="00650F48"/>
    <w:rsid w:val="006513B3"/>
    <w:rsid w:val="006513F0"/>
    <w:rsid w:val="00651471"/>
    <w:rsid w:val="006517A2"/>
    <w:rsid w:val="00651879"/>
    <w:rsid w:val="00651FD7"/>
    <w:rsid w:val="0065255B"/>
    <w:rsid w:val="0065286E"/>
    <w:rsid w:val="006528C7"/>
    <w:rsid w:val="00652ED1"/>
    <w:rsid w:val="00652ED5"/>
    <w:rsid w:val="00653086"/>
    <w:rsid w:val="00653173"/>
    <w:rsid w:val="006535B8"/>
    <w:rsid w:val="006538CC"/>
    <w:rsid w:val="00653A6C"/>
    <w:rsid w:val="00653DE4"/>
    <w:rsid w:val="00653F39"/>
    <w:rsid w:val="006541AC"/>
    <w:rsid w:val="00654314"/>
    <w:rsid w:val="00654894"/>
    <w:rsid w:val="00654917"/>
    <w:rsid w:val="0065496A"/>
    <w:rsid w:val="006549F1"/>
    <w:rsid w:val="00654D43"/>
    <w:rsid w:val="0065503E"/>
    <w:rsid w:val="00655213"/>
    <w:rsid w:val="00655251"/>
    <w:rsid w:val="00655540"/>
    <w:rsid w:val="006557E0"/>
    <w:rsid w:val="006559F4"/>
    <w:rsid w:val="00655B0D"/>
    <w:rsid w:val="00655C29"/>
    <w:rsid w:val="00655C67"/>
    <w:rsid w:val="00655D00"/>
    <w:rsid w:val="00655F67"/>
    <w:rsid w:val="00656423"/>
    <w:rsid w:val="00656618"/>
    <w:rsid w:val="0065674D"/>
    <w:rsid w:val="00656766"/>
    <w:rsid w:val="0065679C"/>
    <w:rsid w:val="0065695F"/>
    <w:rsid w:val="00656C4F"/>
    <w:rsid w:val="00656D22"/>
    <w:rsid w:val="00656FF5"/>
    <w:rsid w:val="006570A6"/>
    <w:rsid w:val="0065731A"/>
    <w:rsid w:val="00657783"/>
    <w:rsid w:val="00657B2E"/>
    <w:rsid w:val="00657B88"/>
    <w:rsid w:val="00660078"/>
    <w:rsid w:val="0066058D"/>
    <w:rsid w:val="00660BB7"/>
    <w:rsid w:val="00660BD2"/>
    <w:rsid w:val="00660F4F"/>
    <w:rsid w:val="00661287"/>
    <w:rsid w:val="0066159D"/>
    <w:rsid w:val="006616A3"/>
    <w:rsid w:val="00661740"/>
    <w:rsid w:val="0066179B"/>
    <w:rsid w:val="006617D0"/>
    <w:rsid w:val="006619B4"/>
    <w:rsid w:val="006619C6"/>
    <w:rsid w:val="00661DBA"/>
    <w:rsid w:val="006623BB"/>
    <w:rsid w:val="006624C2"/>
    <w:rsid w:val="00662692"/>
    <w:rsid w:val="00662767"/>
    <w:rsid w:val="006629E2"/>
    <w:rsid w:val="00662C5D"/>
    <w:rsid w:val="00662F01"/>
    <w:rsid w:val="0066329B"/>
    <w:rsid w:val="0066352F"/>
    <w:rsid w:val="00663A0D"/>
    <w:rsid w:val="00663B3B"/>
    <w:rsid w:val="00663C3B"/>
    <w:rsid w:val="00663CDF"/>
    <w:rsid w:val="00664076"/>
    <w:rsid w:val="006640C6"/>
    <w:rsid w:val="006641A9"/>
    <w:rsid w:val="0066427D"/>
    <w:rsid w:val="00664608"/>
    <w:rsid w:val="0066490A"/>
    <w:rsid w:val="00664A48"/>
    <w:rsid w:val="00664BD2"/>
    <w:rsid w:val="00664D58"/>
    <w:rsid w:val="006651A6"/>
    <w:rsid w:val="00665D60"/>
    <w:rsid w:val="006660CC"/>
    <w:rsid w:val="00666212"/>
    <w:rsid w:val="00666396"/>
    <w:rsid w:val="006663AE"/>
    <w:rsid w:val="00666460"/>
    <w:rsid w:val="006664A3"/>
    <w:rsid w:val="00666900"/>
    <w:rsid w:val="0066698A"/>
    <w:rsid w:val="00666B31"/>
    <w:rsid w:val="00666B80"/>
    <w:rsid w:val="00666E79"/>
    <w:rsid w:val="0066732A"/>
    <w:rsid w:val="00667424"/>
    <w:rsid w:val="00667652"/>
    <w:rsid w:val="006677E4"/>
    <w:rsid w:val="00667879"/>
    <w:rsid w:val="00667E50"/>
    <w:rsid w:val="00667EF4"/>
    <w:rsid w:val="006701BF"/>
    <w:rsid w:val="006702C2"/>
    <w:rsid w:val="00670379"/>
    <w:rsid w:val="006705B0"/>
    <w:rsid w:val="006709A4"/>
    <w:rsid w:val="006709F6"/>
    <w:rsid w:val="00670B35"/>
    <w:rsid w:val="00671301"/>
    <w:rsid w:val="006714F1"/>
    <w:rsid w:val="00671661"/>
    <w:rsid w:val="006717ED"/>
    <w:rsid w:val="006718D9"/>
    <w:rsid w:val="0067195C"/>
    <w:rsid w:val="006719AF"/>
    <w:rsid w:val="00671C54"/>
    <w:rsid w:val="00671F90"/>
    <w:rsid w:val="006722D3"/>
    <w:rsid w:val="00672604"/>
    <w:rsid w:val="0067289D"/>
    <w:rsid w:val="00672F26"/>
    <w:rsid w:val="006730B7"/>
    <w:rsid w:val="00673202"/>
    <w:rsid w:val="0067374C"/>
    <w:rsid w:val="006739BD"/>
    <w:rsid w:val="00673F2F"/>
    <w:rsid w:val="006742E5"/>
    <w:rsid w:val="006743C6"/>
    <w:rsid w:val="00674758"/>
    <w:rsid w:val="00674A24"/>
    <w:rsid w:val="00674A48"/>
    <w:rsid w:val="00674E1E"/>
    <w:rsid w:val="00674F50"/>
    <w:rsid w:val="006750F3"/>
    <w:rsid w:val="006752C7"/>
    <w:rsid w:val="00675312"/>
    <w:rsid w:val="0067574A"/>
    <w:rsid w:val="0067576A"/>
    <w:rsid w:val="0067579B"/>
    <w:rsid w:val="00675BC0"/>
    <w:rsid w:val="00675C33"/>
    <w:rsid w:val="00675D0E"/>
    <w:rsid w:val="00675D67"/>
    <w:rsid w:val="00675E96"/>
    <w:rsid w:val="0067603D"/>
    <w:rsid w:val="006763AE"/>
    <w:rsid w:val="00676856"/>
    <w:rsid w:val="00676C23"/>
    <w:rsid w:val="00676C64"/>
    <w:rsid w:val="0067705A"/>
    <w:rsid w:val="006772A0"/>
    <w:rsid w:val="0067753E"/>
    <w:rsid w:val="006779B7"/>
    <w:rsid w:val="00677A92"/>
    <w:rsid w:val="00677BA9"/>
    <w:rsid w:val="00677C72"/>
    <w:rsid w:val="00677DD6"/>
    <w:rsid w:val="00677F37"/>
    <w:rsid w:val="0068055F"/>
    <w:rsid w:val="006806A6"/>
    <w:rsid w:val="00680778"/>
    <w:rsid w:val="00680A6C"/>
    <w:rsid w:val="00680BA3"/>
    <w:rsid w:val="00680BD8"/>
    <w:rsid w:val="00680C3D"/>
    <w:rsid w:val="00680D55"/>
    <w:rsid w:val="00681200"/>
    <w:rsid w:val="006812C2"/>
    <w:rsid w:val="006813D9"/>
    <w:rsid w:val="00681B3D"/>
    <w:rsid w:val="00681DF0"/>
    <w:rsid w:val="00681E9F"/>
    <w:rsid w:val="00681EE4"/>
    <w:rsid w:val="00681FB9"/>
    <w:rsid w:val="006820E5"/>
    <w:rsid w:val="00682269"/>
    <w:rsid w:val="00682E89"/>
    <w:rsid w:val="00683222"/>
    <w:rsid w:val="0068351C"/>
    <w:rsid w:val="00683928"/>
    <w:rsid w:val="00683ED0"/>
    <w:rsid w:val="00684122"/>
    <w:rsid w:val="006841DC"/>
    <w:rsid w:val="00684456"/>
    <w:rsid w:val="00684811"/>
    <w:rsid w:val="00684AC2"/>
    <w:rsid w:val="006851BC"/>
    <w:rsid w:val="006852CB"/>
    <w:rsid w:val="00685344"/>
    <w:rsid w:val="00685759"/>
    <w:rsid w:val="00685871"/>
    <w:rsid w:val="00685B37"/>
    <w:rsid w:val="00685D63"/>
    <w:rsid w:val="006862C1"/>
    <w:rsid w:val="00686581"/>
    <w:rsid w:val="00686595"/>
    <w:rsid w:val="0068670E"/>
    <w:rsid w:val="006868B1"/>
    <w:rsid w:val="00686B05"/>
    <w:rsid w:val="00686D41"/>
    <w:rsid w:val="00686EE7"/>
    <w:rsid w:val="0068727D"/>
    <w:rsid w:val="0068730E"/>
    <w:rsid w:val="00687AC7"/>
    <w:rsid w:val="00687C17"/>
    <w:rsid w:val="00687C8F"/>
    <w:rsid w:val="00687D81"/>
    <w:rsid w:val="006905C1"/>
    <w:rsid w:val="0069082F"/>
    <w:rsid w:val="006908D7"/>
    <w:rsid w:val="00690907"/>
    <w:rsid w:val="006909F5"/>
    <w:rsid w:val="00690B06"/>
    <w:rsid w:val="00690F36"/>
    <w:rsid w:val="00691168"/>
    <w:rsid w:val="00691202"/>
    <w:rsid w:val="006912E1"/>
    <w:rsid w:val="00691735"/>
    <w:rsid w:val="00691B61"/>
    <w:rsid w:val="00691C23"/>
    <w:rsid w:val="00691C44"/>
    <w:rsid w:val="00691F61"/>
    <w:rsid w:val="006923AD"/>
    <w:rsid w:val="00692437"/>
    <w:rsid w:val="00692567"/>
    <w:rsid w:val="006925E3"/>
    <w:rsid w:val="0069265A"/>
    <w:rsid w:val="00693251"/>
    <w:rsid w:val="006932E4"/>
    <w:rsid w:val="00693422"/>
    <w:rsid w:val="00693751"/>
    <w:rsid w:val="006938CD"/>
    <w:rsid w:val="00693948"/>
    <w:rsid w:val="00693A31"/>
    <w:rsid w:val="00693ACD"/>
    <w:rsid w:val="00693FC6"/>
    <w:rsid w:val="00694005"/>
    <w:rsid w:val="006940C8"/>
    <w:rsid w:val="006943AC"/>
    <w:rsid w:val="006944DA"/>
    <w:rsid w:val="0069454E"/>
    <w:rsid w:val="006945DE"/>
    <w:rsid w:val="00694694"/>
    <w:rsid w:val="00694774"/>
    <w:rsid w:val="00694A1D"/>
    <w:rsid w:val="00694E7F"/>
    <w:rsid w:val="006954DF"/>
    <w:rsid w:val="00695657"/>
    <w:rsid w:val="00695709"/>
    <w:rsid w:val="00695777"/>
    <w:rsid w:val="006959E5"/>
    <w:rsid w:val="00695B71"/>
    <w:rsid w:val="00695E53"/>
    <w:rsid w:val="00696364"/>
    <w:rsid w:val="0069658A"/>
    <w:rsid w:val="00696925"/>
    <w:rsid w:val="00696E41"/>
    <w:rsid w:val="0069741D"/>
    <w:rsid w:val="0069761B"/>
    <w:rsid w:val="0069767E"/>
    <w:rsid w:val="006976BE"/>
    <w:rsid w:val="0069784D"/>
    <w:rsid w:val="00697B92"/>
    <w:rsid w:val="00697DA0"/>
    <w:rsid w:val="00697DBE"/>
    <w:rsid w:val="0069B7EA"/>
    <w:rsid w:val="006A0059"/>
    <w:rsid w:val="006A019E"/>
    <w:rsid w:val="006A036C"/>
    <w:rsid w:val="006A06D9"/>
    <w:rsid w:val="006A07DA"/>
    <w:rsid w:val="006A09FD"/>
    <w:rsid w:val="006A0B1E"/>
    <w:rsid w:val="006A0CEA"/>
    <w:rsid w:val="006A0D06"/>
    <w:rsid w:val="006A1084"/>
    <w:rsid w:val="006A116A"/>
    <w:rsid w:val="006A11CC"/>
    <w:rsid w:val="006A1359"/>
    <w:rsid w:val="006A1599"/>
    <w:rsid w:val="006A1ADB"/>
    <w:rsid w:val="006A1B3F"/>
    <w:rsid w:val="006A1CD8"/>
    <w:rsid w:val="006A1EE3"/>
    <w:rsid w:val="006A2220"/>
    <w:rsid w:val="006A228A"/>
    <w:rsid w:val="006A2624"/>
    <w:rsid w:val="006A2723"/>
    <w:rsid w:val="006A2A76"/>
    <w:rsid w:val="006A2C63"/>
    <w:rsid w:val="006A2D61"/>
    <w:rsid w:val="006A2E8A"/>
    <w:rsid w:val="006A3273"/>
    <w:rsid w:val="006A361A"/>
    <w:rsid w:val="006A36EE"/>
    <w:rsid w:val="006A38C3"/>
    <w:rsid w:val="006A3A33"/>
    <w:rsid w:val="006A3C13"/>
    <w:rsid w:val="006A3EA6"/>
    <w:rsid w:val="006A43FC"/>
    <w:rsid w:val="006A4517"/>
    <w:rsid w:val="006A45AD"/>
    <w:rsid w:val="006A47BC"/>
    <w:rsid w:val="006A48D1"/>
    <w:rsid w:val="006A4B44"/>
    <w:rsid w:val="006A4B92"/>
    <w:rsid w:val="006A4BEB"/>
    <w:rsid w:val="006A4C7F"/>
    <w:rsid w:val="006A4FEB"/>
    <w:rsid w:val="006A5281"/>
    <w:rsid w:val="006A53B7"/>
    <w:rsid w:val="006A575A"/>
    <w:rsid w:val="006A58B8"/>
    <w:rsid w:val="006A5CA4"/>
    <w:rsid w:val="006A5D20"/>
    <w:rsid w:val="006A6496"/>
    <w:rsid w:val="006A6550"/>
    <w:rsid w:val="006A6652"/>
    <w:rsid w:val="006A68C7"/>
    <w:rsid w:val="006A6C75"/>
    <w:rsid w:val="006A6CEC"/>
    <w:rsid w:val="006A6D42"/>
    <w:rsid w:val="006A6DCD"/>
    <w:rsid w:val="006A6DEA"/>
    <w:rsid w:val="006A7044"/>
    <w:rsid w:val="006A70C5"/>
    <w:rsid w:val="006A7480"/>
    <w:rsid w:val="006A74E9"/>
    <w:rsid w:val="006A79B9"/>
    <w:rsid w:val="006A7D0A"/>
    <w:rsid w:val="006A7E49"/>
    <w:rsid w:val="006A7FCC"/>
    <w:rsid w:val="006B034E"/>
    <w:rsid w:val="006B0431"/>
    <w:rsid w:val="006B061D"/>
    <w:rsid w:val="006B0782"/>
    <w:rsid w:val="006B0AB6"/>
    <w:rsid w:val="006B0D5B"/>
    <w:rsid w:val="006B0E27"/>
    <w:rsid w:val="006B11DF"/>
    <w:rsid w:val="006B16A0"/>
    <w:rsid w:val="006B18AC"/>
    <w:rsid w:val="006B1C04"/>
    <w:rsid w:val="006B1E4D"/>
    <w:rsid w:val="006B1FE1"/>
    <w:rsid w:val="006B2081"/>
    <w:rsid w:val="006B2211"/>
    <w:rsid w:val="006B2268"/>
    <w:rsid w:val="006B27F4"/>
    <w:rsid w:val="006B28E0"/>
    <w:rsid w:val="006B2BA2"/>
    <w:rsid w:val="006B2D16"/>
    <w:rsid w:val="006B2F04"/>
    <w:rsid w:val="006B2F38"/>
    <w:rsid w:val="006B34E9"/>
    <w:rsid w:val="006B36D6"/>
    <w:rsid w:val="006B371B"/>
    <w:rsid w:val="006B3A52"/>
    <w:rsid w:val="006B3C84"/>
    <w:rsid w:val="006B3E66"/>
    <w:rsid w:val="006B40C7"/>
    <w:rsid w:val="006B410C"/>
    <w:rsid w:val="006B4135"/>
    <w:rsid w:val="006B41AB"/>
    <w:rsid w:val="006B4218"/>
    <w:rsid w:val="006B4347"/>
    <w:rsid w:val="006B4348"/>
    <w:rsid w:val="006B464C"/>
    <w:rsid w:val="006B47A5"/>
    <w:rsid w:val="006B4D38"/>
    <w:rsid w:val="006B4D9C"/>
    <w:rsid w:val="006B5480"/>
    <w:rsid w:val="006B5542"/>
    <w:rsid w:val="006B5823"/>
    <w:rsid w:val="006B5A7C"/>
    <w:rsid w:val="006B5CF3"/>
    <w:rsid w:val="006B5E8D"/>
    <w:rsid w:val="006B5EB2"/>
    <w:rsid w:val="006B5F65"/>
    <w:rsid w:val="006B5FAC"/>
    <w:rsid w:val="006B5FE3"/>
    <w:rsid w:val="006B5FE5"/>
    <w:rsid w:val="006B661B"/>
    <w:rsid w:val="006B68B2"/>
    <w:rsid w:val="006B6B42"/>
    <w:rsid w:val="006B6D1E"/>
    <w:rsid w:val="006B6D5F"/>
    <w:rsid w:val="006B70FF"/>
    <w:rsid w:val="006B7235"/>
    <w:rsid w:val="006B7AE5"/>
    <w:rsid w:val="006B7C15"/>
    <w:rsid w:val="006B7EDD"/>
    <w:rsid w:val="006C0103"/>
    <w:rsid w:val="006C04CA"/>
    <w:rsid w:val="006C0B7B"/>
    <w:rsid w:val="006C0CD0"/>
    <w:rsid w:val="006C0EC5"/>
    <w:rsid w:val="006C1041"/>
    <w:rsid w:val="006C1188"/>
    <w:rsid w:val="006C124B"/>
    <w:rsid w:val="006C14B8"/>
    <w:rsid w:val="006C15C3"/>
    <w:rsid w:val="006C1755"/>
    <w:rsid w:val="006C1835"/>
    <w:rsid w:val="006C1954"/>
    <w:rsid w:val="006C19E6"/>
    <w:rsid w:val="006C1A06"/>
    <w:rsid w:val="006C1A22"/>
    <w:rsid w:val="006C1D43"/>
    <w:rsid w:val="006C1E34"/>
    <w:rsid w:val="006C1E60"/>
    <w:rsid w:val="006C22D5"/>
    <w:rsid w:val="006C2406"/>
    <w:rsid w:val="006C248F"/>
    <w:rsid w:val="006C2A48"/>
    <w:rsid w:val="006C2BA4"/>
    <w:rsid w:val="006C2D3E"/>
    <w:rsid w:val="006C2DDA"/>
    <w:rsid w:val="006C2E69"/>
    <w:rsid w:val="006C2FB9"/>
    <w:rsid w:val="006C3100"/>
    <w:rsid w:val="006C312A"/>
    <w:rsid w:val="006C316B"/>
    <w:rsid w:val="006C3338"/>
    <w:rsid w:val="006C3617"/>
    <w:rsid w:val="006C36A7"/>
    <w:rsid w:val="006C3A05"/>
    <w:rsid w:val="006C3A3B"/>
    <w:rsid w:val="006C3B25"/>
    <w:rsid w:val="006C3FD7"/>
    <w:rsid w:val="006C42EC"/>
    <w:rsid w:val="006C48C7"/>
    <w:rsid w:val="006C4B12"/>
    <w:rsid w:val="006C4B5B"/>
    <w:rsid w:val="006C4F2B"/>
    <w:rsid w:val="006C531A"/>
    <w:rsid w:val="006C5457"/>
    <w:rsid w:val="006C547F"/>
    <w:rsid w:val="006C552A"/>
    <w:rsid w:val="006C5904"/>
    <w:rsid w:val="006C5A4D"/>
    <w:rsid w:val="006C62BA"/>
    <w:rsid w:val="006C682E"/>
    <w:rsid w:val="006C6B6B"/>
    <w:rsid w:val="006C6DC3"/>
    <w:rsid w:val="006C6E1E"/>
    <w:rsid w:val="006C6E2A"/>
    <w:rsid w:val="006C6E3C"/>
    <w:rsid w:val="006C6ED2"/>
    <w:rsid w:val="006C7085"/>
    <w:rsid w:val="006C7121"/>
    <w:rsid w:val="006C7168"/>
    <w:rsid w:val="006C7430"/>
    <w:rsid w:val="006C753C"/>
    <w:rsid w:val="006C75FC"/>
    <w:rsid w:val="006C7827"/>
    <w:rsid w:val="006C7AD1"/>
    <w:rsid w:val="006C7AE5"/>
    <w:rsid w:val="006C7B69"/>
    <w:rsid w:val="006C7CC5"/>
    <w:rsid w:val="006C7E77"/>
    <w:rsid w:val="006D025E"/>
    <w:rsid w:val="006D02E8"/>
    <w:rsid w:val="006D02FE"/>
    <w:rsid w:val="006D0402"/>
    <w:rsid w:val="006D05AD"/>
    <w:rsid w:val="006D05BB"/>
    <w:rsid w:val="006D0C13"/>
    <w:rsid w:val="006D0E37"/>
    <w:rsid w:val="006D0E43"/>
    <w:rsid w:val="006D1052"/>
    <w:rsid w:val="006D1253"/>
    <w:rsid w:val="006D128E"/>
    <w:rsid w:val="006D144B"/>
    <w:rsid w:val="006D17B2"/>
    <w:rsid w:val="006D17C7"/>
    <w:rsid w:val="006D1ABA"/>
    <w:rsid w:val="006D209C"/>
    <w:rsid w:val="006D21E1"/>
    <w:rsid w:val="006D25D2"/>
    <w:rsid w:val="006D271F"/>
    <w:rsid w:val="006D2AF0"/>
    <w:rsid w:val="006D2B17"/>
    <w:rsid w:val="006D3084"/>
    <w:rsid w:val="006D34AF"/>
    <w:rsid w:val="006D34BD"/>
    <w:rsid w:val="006D35F7"/>
    <w:rsid w:val="006D390E"/>
    <w:rsid w:val="006D3C66"/>
    <w:rsid w:val="006D3CA0"/>
    <w:rsid w:val="006D3D65"/>
    <w:rsid w:val="006D3F05"/>
    <w:rsid w:val="006D4662"/>
    <w:rsid w:val="006D474C"/>
    <w:rsid w:val="006D47AE"/>
    <w:rsid w:val="006D4AB2"/>
    <w:rsid w:val="006D4AE4"/>
    <w:rsid w:val="006D4CC5"/>
    <w:rsid w:val="006D4DB0"/>
    <w:rsid w:val="006D4EEC"/>
    <w:rsid w:val="006D51B0"/>
    <w:rsid w:val="006D5336"/>
    <w:rsid w:val="006D575A"/>
    <w:rsid w:val="006D5795"/>
    <w:rsid w:val="006D5C14"/>
    <w:rsid w:val="006D5D9E"/>
    <w:rsid w:val="006D5DD7"/>
    <w:rsid w:val="006D5E33"/>
    <w:rsid w:val="006D5F9D"/>
    <w:rsid w:val="006D60F2"/>
    <w:rsid w:val="006D6258"/>
    <w:rsid w:val="006D660D"/>
    <w:rsid w:val="006D6BA6"/>
    <w:rsid w:val="006D6BB6"/>
    <w:rsid w:val="006D6BEA"/>
    <w:rsid w:val="006D6C67"/>
    <w:rsid w:val="006D6F9C"/>
    <w:rsid w:val="006D77BA"/>
    <w:rsid w:val="006D787E"/>
    <w:rsid w:val="006D7D11"/>
    <w:rsid w:val="006D7ED4"/>
    <w:rsid w:val="006D7FAE"/>
    <w:rsid w:val="006E00A1"/>
    <w:rsid w:val="006E03AE"/>
    <w:rsid w:val="006E04C1"/>
    <w:rsid w:val="006E0F51"/>
    <w:rsid w:val="006E12D6"/>
    <w:rsid w:val="006E164E"/>
    <w:rsid w:val="006E1830"/>
    <w:rsid w:val="006E1B2E"/>
    <w:rsid w:val="006E1CFE"/>
    <w:rsid w:val="006E25BE"/>
    <w:rsid w:val="006E29DC"/>
    <w:rsid w:val="006E2A79"/>
    <w:rsid w:val="006E2C2D"/>
    <w:rsid w:val="006E2CEE"/>
    <w:rsid w:val="006E2E51"/>
    <w:rsid w:val="006E2E6C"/>
    <w:rsid w:val="006E2EFF"/>
    <w:rsid w:val="006E2F5E"/>
    <w:rsid w:val="006E2FE7"/>
    <w:rsid w:val="006E339A"/>
    <w:rsid w:val="006E33EA"/>
    <w:rsid w:val="006E37A8"/>
    <w:rsid w:val="006E3B43"/>
    <w:rsid w:val="006E3D33"/>
    <w:rsid w:val="006E3F95"/>
    <w:rsid w:val="006E3FF8"/>
    <w:rsid w:val="006E4022"/>
    <w:rsid w:val="006E422F"/>
    <w:rsid w:val="006E429F"/>
    <w:rsid w:val="006E475E"/>
    <w:rsid w:val="006E4A24"/>
    <w:rsid w:val="006E4C28"/>
    <w:rsid w:val="006E5134"/>
    <w:rsid w:val="006E51E8"/>
    <w:rsid w:val="006E54BE"/>
    <w:rsid w:val="006E5BE9"/>
    <w:rsid w:val="006E5C3A"/>
    <w:rsid w:val="006E61D8"/>
    <w:rsid w:val="006E64B5"/>
    <w:rsid w:val="006E65C1"/>
    <w:rsid w:val="006E65DF"/>
    <w:rsid w:val="006E6656"/>
    <w:rsid w:val="006E66A7"/>
    <w:rsid w:val="006E68CF"/>
    <w:rsid w:val="006E6A98"/>
    <w:rsid w:val="006E6E41"/>
    <w:rsid w:val="006E6F9F"/>
    <w:rsid w:val="006E77A7"/>
    <w:rsid w:val="006E79EC"/>
    <w:rsid w:val="006E79F9"/>
    <w:rsid w:val="006E7B61"/>
    <w:rsid w:val="006E7B98"/>
    <w:rsid w:val="006E7D6E"/>
    <w:rsid w:val="006E7EA4"/>
    <w:rsid w:val="006F0878"/>
    <w:rsid w:val="006F0B09"/>
    <w:rsid w:val="006F0C6A"/>
    <w:rsid w:val="006F111F"/>
    <w:rsid w:val="006F11CA"/>
    <w:rsid w:val="006F1254"/>
    <w:rsid w:val="006F12A4"/>
    <w:rsid w:val="006F15BF"/>
    <w:rsid w:val="006F15EB"/>
    <w:rsid w:val="006F175F"/>
    <w:rsid w:val="006F1939"/>
    <w:rsid w:val="006F1A4B"/>
    <w:rsid w:val="006F1C67"/>
    <w:rsid w:val="006F20CD"/>
    <w:rsid w:val="006F20E1"/>
    <w:rsid w:val="006F2206"/>
    <w:rsid w:val="006F2641"/>
    <w:rsid w:val="006F2876"/>
    <w:rsid w:val="006F29AC"/>
    <w:rsid w:val="006F2B4D"/>
    <w:rsid w:val="006F2C76"/>
    <w:rsid w:val="006F2CF1"/>
    <w:rsid w:val="006F2DA6"/>
    <w:rsid w:val="006F31DA"/>
    <w:rsid w:val="006F336B"/>
    <w:rsid w:val="006F33F0"/>
    <w:rsid w:val="006F4329"/>
    <w:rsid w:val="006F43BE"/>
    <w:rsid w:val="006F48A6"/>
    <w:rsid w:val="006F490B"/>
    <w:rsid w:val="006F4B72"/>
    <w:rsid w:val="006F4DE5"/>
    <w:rsid w:val="006F4E99"/>
    <w:rsid w:val="006F5038"/>
    <w:rsid w:val="006F519C"/>
    <w:rsid w:val="006F525A"/>
    <w:rsid w:val="006F532E"/>
    <w:rsid w:val="006F53CF"/>
    <w:rsid w:val="006F5584"/>
    <w:rsid w:val="006F5ADD"/>
    <w:rsid w:val="006F5C56"/>
    <w:rsid w:val="006F5C8D"/>
    <w:rsid w:val="006F5EEF"/>
    <w:rsid w:val="006F5EF3"/>
    <w:rsid w:val="006F6094"/>
    <w:rsid w:val="006F60D0"/>
    <w:rsid w:val="006F6384"/>
    <w:rsid w:val="006F6643"/>
    <w:rsid w:val="006F69E7"/>
    <w:rsid w:val="006F6A08"/>
    <w:rsid w:val="006F6A89"/>
    <w:rsid w:val="006F6F22"/>
    <w:rsid w:val="006F6F3E"/>
    <w:rsid w:val="006F7507"/>
    <w:rsid w:val="006F7789"/>
    <w:rsid w:val="006F7D76"/>
    <w:rsid w:val="007001F3"/>
    <w:rsid w:val="0070039C"/>
    <w:rsid w:val="007005EA"/>
    <w:rsid w:val="007007BF"/>
    <w:rsid w:val="007008F9"/>
    <w:rsid w:val="00701464"/>
    <w:rsid w:val="0070154F"/>
    <w:rsid w:val="00701D74"/>
    <w:rsid w:val="00701E8F"/>
    <w:rsid w:val="00702179"/>
    <w:rsid w:val="0070253B"/>
    <w:rsid w:val="00702DD2"/>
    <w:rsid w:val="00702FAA"/>
    <w:rsid w:val="0070353D"/>
    <w:rsid w:val="007036B2"/>
    <w:rsid w:val="00703803"/>
    <w:rsid w:val="00703D4B"/>
    <w:rsid w:val="00703D6E"/>
    <w:rsid w:val="00703EDB"/>
    <w:rsid w:val="00703F4F"/>
    <w:rsid w:val="007040F0"/>
    <w:rsid w:val="00704724"/>
    <w:rsid w:val="00704769"/>
    <w:rsid w:val="00704C72"/>
    <w:rsid w:val="00704E43"/>
    <w:rsid w:val="00704E8C"/>
    <w:rsid w:val="00705009"/>
    <w:rsid w:val="00705264"/>
    <w:rsid w:val="007052F1"/>
    <w:rsid w:val="007053D0"/>
    <w:rsid w:val="0070544F"/>
    <w:rsid w:val="00705725"/>
    <w:rsid w:val="00705AAE"/>
    <w:rsid w:val="00705CA9"/>
    <w:rsid w:val="00705CB6"/>
    <w:rsid w:val="00705D99"/>
    <w:rsid w:val="00705E61"/>
    <w:rsid w:val="00705E97"/>
    <w:rsid w:val="00705FFB"/>
    <w:rsid w:val="00706197"/>
    <w:rsid w:val="0070652F"/>
    <w:rsid w:val="007065DA"/>
    <w:rsid w:val="007066BC"/>
    <w:rsid w:val="007066D4"/>
    <w:rsid w:val="00706823"/>
    <w:rsid w:val="00706908"/>
    <w:rsid w:val="00706C9E"/>
    <w:rsid w:val="00706D8E"/>
    <w:rsid w:val="00706DC5"/>
    <w:rsid w:val="00706E94"/>
    <w:rsid w:val="00707547"/>
    <w:rsid w:val="007075A2"/>
    <w:rsid w:val="00707B13"/>
    <w:rsid w:val="00707D86"/>
    <w:rsid w:val="0071001C"/>
    <w:rsid w:val="007102A8"/>
    <w:rsid w:val="007107F4"/>
    <w:rsid w:val="00710823"/>
    <w:rsid w:val="00710B0F"/>
    <w:rsid w:val="00710B73"/>
    <w:rsid w:val="00710CC1"/>
    <w:rsid w:val="00710D75"/>
    <w:rsid w:val="00710DF7"/>
    <w:rsid w:val="00711113"/>
    <w:rsid w:val="0071126D"/>
    <w:rsid w:val="00711512"/>
    <w:rsid w:val="007116CE"/>
    <w:rsid w:val="00711863"/>
    <w:rsid w:val="00711A76"/>
    <w:rsid w:val="00711B35"/>
    <w:rsid w:val="00711E86"/>
    <w:rsid w:val="00712DB2"/>
    <w:rsid w:val="00712FBD"/>
    <w:rsid w:val="00712FCD"/>
    <w:rsid w:val="0071306F"/>
    <w:rsid w:val="007133F1"/>
    <w:rsid w:val="00713441"/>
    <w:rsid w:val="0071345B"/>
    <w:rsid w:val="007135FB"/>
    <w:rsid w:val="007136D8"/>
    <w:rsid w:val="00713AE1"/>
    <w:rsid w:val="00713C6C"/>
    <w:rsid w:val="00713EA3"/>
    <w:rsid w:val="007140EA"/>
    <w:rsid w:val="00714C89"/>
    <w:rsid w:val="00714E29"/>
    <w:rsid w:val="007152C7"/>
    <w:rsid w:val="0071532E"/>
    <w:rsid w:val="007153C8"/>
    <w:rsid w:val="007154E6"/>
    <w:rsid w:val="007157BF"/>
    <w:rsid w:val="00715A73"/>
    <w:rsid w:val="00715B77"/>
    <w:rsid w:val="0071655B"/>
    <w:rsid w:val="007165D6"/>
    <w:rsid w:val="007167A8"/>
    <w:rsid w:val="00716913"/>
    <w:rsid w:val="00716A03"/>
    <w:rsid w:val="00716B13"/>
    <w:rsid w:val="00716C6A"/>
    <w:rsid w:val="00716CD2"/>
    <w:rsid w:val="00716E25"/>
    <w:rsid w:val="0071708D"/>
    <w:rsid w:val="0071716F"/>
    <w:rsid w:val="007172C6"/>
    <w:rsid w:val="00717428"/>
    <w:rsid w:val="00717514"/>
    <w:rsid w:val="00717700"/>
    <w:rsid w:val="007177BB"/>
    <w:rsid w:val="007177E1"/>
    <w:rsid w:val="00717B15"/>
    <w:rsid w:val="00717DDC"/>
    <w:rsid w:val="00717FE1"/>
    <w:rsid w:val="00720520"/>
    <w:rsid w:val="00720607"/>
    <w:rsid w:val="00720CD7"/>
    <w:rsid w:val="00720CEB"/>
    <w:rsid w:val="00720DB4"/>
    <w:rsid w:val="00721031"/>
    <w:rsid w:val="00721320"/>
    <w:rsid w:val="00721548"/>
    <w:rsid w:val="00721950"/>
    <w:rsid w:val="007221A0"/>
    <w:rsid w:val="007222A7"/>
    <w:rsid w:val="00722302"/>
    <w:rsid w:val="0072289B"/>
    <w:rsid w:val="00722AA8"/>
    <w:rsid w:val="00722B00"/>
    <w:rsid w:val="00723001"/>
    <w:rsid w:val="0072300A"/>
    <w:rsid w:val="007230E2"/>
    <w:rsid w:val="0072327A"/>
    <w:rsid w:val="00723297"/>
    <w:rsid w:val="00723611"/>
    <w:rsid w:val="00723683"/>
    <w:rsid w:val="007237CF"/>
    <w:rsid w:val="007238A7"/>
    <w:rsid w:val="00723A3B"/>
    <w:rsid w:val="00723CE2"/>
    <w:rsid w:val="00723F01"/>
    <w:rsid w:val="00723F59"/>
    <w:rsid w:val="00723F65"/>
    <w:rsid w:val="00724350"/>
    <w:rsid w:val="00724AF2"/>
    <w:rsid w:val="00724DB5"/>
    <w:rsid w:val="0072511F"/>
    <w:rsid w:val="0072533A"/>
    <w:rsid w:val="00725389"/>
    <w:rsid w:val="0072564A"/>
    <w:rsid w:val="007256BC"/>
    <w:rsid w:val="00725A86"/>
    <w:rsid w:val="00725B43"/>
    <w:rsid w:val="00725D11"/>
    <w:rsid w:val="00725D54"/>
    <w:rsid w:val="00725EC5"/>
    <w:rsid w:val="00725FEE"/>
    <w:rsid w:val="00726209"/>
    <w:rsid w:val="00726420"/>
    <w:rsid w:val="00726428"/>
    <w:rsid w:val="0072653E"/>
    <w:rsid w:val="00726819"/>
    <w:rsid w:val="007268CE"/>
    <w:rsid w:val="007269C8"/>
    <w:rsid w:val="00726BAD"/>
    <w:rsid w:val="00726BE9"/>
    <w:rsid w:val="00727034"/>
    <w:rsid w:val="00727603"/>
    <w:rsid w:val="00727674"/>
    <w:rsid w:val="007279AD"/>
    <w:rsid w:val="00727BB8"/>
    <w:rsid w:val="00727E90"/>
    <w:rsid w:val="00727FCA"/>
    <w:rsid w:val="007300FE"/>
    <w:rsid w:val="0073023F"/>
    <w:rsid w:val="00730405"/>
    <w:rsid w:val="0073059E"/>
    <w:rsid w:val="00730934"/>
    <w:rsid w:val="00730E6B"/>
    <w:rsid w:val="00730E6D"/>
    <w:rsid w:val="00731110"/>
    <w:rsid w:val="007313CF"/>
    <w:rsid w:val="007316C0"/>
    <w:rsid w:val="00731756"/>
    <w:rsid w:val="007318CC"/>
    <w:rsid w:val="0073199F"/>
    <w:rsid w:val="00731A9C"/>
    <w:rsid w:val="00731B2D"/>
    <w:rsid w:val="00731BD7"/>
    <w:rsid w:val="00731CA2"/>
    <w:rsid w:val="007322FB"/>
    <w:rsid w:val="0073244B"/>
    <w:rsid w:val="007324B6"/>
    <w:rsid w:val="00732828"/>
    <w:rsid w:val="007329CA"/>
    <w:rsid w:val="00732AE1"/>
    <w:rsid w:val="00732BEB"/>
    <w:rsid w:val="00732C82"/>
    <w:rsid w:val="00732F2B"/>
    <w:rsid w:val="00733124"/>
    <w:rsid w:val="00733607"/>
    <w:rsid w:val="00733707"/>
    <w:rsid w:val="007337D2"/>
    <w:rsid w:val="007340D1"/>
    <w:rsid w:val="00734373"/>
    <w:rsid w:val="0073438D"/>
    <w:rsid w:val="00734B79"/>
    <w:rsid w:val="00734B8B"/>
    <w:rsid w:val="00734CA0"/>
    <w:rsid w:val="00734D53"/>
    <w:rsid w:val="00734F7B"/>
    <w:rsid w:val="00735067"/>
    <w:rsid w:val="007353D7"/>
    <w:rsid w:val="0073545E"/>
    <w:rsid w:val="0073553F"/>
    <w:rsid w:val="00735611"/>
    <w:rsid w:val="0073590F"/>
    <w:rsid w:val="0073596C"/>
    <w:rsid w:val="00735C52"/>
    <w:rsid w:val="00735E8A"/>
    <w:rsid w:val="00735EF5"/>
    <w:rsid w:val="007367A7"/>
    <w:rsid w:val="00736AAA"/>
    <w:rsid w:val="00736AEE"/>
    <w:rsid w:val="00736C12"/>
    <w:rsid w:val="00736C1F"/>
    <w:rsid w:val="00737024"/>
    <w:rsid w:val="00737239"/>
    <w:rsid w:val="00737492"/>
    <w:rsid w:val="00737533"/>
    <w:rsid w:val="007375DF"/>
    <w:rsid w:val="007375F4"/>
    <w:rsid w:val="00737838"/>
    <w:rsid w:val="007379E5"/>
    <w:rsid w:val="00737CF3"/>
    <w:rsid w:val="00740075"/>
    <w:rsid w:val="007409B3"/>
    <w:rsid w:val="00740B9B"/>
    <w:rsid w:val="00740BFB"/>
    <w:rsid w:val="00740CE6"/>
    <w:rsid w:val="00741123"/>
    <w:rsid w:val="0074115A"/>
    <w:rsid w:val="007411AE"/>
    <w:rsid w:val="00741390"/>
    <w:rsid w:val="007413C7"/>
    <w:rsid w:val="0074182D"/>
    <w:rsid w:val="00741C51"/>
    <w:rsid w:val="00741CD0"/>
    <w:rsid w:val="00741ED9"/>
    <w:rsid w:val="0074202D"/>
    <w:rsid w:val="0074236C"/>
    <w:rsid w:val="007423D3"/>
    <w:rsid w:val="007428F3"/>
    <w:rsid w:val="00742C2D"/>
    <w:rsid w:val="00742DB0"/>
    <w:rsid w:val="00742FC7"/>
    <w:rsid w:val="007431E2"/>
    <w:rsid w:val="00743221"/>
    <w:rsid w:val="0074325A"/>
    <w:rsid w:val="0074329E"/>
    <w:rsid w:val="0074334A"/>
    <w:rsid w:val="007437F2"/>
    <w:rsid w:val="00743D17"/>
    <w:rsid w:val="00743DCE"/>
    <w:rsid w:val="00743FE6"/>
    <w:rsid w:val="007446F9"/>
    <w:rsid w:val="00744B2F"/>
    <w:rsid w:val="00744BCE"/>
    <w:rsid w:val="00744BD3"/>
    <w:rsid w:val="00745345"/>
    <w:rsid w:val="00745841"/>
    <w:rsid w:val="007459CE"/>
    <w:rsid w:val="00745CBD"/>
    <w:rsid w:val="00745CE4"/>
    <w:rsid w:val="00745DA3"/>
    <w:rsid w:val="00746128"/>
    <w:rsid w:val="007463A3"/>
    <w:rsid w:val="007465F0"/>
    <w:rsid w:val="007466B9"/>
    <w:rsid w:val="00746BCC"/>
    <w:rsid w:val="00746E8D"/>
    <w:rsid w:val="00747546"/>
    <w:rsid w:val="00747AF5"/>
    <w:rsid w:val="00747C8E"/>
    <w:rsid w:val="00747D01"/>
    <w:rsid w:val="00750182"/>
    <w:rsid w:val="007501E0"/>
    <w:rsid w:val="007502F7"/>
    <w:rsid w:val="0075076A"/>
    <w:rsid w:val="007508B7"/>
    <w:rsid w:val="00750A29"/>
    <w:rsid w:val="00750DD4"/>
    <w:rsid w:val="00751170"/>
    <w:rsid w:val="00751629"/>
    <w:rsid w:val="00751833"/>
    <w:rsid w:val="00751C87"/>
    <w:rsid w:val="00751D28"/>
    <w:rsid w:val="00751DD9"/>
    <w:rsid w:val="00751EEA"/>
    <w:rsid w:val="00752287"/>
    <w:rsid w:val="0075229F"/>
    <w:rsid w:val="007522E1"/>
    <w:rsid w:val="007523D6"/>
    <w:rsid w:val="007524BD"/>
    <w:rsid w:val="00752613"/>
    <w:rsid w:val="0075270C"/>
    <w:rsid w:val="0075289D"/>
    <w:rsid w:val="00752D13"/>
    <w:rsid w:val="00752EF6"/>
    <w:rsid w:val="0075373B"/>
    <w:rsid w:val="00753778"/>
    <w:rsid w:val="007539F6"/>
    <w:rsid w:val="00753B7E"/>
    <w:rsid w:val="00753DE5"/>
    <w:rsid w:val="00753DEF"/>
    <w:rsid w:val="00753FA1"/>
    <w:rsid w:val="00754218"/>
    <w:rsid w:val="007542AF"/>
    <w:rsid w:val="00754471"/>
    <w:rsid w:val="00754514"/>
    <w:rsid w:val="007546BD"/>
    <w:rsid w:val="007546D5"/>
    <w:rsid w:val="00754886"/>
    <w:rsid w:val="007548BF"/>
    <w:rsid w:val="00754B4C"/>
    <w:rsid w:val="00754C87"/>
    <w:rsid w:val="007551A9"/>
    <w:rsid w:val="0075524A"/>
    <w:rsid w:val="00755312"/>
    <w:rsid w:val="0075531B"/>
    <w:rsid w:val="00755589"/>
    <w:rsid w:val="00755591"/>
    <w:rsid w:val="007555CF"/>
    <w:rsid w:val="00755A3C"/>
    <w:rsid w:val="0075615D"/>
    <w:rsid w:val="00756195"/>
    <w:rsid w:val="007561AA"/>
    <w:rsid w:val="00756392"/>
    <w:rsid w:val="007563BD"/>
    <w:rsid w:val="00756420"/>
    <w:rsid w:val="00756429"/>
    <w:rsid w:val="00756F16"/>
    <w:rsid w:val="00756FF2"/>
    <w:rsid w:val="0075722C"/>
    <w:rsid w:val="00757503"/>
    <w:rsid w:val="007578BF"/>
    <w:rsid w:val="0075797A"/>
    <w:rsid w:val="00757A70"/>
    <w:rsid w:val="00757C85"/>
    <w:rsid w:val="00757E47"/>
    <w:rsid w:val="00760015"/>
    <w:rsid w:val="00760017"/>
    <w:rsid w:val="00760305"/>
    <w:rsid w:val="007603E2"/>
    <w:rsid w:val="007603EF"/>
    <w:rsid w:val="00760BBC"/>
    <w:rsid w:val="00760BE5"/>
    <w:rsid w:val="00760C47"/>
    <w:rsid w:val="00760D09"/>
    <w:rsid w:val="00760EA8"/>
    <w:rsid w:val="00761072"/>
    <w:rsid w:val="007611B6"/>
    <w:rsid w:val="007612E9"/>
    <w:rsid w:val="007616B0"/>
    <w:rsid w:val="00761A79"/>
    <w:rsid w:val="00761C37"/>
    <w:rsid w:val="00762140"/>
    <w:rsid w:val="00762908"/>
    <w:rsid w:val="00762A66"/>
    <w:rsid w:val="00762BBF"/>
    <w:rsid w:val="00762C7A"/>
    <w:rsid w:val="00762C87"/>
    <w:rsid w:val="00762CE1"/>
    <w:rsid w:val="00762DF0"/>
    <w:rsid w:val="00762E56"/>
    <w:rsid w:val="00763285"/>
    <w:rsid w:val="00763347"/>
    <w:rsid w:val="007636CC"/>
    <w:rsid w:val="007636FA"/>
    <w:rsid w:val="007637ED"/>
    <w:rsid w:val="00763893"/>
    <w:rsid w:val="00763934"/>
    <w:rsid w:val="007640ED"/>
    <w:rsid w:val="00764576"/>
    <w:rsid w:val="00764602"/>
    <w:rsid w:val="00764735"/>
    <w:rsid w:val="007647D6"/>
    <w:rsid w:val="00764910"/>
    <w:rsid w:val="00764A35"/>
    <w:rsid w:val="00764A3B"/>
    <w:rsid w:val="00764C1B"/>
    <w:rsid w:val="00764D06"/>
    <w:rsid w:val="00764DE0"/>
    <w:rsid w:val="00764E25"/>
    <w:rsid w:val="00764EB0"/>
    <w:rsid w:val="0076501D"/>
    <w:rsid w:val="00765458"/>
    <w:rsid w:val="00765495"/>
    <w:rsid w:val="00765553"/>
    <w:rsid w:val="0076577A"/>
    <w:rsid w:val="00765A8D"/>
    <w:rsid w:val="00765BCA"/>
    <w:rsid w:val="00765F93"/>
    <w:rsid w:val="00765FED"/>
    <w:rsid w:val="0076630B"/>
    <w:rsid w:val="0076669A"/>
    <w:rsid w:val="0076697D"/>
    <w:rsid w:val="00766C6D"/>
    <w:rsid w:val="00766E58"/>
    <w:rsid w:val="00766F3E"/>
    <w:rsid w:val="0076701C"/>
    <w:rsid w:val="0076705C"/>
    <w:rsid w:val="007674CC"/>
    <w:rsid w:val="007676E6"/>
    <w:rsid w:val="007677E6"/>
    <w:rsid w:val="00767BF3"/>
    <w:rsid w:val="00767E19"/>
    <w:rsid w:val="00770078"/>
    <w:rsid w:val="00770188"/>
    <w:rsid w:val="0077095B"/>
    <w:rsid w:val="00770A29"/>
    <w:rsid w:val="00770C51"/>
    <w:rsid w:val="00770E00"/>
    <w:rsid w:val="00770F47"/>
    <w:rsid w:val="0077119D"/>
    <w:rsid w:val="00771352"/>
    <w:rsid w:val="00771745"/>
    <w:rsid w:val="00771A14"/>
    <w:rsid w:val="00771A4B"/>
    <w:rsid w:val="00771BEE"/>
    <w:rsid w:val="00771DA3"/>
    <w:rsid w:val="00772358"/>
    <w:rsid w:val="007725BE"/>
    <w:rsid w:val="007727AF"/>
    <w:rsid w:val="00772864"/>
    <w:rsid w:val="00772A23"/>
    <w:rsid w:val="00772A3F"/>
    <w:rsid w:val="00772B3B"/>
    <w:rsid w:val="00772CF4"/>
    <w:rsid w:val="00772DA1"/>
    <w:rsid w:val="00772DF8"/>
    <w:rsid w:val="00773092"/>
    <w:rsid w:val="007731C0"/>
    <w:rsid w:val="00773B1D"/>
    <w:rsid w:val="0077437E"/>
    <w:rsid w:val="0077477B"/>
    <w:rsid w:val="00774964"/>
    <w:rsid w:val="00774C04"/>
    <w:rsid w:val="00774F8C"/>
    <w:rsid w:val="00774FAA"/>
    <w:rsid w:val="00775039"/>
    <w:rsid w:val="00775073"/>
    <w:rsid w:val="00775283"/>
    <w:rsid w:val="0077547E"/>
    <w:rsid w:val="00775634"/>
    <w:rsid w:val="00775C89"/>
    <w:rsid w:val="00775CEE"/>
    <w:rsid w:val="00775CF3"/>
    <w:rsid w:val="00775DE9"/>
    <w:rsid w:val="0077603B"/>
    <w:rsid w:val="007760D5"/>
    <w:rsid w:val="007764E8"/>
    <w:rsid w:val="00776578"/>
    <w:rsid w:val="0077661D"/>
    <w:rsid w:val="007769FB"/>
    <w:rsid w:val="00776AD7"/>
    <w:rsid w:val="00776BEB"/>
    <w:rsid w:val="00776D22"/>
    <w:rsid w:val="00776D59"/>
    <w:rsid w:val="00776DDA"/>
    <w:rsid w:val="00777013"/>
    <w:rsid w:val="0077714C"/>
    <w:rsid w:val="0077717F"/>
    <w:rsid w:val="00777961"/>
    <w:rsid w:val="007801C5"/>
    <w:rsid w:val="007802D2"/>
    <w:rsid w:val="00780405"/>
    <w:rsid w:val="0078065F"/>
    <w:rsid w:val="007806D6"/>
    <w:rsid w:val="007807E3"/>
    <w:rsid w:val="0078086F"/>
    <w:rsid w:val="00780B07"/>
    <w:rsid w:val="00780F50"/>
    <w:rsid w:val="0078123A"/>
    <w:rsid w:val="0078192B"/>
    <w:rsid w:val="00781BC5"/>
    <w:rsid w:val="00781D2D"/>
    <w:rsid w:val="007821E9"/>
    <w:rsid w:val="0078231A"/>
    <w:rsid w:val="0078231E"/>
    <w:rsid w:val="007824EB"/>
    <w:rsid w:val="0078259C"/>
    <w:rsid w:val="007826B5"/>
    <w:rsid w:val="0078275F"/>
    <w:rsid w:val="00782A4E"/>
    <w:rsid w:val="00782A8C"/>
    <w:rsid w:val="00782AD5"/>
    <w:rsid w:val="00782ECC"/>
    <w:rsid w:val="00782FF6"/>
    <w:rsid w:val="007830CA"/>
    <w:rsid w:val="00783361"/>
    <w:rsid w:val="0078338D"/>
    <w:rsid w:val="0078352F"/>
    <w:rsid w:val="00783785"/>
    <w:rsid w:val="00783C91"/>
    <w:rsid w:val="00784144"/>
    <w:rsid w:val="0078463E"/>
    <w:rsid w:val="00784677"/>
    <w:rsid w:val="00784A21"/>
    <w:rsid w:val="00784D35"/>
    <w:rsid w:val="00784DB0"/>
    <w:rsid w:val="00784F58"/>
    <w:rsid w:val="0078527D"/>
    <w:rsid w:val="0078533B"/>
    <w:rsid w:val="0078536E"/>
    <w:rsid w:val="007853B3"/>
    <w:rsid w:val="007853BE"/>
    <w:rsid w:val="007859AA"/>
    <w:rsid w:val="007859C0"/>
    <w:rsid w:val="00785A7A"/>
    <w:rsid w:val="00785B4F"/>
    <w:rsid w:val="00785CCC"/>
    <w:rsid w:val="00785D83"/>
    <w:rsid w:val="0078616A"/>
    <w:rsid w:val="007862E8"/>
    <w:rsid w:val="0078657E"/>
    <w:rsid w:val="00786630"/>
    <w:rsid w:val="00786637"/>
    <w:rsid w:val="0078673A"/>
    <w:rsid w:val="00786EA3"/>
    <w:rsid w:val="007870ED"/>
    <w:rsid w:val="00787221"/>
    <w:rsid w:val="007873CD"/>
    <w:rsid w:val="00787460"/>
    <w:rsid w:val="007875D2"/>
    <w:rsid w:val="00787949"/>
    <w:rsid w:val="00787CAE"/>
    <w:rsid w:val="00787EA9"/>
    <w:rsid w:val="0079024E"/>
    <w:rsid w:val="00790972"/>
    <w:rsid w:val="00790BE9"/>
    <w:rsid w:val="00790E4E"/>
    <w:rsid w:val="00791650"/>
    <w:rsid w:val="0079192F"/>
    <w:rsid w:val="007919DB"/>
    <w:rsid w:val="00792005"/>
    <w:rsid w:val="00792460"/>
    <w:rsid w:val="007924FE"/>
    <w:rsid w:val="00792757"/>
    <w:rsid w:val="00792A8B"/>
    <w:rsid w:val="00792C5E"/>
    <w:rsid w:val="00792E95"/>
    <w:rsid w:val="0079300D"/>
    <w:rsid w:val="00793057"/>
    <w:rsid w:val="007932F3"/>
    <w:rsid w:val="007934C5"/>
    <w:rsid w:val="0079370C"/>
    <w:rsid w:val="007937C4"/>
    <w:rsid w:val="00793B17"/>
    <w:rsid w:val="00793C89"/>
    <w:rsid w:val="00793D6F"/>
    <w:rsid w:val="00793D96"/>
    <w:rsid w:val="00793E04"/>
    <w:rsid w:val="00793FE9"/>
    <w:rsid w:val="0079454B"/>
    <w:rsid w:val="007945BC"/>
    <w:rsid w:val="007945C8"/>
    <w:rsid w:val="0079467F"/>
    <w:rsid w:val="007948E4"/>
    <w:rsid w:val="00794BAA"/>
    <w:rsid w:val="00794BEC"/>
    <w:rsid w:val="00794F01"/>
    <w:rsid w:val="00795171"/>
    <w:rsid w:val="0079538B"/>
    <w:rsid w:val="0079542E"/>
    <w:rsid w:val="007957F2"/>
    <w:rsid w:val="00795C56"/>
    <w:rsid w:val="00796090"/>
    <w:rsid w:val="00796426"/>
    <w:rsid w:val="00796479"/>
    <w:rsid w:val="0079696B"/>
    <w:rsid w:val="007969EC"/>
    <w:rsid w:val="00796CCA"/>
    <w:rsid w:val="007971AD"/>
    <w:rsid w:val="0079726C"/>
    <w:rsid w:val="007972E5"/>
    <w:rsid w:val="007973E2"/>
    <w:rsid w:val="00797438"/>
    <w:rsid w:val="00797644"/>
    <w:rsid w:val="007977B3"/>
    <w:rsid w:val="007979EF"/>
    <w:rsid w:val="00797A37"/>
    <w:rsid w:val="00797A49"/>
    <w:rsid w:val="00797BBE"/>
    <w:rsid w:val="00797C71"/>
    <w:rsid w:val="00797C89"/>
    <w:rsid w:val="00797EE9"/>
    <w:rsid w:val="00797FA3"/>
    <w:rsid w:val="007A040B"/>
    <w:rsid w:val="007A07A6"/>
    <w:rsid w:val="007A0A4E"/>
    <w:rsid w:val="007A0D21"/>
    <w:rsid w:val="007A10AA"/>
    <w:rsid w:val="007A119B"/>
    <w:rsid w:val="007A11B8"/>
    <w:rsid w:val="007A11E0"/>
    <w:rsid w:val="007A1377"/>
    <w:rsid w:val="007A19E5"/>
    <w:rsid w:val="007A1DAC"/>
    <w:rsid w:val="007A1EBC"/>
    <w:rsid w:val="007A201D"/>
    <w:rsid w:val="007A2076"/>
    <w:rsid w:val="007A2173"/>
    <w:rsid w:val="007A2722"/>
    <w:rsid w:val="007A289A"/>
    <w:rsid w:val="007A2934"/>
    <w:rsid w:val="007A2DA3"/>
    <w:rsid w:val="007A2F1C"/>
    <w:rsid w:val="007A3004"/>
    <w:rsid w:val="007A32FD"/>
    <w:rsid w:val="007A341D"/>
    <w:rsid w:val="007A3432"/>
    <w:rsid w:val="007A3564"/>
    <w:rsid w:val="007A3691"/>
    <w:rsid w:val="007A39D8"/>
    <w:rsid w:val="007A3BB0"/>
    <w:rsid w:val="007A3CE2"/>
    <w:rsid w:val="007A449D"/>
    <w:rsid w:val="007A4509"/>
    <w:rsid w:val="007A49D1"/>
    <w:rsid w:val="007A4E5E"/>
    <w:rsid w:val="007A4EFB"/>
    <w:rsid w:val="007A4FA0"/>
    <w:rsid w:val="007A50AA"/>
    <w:rsid w:val="007A53F7"/>
    <w:rsid w:val="007A5A56"/>
    <w:rsid w:val="007A5B94"/>
    <w:rsid w:val="007A5D56"/>
    <w:rsid w:val="007A5D6B"/>
    <w:rsid w:val="007A5F02"/>
    <w:rsid w:val="007A64D1"/>
    <w:rsid w:val="007A6589"/>
    <w:rsid w:val="007A65FB"/>
    <w:rsid w:val="007A6631"/>
    <w:rsid w:val="007A675C"/>
    <w:rsid w:val="007A6C6E"/>
    <w:rsid w:val="007A746D"/>
    <w:rsid w:val="007A7500"/>
    <w:rsid w:val="007A7702"/>
    <w:rsid w:val="007A78C7"/>
    <w:rsid w:val="007A7C16"/>
    <w:rsid w:val="007A7CD6"/>
    <w:rsid w:val="007A7ECE"/>
    <w:rsid w:val="007A7FA4"/>
    <w:rsid w:val="007B00E2"/>
    <w:rsid w:val="007B0132"/>
    <w:rsid w:val="007B02B4"/>
    <w:rsid w:val="007B083D"/>
    <w:rsid w:val="007B0BA4"/>
    <w:rsid w:val="007B0DE9"/>
    <w:rsid w:val="007B1097"/>
    <w:rsid w:val="007B139A"/>
    <w:rsid w:val="007B14A1"/>
    <w:rsid w:val="007B151B"/>
    <w:rsid w:val="007B1525"/>
    <w:rsid w:val="007B1822"/>
    <w:rsid w:val="007B1BD0"/>
    <w:rsid w:val="007B1CA8"/>
    <w:rsid w:val="007B1D48"/>
    <w:rsid w:val="007B1E00"/>
    <w:rsid w:val="007B206A"/>
    <w:rsid w:val="007B2259"/>
    <w:rsid w:val="007B23AB"/>
    <w:rsid w:val="007B23E8"/>
    <w:rsid w:val="007B2833"/>
    <w:rsid w:val="007B2910"/>
    <w:rsid w:val="007B2A10"/>
    <w:rsid w:val="007B2BAD"/>
    <w:rsid w:val="007B2FC4"/>
    <w:rsid w:val="007B3365"/>
    <w:rsid w:val="007B350C"/>
    <w:rsid w:val="007B37EC"/>
    <w:rsid w:val="007B3891"/>
    <w:rsid w:val="007B394C"/>
    <w:rsid w:val="007B3FAB"/>
    <w:rsid w:val="007B423C"/>
    <w:rsid w:val="007B4283"/>
    <w:rsid w:val="007B4313"/>
    <w:rsid w:val="007B4479"/>
    <w:rsid w:val="007B450F"/>
    <w:rsid w:val="007B45C9"/>
    <w:rsid w:val="007B4758"/>
    <w:rsid w:val="007B4B97"/>
    <w:rsid w:val="007B4CD5"/>
    <w:rsid w:val="007B4CF6"/>
    <w:rsid w:val="007B4D05"/>
    <w:rsid w:val="007B52A1"/>
    <w:rsid w:val="007B5585"/>
    <w:rsid w:val="007B55D8"/>
    <w:rsid w:val="007B5726"/>
    <w:rsid w:val="007B5736"/>
    <w:rsid w:val="007B57E0"/>
    <w:rsid w:val="007B5EAE"/>
    <w:rsid w:val="007B5ED9"/>
    <w:rsid w:val="007B5F47"/>
    <w:rsid w:val="007B60F3"/>
    <w:rsid w:val="007B614E"/>
    <w:rsid w:val="007B62F9"/>
    <w:rsid w:val="007B641D"/>
    <w:rsid w:val="007B6476"/>
    <w:rsid w:val="007B66B1"/>
    <w:rsid w:val="007B68E0"/>
    <w:rsid w:val="007B6DB5"/>
    <w:rsid w:val="007B706F"/>
    <w:rsid w:val="007B70C0"/>
    <w:rsid w:val="007B7657"/>
    <w:rsid w:val="007B788F"/>
    <w:rsid w:val="007B7936"/>
    <w:rsid w:val="007B7991"/>
    <w:rsid w:val="007B7D74"/>
    <w:rsid w:val="007B7DC2"/>
    <w:rsid w:val="007C01A2"/>
    <w:rsid w:val="007C04B5"/>
    <w:rsid w:val="007C05FF"/>
    <w:rsid w:val="007C08E5"/>
    <w:rsid w:val="007C0B83"/>
    <w:rsid w:val="007C12DA"/>
    <w:rsid w:val="007C1647"/>
    <w:rsid w:val="007C187E"/>
    <w:rsid w:val="007C1C7C"/>
    <w:rsid w:val="007C1E3A"/>
    <w:rsid w:val="007C228F"/>
    <w:rsid w:val="007C2676"/>
    <w:rsid w:val="007C3275"/>
    <w:rsid w:val="007C3391"/>
    <w:rsid w:val="007C3532"/>
    <w:rsid w:val="007C377F"/>
    <w:rsid w:val="007C3A85"/>
    <w:rsid w:val="007C3EF3"/>
    <w:rsid w:val="007C3F52"/>
    <w:rsid w:val="007C40FC"/>
    <w:rsid w:val="007C41C9"/>
    <w:rsid w:val="007C4240"/>
    <w:rsid w:val="007C43FF"/>
    <w:rsid w:val="007C479A"/>
    <w:rsid w:val="007C47D7"/>
    <w:rsid w:val="007C488E"/>
    <w:rsid w:val="007C4892"/>
    <w:rsid w:val="007C49F2"/>
    <w:rsid w:val="007C4B36"/>
    <w:rsid w:val="007C4C68"/>
    <w:rsid w:val="007C4E91"/>
    <w:rsid w:val="007C505F"/>
    <w:rsid w:val="007C5132"/>
    <w:rsid w:val="007C5337"/>
    <w:rsid w:val="007C542B"/>
    <w:rsid w:val="007C5715"/>
    <w:rsid w:val="007C57E1"/>
    <w:rsid w:val="007C5A29"/>
    <w:rsid w:val="007C5A7F"/>
    <w:rsid w:val="007C5B82"/>
    <w:rsid w:val="007C5C13"/>
    <w:rsid w:val="007C5D22"/>
    <w:rsid w:val="007C5E6B"/>
    <w:rsid w:val="007C6689"/>
    <w:rsid w:val="007C6A83"/>
    <w:rsid w:val="007C7092"/>
    <w:rsid w:val="007C7288"/>
    <w:rsid w:val="007C72C1"/>
    <w:rsid w:val="007C72F8"/>
    <w:rsid w:val="007C7614"/>
    <w:rsid w:val="007C7628"/>
    <w:rsid w:val="007C78F7"/>
    <w:rsid w:val="007C7A42"/>
    <w:rsid w:val="007D02B8"/>
    <w:rsid w:val="007D0574"/>
    <w:rsid w:val="007D08E1"/>
    <w:rsid w:val="007D08F2"/>
    <w:rsid w:val="007D09BF"/>
    <w:rsid w:val="007D0F19"/>
    <w:rsid w:val="007D1058"/>
    <w:rsid w:val="007D1444"/>
    <w:rsid w:val="007D161E"/>
    <w:rsid w:val="007D1638"/>
    <w:rsid w:val="007D16D0"/>
    <w:rsid w:val="007D1728"/>
    <w:rsid w:val="007D1921"/>
    <w:rsid w:val="007D1976"/>
    <w:rsid w:val="007D1A6F"/>
    <w:rsid w:val="007D1C86"/>
    <w:rsid w:val="007D1D33"/>
    <w:rsid w:val="007D21EE"/>
    <w:rsid w:val="007D2455"/>
    <w:rsid w:val="007D25CF"/>
    <w:rsid w:val="007D2860"/>
    <w:rsid w:val="007D2969"/>
    <w:rsid w:val="007D2AEF"/>
    <w:rsid w:val="007D2B35"/>
    <w:rsid w:val="007D2CCA"/>
    <w:rsid w:val="007D2D55"/>
    <w:rsid w:val="007D2D91"/>
    <w:rsid w:val="007D2EC3"/>
    <w:rsid w:val="007D3387"/>
    <w:rsid w:val="007D339F"/>
    <w:rsid w:val="007D359D"/>
    <w:rsid w:val="007D37C2"/>
    <w:rsid w:val="007D3C33"/>
    <w:rsid w:val="007D3C4D"/>
    <w:rsid w:val="007D403F"/>
    <w:rsid w:val="007D4078"/>
    <w:rsid w:val="007D414F"/>
    <w:rsid w:val="007D4255"/>
    <w:rsid w:val="007D4390"/>
    <w:rsid w:val="007D43FA"/>
    <w:rsid w:val="007D4561"/>
    <w:rsid w:val="007D46ED"/>
    <w:rsid w:val="007D480E"/>
    <w:rsid w:val="007D4D99"/>
    <w:rsid w:val="007D51AE"/>
    <w:rsid w:val="007D55EE"/>
    <w:rsid w:val="007D563B"/>
    <w:rsid w:val="007D57FA"/>
    <w:rsid w:val="007D5EC5"/>
    <w:rsid w:val="007D6424"/>
    <w:rsid w:val="007D650D"/>
    <w:rsid w:val="007D670C"/>
    <w:rsid w:val="007D6938"/>
    <w:rsid w:val="007D705E"/>
    <w:rsid w:val="007D7251"/>
    <w:rsid w:val="007D737D"/>
    <w:rsid w:val="007D74C1"/>
    <w:rsid w:val="007D77F6"/>
    <w:rsid w:val="007D79FC"/>
    <w:rsid w:val="007D7F6C"/>
    <w:rsid w:val="007D7FA0"/>
    <w:rsid w:val="007E04EB"/>
    <w:rsid w:val="007E06AB"/>
    <w:rsid w:val="007E093A"/>
    <w:rsid w:val="007E0CD1"/>
    <w:rsid w:val="007E0DA9"/>
    <w:rsid w:val="007E1273"/>
    <w:rsid w:val="007E139A"/>
    <w:rsid w:val="007E13EF"/>
    <w:rsid w:val="007E1629"/>
    <w:rsid w:val="007E1AE8"/>
    <w:rsid w:val="007E1B3E"/>
    <w:rsid w:val="007E1B6D"/>
    <w:rsid w:val="007E1C45"/>
    <w:rsid w:val="007E1C9A"/>
    <w:rsid w:val="007E1CBD"/>
    <w:rsid w:val="007E1E4F"/>
    <w:rsid w:val="007E1E90"/>
    <w:rsid w:val="007E21F7"/>
    <w:rsid w:val="007E2304"/>
    <w:rsid w:val="007E272C"/>
    <w:rsid w:val="007E2D08"/>
    <w:rsid w:val="007E2E1A"/>
    <w:rsid w:val="007E323F"/>
    <w:rsid w:val="007E34A2"/>
    <w:rsid w:val="007E37FE"/>
    <w:rsid w:val="007E38D4"/>
    <w:rsid w:val="007E3AA2"/>
    <w:rsid w:val="007E3F2E"/>
    <w:rsid w:val="007E3F6A"/>
    <w:rsid w:val="007E416F"/>
    <w:rsid w:val="007E439E"/>
    <w:rsid w:val="007E4455"/>
    <w:rsid w:val="007E45B2"/>
    <w:rsid w:val="007E4881"/>
    <w:rsid w:val="007E5041"/>
    <w:rsid w:val="007E554F"/>
    <w:rsid w:val="007E5630"/>
    <w:rsid w:val="007E568A"/>
    <w:rsid w:val="007E5895"/>
    <w:rsid w:val="007E5E41"/>
    <w:rsid w:val="007E5EA8"/>
    <w:rsid w:val="007E62C1"/>
    <w:rsid w:val="007E64DC"/>
    <w:rsid w:val="007E6612"/>
    <w:rsid w:val="007E6AB4"/>
    <w:rsid w:val="007E6B8E"/>
    <w:rsid w:val="007E75DC"/>
    <w:rsid w:val="007E7655"/>
    <w:rsid w:val="007E76F5"/>
    <w:rsid w:val="007E79CA"/>
    <w:rsid w:val="007E7AD5"/>
    <w:rsid w:val="007E7E99"/>
    <w:rsid w:val="007F0300"/>
    <w:rsid w:val="007F0596"/>
    <w:rsid w:val="007F06F2"/>
    <w:rsid w:val="007F0918"/>
    <w:rsid w:val="007F0BB4"/>
    <w:rsid w:val="007F0BEB"/>
    <w:rsid w:val="007F0D10"/>
    <w:rsid w:val="007F12DE"/>
    <w:rsid w:val="007F1722"/>
    <w:rsid w:val="007F17C9"/>
    <w:rsid w:val="007F1B90"/>
    <w:rsid w:val="007F202B"/>
    <w:rsid w:val="007F2162"/>
    <w:rsid w:val="007F23CA"/>
    <w:rsid w:val="007F23F1"/>
    <w:rsid w:val="007F267A"/>
    <w:rsid w:val="007F2693"/>
    <w:rsid w:val="007F2814"/>
    <w:rsid w:val="007F290F"/>
    <w:rsid w:val="007F294E"/>
    <w:rsid w:val="007F2D5E"/>
    <w:rsid w:val="007F2DA1"/>
    <w:rsid w:val="007F2E9F"/>
    <w:rsid w:val="007F30CD"/>
    <w:rsid w:val="007F31BF"/>
    <w:rsid w:val="007F322D"/>
    <w:rsid w:val="007F331D"/>
    <w:rsid w:val="007F35E1"/>
    <w:rsid w:val="007F37FB"/>
    <w:rsid w:val="007F3897"/>
    <w:rsid w:val="007F39C8"/>
    <w:rsid w:val="007F3D5D"/>
    <w:rsid w:val="007F45BB"/>
    <w:rsid w:val="007F4A82"/>
    <w:rsid w:val="007F4F92"/>
    <w:rsid w:val="007F4FEA"/>
    <w:rsid w:val="007F50E4"/>
    <w:rsid w:val="007F5108"/>
    <w:rsid w:val="007F519B"/>
    <w:rsid w:val="007F51C6"/>
    <w:rsid w:val="007F532A"/>
    <w:rsid w:val="007F5423"/>
    <w:rsid w:val="007F56BD"/>
    <w:rsid w:val="007F59B7"/>
    <w:rsid w:val="007F5F56"/>
    <w:rsid w:val="007F6122"/>
    <w:rsid w:val="007F6394"/>
    <w:rsid w:val="007F63D3"/>
    <w:rsid w:val="007F64B1"/>
    <w:rsid w:val="007F64D0"/>
    <w:rsid w:val="007F65BC"/>
    <w:rsid w:val="007F6BC0"/>
    <w:rsid w:val="007F6BDE"/>
    <w:rsid w:val="007F702C"/>
    <w:rsid w:val="007F7202"/>
    <w:rsid w:val="007F735C"/>
    <w:rsid w:val="007F7614"/>
    <w:rsid w:val="007F7637"/>
    <w:rsid w:val="007F76BA"/>
    <w:rsid w:val="007F77E5"/>
    <w:rsid w:val="007F7A2B"/>
    <w:rsid w:val="007F7AD6"/>
    <w:rsid w:val="007F7CD4"/>
    <w:rsid w:val="007F7D52"/>
    <w:rsid w:val="007F7EFD"/>
    <w:rsid w:val="007F7FF8"/>
    <w:rsid w:val="0080025B"/>
    <w:rsid w:val="008003AA"/>
    <w:rsid w:val="008003FC"/>
    <w:rsid w:val="0080059A"/>
    <w:rsid w:val="00800676"/>
    <w:rsid w:val="00800774"/>
    <w:rsid w:val="00800B5B"/>
    <w:rsid w:val="00800D72"/>
    <w:rsid w:val="0080126E"/>
    <w:rsid w:val="008014F1"/>
    <w:rsid w:val="00801CC4"/>
    <w:rsid w:val="00801D44"/>
    <w:rsid w:val="00801DAA"/>
    <w:rsid w:val="00801E1A"/>
    <w:rsid w:val="008021C3"/>
    <w:rsid w:val="008021D4"/>
    <w:rsid w:val="008023E3"/>
    <w:rsid w:val="00802603"/>
    <w:rsid w:val="008028A2"/>
    <w:rsid w:val="00803022"/>
    <w:rsid w:val="008030FB"/>
    <w:rsid w:val="0080343A"/>
    <w:rsid w:val="008034A4"/>
    <w:rsid w:val="008036C4"/>
    <w:rsid w:val="00803A0B"/>
    <w:rsid w:val="00803AE5"/>
    <w:rsid w:val="00803D50"/>
    <w:rsid w:val="00803E64"/>
    <w:rsid w:val="00803FD6"/>
    <w:rsid w:val="008041E6"/>
    <w:rsid w:val="008043D6"/>
    <w:rsid w:val="00804698"/>
    <w:rsid w:val="00804C7C"/>
    <w:rsid w:val="00804DC2"/>
    <w:rsid w:val="00804DEF"/>
    <w:rsid w:val="00804F20"/>
    <w:rsid w:val="00805327"/>
    <w:rsid w:val="0080537A"/>
    <w:rsid w:val="008059BC"/>
    <w:rsid w:val="00805C87"/>
    <w:rsid w:val="00805CA7"/>
    <w:rsid w:val="00805E1E"/>
    <w:rsid w:val="00805EF0"/>
    <w:rsid w:val="00806145"/>
    <w:rsid w:val="008061C7"/>
    <w:rsid w:val="00806429"/>
    <w:rsid w:val="00806AEE"/>
    <w:rsid w:val="00806B1C"/>
    <w:rsid w:val="00806BD5"/>
    <w:rsid w:val="00806C2E"/>
    <w:rsid w:val="00806C53"/>
    <w:rsid w:val="00806CB3"/>
    <w:rsid w:val="00806ECC"/>
    <w:rsid w:val="008070C4"/>
    <w:rsid w:val="00807386"/>
    <w:rsid w:val="008075FC"/>
    <w:rsid w:val="008076FC"/>
    <w:rsid w:val="0080778F"/>
    <w:rsid w:val="00807829"/>
    <w:rsid w:val="008078F8"/>
    <w:rsid w:val="00807BA3"/>
    <w:rsid w:val="0081009F"/>
    <w:rsid w:val="00810113"/>
    <w:rsid w:val="00810530"/>
    <w:rsid w:val="0081061B"/>
    <w:rsid w:val="00810CCD"/>
    <w:rsid w:val="00810D0E"/>
    <w:rsid w:val="00811220"/>
    <w:rsid w:val="008112DB"/>
    <w:rsid w:val="0081139D"/>
    <w:rsid w:val="008116D8"/>
    <w:rsid w:val="00811A34"/>
    <w:rsid w:val="00811B0A"/>
    <w:rsid w:val="00811BF0"/>
    <w:rsid w:val="00811DCC"/>
    <w:rsid w:val="00811E96"/>
    <w:rsid w:val="00811FF1"/>
    <w:rsid w:val="0081218E"/>
    <w:rsid w:val="008121FC"/>
    <w:rsid w:val="00812286"/>
    <w:rsid w:val="00812376"/>
    <w:rsid w:val="008125FD"/>
    <w:rsid w:val="0081276F"/>
    <w:rsid w:val="00812B82"/>
    <w:rsid w:val="00812D11"/>
    <w:rsid w:val="00812E3B"/>
    <w:rsid w:val="0081328F"/>
    <w:rsid w:val="00813546"/>
    <w:rsid w:val="008135F2"/>
    <w:rsid w:val="00813637"/>
    <w:rsid w:val="00813918"/>
    <w:rsid w:val="00813ABF"/>
    <w:rsid w:val="00813D7D"/>
    <w:rsid w:val="00813DA2"/>
    <w:rsid w:val="0081406F"/>
    <w:rsid w:val="008141B4"/>
    <w:rsid w:val="00814683"/>
    <w:rsid w:val="008146DF"/>
    <w:rsid w:val="00814809"/>
    <w:rsid w:val="00814816"/>
    <w:rsid w:val="0081481F"/>
    <w:rsid w:val="008148AD"/>
    <w:rsid w:val="00814DE2"/>
    <w:rsid w:val="0081519A"/>
    <w:rsid w:val="0081524B"/>
    <w:rsid w:val="008152E0"/>
    <w:rsid w:val="008153FC"/>
    <w:rsid w:val="00815586"/>
    <w:rsid w:val="00815A37"/>
    <w:rsid w:val="00815B8B"/>
    <w:rsid w:val="00815E10"/>
    <w:rsid w:val="00815E81"/>
    <w:rsid w:val="00815E90"/>
    <w:rsid w:val="0081603D"/>
    <w:rsid w:val="00816155"/>
    <w:rsid w:val="0081622C"/>
    <w:rsid w:val="00816D87"/>
    <w:rsid w:val="00816FD6"/>
    <w:rsid w:val="00817499"/>
    <w:rsid w:val="008174EF"/>
    <w:rsid w:val="0081786C"/>
    <w:rsid w:val="008178B9"/>
    <w:rsid w:val="0081799D"/>
    <w:rsid w:val="00817CAB"/>
    <w:rsid w:val="00820012"/>
    <w:rsid w:val="00820068"/>
    <w:rsid w:val="008201A2"/>
    <w:rsid w:val="008201B0"/>
    <w:rsid w:val="008201E6"/>
    <w:rsid w:val="00820332"/>
    <w:rsid w:val="00820383"/>
    <w:rsid w:val="00820459"/>
    <w:rsid w:val="0082061F"/>
    <w:rsid w:val="00820747"/>
    <w:rsid w:val="00820835"/>
    <w:rsid w:val="00820B47"/>
    <w:rsid w:val="00820C90"/>
    <w:rsid w:val="00821271"/>
    <w:rsid w:val="00821383"/>
    <w:rsid w:val="008213FB"/>
    <w:rsid w:val="00821436"/>
    <w:rsid w:val="00821514"/>
    <w:rsid w:val="008215C1"/>
    <w:rsid w:val="008215F3"/>
    <w:rsid w:val="008219BB"/>
    <w:rsid w:val="00821DBC"/>
    <w:rsid w:val="0082225D"/>
    <w:rsid w:val="0082250D"/>
    <w:rsid w:val="00822666"/>
    <w:rsid w:val="00822953"/>
    <w:rsid w:val="00822A8E"/>
    <w:rsid w:val="00822AE6"/>
    <w:rsid w:val="00822D01"/>
    <w:rsid w:val="00822D17"/>
    <w:rsid w:val="00822D4E"/>
    <w:rsid w:val="00823035"/>
    <w:rsid w:val="008232A8"/>
    <w:rsid w:val="00823770"/>
    <w:rsid w:val="00823968"/>
    <w:rsid w:val="00823C44"/>
    <w:rsid w:val="00823C98"/>
    <w:rsid w:val="00823EC2"/>
    <w:rsid w:val="00824261"/>
    <w:rsid w:val="008245E7"/>
    <w:rsid w:val="0082482B"/>
    <w:rsid w:val="0082482C"/>
    <w:rsid w:val="00824925"/>
    <w:rsid w:val="008249AA"/>
    <w:rsid w:val="00824A00"/>
    <w:rsid w:val="00824B36"/>
    <w:rsid w:val="00824C7E"/>
    <w:rsid w:val="00824DCA"/>
    <w:rsid w:val="008250A0"/>
    <w:rsid w:val="0082520F"/>
    <w:rsid w:val="0082524B"/>
    <w:rsid w:val="0082524C"/>
    <w:rsid w:val="00825259"/>
    <w:rsid w:val="008252AE"/>
    <w:rsid w:val="0082540E"/>
    <w:rsid w:val="0082563E"/>
    <w:rsid w:val="008258C9"/>
    <w:rsid w:val="008258CE"/>
    <w:rsid w:val="00825A72"/>
    <w:rsid w:val="00825D16"/>
    <w:rsid w:val="00825DE8"/>
    <w:rsid w:val="00825F35"/>
    <w:rsid w:val="00825F66"/>
    <w:rsid w:val="00825FF7"/>
    <w:rsid w:val="0082601B"/>
    <w:rsid w:val="00826255"/>
    <w:rsid w:val="00826431"/>
    <w:rsid w:val="00826484"/>
    <w:rsid w:val="00826A3F"/>
    <w:rsid w:val="00826A91"/>
    <w:rsid w:val="00826CDA"/>
    <w:rsid w:val="00826D95"/>
    <w:rsid w:val="00826F1B"/>
    <w:rsid w:val="00826F47"/>
    <w:rsid w:val="008270D5"/>
    <w:rsid w:val="00827A79"/>
    <w:rsid w:val="00827F4D"/>
    <w:rsid w:val="00827F68"/>
    <w:rsid w:val="00830063"/>
    <w:rsid w:val="0083007F"/>
    <w:rsid w:val="00830C7F"/>
    <w:rsid w:val="00830F31"/>
    <w:rsid w:val="008311E6"/>
    <w:rsid w:val="0083126C"/>
    <w:rsid w:val="00831330"/>
    <w:rsid w:val="00831454"/>
    <w:rsid w:val="008315FC"/>
    <w:rsid w:val="00831992"/>
    <w:rsid w:val="00831A70"/>
    <w:rsid w:val="00831E2E"/>
    <w:rsid w:val="00831F00"/>
    <w:rsid w:val="00831F83"/>
    <w:rsid w:val="0083206B"/>
    <w:rsid w:val="00832211"/>
    <w:rsid w:val="00832219"/>
    <w:rsid w:val="0083225B"/>
    <w:rsid w:val="008329D8"/>
    <w:rsid w:val="00832B0B"/>
    <w:rsid w:val="00832B44"/>
    <w:rsid w:val="008330C4"/>
    <w:rsid w:val="008333C2"/>
    <w:rsid w:val="008333CD"/>
    <w:rsid w:val="008334A6"/>
    <w:rsid w:val="008334E8"/>
    <w:rsid w:val="008337BA"/>
    <w:rsid w:val="008337BD"/>
    <w:rsid w:val="00833985"/>
    <w:rsid w:val="00833B4D"/>
    <w:rsid w:val="00833B57"/>
    <w:rsid w:val="00833D5A"/>
    <w:rsid w:val="00833DC4"/>
    <w:rsid w:val="00833F06"/>
    <w:rsid w:val="0083404B"/>
    <w:rsid w:val="008341C1"/>
    <w:rsid w:val="008342DE"/>
    <w:rsid w:val="00834544"/>
    <w:rsid w:val="00834A28"/>
    <w:rsid w:val="00834B3D"/>
    <w:rsid w:val="00834F4E"/>
    <w:rsid w:val="00835265"/>
    <w:rsid w:val="0083589F"/>
    <w:rsid w:val="00835A00"/>
    <w:rsid w:val="00835A34"/>
    <w:rsid w:val="00835DC2"/>
    <w:rsid w:val="008360C0"/>
    <w:rsid w:val="00836719"/>
    <w:rsid w:val="0083697F"/>
    <w:rsid w:val="00836B1E"/>
    <w:rsid w:val="00836C25"/>
    <w:rsid w:val="00836E1B"/>
    <w:rsid w:val="00836E3F"/>
    <w:rsid w:val="00836E5B"/>
    <w:rsid w:val="00836F58"/>
    <w:rsid w:val="00837079"/>
    <w:rsid w:val="00837109"/>
    <w:rsid w:val="00837171"/>
    <w:rsid w:val="00837182"/>
    <w:rsid w:val="0083750E"/>
    <w:rsid w:val="00837842"/>
    <w:rsid w:val="008379BF"/>
    <w:rsid w:val="00837A48"/>
    <w:rsid w:val="00837CA1"/>
    <w:rsid w:val="00837CBA"/>
    <w:rsid w:val="00837D8F"/>
    <w:rsid w:val="00840175"/>
    <w:rsid w:val="0084029A"/>
    <w:rsid w:val="00840656"/>
    <w:rsid w:val="0084085B"/>
    <w:rsid w:val="00840AA3"/>
    <w:rsid w:val="00840E93"/>
    <w:rsid w:val="00840EC2"/>
    <w:rsid w:val="008410D4"/>
    <w:rsid w:val="0084129F"/>
    <w:rsid w:val="00841683"/>
    <w:rsid w:val="008418AA"/>
    <w:rsid w:val="00841B5C"/>
    <w:rsid w:val="00841C63"/>
    <w:rsid w:val="00841E59"/>
    <w:rsid w:val="00841F3F"/>
    <w:rsid w:val="00841FFA"/>
    <w:rsid w:val="00842158"/>
    <w:rsid w:val="00842605"/>
    <w:rsid w:val="00842D35"/>
    <w:rsid w:val="00843037"/>
    <w:rsid w:val="00843128"/>
    <w:rsid w:val="0084318E"/>
    <w:rsid w:val="00843191"/>
    <w:rsid w:val="008431C9"/>
    <w:rsid w:val="008433DF"/>
    <w:rsid w:val="008434DB"/>
    <w:rsid w:val="008435F7"/>
    <w:rsid w:val="0084369A"/>
    <w:rsid w:val="008439D5"/>
    <w:rsid w:val="00843AD0"/>
    <w:rsid w:val="00843BB3"/>
    <w:rsid w:val="00843E54"/>
    <w:rsid w:val="008443BA"/>
    <w:rsid w:val="0084446E"/>
    <w:rsid w:val="00844539"/>
    <w:rsid w:val="00844820"/>
    <w:rsid w:val="0084483C"/>
    <w:rsid w:val="0084492E"/>
    <w:rsid w:val="00844B48"/>
    <w:rsid w:val="00844E08"/>
    <w:rsid w:val="00844E6D"/>
    <w:rsid w:val="00844F9F"/>
    <w:rsid w:val="008452DD"/>
    <w:rsid w:val="008453E4"/>
    <w:rsid w:val="008458E4"/>
    <w:rsid w:val="00845979"/>
    <w:rsid w:val="008459D0"/>
    <w:rsid w:val="00845B33"/>
    <w:rsid w:val="00845B49"/>
    <w:rsid w:val="00845DD1"/>
    <w:rsid w:val="00845E1B"/>
    <w:rsid w:val="00845EBF"/>
    <w:rsid w:val="00845FE2"/>
    <w:rsid w:val="008460CF"/>
    <w:rsid w:val="008466FA"/>
    <w:rsid w:val="00846717"/>
    <w:rsid w:val="0084691E"/>
    <w:rsid w:val="00846D4D"/>
    <w:rsid w:val="00846E87"/>
    <w:rsid w:val="00846EB1"/>
    <w:rsid w:val="00846F0C"/>
    <w:rsid w:val="00847181"/>
    <w:rsid w:val="00847185"/>
    <w:rsid w:val="00847238"/>
    <w:rsid w:val="00847245"/>
    <w:rsid w:val="00847386"/>
    <w:rsid w:val="008477EC"/>
    <w:rsid w:val="00847CE8"/>
    <w:rsid w:val="00850140"/>
    <w:rsid w:val="008501E2"/>
    <w:rsid w:val="008505C7"/>
    <w:rsid w:val="00850710"/>
    <w:rsid w:val="00850996"/>
    <w:rsid w:val="00850D0A"/>
    <w:rsid w:val="00850D8B"/>
    <w:rsid w:val="00850D9A"/>
    <w:rsid w:val="00851CB4"/>
    <w:rsid w:val="00851D7F"/>
    <w:rsid w:val="00851E4F"/>
    <w:rsid w:val="00851FB8"/>
    <w:rsid w:val="008521F6"/>
    <w:rsid w:val="00852257"/>
    <w:rsid w:val="00852826"/>
    <w:rsid w:val="00852DE8"/>
    <w:rsid w:val="008534EF"/>
    <w:rsid w:val="00853795"/>
    <w:rsid w:val="0085382F"/>
    <w:rsid w:val="008539EC"/>
    <w:rsid w:val="00853B2F"/>
    <w:rsid w:val="00853C9C"/>
    <w:rsid w:val="0085430A"/>
    <w:rsid w:val="0085448B"/>
    <w:rsid w:val="00854A3E"/>
    <w:rsid w:val="00854D5E"/>
    <w:rsid w:val="00854FD3"/>
    <w:rsid w:val="00855019"/>
    <w:rsid w:val="00855285"/>
    <w:rsid w:val="0085532D"/>
    <w:rsid w:val="0085575C"/>
    <w:rsid w:val="008557A1"/>
    <w:rsid w:val="008558B0"/>
    <w:rsid w:val="00855938"/>
    <w:rsid w:val="00855BE1"/>
    <w:rsid w:val="00855EE6"/>
    <w:rsid w:val="00855FDF"/>
    <w:rsid w:val="0085670A"/>
    <w:rsid w:val="00856839"/>
    <w:rsid w:val="0085686C"/>
    <w:rsid w:val="00856D36"/>
    <w:rsid w:val="0085718E"/>
    <w:rsid w:val="00857593"/>
    <w:rsid w:val="0085766C"/>
    <w:rsid w:val="00857C4B"/>
    <w:rsid w:val="00857CF3"/>
    <w:rsid w:val="00857F58"/>
    <w:rsid w:val="00860532"/>
    <w:rsid w:val="008607CE"/>
    <w:rsid w:val="008608D1"/>
    <w:rsid w:val="00860B01"/>
    <w:rsid w:val="00860B24"/>
    <w:rsid w:val="00861347"/>
    <w:rsid w:val="008615CF"/>
    <w:rsid w:val="00861850"/>
    <w:rsid w:val="0086193F"/>
    <w:rsid w:val="008619F3"/>
    <w:rsid w:val="00861B9F"/>
    <w:rsid w:val="00861BBC"/>
    <w:rsid w:val="00861CF1"/>
    <w:rsid w:val="00861E50"/>
    <w:rsid w:val="00861ED2"/>
    <w:rsid w:val="00862010"/>
    <w:rsid w:val="0086272B"/>
    <w:rsid w:val="008628FF"/>
    <w:rsid w:val="0086299E"/>
    <w:rsid w:val="008629CA"/>
    <w:rsid w:val="00862B8A"/>
    <w:rsid w:val="00862C09"/>
    <w:rsid w:val="00862DCF"/>
    <w:rsid w:val="00863007"/>
    <w:rsid w:val="0086329A"/>
    <w:rsid w:val="00863394"/>
    <w:rsid w:val="008634FD"/>
    <w:rsid w:val="008636B5"/>
    <w:rsid w:val="008636F0"/>
    <w:rsid w:val="0086395B"/>
    <w:rsid w:val="00863C21"/>
    <w:rsid w:val="00864099"/>
    <w:rsid w:val="00864591"/>
    <w:rsid w:val="008646C8"/>
    <w:rsid w:val="00864969"/>
    <w:rsid w:val="00864AFC"/>
    <w:rsid w:val="00864B6B"/>
    <w:rsid w:val="00864BC9"/>
    <w:rsid w:val="00864F1D"/>
    <w:rsid w:val="00864F77"/>
    <w:rsid w:val="00865274"/>
    <w:rsid w:val="0086528D"/>
    <w:rsid w:val="008655E9"/>
    <w:rsid w:val="008659E6"/>
    <w:rsid w:val="00865BAF"/>
    <w:rsid w:val="00865C3B"/>
    <w:rsid w:val="00865DC0"/>
    <w:rsid w:val="00865E54"/>
    <w:rsid w:val="008660EE"/>
    <w:rsid w:val="0086661A"/>
    <w:rsid w:val="0086672D"/>
    <w:rsid w:val="0086681C"/>
    <w:rsid w:val="00867091"/>
    <w:rsid w:val="0086758B"/>
    <w:rsid w:val="00867642"/>
    <w:rsid w:val="008676AB"/>
    <w:rsid w:val="00867832"/>
    <w:rsid w:val="00867836"/>
    <w:rsid w:val="008679B4"/>
    <w:rsid w:val="00867AB1"/>
    <w:rsid w:val="00867C73"/>
    <w:rsid w:val="00867D64"/>
    <w:rsid w:val="00867D83"/>
    <w:rsid w:val="00867E84"/>
    <w:rsid w:val="0087004F"/>
    <w:rsid w:val="00870119"/>
    <w:rsid w:val="0087012E"/>
    <w:rsid w:val="008704FD"/>
    <w:rsid w:val="008706E5"/>
    <w:rsid w:val="00870839"/>
    <w:rsid w:val="00870954"/>
    <w:rsid w:val="00870A32"/>
    <w:rsid w:val="00870CCB"/>
    <w:rsid w:val="00870DE4"/>
    <w:rsid w:val="00870DED"/>
    <w:rsid w:val="008714D8"/>
    <w:rsid w:val="008715BC"/>
    <w:rsid w:val="0087161F"/>
    <w:rsid w:val="0087173E"/>
    <w:rsid w:val="0087186F"/>
    <w:rsid w:val="008718E9"/>
    <w:rsid w:val="008720D0"/>
    <w:rsid w:val="00872137"/>
    <w:rsid w:val="00872543"/>
    <w:rsid w:val="0087285F"/>
    <w:rsid w:val="00872968"/>
    <w:rsid w:val="00872C19"/>
    <w:rsid w:val="00872C60"/>
    <w:rsid w:val="00872D6F"/>
    <w:rsid w:val="00872D87"/>
    <w:rsid w:val="00872DB8"/>
    <w:rsid w:val="00872DD6"/>
    <w:rsid w:val="0087349D"/>
    <w:rsid w:val="00873658"/>
    <w:rsid w:val="008738DA"/>
    <w:rsid w:val="00873A25"/>
    <w:rsid w:val="00873B72"/>
    <w:rsid w:val="00873DD4"/>
    <w:rsid w:val="00873EA5"/>
    <w:rsid w:val="00873EF0"/>
    <w:rsid w:val="008741F1"/>
    <w:rsid w:val="00874248"/>
    <w:rsid w:val="00874511"/>
    <w:rsid w:val="00874587"/>
    <w:rsid w:val="008746FC"/>
    <w:rsid w:val="00874CD3"/>
    <w:rsid w:val="00874DA4"/>
    <w:rsid w:val="00875200"/>
    <w:rsid w:val="00875376"/>
    <w:rsid w:val="00875526"/>
    <w:rsid w:val="008759DF"/>
    <w:rsid w:val="00875A3F"/>
    <w:rsid w:val="00875B3C"/>
    <w:rsid w:val="00875C96"/>
    <w:rsid w:val="00875CCE"/>
    <w:rsid w:val="00875D3A"/>
    <w:rsid w:val="00875DEF"/>
    <w:rsid w:val="008761D5"/>
    <w:rsid w:val="00876360"/>
    <w:rsid w:val="008764D9"/>
    <w:rsid w:val="00876C73"/>
    <w:rsid w:val="00876F43"/>
    <w:rsid w:val="00876FA0"/>
    <w:rsid w:val="00876FF3"/>
    <w:rsid w:val="0087708E"/>
    <w:rsid w:val="00877266"/>
    <w:rsid w:val="00877456"/>
    <w:rsid w:val="00877460"/>
    <w:rsid w:val="008777D1"/>
    <w:rsid w:val="00877FB1"/>
    <w:rsid w:val="00880718"/>
    <w:rsid w:val="00880868"/>
    <w:rsid w:val="00880920"/>
    <w:rsid w:val="00880AD4"/>
    <w:rsid w:val="00880AF8"/>
    <w:rsid w:val="00880D30"/>
    <w:rsid w:val="00880D57"/>
    <w:rsid w:val="00880FF6"/>
    <w:rsid w:val="00881203"/>
    <w:rsid w:val="008813B7"/>
    <w:rsid w:val="0088148E"/>
    <w:rsid w:val="008815F0"/>
    <w:rsid w:val="008818FA"/>
    <w:rsid w:val="00881A68"/>
    <w:rsid w:val="00881B66"/>
    <w:rsid w:val="00882024"/>
    <w:rsid w:val="0088225F"/>
    <w:rsid w:val="0088246C"/>
    <w:rsid w:val="0088290D"/>
    <w:rsid w:val="00882989"/>
    <w:rsid w:val="00882B3F"/>
    <w:rsid w:val="00882C7E"/>
    <w:rsid w:val="00882CE8"/>
    <w:rsid w:val="00882DDF"/>
    <w:rsid w:val="00882F28"/>
    <w:rsid w:val="00883003"/>
    <w:rsid w:val="00883176"/>
    <w:rsid w:val="00883290"/>
    <w:rsid w:val="008833B9"/>
    <w:rsid w:val="008834CD"/>
    <w:rsid w:val="00883538"/>
    <w:rsid w:val="00883619"/>
    <w:rsid w:val="00883783"/>
    <w:rsid w:val="00883A1A"/>
    <w:rsid w:val="00883C51"/>
    <w:rsid w:val="00883CF5"/>
    <w:rsid w:val="00884157"/>
    <w:rsid w:val="008841FC"/>
    <w:rsid w:val="008842CD"/>
    <w:rsid w:val="008843DD"/>
    <w:rsid w:val="00884591"/>
    <w:rsid w:val="00884624"/>
    <w:rsid w:val="00884762"/>
    <w:rsid w:val="008848C0"/>
    <w:rsid w:val="0088497D"/>
    <w:rsid w:val="00884A02"/>
    <w:rsid w:val="00884B94"/>
    <w:rsid w:val="00884BE3"/>
    <w:rsid w:val="00884BF0"/>
    <w:rsid w:val="00884CC3"/>
    <w:rsid w:val="00884E39"/>
    <w:rsid w:val="00884E3B"/>
    <w:rsid w:val="00885091"/>
    <w:rsid w:val="008850D2"/>
    <w:rsid w:val="0088527F"/>
    <w:rsid w:val="008852AA"/>
    <w:rsid w:val="008852AC"/>
    <w:rsid w:val="008854DE"/>
    <w:rsid w:val="00885B23"/>
    <w:rsid w:val="00885C8B"/>
    <w:rsid w:val="00885E76"/>
    <w:rsid w:val="0088622D"/>
    <w:rsid w:val="008867CD"/>
    <w:rsid w:val="008868F8"/>
    <w:rsid w:val="00886929"/>
    <w:rsid w:val="00886970"/>
    <w:rsid w:val="008869D6"/>
    <w:rsid w:val="00886BBD"/>
    <w:rsid w:val="00886DB0"/>
    <w:rsid w:val="00887098"/>
    <w:rsid w:val="00887145"/>
    <w:rsid w:val="00887213"/>
    <w:rsid w:val="0088726F"/>
    <w:rsid w:val="0088745F"/>
    <w:rsid w:val="008877BC"/>
    <w:rsid w:val="0088790A"/>
    <w:rsid w:val="00887B0E"/>
    <w:rsid w:val="00887B54"/>
    <w:rsid w:val="00887D1D"/>
    <w:rsid w:val="0089015E"/>
    <w:rsid w:val="0089034B"/>
    <w:rsid w:val="008906E8"/>
    <w:rsid w:val="0089079D"/>
    <w:rsid w:val="00890862"/>
    <w:rsid w:val="0089091B"/>
    <w:rsid w:val="00890EA1"/>
    <w:rsid w:val="00890FAA"/>
    <w:rsid w:val="008911A9"/>
    <w:rsid w:val="0089147D"/>
    <w:rsid w:val="008915FB"/>
    <w:rsid w:val="0089168B"/>
    <w:rsid w:val="0089253E"/>
    <w:rsid w:val="00892555"/>
    <w:rsid w:val="008926EE"/>
    <w:rsid w:val="008927F9"/>
    <w:rsid w:val="0089289C"/>
    <w:rsid w:val="00892977"/>
    <w:rsid w:val="008929A8"/>
    <w:rsid w:val="008929E3"/>
    <w:rsid w:val="00892A20"/>
    <w:rsid w:val="00892A28"/>
    <w:rsid w:val="00892B11"/>
    <w:rsid w:val="00892B1D"/>
    <w:rsid w:val="00892C72"/>
    <w:rsid w:val="00892CC4"/>
    <w:rsid w:val="00892E62"/>
    <w:rsid w:val="00892EB7"/>
    <w:rsid w:val="008931A3"/>
    <w:rsid w:val="00893337"/>
    <w:rsid w:val="008935A5"/>
    <w:rsid w:val="00893B79"/>
    <w:rsid w:val="00893BAF"/>
    <w:rsid w:val="00893F75"/>
    <w:rsid w:val="0089407D"/>
    <w:rsid w:val="00894668"/>
    <w:rsid w:val="0089470D"/>
    <w:rsid w:val="008948D3"/>
    <w:rsid w:val="0089495F"/>
    <w:rsid w:val="0089499A"/>
    <w:rsid w:val="008949C5"/>
    <w:rsid w:val="00894B1A"/>
    <w:rsid w:val="00894C57"/>
    <w:rsid w:val="00894E1D"/>
    <w:rsid w:val="00894F29"/>
    <w:rsid w:val="00895219"/>
    <w:rsid w:val="00895247"/>
    <w:rsid w:val="0089533C"/>
    <w:rsid w:val="008953C8"/>
    <w:rsid w:val="0089550D"/>
    <w:rsid w:val="00895554"/>
    <w:rsid w:val="0089568A"/>
    <w:rsid w:val="008961BA"/>
    <w:rsid w:val="008965A5"/>
    <w:rsid w:val="008967C9"/>
    <w:rsid w:val="00896908"/>
    <w:rsid w:val="00896C75"/>
    <w:rsid w:val="00896CC3"/>
    <w:rsid w:val="00896E46"/>
    <w:rsid w:val="00896F97"/>
    <w:rsid w:val="008972FC"/>
    <w:rsid w:val="008976B5"/>
    <w:rsid w:val="0089779A"/>
    <w:rsid w:val="00897A96"/>
    <w:rsid w:val="00897A98"/>
    <w:rsid w:val="00897B29"/>
    <w:rsid w:val="008A0052"/>
    <w:rsid w:val="008A0376"/>
    <w:rsid w:val="008A0677"/>
    <w:rsid w:val="008A08CA"/>
    <w:rsid w:val="008A0906"/>
    <w:rsid w:val="008A0AB2"/>
    <w:rsid w:val="008A0B1A"/>
    <w:rsid w:val="008A0EC7"/>
    <w:rsid w:val="008A0F02"/>
    <w:rsid w:val="008A13F3"/>
    <w:rsid w:val="008A1648"/>
    <w:rsid w:val="008A183F"/>
    <w:rsid w:val="008A19C3"/>
    <w:rsid w:val="008A1A17"/>
    <w:rsid w:val="008A1BF3"/>
    <w:rsid w:val="008A1CE2"/>
    <w:rsid w:val="008A1EC4"/>
    <w:rsid w:val="008A2018"/>
    <w:rsid w:val="008A22F4"/>
    <w:rsid w:val="008A2546"/>
    <w:rsid w:val="008A28AD"/>
    <w:rsid w:val="008A2B50"/>
    <w:rsid w:val="008A2C2B"/>
    <w:rsid w:val="008A2DE4"/>
    <w:rsid w:val="008A2F0D"/>
    <w:rsid w:val="008A2F22"/>
    <w:rsid w:val="008A3293"/>
    <w:rsid w:val="008A33C2"/>
    <w:rsid w:val="008A37B7"/>
    <w:rsid w:val="008A38D0"/>
    <w:rsid w:val="008A3AA3"/>
    <w:rsid w:val="008A3FA6"/>
    <w:rsid w:val="008A4033"/>
    <w:rsid w:val="008A405D"/>
    <w:rsid w:val="008A4084"/>
    <w:rsid w:val="008A4117"/>
    <w:rsid w:val="008A42DE"/>
    <w:rsid w:val="008A4409"/>
    <w:rsid w:val="008A465F"/>
    <w:rsid w:val="008A4AFF"/>
    <w:rsid w:val="008A4B99"/>
    <w:rsid w:val="008A4D90"/>
    <w:rsid w:val="008A4DE8"/>
    <w:rsid w:val="008A4EEB"/>
    <w:rsid w:val="008A5279"/>
    <w:rsid w:val="008A52D6"/>
    <w:rsid w:val="008A55A1"/>
    <w:rsid w:val="008A5918"/>
    <w:rsid w:val="008A5920"/>
    <w:rsid w:val="008A596C"/>
    <w:rsid w:val="008A59B8"/>
    <w:rsid w:val="008A59C0"/>
    <w:rsid w:val="008A5EB2"/>
    <w:rsid w:val="008A6122"/>
    <w:rsid w:val="008A6192"/>
    <w:rsid w:val="008A65DB"/>
    <w:rsid w:val="008A6823"/>
    <w:rsid w:val="008A6A89"/>
    <w:rsid w:val="008A6C7A"/>
    <w:rsid w:val="008A7051"/>
    <w:rsid w:val="008A74E9"/>
    <w:rsid w:val="008A752D"/>
    <w:rsid w:val="008A7787"/>
    <w:rsid w:val="008A77DD"/>
    <w:rsid w:val="008A786C"/>
    <w:rsid w:val="008A7A4C"/>
    <w:rsid w:val="008A7CCC"/>
    <w:rsid w:val="008A7FD6"/>
    <w:rsid w:val="008B00CC"/>
    <w:rsid w:val="008B02C4"/>
    <w:rsid w:val="008B033B"/>
    <w:rsid w:val="008B0634"/>
    <w:rsid w:val="008B0A4E"/>
    <w:rsid w:val="008B0CE9"/>
    <w:rsid w:val="008B10EA"/>
    <w:rsid w:val="008B1233"/>
    <w:rsid w:val="008B13BA"/>
    <w:rsid w:val="008B1510"/>
    <w:rsid w:val="008B156A"/>
    <w:rsid w:val="008B1634"/>
    <w:rsid w:val="008B1741"/>
    <w:rsid w:val="008B17CC"/>
    <w:rsid w:val="008B1962"/>
    <w:rsid w:val="008B1C60"/>
    <w:rsid w:val="008B1EA7"/>
    <w:rsid w:val="008B22CE"/>
    <w:rsid w:val="008B2307"/>
    <w:rsid w:val="008B24C0"/>
    <w:rsid w:val="008B25F1"/>
    <w:rsid w:val="008B2882"/>
    <w:rsid w:val="008B2D52"/>
    <w:rsid w:val="008B2DD0"/>
    <w:rsid w:val="008B2FDA"/>
    <w:rsid w:val="008B3073"/>
    <w:rsid w:val="008B35AB"/>
    <w:rsid w:val="008B3692"/>
    <w:rsid w:val="008B42D6"/>
    <w:rsid w:val="008B48CF"/>
    <w:rsid w:val="008B49CE"/>
    <w:rsid w:val="008B4D75"/>
    <w:rsid w:val="008B521C"/>
    <w:rsid w:val="008B5567"/>
    <w:rsid w:val="008B56F9"/>
    <w:rsid w:val="008B5762"/>
    <w:rsid w:val="008B5C17"/>
    <w:rsid w:val="008B5E80"/>
    <w:rsid w:val="008B6080"/>
    <w:rsid w:val="008B614E"/>
    <w:rsid w:val="008B61C7"/>
    <w:rsid w:val="008B688C"/>
    <w:rsid w:val="008B6A5A"/>
    <w:rsid w:val="008B6D77"/>
    <w:rsid w:val="008B6DA8"/>
    <w:rsid w:val="008B6DC6"/>
    <w:rsid w:val="008B6E25"/>
    <w:rsid w:val="008B6F3E"/>
    <w:rsid w:val="008B7334"/>
    <w:rsid w:val="008B7412"/>
    <w:rsid w:val="008B7BC4"/>
    <w:rsid w:val="008B7F6C"/>
    <w:rsid w:val="008C0271"/>
    <w:rsid w:val="008C088A"/>
    <w:rsid w:val="008C0AE9"/>
    <w:rsid w:val="008C0AF0"/>
    <w:rsid w:val="008C0C27"/>
    <w:rsid w:val="008C0D36"/>
    <w:rsid w:val="008C10A1"/>
    <w:rsid w:val="008C10CD"/>
    <w:rsid w:val="008C139F"/>
    <w:rsid w:val="008C1A56"/>
    <w:rsid w:val="008C1CD6"/>
    <w:rsid w:val="008C206B"/>
    <w:rsid w:val="008C20D2"/>
    <w:rsid w:val="008C251C"/>
    <w:rsid w:val="008C26BF"/>
    <w:rsid w:val="008C2764"/>
    <w:rsid w:val="008C28EF"/>
    <w:rsid w:val="008C28F2"/>
    <w:rsid w:val="008C2C6C"/>
    <w:rsid w:val="008C2CB1"/>
    <w:rsid w:val="008C30E1"/>
    <w:rsid w:val="008C3450"/>
    <w:rsid w:val="008C3B5F"/>
    <w:rsid w:val="008C3DC4"/>
    <w:rsid w:val="008C41C4"/>
    <w:rsid w:val="008C495A"/>
    <w:rsid w:val="008C4B68"/>
    <w:rsid w:val="008C4DE4"/>
    <w:rsid w:val="008C4E39"/>
    <w:rsid w:val="008C4F31"/>
    <w:rsid w:val="008C528C"/>
    <w:rsid w:val="008C5843"/>
    <w:rsid w:val="008C5ADF"/>
    <w:rsid w:val="008C5D37"/>
    <w:rsid w:val="008C5EFA"/>
    <w:rsid w:val="008C6092"/>
    <w:rsid w:val="008C60AF"/>
    <w:rsid w:val="008C61D5"/>
    <w:rsid w:val="008C633C"/>
    <w:rsid w:val="008C638C"/>
    <w:rsid w:val="008C6786"/>
    <w:rsid w:val="008C69DC"/>
    <w:rsid w:val="008C6C09"/>
    <w:rsid w:val="008C6F54"/>
    <w:rsid w:val="008C6F9E"/>
    <w:rsid w:val="008C7271"/>
    <w:rsid w:val="008C768F"/>
    <w:rsid w:val="008C77CF"/>
    <w:rsid w:val="008C77ED"/>
    <w:rsid w:val="008C7836"/>
    <w:rsid w:val="008C7905"/>
    <w:rsid w:val="008C7A9B"/>
    <w:rsid w:val="008C7ABD"/>
    <w:rsid w:val="008C7D8B"/>
    <w:rsid w:val="008C7E16"/>
    <w:rsid w:val="008C7E7C"/>
    <w:rsid w:val="008D0071"/>
    <w:rsid w:val="008D0142"/>
    <w:rsid w:val="008D0181"/>
    <w:rsid w:val="008D02D4"/>
    <w:rsid w:val="008D04B6"/>
    <w:rsid w:val="008D04DB"/>
    <w:rsid w:val="008D0524"/>
    <w:rsid w:val="008D0898"/>
    <w:rsid w:val="008D0A7A"/>
    <w:rsid w:val="008D0FA1"/>
    <w:rsid w:val="008D11F8"/>
    <w:rsid w:val="008D1239"/>
    <w:rsid w:val="008D12E3"/>
    <w:rsid w:val="008D140D"/>
    <w:rsid w:val="008D1BF5"/>
    <w:rsid w:val="008D1F57"/>
    <w:rsid w:val="008D1F7A"/>
    <w:rsid w:val="008D2056"/>
    <w:rsid w:val="008D2095"/>
    <w:rsid w:val="008D216D"/>
    <w:rsid w:val="008D246D"/>
    <w:rsid w:val="008D27E3"/>
    <w:rsid w:val="008D2E45"/>
    <w:rsid w:val="008D3183"/>
    <w:rsid w:val="008D330E"/>
    <w:rsid w:val="008D3374"/>
    <w:rsid w:val="008D35D4"/>
    <w:rsid w:val="008D377D"/>
    <w:rsid w:val="008D402D"/>
    <w:rsid w:val="008D4078"/>
    <w:rsid w:val="008D43BE"/>
    <w:rsid w:val="008D45DC"/>
    <w:rsid w:val="008D4DD3"/>
    <w:rsid w:val="008D4DE5"/>
    <w:rsid w:val="008D4FF9"/>
    <w:rsid w:val="008D53A2"/>
    <w:rsid w:val="008D5611"/>
    <w:rsid w:val="008D56FF"/>
    <w:rsid w:val="008D588E"/>
    <w:rsid w:val="008D5CD4"/>
    <w:rsid w:val="008D5D87"/>
    <w:rsid w:val="008D5E78"/>
    <w:rsid w:val="008D5F40"/>
    <w:rsid w:val="008D5FDF"/>
    <w:rsid w:val="008D606D"/>
    <w:rsid w:val="008D6132"/>
    <w:rsid w:val="008D64A3"/>
    <w:rsid w:val="008D65C1"/>
    <w:rsid w:val="008D674D"/>
    <w:rsid w:val="008D6855"/>
    <w:rsid w:val="008D6A41"/>
    <w:rsid w:val="008D6AC3"/>
    <w:rsid w:val="008D6BD7"/>
    <w:rsid w:val="008D6D02"/>
    <w:rsid w:val="008D6D3A"/>
    <w:rsid w:val="008D6D50"/>
    <w:rsid w:val="008D6EAD"/>
    <w:rsid w:val="008D702C"/>
    <w:rsid w:val="008D70D1"/>
    <w:rsid w:val="008D7160"/>
    <w:rsid w:val="008D7265"/>
    <w:rsid w:val="008D72B9"/>
    <w:rsid w:val="008D7815"/>
    <w:rsid w:val="008D787F"/>
    <w:rsid w:val="008D7990"/>
    <w:rsid w:val="008D79F8"/>
    <w:rsid w:val="008D7C2E"/>
    <w:rsid w:val="008D7F43"/>
    <w:rsid w:val="008D7F93"/>
    <w:rsid w:val="008D7FF2"/>
    <w:rsid w:val="008E001A"/>
    <w:rsid w:val="008E0169"/>
    <w:rsid w:val="008E0305"/>
    <w:rsid w:val="008E0621"/>
    <w:rsid w:val="008E0C93"/>
    <w:rsid w:val="008E0CED"/>
    <w:rsid w:val="008E0E76"/>
    <w:rsid w:val="008E0EE1"/>
    <w:rsid w:val="008E1123"/>
    <w:rsid w:val="008E11F7"/>
    <w:rsid w:val="008E13B8"/>
    <w:rsid w:val="008E1595"/>
    <w:rsid w:val="008E1B6D"/>
    <w:rsid w:val="008E1CCF"/>
    <w:rsid w:val="008E214C"/>
    <w:rsid w:val="008E2827"/>
    <w:rsid w:val="008E2ED3"/>
    <w:rsid w:val="008E2F4E"/>
    <w:rsid w:val="008E3171"/>
    <w:rsid w:val="008E31AC"/>
    <w:rsid w:val="008E31DD"/>
    <w:rsid w:val="008E325B"/>
    <w:rsid w:val="008E3498"/>
    <w:rsid w:val="008E3A67"/>
    <w:rsid w:val="008E3E60"/>
    <w:rsid w:val="008E4148"/>
    <w:rsid w:val="008E43E1"/>
    <w:rsid w:val="008E4436"/>
    <w:rsid w:val="008E454E"/>
    <w:rsid w:val="008E46BF"/>
    <w:rsid w:val="008E49FC"/>
    <w:rsid w:val="008E4C2C"/>
    <w:rsid w:val="008E4DAB"/>
    <w:rsid w:val="008E4F67"/>
    <w:rsid w:val="008E5272"/>
    <w:rsid w:val="008E53AD"/>
    <w:rsid w:val="008E580C"/>
    <w:rsid w:val="008E5EFE"/>
    <w:rsid w:val="008E5FD7"/>
    <w:rsid w:val="008E603D"/>
    <w:rsid w:val="008E617D"/>
    <w:rsid w:val="008E61CA"/>
    <w:rsid w:val="008E69B8"/>
    <w:rsid w:val="008E69DE"/>
    <w:rsid w:val="008E6AF4"/>
    <w:rsid w:val="008E6E84"/>
    <w:rsid w:val="008E704B"/>
    <w:rsid w:val="008E748D"/>
    <w:rsid w:val="008E753F"/>
    <w:rsid w:val="008E759A"/>
    <w:rsid w:val="008E75C4"/>
    <w:rsid w:val="008E7696"/>
    <w:rsid w:val="008E775D"/>
    <w:rsid w:val="008E7A70"/>
    <w:rsid w:val="008E7DD3"/>
    <w:rsid w:val="008E7EA4"/>
    <w:rsid w:val="008F0046"/>
    <w:rsid w:val="008F04BA"/>
    <w:rsid w:val="008F06A2"/>
    <w:rsid w:val="008F0713"/>
    <w:rsid w:val="008F0A03"/>
    <w:rsid w:val="008F0E3E"/>
    <w:rsid w:val="008F106A"/>
    <w:rsid w:val="008F10D1"/>
    <w:rsid w:val="008F1184"/>
    <w:rsid w:val="008F1258"/>
    <w:rsid w:val="008F1334"/>
    <w:rsid w:val="008F1806"/>
    <w:rsid w:val="008F19F6"/>
    <w:rsid w:val="008F1A2B"/>
    <w:rsid w:val="008F1BE2"/>
    <w:rsid w:val="008F1D5D"/>
    <w:rsid w:val="008F1D7D"/>
    <w:rsid w:val="008F1E5E"/>
    <w:rsid w:val="008F1EB0"/>
    <w:rsid w:val="008F2123"/>
    <w:rsid w:val="008F2158"/>
    <w:rsid w:val="008F2194"/>
    <w:rsid w:val="008F23E1"/>
    <w:rsid w:val="008F23E2"/>
    <w:rsid w:val="008F2486"/>
    <w:rsid w:val="008F2632"/>
    <w:rsid w:val="008F2963"/>
    <w:rsid w:val="008F2BBB"/>
    <w:rsid w:val="008F2C7D"/>
    <w:rsid w:val="008F2E6E"/>
    <w:rsid w:val="008F3AAC"/>
    <w:rsid w:val="008F3B88"/>
    <w:rsid w:val="008F3DE6"/>
    <w:rsid w:val="008F3ECB"/>
    <w:rsid w:val="008F3EF3"/>
    <w:rsid w:val="008F3F1D"/>
    <w:rsid w:val="008F4352"/>
    <w:rsid w:val="008F4522"/>
    <w:rsid w:val="008F47CA"/>
    <w:rsid w:val="008F47E5"/>
    <w:rsid w:val="008F484C"/>
    <w:rsid w:val="008F4866"/>
    <w:rsid w:val="008F49F7"/>
    <w:rsid w:val="008F4B28"/>
    <w:rsid w:val="008F4DE0"/>
    <w:rsid w:val="008F5146"/>
    <w:rsid w:val="008F51A5"/>
    <w:rsid w:val="008F52FE"/>
    <w:rsid w:val="008F5588"/>
    <w:rsid w:val="008F55B5"/>
    <w:rsid w:val="008F57E6"/>
    <w:rsid w:val="008F62FE"/>
    <w:rsid w:val="008F651D"/>
    <w:rsid w:val="008F65BA"/>
    <w:rsid w:val="008F65D7"/>
    <w:rsid w:val="008F6617"/>
    <w:rsid w:val="008F6976"/>
    <w:rsid w:val="008F6A0D"/>
    <w:rsid w:val="008F6A54"/>
    <w:rsid w:val="008F6D15"/>
    <w:rsid w:val="008F6D27"/>
    <w:rsid w:val="008F6D60"/>
    <w:rsid w:val="008F6F43"/>
    <w:rsid w:val="008F7100"/>
    <w:rsid w:val="008F71AB"/>
    <w:rsid w:val="008F7620"/>
    <w:rsid w:val="008F7F2D"/>
    <w:rsid w:val="009000A0"/>
    <w:rsid w:val="0090079C"/>
    <w:rsid w:val="009007B0"/>
    <w:rsid w:val="009007B5"/>
    <w:rsid w:val="00900B71"/>
    <w:rsid w:val="00900C95"/>
    <w:rsid w:val="00901278"/>
    <w:rsid w:val="009013B1"/>
    <w:rsid w:val="00901478"/>
    <w:rsid w:val="00901739"/>
    <w:rsid w:val="00901AC4"/>
    <w:rsid w:val="00901ECD"/>
    <w:rsid w:val="00901F86"/>
    <w:rsid w:val="00901FDD"/>
    <w:rsid w:val="0090205F"/>
    <w:rsid w:val="00902108"/>
    <w:rsid w:val="009022E3"/>
    <w:rsid w:val="009024E0"/>
    <w:rsid w:val="0090289F"/>
    <w:rsid w:val="009028CD"/>
    <w:rsid w:val="00902CFA"/>
    <w:rsid w:val="00902F49"/>
    <w:rsid w:val="00903784"/>
    <w:rsid w:val="00903827"/>
    <w:rsid w:val="009039F0"/>
    <w:rsid w:val="00903AD7"/>
    <w:rsid w:val="00903C61"/>
    <w:rsid w:val="0090407F"/>
    <w:rsid w:val="009040D5"/>
    <w:rsid w:val="0090420C"/>
    <w:rsid w:val="00904243"/>
    <w:rsid w:val="009042E0"/>
    <w:rsid w:val="00904386"/>
    <w:rsid w:val="0090453C"/>
    <w:rsid w:val="00904D0E"/>
    <w:rsid w:val="00904EB6"/>
    <w:rsid w:val="00904F89"/>
    <w:rsid w:val="00905442"/>
    <w:rsid w:val="009054A5"/>
    <w:rsid w:val="0090551C"/>
    <w:rsid w:val="00905BB4"/>
    <w:rsid w:val="009060DE"/>
    <w:rsid w:val="009064D4"/>
    <w:rsid w:val="0090654E"/>
    <w:rsid w:val="0090685B"/>
    <w:rsid w:val="009075AC"/>
    <w:rsid w:val="009077F4"/>
    <w:rsid w:val="0090781C"/>
    <w:rsid w:val="0091006E"/>
    <w:rsid w:val="009101BC"/>
    <w:rsid w:val="009101EE"/>
    <w:rsid w:val="009103F7"/>
    <w:rsid w:val="009107C2"/>
    <w:rsid w:val="00910C8E"/>
    <w:rsid w:val="00910F38"/>
    <w:rsid w:val="00910F3A"/>
    <w:rsid w:val="0091108E"/>
    <w:rsid w:val="0091119D"/>
    <w:rsid w:val="00911269"/>
    <w:rsid w:val="009112D8"/>
    <w:rsid w:val="00911339"/>
    <w:rsid w:val="00911360"/>
    <w:rsid w:val="0091155C"/>
    <w:rsid w:val="009115F2"/>
    <w:rsid w:val="00911678"/>
    <w:rsid w:val="00911BB6"/>
    <w:rsid w:val="00911F46"/>
    <w:rsid w:val="00912129"/>
    <w:rsid w:val="00912B89"/>
    <w:rsid w:val="00912DAA"/>
    <w:rsid w:val="00912F45"/>
    <w:rsid w:val="00913164"/>
    <w:rsid w:val="00913426"/>
    <w:rsid w:val="009134B4"/>
    <w:rsid w:val="009136E2"/>
    <w:rsid w:val="00913CB8"/>
    <w:rsid w:val="00914263"/>
    <w:rsid w:val="00914277"/>
    <w:rsid w:val="009142B8"/>
    <w:rsid w:val="00914529"/>
    <w:rsid w:val="009146B0"/>
    <w:rsid w:val="00914DCF"/>
    <w:rsid w:val="00914E5F"/>
    <w:rsid w:val="00914F8D"/>
    <w:rsid w:val="009150FE"/>
    <w:rsid w:val="00915356"/>
    <w:rsid w:val="009154A5"/>
    <w:rsid w:val="00915926"/>
    <w:rsid w:val="00915A01"/>
    <w:rsid w:val="00915AB8"/>
    <w:rsid w:val="009160F5"/>
    <w:rsid w:val="00916132"/>
    <w:rsid w:val="0091625F"/>
    <w:rsid w:val="00916280"/>
    <w:rsid w:val="009165D2"/>
    <w:rsid w:val="009165FB"/>
    <w:rsid w:val="00917639"/>
    <w:rsid w:val="009176D7"/>
    <w:rsid w:val="00917C20"/>
    <w:rsid w:val="00917EE3"/>
    <w:rsid w:val="00917F7D"/>
    <w:rsid w:val="009200D1"/>
    <w:rsid w:val="00920192"/>
    <w:rsid w:val="00920335"/>
    <w:rsid w:val="009204C3"/>
    <w:rsid w:val="0092063F"/>
    <w:rsid w:val="009208DA"/>
    <w:rsid w:val="00920BCC"/>
    <w:rsid w:val="00920BF6"/>
    <w:rsid w:val="00921009"/>
    <w:rsid w:val="00921675"/>
    <w:rsid w:val="00921D67"/>
    <w:rsid w:val="00921D7A"/>
    <w:rsid w:val="00921F53"/>
    <w:rsid w:val="00922125"/>
    <w:rsid w:val="0092218D"/>
    <w:rsid w:val="009225AF"/>
    <w:rsid w:val="00922E22"/>
    <w:rsid w:val="009233F4"/>
    <w:rsid w:val="0092357C"/>
    <w:rsid w:val="00923611"/>
    <w:rsid w:val="009236FC"/>
    <w:rsid w:val="009237DF"/>
    <w:rsid w:val="009238D6"/>
    <w:rsid w:val="00923B9D"/>
    <w:rsid w:val="00923E04"/>
    <w:rsid w:val="00923E0A"/>
    <w:rsid w:val="00923EBD"/>
    <w:rsid w:val="00923FF3"/>
    <w:rsid w:val="0092407A"/>
    <w:rsid w:val="009243EB"/>
    <w:rsid w:val="00924420"/>
    <w:rsid w:val="009245C3"/>
    <w:rsid w:val="009249D3"/>
    <w:rsid w:val="00924A77"/>
    <w:rsid w:val="00924B07"/>
    <w:rsid w:val="00924CC0"/>
    <w:rsid w:val="00924E8C"/>
    <w:rsid w:val="00924EDD"/>
    <w:rsid w:val="00925194"/>
    <w:rsid w:val="009253A1"/>
    <w:rsid w:val="009254C5"/>
    <w:rsid w:val="00925769"/>
    <w:rsid w:val="009258AE"/>
    <w:rsid w:val="0092598E"/>
    <w:rsid w:val="009259FB"/>
    <w:rsid w:val="00925B49"/>
    <w:rsid w:val="00925BDB"/>
    <w:rsid w:val="00926002"/>
    <w:rsid w:val="0092600A"/>
    <w:rsid w:val="0092609C"/>
    <w:rsid w:val="0092623B"/>
    <w:rsid w:val="00926327"/>
    <w:rsid w:val="009269F1"/>
    <w:rsid w:val="00926D6D"/>
    <w:rsid w:val="009277C4"/>
    <w:rsid w:val="0092791A"/>
    <w:rsid w:val="00927A8D"/>
    <w:rsid w:val="00927CEF"/>
    <w:rsid w:val="00927DF7"/>
    <w:rsid w:val="00927E01"/>
    <w:rsid w:val="0093018A"/>
    <w:rsid w:val="00930226"/>
    <w:rsid w:val="00930292"/>
    <w:rsid w:val="009302E6"/>
    <w:rsid w:val="00930303"/>
    <w:rsid w:val="00930338"/>
    <w:rsid w:val="0093035C"/>
    <w:rsid w:val="00930446"/>
    <w:rsid w:val="0093098B"/>
    <w:rsid w:val="00930BDA"/>
    <w:rsid w:val="00930D28"/>
    <w:rsid w:val="00930EA0"/>
    <w:rsid w:val="00930FEB"/>
    <w:rsid w:val="00931254"/>
    <w:rsid w:val="0093150E"/>
    <w:rsid w:val="0093164D"/>
    <w:rsid w:val="009317EC"/>
    <w:rsid w:val="0093186C"/>
    <w:rsid w:val="00931CCB"/>
    <w:rsid w:val="00931D8A"/>
    <w:rsid w:val="00931EDA"/>
    <w:rsid w:val="009321C8"/>
    <w:rsid w:val="0093289E"/>
    <w:rsid w:val="00932BAB"/>
    <w:rsid w:val="00932C54"/>
    <w:rsid w:val="00932CB1"/>
    <w:rsid w:val="00932EFA"/>
    <w:rsid w:val="009334DD"/>
    <w:rsid w:val="00933541"/>
    <w:rsid w:val="009336FE"/>
    <w:rsid w:val="00933862"/>
    <w:rsid w:val="00933B5B"/>
    <w:rsid w:val="00933CAE"/>
    <w:rsid w:val="00933F1F"/>
    <w:rsid w:val="00934162"/>
    <w:rsid w:val="00934166"/>
    <w:rsid w:val="009343A9"/>
    <w:rsid w:val="00934593"/>
    <w:rsid w:val="009345AA"/>
    <w:rsid w:val="0093471F"/>
    <w:rsid w:val="00934818"/>
    <w:rsid w:val="00934900"/>
    <w:rsid w:val="00934C82"/>
    <w:rsid w:val="009352E6"/>
    <w:rsid w:val="00935441"/>
    <w:rsid w:val="00935509"/>
    <w:rsid w:val="009355AE"/>
    <w:rsid w:val="009357EE"/>
    <w:rsid w:val="00935C23"/>
    <w:rsid w:val="00935D48"/>
    <w:rsid w:val="00935E46"/>
    <w:rsid w:val="0093624C"/>
    <w:rsid w:val="00936288"/>
    <w:rsid w:val="0093630D"/>
    <w:rsid w:val="009364AA"/>
    <w:rsid w:val="009364C4"/>
    <w:rsid w:val="00936C1D"/>
    <w:rsid w:val="00936CD2"/>
    <w:rsid w:val="0093714E"/>
    <w:rsid w:val="009373DF"/>
    <w:rsid w:val="009375FA"/>
    <w:rsid w:val="009378C2"/>
    <w:rsid w:val="00937AB2"/>
    <w:rsid w:val="00937B16"/>
    <w:rsid w:val="00937CCB"/>
    <w:rsid w:val="00937DCD"/>
    <w:rsid w:val="00937F51"/>
    <w:rsid w:val="0094012F"/>
    <w:rsid w:val="0094014C"/>
    <w:rsid w:val="00940246"/>
    <w:rsid w:val="0094060C"/>
    <w:rsid w:val="0094074A"/>
    <w:rsid w:val="009407CE"/>
    <w:rsid w:val="00940898"/>
    <w:rsid w:val="00940A9B"/>
    <w:rsid w:val="00940C89"/>
    <w:rsid w:val="00940F65"/>
    <w:rsid w:val="009410AF"/>
    <w:rsid w:val="009411D5"/>
    <w:rsid w:val="0094176D"/>
    <w:rsid w:val="00941D6E"/>
    <w:rsid w:val="00941F18"/>
    <w:rsid w:val="00942076"/>
    <w:rsid w:val="009422B7"/>
    <w:rsid w:val="009424BE"/>
    <w:rsid w:val="00942629"/>
    <w:rsid w:val="009426BC"/>
    <w:rsid w:val="00942801"/>
    <w:rsid w:val="009429E2"/>
    <w:rsid w:val="00942B5E"/>
    <w:rsid w:val="00942FD3"/>
    <w:rsid w:val="009430CC"/>
    <w:rsid w:val="0094326B"/>
    <w:rsid w:val="00943466"/>
    <w:rsid w:val="009434E9"/>
    <w:rsid w:val="0094354B"/>
    <w:rsid w:val="00943612"/>
    <w:rsid w:val="0094361F"/>
    <w:rsid w:val="00943693"/>
    <w:rsid w:val="0094376F"/>
    <w:rsid w:val="00943A1F"/>
    <w:rsid w:val="00943AF9"/>
    <w:rsid w:val="00943DD4"/>
    <w:rsid w:val="0094407A"/>
    <w:rsid w:val="00944314"/>
    <w:rsid w:val="009443A2"/>
    <w:rsid w:val="009444F3"/>
    <w:rsid w:val="0094451F"/>
    <w:rsid w:val="00944648"/>
    <w:rsid w:val="009446BE"/>
    <w:rsid w:val="00944798"/>
    <w:rsid w:val="009447A6"/>
    <w:rsid w:val="009447BF"/>
    <w:rsid w:val="00944BC8"/>
    <w:rsid w:val="00944BF1"/>
    <w:rsid w:val="00944C1C"/>
    <w:rsid w:val="00944FBE"/>
    <w:rsid w:val="00945318"/>
    <w:rsid w:val="0094560F"/>
    <w:rsid w:val="00945703"/>
    <w:rsid w:val="00945B41"/>
    <w:rsid w:val="00945CB1"/>
    <w:rsid w:val="00945D05"/>
    <w:rsid w:val="00946350"/>
    <w:rsid w:val="009466AA"/>
    <w:rsid w:val="009466B2"/>
    <w:rsid w:val="009466F5"/>
    <w:rsid w:val="00946874"/>
    <w:rsid w:val="009469A6"/>
    <w:rsid w:val="00946DAB"/>
    <w:rsid w:val="0094702D"/>
    <w:rsid w:val="009472D9"/>
    <w:rsid w:val="009475C8"/>
    <w:rsid w:val="00947783"/>
    <w:rsid w:val="0094787E"/>
    <w:rsid w:val="00947A56"/>
    <w:rsid w:val="00947E20"/>
    <w:rsid w:val="00947E2A"/>
    <w:rsid w:val="00947E8E"/>
    <w:rsid w:val="009501E7"/>
    <w:rsid w:val="0095024B"/>
    <w:rsid w:val="00950289"/>
    <w:rsid w:val="009503B7"/>
    <w:rsid w:val="009503E6"/>
    <w:rsid w:val="0095042C"/>
    <w:rsid w:val="00950605"/>
    <w:rsid w:val="009506B3"/>
    <w:rsid w:val="009507A2"/>
    <w:rsid w:val="00950D88"/>
    <w:rsid w:val="00950FAE"/>
    <w:rsid w:val="00951066"/>
    <w:rsid w:val="00951183"/>
    <w:rsid w:val="00951789"/>
    <w:rsid w:val="00951879"/>
    <w:rsid w:val="00951976"/>
    <w:rsid w:val="00951A2F"/>
    <w:rsid w:val="00951C05"/>
    <w:rsid w:val="00951C27"/>
    <w:rsid w:val="00951D0F"/>
    <w:rsid w:val="00951E92"/>
    <w:rsid w:val="00951F84"/>
    <w:rsid w:val="00952214"/>
    <w:rsid w:val="00952386"/>
    <w:rsid w:val="00952699"/>
    <w:rsid w:val="0095277D"/>
    <w:rsid w:val="00952A4A"/>
    <w:rsid w:val="00952B4E"/>
    <w:rsid w:val="00952C4C"/>
    <w:rsid w:val="00952D42"/>
    <w:rsid w:val="00952E1E"/>
    <w:rsid w:val="00952EE1"/>
    <w:rsid w:val="00952EF6"/>
    <w:rsid w:val="0095359D"/>
    <w:rsid w:val="0095387A"/>
    <w:rsid w:val="009539DA"/>
    <w:rsid w:val="009539EB"/>
    <w:rsid w:val="00953F3D"/>
    <w:rsid w:val="00953FBA"/>
    <w:rsid w:val="009543D0"/>
    <w:rsid w:val="00954554"/>
    <w:rsid w:val="009545D2"/>
    <w:rsid w:val="00954E34"/>
    <w:rsid w:val="00955068"/>
    <w:rsid w:val="00955265"/>
    <w:rsid w:val="009552B9"/>
    <w:rsid w:val="0095587C"/>
    <w:rsid w:val="00955890"/>
    <w:rsid w:val="00955A84"/>
    <w:rsid w:val="00955CB1"/>
    <w:rsid w:val="00955D14"/>
    <w:rsid w:val="00955F41"/>
    <w:rsid w:val="00956190"/>
    <w:rsid w:val="00956292"/>
    <w:rsid w:val="009565B6"/>
    <w:rsid w:val="0095670C"/>
    <w:rsid w:val="00956869"/>
    <w:rsid w:val="009569D9"/>
    <w:rsid w:val="00956AB8"/>
    <w:rsid w:val="00956C33"/>
    <w:rsid w:val="00956C4A"/>
    <w:rsid w:val="00956D5E"/>
    <w:rsid w:val="00957199"/>
    <w:rsid w:val="0095758E"/>
    <w:rsid w:val="009575A9"/>
    <w:rsid w:val="00957901"/>
    <w:rsid w:val="00957A29"/>
    <w:rsid w:val="00957ADE"/>
    <w:rsid w:val="00957AFB"/>
    <w:rsid w:val="00957BD3"/>
    <w:rsid w:val="00957C84"/>
    <w:rsid w:val="00957CB6"/>
    <w:rsid w:val="00957ED2"/>
    <w:rsid w:val="00957F7D"/>
    <w:rsid w:val="00957FF4"/>
    <w:rsid w:val="0096016E"/>
    <w:rsid w:val="00960181"/>
    <w:rsid w:val="00960210"/>
    <w:rsid w:val="009609C7"/>
    <w:rsid w:val="009609DF"/>
    <w:rsid w:val="00960EE0"/>
    <w:rsid w:val="009610D6"/>
    <w:rsid w:val="0096118C"/>
    <w:rsid w:val="009613DD"/>
    <w:rsid w:val="009617CC"/>
    <w:rsid w:val="00961CAB"/>
    <w:rsid w:val="009620FD"/>
    <w:rsid w:val="009623D9"/>
    <w:rsid w:val="009623E6"/>
    <w:rsid w:val="0096275A"/>
    <w:rsid w:val="00962864"/>
    <w:rsid w:val="00962964"/>
    <w:rsid w:val="00962BBE"/>
    <w:rsid w:val="00962D5A"/>
    <w:rsid w:val="0096356D"/>
    <w:rsid w:val="009637F7"/>
    <w:rsid w:val="00963892"/>
    <w:rsid w:val="009638BB"/>
    <w:rsid w:val="00964180"/>
    <w:rsid w:val="00964251"/>
    <w:rsid w:val="00964274"/>
    <w:rsid w:val="00964589"/>
    <w:rsid w:val="009647FC"/>
    <w:rsid w:val="009648D4"/>
    <w:rsid w:val="00964932"/>
    <w:rsid w:val="009649C6"/>
    <w:rsid w:val="00964B51"/>
    <w:rsid w:val="00964C07"/>
    <w:rsid w:val="00964CF3"/>
    <w:rsid w:val="00964D64"/>
    <w:rsid w:val="009650E0"/>
    <w:rsid w:val="0096543E"/>
    <w:rsid w:val="00965744"/>
    <w:rsid w:val="009658BD"/>
    <w:rsid w:val="00965AEC"/>
    <w:rsid w:val="00965E70"/>
    <w:rsid w:val="00966013"/>
    <w:rsid w:val="0096621D"/>
    <w:rsid w:val="00966329"/>
    <w:rsid w:val="00966429"/>
    <w:rsid w:val="00966551"/>
    <w:rsid w:val="009666F9"/>
    <w:rsid w:val="009668BC"/>
    <w:rsid w:val="00966A1B"/>
    <w:rsid w:val="00966B30"/>
    <w:rsid w:val="00966E0F"/>
    <w:rsid w:val="00966FC7"/>
    <w:rsid w:val="00967500"/>
    <w:rsid w:val="009677D8"/>
    <w:rsid w:val="00967B1D"/>
    <w:rsid w:val="00967B4F"/>
    <w:rsid w:val="00967B69"/>
    <w:rsid w:val="00967C08"/>
    <w:rsid w:val="00970387"/>
    <w:rsid w:val="00970461"/>
    <w:rsid w:val="0097066B"/>
    <w:rsid w:val="009707B4"/>
    <w:rsid w:val="00970813"/>
    <w:rsid w:val="00970856"/>
    <w:rsid w:val="009708CD"/>
    <w:rsid w:val="009709BD"/>
    <w:rsid w:val="00970C8B"/>
    <w:rsid w:val="00970DA1"/>
    <w:rsid w:val="00970DD9"/>
    <w:rsid w:val="00970E4A"/>
    <w:rsid w:val="00970F74"/>
    <w:rsid w:val="009713AE"/>
    <w:rsid w:val="009715D5"/>
    <w:rsid w:val="0097168C"/>
    <w:rsid w:val="00971B1E"/>
    <w:rsid w:val="00972481"/>
    <w:rsid w:val="00972654"/>
    <w:rsid w:val="0097266A"/>
    <w:rsid w:val="00972B47"/>
    <w:rsid w:val="00972BBC"/>
    <w:rsid w:val="009731DC"/>
    <w:rsid w:val="009732B6"/>
    <w:rsid w:val="00973575"/>
    <w:rsid w:val="009737F4"/>
    <w:rsid w:val="009739F2"/>
    <w:rsid w:val="00973AE0"/>
    <w:rsid w:val="00973E66"/>
    <w:rsid w:val="009741CB"/>
    <w:rsid w:val="009742DF"/>
    <w:rsid w:val="00974834"/>
    <w:rsid w:val="0097494B"/>
    <w:rsid w:val="00974BE5"/>
    <w:rsid w:val="00974C4B"/>
    <w:rsid w:val="0097509B"/>
    <w:rsid w:val="009751FD"/>
    <w:rsid w:val="009753AC"/>
    <w:rsid w:val="0097592E"/>
    <w:rsid w:val="00975A3B"/>
    <w:rsid w:val="0097600D"/>
    <w:rsid w:val="009764C6"/>
    <w:rsid w:val="0097669E"/>
    <w:rsid w:val="00976F93"/>
    <w:rsid w:val="00977046"/>
    <w:rsid w:val="009770E9"/>
    <w:rsid w:val="00977316"/>
    <w:rsid w:val="0097766E"/>
    <w:rsid w:val="0097771D"/>
    <w:rsid w:val="00977CAD"/>
    <w:rsid w:val="00977E00"/>
    <w:rsid w:val="009800BD"/>
    <w:rsid w:val="009801DB"/>
    <w:rsid w:val="00980227"/>
    <w:rsid w:val="0098038A"/>
    <w:rsid w:val="009806BF"/>
    <w:rsid w:val="00980C91"/>
    <w:rsid w:val="00980E48"/>
    <w:rsid w:val="0098136E"/>
    <w:rsid w:val="009813C8"/>
    <w:rsid w:val="00981403"/>
    <w:rsid w:val="00981683"/>
    <w:rsid w:val="009817A6"/>
    <w:rsid w:val="00981832"/>
    <w:rsid w:val="009819DC"/>
    <w:rsid w:val="00981A6C"/>
    <w:rsid w:val="00981D66"/>
    <w:rsid w:val="00981F80"/>
    <w:rsid w:val="0098203B"/>
    <w:rsid w:val="0098209C"/>
    <w:rsid w:val="0098220F"/>
    <w:rsid w:val="009823C9"/>
    <w:rsid w:val="00982632"/>
    <w:rsid w:val="0098271A"/>
    <w:rsid w:val="0098285D"/>
    <w:rsid w:val="00982B83"/>
    <w:rsid w:val="00982BFD"/>
    <w:rsid w:val="0098306B"/>
    <w:rsid w:val="00983316"/>
    <w:rsid w:val="009836DD"/>
    <w:rsid w:val="009836F3"/>
    <w:rsid w:val="00983745"/>
    <w:rsid w:val="0098392F"/>
    <w:rsid w:val="00983991"/>
    <w:rsid w:val="0098403F"/>
    <w:rsid w:val="009840C1"/>
    <w:rsid w:val="00984207"/>
    <w:rsid w:val="009843A2"/>
    <w:rsid w:val="009845E9"/>
    <w:rsid w:val="00984894"/>
    <w:rsid w:val="00984A25"/>
    <w:rsid w:val="00984CCF"/>
    <w:rsid w:val="00984D1D"/>
    <w:rsid w:val="00984F4F"/>
    <w:rsid w:val="00985122"/>
    <w:rsid w:val="00985140"/>
    <w:rsid w:val="009853C1"/>
    <w:rsid w:val="009857EF"/>
    <w:rsid w:val="00985ABB"/>
    <w:rsid w:val="00985B0D"/>
    <w:rsid w:val="00985BE5"/>
    <w:rsid w:val="00985DF3"/>
    <w:rsid w:val="009862BF"/>
    <w:rsid w:val="00986335"/>
    <w:rsid w:val="009863FB"/>
    <w:rsid w:val="00986400"/>
    <w:rsid w:val="00986548"/>
    <w:rsid w:val="0098654A"/>
    <w:rsid w:val="00986579"/>
    <w:rsid w:val="009867B8"/>
    <w:rsid w:val="00986928"/>
    <w:rsid w:val="0098699F"/>
    <w:rsid w:val="00986A8E"/>
    <w:rsid w:val="00986C3C"/>
    <w:rsid w:val="00986E56"/>
    <w:rsid w:val="00986EC5"/>
    <w:rsid w:val="00987294"/>
    <w:rsid w:val="00987317"/>
    <w:rsid w:val="00987415"/>
    <w:rsid w:val="009874AF"/>
    <w:rsid w:val="0098781F"/>
    <w:rsid w:val="00987852"/>
    <w:rsid w:val="00987C2D"/>
    <w:rsid w:val="00987EC2"/>
    <w:rsid w:val="00987FB3"/>
    <w:rsid w:val="009902E3"/>
    <w:rsid w:val="0099093A"/>
    <w:rsid w:val="009909B7"/>
    <w:rsid w:val="00990B44"/>
    <w:rsid w:val="00990B5B"/>
    <w:rsid w:val="00990CEF"/>
    <w:rsid w:val="0099156A"/>
    <w:rsid w:val="00991788"/>
    <w:rsid w:val="00991891"/>
    <w:rsid w:val="00991E18"/>
    <w:rsid w:val="0099209F"/>
    <w:rsid w:val="00992171"/>
    <w:rsid w:val="0099235F"/>
    <w:rsid w:val="00992916"/>
    <w:rsid w:val="00992C72"/>
    <w:rsid w:val="00992F29"/>
    <w:rsid w:val="00992FE0"/>
    <w:rsid w:val="0099313E"/>
    <w:rsid w:val="00993166"/>
    <w:rsid w:val="00993408"/>
    <w:rsid w:val="009937B1"/>
    <w:rsid w:val="009937B3"/>
    <w:rsid w:val="0099392D"/>
    <w:rsid w:val="00993E7A"/>
    <w:rsid w:val="00993F39"/>
    <w:rsid w:val="009944E6"/>
    <w:rsid w:val="00994522"/>
    <w:rsid w:val="00994DAF"/>
    <w:rsid w:val="00995297"/>
    <w:rsid w:val="0099539C"/>
    <w:rsid w:val="009953A0"/>
    <w:rsid w:val="00995552"/>
    <w:rsid w:val="00995702"/>
    <w:rsid w:val="00995957"/>
    <w:rsid w:val="00995973"/>
    <w:rsid w:val="00995DAD"/>
    <w:rsid w:val="00995E3D"/>
    <w:rsid w:val="00996065"/>
    <w:rsid w:val="009962BD"/>
    <w:rsid w:val="00996481"/>
    <w:rsid w:val="00996632"/>
    <w:rsid w:val="00996B33"/>
    <w:rsid w:val="00996CBE"/>
    <w:rsid w:val="009970C6"/>
    <w:rsid w:val="00997302"/>
    <w:rsid w:val="00997445"/>
    <w:rsid w:val="00997A20"/>
    <w:rsid w:val="00997B64"/>
    <w:rsid w:val="00997C90"/>
    <w:rsid w:val="00997E19"/>
    <w:rsid w:val="009A02AB"/>
    <w:rsid w:val="009A06E2"/>
    <w:rsid w:val="009A0713"/>
    <w:rsid w:val="009A1286"/>
    <w:rsid w:val="009A163F"/>
    <w:rsid w:val="009A19AC"/>
    <w:rsid w:val="009A1D06"/>
    <w:rsid w:val="009A1EBD"/>
    <w:rsid w:val="009A1FFF"/>
    <w:rsid w:val="009A235F"/>
    <w:rsid w:val="009A2702"/>
    <w:rsid w:val="009A27B3"/>
    <w:rsid w:val="009A2855"/>
    <w:rsid w:val="009A28FD"/>
    <w:rsid w:val="009A2B00"/>
    <w:rsid w:val="009A2C08"/>
    <w:rsid w:val="009A30F9"/>
    <w:rsid w:val="009A3390"/>
    <w:rsid w:val="009A355F"/>
    <w:rsid w:val="009A3A51"/>
    <w:rsid w:val="009A3AE8"/>
    <w:rsid w:val="009A3BBC"/>
    <w:rsid w:val="009A3D0F"/>
    <w:rsid w:val="009A3DE6"/>
    <w:rsid w:val="009A4024"/>
    <w:rsid w:val="009A40D3"/>
    <w:rsid w:val="009A41D0"/>
    <w:rsid w:val="009A41F4"/>
    <w:rsid w:val="009A4269"/>
    <w:rsid w:val="009A42BD"/>
    <w:rsid w:val="009A473E"/>
    <w:rsid w:val="009A4BFC"/>
    <w:rsid w:val="009A4C35"/>
    <w:rsid w:val="009A52B8"/>
    <w:rsid w:val="009A548D"/>
    <w:rsid w:val="009A5651"/>
    <w:rsid w:val="009A5D10"/>
    <w:rsid w:val="009A5DB9"/>
    <w:rsid w:val="009A5DFA"/>
    <w:rsid w:val="009A5EAC"/>
    <w:rsid w:val="009A5F97"/>
    <w:rsid w:val="009A603D"/>
    <w:rsid w:val="009A611F"/>
    <w:rsid w:val="009A6132"/>
    <w:rsid w:val="009A65D9"/>
    <w:rsid w:val="009A6674"/>
    <w:rsid w:val="009A6937"/>
    <w:rsid w:val="009A6B73"/>
    <w:rsid w:val="009A7157"/>
    <w:rsid w:val="009A76BE"/>
    <w:rsid w:val="009A797E"/>
    <w:rsid w:val="009A7AEE"/>
    <w:rsid w:val="009B02C4"/>
    <w:rsid w:val="009B04B3"/>
    <w:rsid w:val="009B0593"/>
    <w:rsid w:val="009B05DF"/>
    <w:rsid w:val="009B07A1"/>
    <w:rsid w:val="009B08A3"/>
    <w:rsid w:val="009B0DE6"/>
    <w:rsid w:val="009B1006"/>
    <w:rsid w:val="009B11E8"/>
    <w:rsid w:val="009B13FB"/>
    <w:rsid w:val="009B141F"/>
    <w:rsid w:val="009B1454"/>
    <w:rsid w:val="009B1A5F"/>
    <w:rsid w:val="009B1A6E"/>
    <w:rsid w:val="009B1AD8"/>
    <w:rsid w:val="009B1F99"/>
    <w:rsid w:val="009B20B3"/>
    <w:rsid w:val="009B20E8"/>
    <w:rsid w:val="009B28FD"/>
    <w:rsid w:val="009B2BBE"/>
    <w:rsid w:val="009B3284"/>
    <w:rsid w:val="009B3454"/>
    <w:rsid w:val="009B368A"/>
    <w:rsid w:val="009B391F"/>
    <w:rsid w:val="009B3978"/>
    <w:rsid w:val="009B3B08"/>
    <w:rsid w:val="009B3D1B"/>
    <w:rsid w:val="009B42CB"/>
    <w:rsid w:val="009B47F3"/>
    <w:rsid w:val="009B4849"/>
    <w:rsid w:val="009B48EC"/>
    <w:rsid w:val="009B49C9"/>
    <w:rsid w:val="009B4AA3"/>
    <w:rsid w:val="009B4B02"/>
    <w:rsid w:val="009B4BD8"/>
    <w:rsid w:val="009B4D5C"/>
    <w:rsid w:val="009B57A0"/>
    <w:rsid w:val="009B5C71"/>
    <w:rsid w:val="009B6253"/>
    <w:rsid w:val="009B6810"/>
    <w:rsid w:val="009B68A4"/>
    <w:rsid w:val="009B69AC"/>
    <w:rsid w:val="009B69E4"/>
    <w:rsid w:val="009B6DBD"/>
    <w:rsid w:val="009B72BF"/>
    <w:rsid w:val="009B74D0"/>
    <w:rsid w:val="009B7571"/>
    <w:rsid w:val="009B7596"/>
    <w:rsid w:val="009B7879"/>
    <w:rsid w:val="009B7A23"/>
    <w:rsid w:val="009B7A24"/>
    <w:rsid w:val="009B7A96"/>
    <w:rsid w:val="009B7C85"/>
    <w:rsid w:val="009B7CE9"/>
    <w:rsid w:val="009B7FCA"/>
    <w:rsid w:val="009C0A0D"/>
    <w:rsid w:val="009C0B91"/>
    <w:rsid w:val="009C1010"/>
    <w:rsid w:val="009C1339"/>
    <w:rsid w:val="009C13E0"/>
    <w:rsid w:val="009C1418"/>
    <w:rsid w:val="009C1616"/>
    <w:rsid w:val="009C16B7"/>
    <w:rsid w:val="009C1960"/>
    <w:rsid w:val="009C1A6C"/>
    <w:rsid w:val="009C1E44"/>
    <w:rsid w:val="009C1E54"/>
    <w:rsid w:val="009C1FB4"/>
    <w:rsid w:val="009C2913"/>
    <w:rsid w:val="009C29BB"/>
    <w:rsid w:val="009C2BA1"/>
    <w:rsid w:val="009C33EE"/>
    <w:rsid w:val="009C34B6"/>
    <w:rsid w:val="009C36C4"/>
    <w:rsid w:val="009C3812"/>
    <w:rsid w:val="009C395E"/>
    <w:rsid w:val="009C39E2"/>
    <w:rsid w:val="009C3E86"/>
    <w:rsid w:val="009C3F54"/>
    <w:rsid w:val="009C4487"/>
    <w:rsid w:val="009C462A"/>
    <w:rsid w:val="009C4824"/>
    <w:rsid w:val="009C4A38"/>
    <w:rsid w:val="009C4EC2"/>
    <w:rsid w:val="009C4F12"/>
    <w:rsid w:val="009C520D"/>
    <w:rsid w:val="009C5249"/>
    <w:rsid w:val="009C527E"/>
    <w:rsid w:val="009C52C2"/>
    <w:rsid w:val="009C53E4"/>
    <w:rsid w:val="009C55E6"/>
    <w:rsid w:val="009C5778"/>
    <w:rsid w:val="009C57A2"/>
    <w:rsid w:val="009C57BC"/>
    <w:rsid w:val="009C57E6"/>
    <w:rsid w:val="009C5853"/>
    <w:rsid w:val="009C58DE"/>
    <w:rsid w:val="009C5E8E"/>
    <w:rsid w:val="009C5F84"/>
    <w:rsid w:val="009C6BF6"/>
    <w:rsid w:val="009C6D6A"/>
    <w:rsid w:val="009C6D90"/>
    <w:rsid w:val="009C6E47"/>
    <w:rsid w:val="009C6EA4"/>
    <w:rsid w:val="009C728C"/>
    <w:rsid w:val="009C72EC"/>
    <w:rsid w:val="009C73C0"/>
    <w:rsid w:val="009C74CC"/>
    <w:rsid w:val="009C7705"/>
    <w:rsid w:val="009C7768"/>
    <w:rsid w:val="009C77C1"/>
    <w:rsid w:val="009C7853"/>
    <w:rsid w:val="009C7943"/>
    <w:rsid w:val="009C7B3B"/>
    <w:rsid w:val="009D02A2"/>
    <w:rsid w:val="009D0513"/>
    <w:rsid w:val="009D0DA0"/>
    <w:rsid w:val="009D0DDF"/>
    <w:rsid w:val="009D0EC6"/>
    <w:rsid w:val="009D0FCD"/>
    <w:rsid w:val="009D0FEE"/>
    <w:rsid w:val="009D1524"/>
    <w:rsid w:val="009D1585"/>
    <w:rsid w:val="009D1AB4"/>
    <w:rsid w:val="009D1AD9"/>
    <w:rsid w:val="009D1CDC"/>
    <w:rsid w:val="009D1D9B"/>
    <w:rsid w:val="009D1F5E"/>
    <w:rsid w:val="009D2186"/>
    <w:rsid w:val="009D2419"/>
    <w:rsid w:val="009D241C"/>
    <w:rsid w:val="009D24C8"/>
    <w:rsid w:val="009D261B"/>
    <w:rsid w:val="009D2831"/>
    <w:rsid w:val="009D290B"/>
    <w:rsid w:val="009D2B81"/>
    <w:rsid w:val="009D2DB7"/>
    <w:rsid w:val="009D2EF3"/>
    <w:rsid w:val="009D2F18"/>
    <w:rsid w:val="009D35AF"/>
    <w:rsid w:val="009D3C31"/>
    <w:rsid w:val="009D3F43"/>
    <w:rsid w:val="009D41C7"/>
    <w:rsid w:val="009D41E4"/>
    <w:rsid w:val="009D4229"/>
    <w:rsid w:val="009D44B0"/>
    <w:rsid w:val="009D45A3"/>
    <w:rsid w:val="009D45EE"/>
    <w:rsid w:val="009D4628"/>
    <w:rsid w:val="009D49AF"/>
    <w:rsid w:val="009D49FD"/>
    <w:rsid w:val="009D4B67"/>
    <w:rsid w:val="009D4C6A"/>
    <w:rsid w:val="009D4D19"/>
    <w:rsid w:val="009D4DF5"/>
    <w:rsid w:val="009D513A"/>
    <w:rsid w:val="009D53F7"/>
    <w:rsid w:val="009D5444"/>
    <w:rsid w:val="009D54CF"/>
    <w:rsid w:val="009D5982"/>
    <w:rsid w:val="009D59E1"/>
    <w:rsid w:val="009D5BF4"/>
    <w:rsid w:val="009D5C1F"/>
    <w:rsid w:val="009D5CEC"/>
    <w:rsid w:val="009D5D78"/>
    <w:rsid w:val="009D60E7"/>
    <w:rsid w:val="009D6159"/>
    <w:rsid w:val="009D6242"/>
    <w:rsid w:val="009D63D5"/>
    <w:rsid w:val="009D6C1C"/>
    <w:rsid w:val="009D6D9C"/>
    <w:rsid w:val="009D6E4C"/>
    <w:rsid w:val="009D7030"/>
    <w:rsid w:val="009D734F"/>
    <w:rsid w:val="009D74CF"/>
    <w:rsid w:val="009D7795"/>
    <w:rsid w:val="009D7A47"/>
    <w:rsid w:val="009D7BAB"/>
    <w:rsid w:val="009D7EA5"/>
    <w:rsid w:val="009D7EB0"/>
    <w:rsid w:val="009D7ED3"/>
    <w:rsid w:val="009E0041"/>
    <w:rsid w:val="009E0179"/>
    <w:rsid w:val="009E026B"/>
    <w:rsid w:val="009E02CF"/>
    <w:rsid w:val="009E02FC"/>
    <w:rsid w:val="009E05E8"/>
    <w:rsid w:val="009E0A8D"/>
    <w:rsid w:val="009E0B44"/>
    <w:rsid w:val="009E10CD"/>
    <w:rsid w:val="009E1144"/>
    <w:rsid w:val="009E117C"/>
    <w:rsid w:val="009E1211"/>
    <w:rsid w:val="009E18EE"/>
    <w:rsid w:val="009E191D"/>
    <w:rsid w:val="009E1ACF"/>
    <w:rsid w:val="009E202F"/>
    <w:rsid w:val="009E2409"/>
    <w:rsid w:val="009E245B"/>
    <w:rsid w:val="009E264F"/>
    <w:rsid w:val="009E2BAD"/>
    <w:rsid w:val="009E2BE3"/>
    <w:rsid w:val="009E2C89"/>
    <w:rsid w:val="009E2D2A"/>
    <w:rsid w:val="009E2D3A"/>
    <w:rsid w:val="009E2EAB"/>
    <w:rsid w:val="009E2FA8"/>
    <w:rsid w:val="009E3037"/>
    <w:rsid w:val="009E3100"/>
    <w:rsid w:val="009E32B1"/>
    <w:rsid w:val="009E36FD"/>
    <w:rsid w:val="009E3767"/>
    <w:rsid w:val="009E37C6"/>
    <w:rsid w:val="009E3A83"/>
    <w:rsid w:val="009E3E9E"/>
    <w:rsid w:val="009E4299"/>
    <w:rsid w:val="009E43F7"/>
    <w:rsid w:val="009E44A0"/>
    <w:rsid w:val="009E4781"/>
    <w:rsid w:val="009E4917"/>
    <w:rsid w:val="009E4EFF"/>
    <w:rsid w:val="009E4F39"/>
    <w:rsid w:val="009E5762"/>
    <w:rsid w:val="009E59F9"/>
    <w:rsid w:val="009E5CBC"/>
    <w:rsid w:val="009E5D33"/>
    <w:rsid w:val="009E5E8E"/>
    <w:rsid w:val="009E5F16"/>
    <w:rsid w:val="009E5F20"/>
    <w:rsid w:val="009E6099"/>
    <w:rsid w:val="009E6147"/>
    <w:rsid w:val="009E6192"/>
    <w:rsid w:val="009E6408"/>
    <w:rsid w:val="009E6B23"/>
    <w:rsid w:val="009E6EC2"/>
    <w:rsid w:val="009E70F8"/>
    <w:rsid w:val="009E7102"/>
    <w:rsid w:val="009E7137"/>
    <w:rsid w:val="009E7174"/>
    <w:rsid w:val="009E7230"/>
    <w:rsid w:val="009E7267"/>
    <w:rsid w:val="009E77AB"/>
    <w:rsid w:val="009E788C"/>
    <w:rsid w:val="009E7ABB"/>
    <w:rsid w:val="009E7C23"/>
    <w:rsid w:val="009E7F76"/>
    <w:rsid w:val="009F034C"/>
    <w:rsid w:val="009F0726"/>
    <w:rsid w:val="009F0EAA"/>
    <w:rsid w:val="009F0F13"/>
    <w:rsid w:val="009F0FEA"/>
    <w:rsid w:val="009F1224"/>
    <w:rsid w:val="009F1342"/>
    <w:rsid w:val="009F1412"/>
    <w:rsid w:val="009F1603"/>
    <w:rsid w:val="009F1735"/>
    <w:rsid w:val="009F1989"/>
    <w:rsid w:val="009F1AE9"/>
    <w:rsid w:val="009F1B7E"/>
    <w:rsid w:val="009F24FB"/>
    <w:rsid w:val="009F2729"/>
    <w:rsid w:val="009F2B79"/>
    <w:rsid w:val="009F2BB5"/>
    <w:rsid w:val="009F2C5E"/>
    <w:rsid w:val="009F2DD8"/>
    <w:rsid w:val="009F2DEA"/>
    <w:rsid w:val="009F320A"/>
    <w:rsid w:val="009F326E"/>
    <w:rsid w:val="009F3487"/>
    <w:rsid w:val="009F3665"/>
    <w:rsid w:val="009F37C3"/>
    <w:rsid w:val="009F3910"/>
    <w:rsid w:val="009F394C"/>
    <w:rsid w:val="009F3CA8"/>
    <w:rsid w:val="009F3E34"/>
    <w:rsid w:val="009F3E6B"/>
    <w:rsid w:val="009F4211"/>
    <w:rsid w:val="009F421E"/>
    <w:rsid w:val="009F479D"/>
    <w:rsid w:val="009F4BF8"/>
    <w:rsid w:val="009F4F49"/>
    <w:rsid w:val="009F4F90"/>
    <w:rsid w:val="009F5338"/>
    <w:rsid w:val="009F53E8"/>
    <w:rsid w:val="009F549E"/>
    <w:rsid w:val="009F5A8F"/>
    <w:rsid w:val="009F5B34"/>
    <w:rsid w:val="009F5E18"/>
    <w:rsid w:val="009F5E88"/>
    <w:rsid w:val="009F5FE9"/>
    <w:rsid w:val="009F6088"/>
    <w:rsid w:val="009F60CC"/>
    <w:rsid w:val="009F619F"/>
    <w:rsid w:val="009F61AB"/>
    <w:rsid w:val="009F61B7"/>
    <w:rsid w:val="009F63D3"/>
    <w:rsid w:val="009F6450"/>
    <w:rsid w:val="009F64F2"/>
    <w:rsid w:val="009F65EF"/>
    <w:rsid w:val="009F674F"/>
    <w:rsid w:val="009F67A8"/>
    <w:rsid w:val="009F6A65"/>
    <w:rsid w:val="009F6B67"/>
    <w:rsid w:val="009F6B69"/>
    <w:rsid w:val="009F6B93"/>
    <w:rsid w:val="009F6F36"/>
    <w:rsid w:val="009F6F3D"/>
    <w:rsid w:val="009F7038"/>
    <w:rsid w:val="009F7069"/>
    <w:rsid w:val="009F713E"/>
    <w:rsid w:val="009F744A"/>
    <w:rsid w:val="009F7887"/>
    <w:rsid w:val="009F7FB6"/>
    <w:rsid w:val="00A00050"/>
    <w:rsid w:val="00A00322"/>
    <w:rsid w:val="00A003F0"/>
    <w:rsid w:val="00A00AB4"/>
    <w:rsid w:val="00A00C6C"/>
    <w:rsid w:val="00A00E8B"/>
    <w:rsid w:val="00A01095"/>
    <w:rsid w:val="00A01115"/>
    <w:rsid w:val="00A0117A"/>
    <w:rsid w:val="00A01662"/>
    <w:rsid w:val="00A0193C"/>
    <w:rsid w:val="00A01A5D"/>
    <w:rsid w:val="00A01A75"/>
    <w:rsid w:val="00A01B21"/>
    <w:rsid w:val="00A01EAA"/>
    <w:rsid w:val="00A01FE4"/>
    <w:rsid w:val="00A022C6"/>
    <w:rsid w:val="00A0248E"/>
    <w:rsid w:val="00A02689"/>
    <w:rsid w:val="00A02771"/>
    <w:rsid w:val="00A02AD6"/>
    <w:rsid w:val="00A02C0A"/>
    <w:rsid w:val="00A02E63"/>
    <w:rsid w:val="00A030A7"/>
    <w:rsid w:val="00A03708"/>
    <w:rsid w:val="00A037C4"/>
    <w:rsid w:val="00A039E0"/>
    <w:rsid w:val="00A03F0F"/>
    <w:rsid w:val="00A04613"/>
    <w:rsid w:val="00A04867"/>
    <w:rsid w:val="00A04B21"/>
    <w:rsid w:val="00A04C8B"/>
    <w:rsid w:val="00A050BC"/>
    <w:rsid w:val="00A052A3"/>
    <w:rsid w:val="00A058C1"/>
    <w:rsid w:val="00A05A21"/>
    <w:rsid w:val="00A05A22"/>
    <w:rsid w:val="00A05E98"/>
    <w:rsid w:val="00A05F61"/>
    <w:rsid w:val="00A0629F"/>
    <w:rsid w:val="00A0635E"/>
    <w:rsid w:val="00A0652F"/>
    <w:rsid w:val="00A068E6"/>
    <w:rsid w:val="00A06DD2"/>
    <w:rsid w:val="00A06F10"/>
    <w:rsid w:val="00A071A8"/>
    <w:rsid w:val="00A07337"/>
    <w:rsid w:val="00A07471"/>
    <w:rsid w:val="00A0759E"/>
    <w:rsid w:val="00A0764C"/>
    <w:rsid w:val="00A07943"/>
    <w:rsid w:val="00A07A17"/>
    <w:rsid w:val="00A07A65"/>
    <w:rsid w:val="00A07B1D"/>
    <w:rsid w:val="00A07BE7"/>
    <w:rsid w:val="00A07D92"/>
    <w:rsid w:val="00A07FB6"/>
    <w:rsid w:val="00A07FD1"/>
    <w:rsid w:val="00A10206"/>
    <w:rsid w:val="00A10282"/>
    <w:rsid w:val="00A104B7"/>
    <w:rsid w:val="00A105C4"/>
    <w:rsid w:val="00A106AB"/>
    <w:rsid w:val="00A1075E"/>
    <w:rsid w:val="00A10829"/>
    <w:rsid w:val="00A10AA2"/>
    <w:rsid w:val="00A10C5F"/>
    <w:rsid w:val="00A10DA0"/>
    <w:rsid w:val="00A11494"/>
    <w:rsid w:val="00A1182A"/>
    <w:rsid w:val="00A11879"/>
    <w:rsid w:val="00A118B8"/>
    <w:rsid w:val="00A11936"/>
    <w:rsid w:val="00A119A0"/>
    <w:rsid w:val="00A11C87"/>
    <w:rsid w:val="00A11D84"/>
    <w:rsid w:val="00A12055"/>
    <w:rsid w:val="00A1208D"/>
    <w:rsid w:val="00A12224"/>
    <w:rsid w:val="00A124C5"/>
    <w:rsid w:val="00A12808"/>
    <w:rsid w:val="00A12D3B"/>
    <w:rsid w:val="00A12EB5"/>
    <w:rsid w:val="00A12EC2"/>
    <w:rsid w:val="00A12F68"/>
    <w:rsid w:val="00A13388"/>
    <w:rsid w:val="00A1338E"/>
    <w:rsid w:val="00A133BB"/>
    <w:rsid w:val="00A13464"/>
    <w:rsid w:val="00A1356E"/>
    <w:rsid w:val="00A139AD"/>
    <w:rsid w:val="00A139F8"/>
    <w:rsid w:val="00A13BC1"/>
    <w:rsid w:val="00A13DF2"/>
    <w:rsid w:val="00A13F24"/>
    <w:rsid w:val="00A13F9B"/>
    <w:rsid w:val="00A14313"/>
    <w:rsid w:val="00A14513"/>
    <w:rsid w:val="00A1452E"/>
    <w:rsid w:val="00A14568"/>
    <w:rsid w:val="00A146EC"/>
    <w:rsid w:val="00A149C5"/>
    <w:rsid w:val="00A14AA1"/>
    <w:rsid w:val="00A14B6F"/>
    <w:rsid w:val="00A14DAC"/>
    <w:rsid w:val="00A14F8B"/>
    <w:rsid w:val="00A150C0"/>
    <w:rsid w:val="00A15234"/>
    <w:rsid w:val="00A15243"/>
    <w:rsid w:val="00A1557F"/>
    <w:rsid w:val="00A155FF"/>
    <w:rsid w:val="00A159AB"/>
    <w:rsid w:val="00A15FEA"/>
    <w:rsid w:val="00A16287"/>
    <w:rsid w:val="00A164C3"/>
    <w:rsid w:val="00A164ED"/>
    <w:rsid w:val="00A166E8"/>
    <w:rsid w:val="00A1699D"/>
    <w:rsid w:val="00A16A21"/>
    <w:rsid w:val="00A16A7B"/>
    <w:rsid w:val="00A16BBE"/>
    <w:rsid w:val="00A16CEB"/>
    <w:rsid w:val="00A16ED9"/>
    <w:rsid w:val="00A17208"/>
    <w:rsid w:val="00A17AC0"/>
    <w:rsid w:val="00A20051"/>
    <w:rsid w:val="00A202A1"/>
    <w:rsid w:val="00A20431"/>
    <w:rsid w:val="00A205A5"/>
    <w:rsid w:val="00A205B5"/>
    <w:rsid w:val="00A2074C"/>
    <w:rsid w:val="00A20E1C"/>
    <w:rsid w:val="00A210F9"/>
    <w:rsid w:val="00A211C3"/>
    <w:rsid w:val="00A21590"/>
    <w:rsid w:val="00A21BC3"/>
    <w:rsid w:val="00A21C1F"/>
    <w:rsid w:val="00A21C59"/>
    <w:rsid w:val="00A21ED0"/>
    <w:rsid w:val="00A21F07"/>
    <w:rsid w:val="00A22018"/>
    <w:rsid w:val="00A221E8"/>
    <w:rsid w:val="00A22508"/>
    <w:rsid w:val="00A22946"/>
    <w:rsid w:val="00A2351F"/>
    <w:rsid w:val="00A23609"/>
    <w:rsid w:val="00A23643"/>
    <w:rsid w:val="00A23A75"/>
    <w:rsid w:val="00A23AD2"/>
    <w:rsid w:val="00A23C9B"/>
    <w:rsid w:val="00A23D5D"/>
    <w:rsid w:val="00A23DCE"/>
    <w:rsid w:val="00A23E7F"/>
    <w:rsid w:val="00A23EED"/>
    <w:rsid w:val="00A23FE0"/>
    <w:rsid w:val="00A24012"/>
    <w:rsid w:val="00A24026"/>
    <w:rsid w:val="00A24086"/>
    <w:rsid w:val="00A242C8"/>
    <w:rsid w:val="00A24492"/>
    <w:rsid w:val="00A24724"/>
    <w:rsid w:val="00A2476E"/>
    <w:rsid w:val="00A24878"/>
    <w:rsid w:val="00A24A1F"/>
    <w:rsid w:val="00A24A41"/>
    <w:rsid w:val="00A24CFC"/>
    <w:rsid w:val="00A24ED0"/>
    <w:rsid w:val="00A24FBD"/>
    <w:rsid w:val="00A251D1"/>
    <w:rsid w:val="00A25306"/>
    <w:rsid w:val="00A25755"/>
    <w:rsid w:val="00A2585E"/>
    <w:rsid w:val="00A25867"/>
    <w:rsid w:val="00A25C71"/>
    <w:rsid w:val="00A25D42"/>
    <w:rsid w:val="00A25D82"/>
    <w:rsid w:val="00A26191"/>
    <w:rsid w:val="00A265D1"/>
    <w:rsid w:val="00A266D2"/>
    <w:rsid w:val="00A26798"/>
    <w:rsid w:val="00A26AC5"/>
    <w:rsid w:val="00A26D64"/>
    <w:rsid w:val="00A26E30"/>
    <w:rsid w:val="00A26FF1"/>
    <w:rsid w:val="00A271F9"/>
    <w:rsid w:val="00A2732F"/>
    <w:rsid w:val="00A27434"/>
    <w:rsid w:val="00A274DE"/>
    <w:rsid w:val="00A27B62"/>
    <w:rsid w:val="00A27B65"/>
    <w:rsid w:val="00A27F93"/>
    <w:rsid w:val="00A30099"/>
    <w:rsid w:val="00A30376"/>
    <w:rsid w:val="00A3072B"/>
    <w:rsid w:val="00A30964"/>
    <w:rsid w:val="00A30C08"/>
    <w:rsid w:val="00A310DF"/>
    <w:rsid w:val="00A31366"/>
    <w:rsid w:val="00A31475"/>
    <w:rsid w:val="00A318BC"/>
    <w:rsid w:val="00A31A5D"/>
    <w:rsid w:val="00A31A76"/>
    <w:rsid w:val="00A31B5A"/>
    <w:rsid w:val="00A31CE5"/>
    <w:rsid w:val="00A32236"/>
    <w:rsid w:val="00A32446"/>
    <w:rsid w:val="00A32701"/>
    <w:rsid w:val="00A329F0"/>
    <w:rsid w:val="00A32BC7"/>
    <w:rsid w:val="00A32DF9"/>
    <w:rsid w:val="00A32F1C"/>
    <w:rsid w:val="00A33033"/>
    <w:rsid w:val="00A331BB"/>
    <w:rsid w:val="00A3331D"/>
    <w:rsid w:val="00A333B7"/>
    <w:rsid w:val="00A33983"/>
    <w:rsid w:val="00A33DD9"/>
    <w:rsid w:val="00A33F72"/>
    <w:rsid w:val="00A340B7"/>
    <w:rsid w:val="00A34173"/>
    <w:rsid w:val="00A347DD"/>
    <w:rsid w:val="00A348DC"/>
    <w:rsid w:val="00A34990"/>
    <w:rsid w:val="00A34A82"/>
    <w:rsid w:val="00A34B5A"/>
    <w:rsid w:val="00A34B70"/>
    <w:rsid w:val="00A34DED"/>
    <w:rsid w:val="00A34E75"/>
    <w:rsid w:val="00A35085"/>
    <w:rsid w:val="00A352DD"/>
    <w:rsid w:val="00A353E4"/>
    <w:rsid w:val="00A358B7"/>
    <w:rsid w:val="00A35935"/>
    <w:rsid w:val="00A35A9F"/>
    <w:rsid w:val="00A35D17"/>
    <w:rsid w:val="00A35E4D"/>
    <w:rsid w:val="00A35E83"/>
    <w:rsid w:val="00A35F69"/>
    <w:rsid w:val="00A36465"/>
    <w:rsid w:val="00A367CA"/>
    <w:rsid w:val="00A36A77"/>
    <w:rsid w:val="00A36D6D"/>
    <w:rsid w:val="00A36E57"/>
    <w:rsid w:val="00A37046"/>
    <w:rsid w:val="00A37047"/>
    <w:rsid w:val="00A371C7"/>
    <w:rsid w:val="00A37304"/>
    <w:rsid w:val="00A377E7"/>
    <w:rsid w:val="00A3786C"/>
    <w:rsid w:val="00A378AA"/>
    <w:rsid w:val="00A37C52"/>
    <w:rsid w:val="00A37C64"/>
    <w:rsid w:val="00A40267"/>
    <w:rsid w:val="00A40301"/>
    <w:rsid w:val="00A405B0"/>
    <w:rsid w:val="00A405E7"/>
    <w:rsid w:val="00A4075E"/>
    <w:rsid w:val="00A40E22"/>
    <w:rsid w:val="00A40F0B"/>
    <w:rsid w:val="00A41031"/>
    <w:rsid w:val="00A41831"/>
    <w:rsid w:val="00A4183A"/>
    <w:rsid w:val="00A41A07"/>
    <w:rsid w:val="00A41A29"/>
    <w:rsid w:val="00A420DB"/>
    <w:rsid w:val="00A420E5"/>
    <w:rsid w:val="00A42422"/>
    <w:rsid w:val="00A42538"/>
    <w:rsid w:val="00A42776"/>
    <w:rsid w:val="00A427D8"/>
    <w:rsid w:val="00A427FF"/>
    <w:rsid w:val="00A4294A"/>
    <w:rsid w:val="00A42A11"/>
    <w:rsid w:val="00A42AED"/>
    <w:rsid w:val="00A42B69"/>
    <w:rsid w:val="00A42C75"/>
    <w:rsid w:val="00A42CB4"/>
    <w:rsid w:val="00A42CE3"/>
    <w:rsid w:val="00A42F2D"/>
    <w:rsid w:val="00A43211"/>
    <w:rsid w:val="00A435C3"/>
    <w:rsid w:val="00A43615"/>
    <w:rsid w:val="00A43770"/>
    <w:rsid w:val="00A43810"/>
    <w:rsid w:val="00A43928"/>
    <w:rsid w:val="00A43AA3"/>
    <w:rsid w:val="00A43B07"/>
    <w:rsid w:val="00A43C56"/>
    <w:rsid w:val="00A43C69"/>
    <w:rsid w:val="00A43FFF"/>
    <w:rsid w:val="00A440E1"/>
    <w:rsid w:val="00A4428E"/>
    <w:rsid w:val="00A444A5"/>
    <w:rsid w:val="00A44796"/>
    <w:rsid w:val="00A447DD"/>
    <w:rsid w:val="00A44B47"/>
    <w:rsid w:val="00A44CF4"/>
    <w:rsid w:val="00A452A2"/>
    <w:rsid w:val="00A45C7B"/>
    <w:rsid w:val="00A45CF8"/>
    <w:rsid w:val="00A46242"/>
    <w:rsid w:val="00A46254"/>
    <w:rsid w:val="00A4640F"/>
    <w:rsid w:val="00A4687A"/>
    <w:rsid w:val="00A46B0A"/>
    <w:rsid w:val="00A46C1C"/>
    <w:rsid w:val="00A46C3D"/>
    <w:rsid w:val="00A46D4D"/>
    <w:rsid w:val="00A46F81"/>
    <w:rsid w:val="00A46FFC"/>
    <w:rsid w:val="00A471E9"/>
    <w:rsid w:val="00A47ED8"/>
    <w:rsid w:val="00A47EF1"/>
    <w:rsid w:val="00A501F4"/>
    <w:rsid w:val="00A5031B"/>
    <w:rsid w:val="00A5062D"/>
    <w:rsid w:val="00A50868"/>
    <w:rsid w:val="00A50977"/>
    <w:rsid w:val="00A50A89"/>
    <w:rsid w:val="00A50CB6"/>
    <w:rsid w:val="00A50EEB"/>
    <w:rsid w:val="00A511A5"/>
    <w:rsid w:val="00A517EC"/>
    <w:rsid w:val="00A51803"/>
    <w:rsid w:val="00A5186E"/>
    <w:rsid w:val="00A51A54"/>
    <w:rsid w:val="00A51AAB"/>
    <w:rsid w:val="00A52028"/>
    <w:rsid w:val="00A523E7"/>
    <w:rsid w:val="00A525D8"/>
    <w:rsid w:val="00A528E1"/>
    <w:rsid w:val="00A52904"/>
    <w:rsid w:val="00A52960"/>
    <w:rsid w:val="00A52ADF"/>
    <w:rsid w:val="00A52B3C"/>
    <w:rsid w:val="00A52ECD"/>
    <w:rsid w:val="00A533B9"/>
    <w:rsid w:val="00A5340F"/>
    <w:rsid w:val="00A5364F"/>
    <w:rsid w:val="00A53B55"/>
    <w:rsid w:val="00A53C5F"/>
    <w:rsid w:val="00A53C7F"/>
    <w:rsid w:val="00A53DA1"/>
    <w:rsid w:val="00A53E17"/>
    <w:rsid w:val="00A53EBC"/>
    <w:rsid w:val="00A53EFE"/>
    <w:rsid w:val="00A53FCD"/>
    <w:rsid w:val="00A543AE"/>
    <w:rsid w:val="00A54409"/>
    <w:rsid w:val="00A547CB"/>
    <w:rsid w:val="00A54988"/>
    <w:rsid w:val="00A54A93"/>
    <w:rsid w:val="00A54C92"/>
    <w:rsid w:val="00A54FCC"/>
    <w:rsid w:val="00A5521C"/>
    <w:rsid w:val="00A552BA"/>
    <w:rsid w:val="00A55315"/>
    <w:rsid w:val="00A55347"/>
    <w:rsid w:val="00A55A6E"/>
    <w:rsid w:val="00A55AA8"/>
    <w:rsid w:val="00A55C3A"/>
    <w:rsid w:val="00A55C99"/>
    <w:rsid w:val="00A55EE7"/>
    <w:rsid w:val="00A55EE8"/>
    <w:rsid w:val="00A561BC"/>
    <w:rsid w:val="00A561CC"/>
    <w:rsid w:val="00A562B7"/>
    <w:rsid w:val="00A56393"/>
    <w:rsid w:val="00A5660F"/>
    <w:rsid w:val="00A5664D"/>
    <w:rsid w:val="00A568B4"/>
    <w:rsid w:val="00A56ACE"/>
    <w:rsid w:val="00A56B81"/>
    <w:rsid w:val="00A56C9B"/>
    <w:rsid w:val="00A56CD5"/>
    <w:rsid w:val="00A56DAE"/>
    <w:rsid w:val="00A57095"/>
    <w:rsid w:val="00A57394"/>
    <w:rsid w:val="00A57695"/>
    <w:rsid w:val="00A577D1"/>
    <w:rsid w:val="00A578DC"/>
    <w:rsid w:val="00A5793C"/>
    <w:rsid w:val="00A57B02"/>
    <w:rsid w:val="00A57CCC"/>
    <w:rsid w:val="00A57D94"/>
    <w:rsid w:val="00A57E70"/>
    <w:rsid w:val="00A57F3C"/>
    <w:rsid w:val="00A57F80"/>
    <w:rsid w:val="00A608B2"/>
    <w:rsid w:val="00A60A51"/>
    <w:rsid w:val="00A60E49"/>
    <w:rsid w:val="00A612E5"/>
    <w:rsid w:val="00A614FC"/>
    <w:rsid w:val="00A61847"/>
    <w:rsid w:val="00A61DA9"/>
    <w:rsid w:val="00A6201E"/>
    <w:rsid w:val="00A62159"/>
    <w:rsid w:val="00A626AD"/>
    <w:rsid w:val="00A627BD"/>
    <w:rsid w:val="00A62B69"/>
    <w:rsid w:val="00A62BB6"/>
    <w:rsid w:val="00A62E2F"/>
    <w:rsid w:val="00A62E94"/>
    <w:rsid w:val="00A6358D"/>
    <w:rsid w:val="00A63A3E"/>
    <w:rsid w:val="00A63B22"/>
    <w:rsid w:val="00A63B6F"/>
    <w:rsid w:val="00A64013"/>
    <w:rsid w:val="00A641EA"/>
    <w:rsid w:val="00A643F7"/>
    <w:rsid w:val="00A645A7"/>
    <w:rsid w:val="00A64675"/>
    <w:rsid w:val="00A64797"/>
    <w:rsid w:val="00A6490E"/>
    <w:rsid w:val="00A64B29"/>
    <w:rsid w:val="00A64C23"/>
    <w:rsid w:val="00A64DA3"/>
    <w:rsid w:val="00A65009"/>
    <w:rsid w:val="00A650E0"/>
    <w:rsid w:val="00A650EE"/>
    <w:rsid w:val="00A6521B"/>
    <w:rsid w:val="00A655C1"/>
    <w:rsid w:val="00A65A3A"/>
    <w:rsid w:val="00A65D5F"/>
    <w:rsid w:val="00A65EDF"/>
    <w:rsid w:val="00A65F1C"/>
    <w:rsid w:val="00A65FBD"/>
    <w:rsid w:val="00A66219"/>
    <w:rsid w:val="00A66248"/>
    <w:rsid w:val="00A662D5"/>
    <w:rsid w:val="00A663EF"/>
    <w:rsid w:val="00A66529"/>
    <w:rsid w:val="00A667D4"/>
    <w:rsid w:val="00A66BA7"/>
    <w:rsid w:val="00A66E18"/>
    <w:rsid w:val="00A675C4"/>
    <w:rsid w:val="00A6769C"/>
    <w:rsid w:val="00A67C2B"/>
    <w:rsid w:val="00A67D75"/>
    <w:rsid w:val="00A67E02"/>
    <w:rsid w:val="00A67ECD"/>
    <w:rsid w:val="00A67ED2"/>
    <w:rsid w:val="00A7012A"/>
    <w:rsid w:val="00A701C5"/>
    <w:rsid w:val="00A702C3"/>
    <w:rsid w:val="00A704A0"/>
    <w:rsid w:val="00A7062C"/>
    <w:rsid w:val="00A709C2"/>
    <w:rsid w:val="00A70A73"/>
    <w:rsid w:val="00A70D06"/>
    <w:rsid w:val="00A710F6"/>
    <w:rsid w:val="00A713A0"/>
    <w:rsid w:val="00A71513"/>
    <w:rsid w:val="00A718C3"/>
    <w:rsid w:val="00A71907"/>
    <w:rsid w:val="00A7192D"/>
    <w:rsid w:val="00A71AF7"/>
    <w:rsid w:val="00A71C1B"/>
    <w:rsid w:val="00A7248D"/>
    <w:rsid w:val="00A7267F"/>
    <w:rsid w:val="00A7288A"/>
    <w:rsid w:val="00A72A6F"/>
    <w:rsid w:val="00A72DDA"/>
    <w:rsid w:val="00A72E55"/>
    <w:rsid w:val="00A72EBC"/>
    <w:rsid w:val="00A72F8F"/>
    <w:rsid w:val="00A73265"/>
    <w:rsid w:val="00A73B31"/>
    <w:rsid w:val="00A73BAD"/>
    <w:rsid w:val="00A73E20"/>
    <w:rsid w:val="00A73F50"/>
    <w:rsid w:val="00A747D2"/>
    <w:rsid w:val="00A74CB7"/>
    <w:rsid w:val="00A753B2"/>
    <w:rsid w:val="00A7573D"/>
    <w:rsid w:val="00A75B05"/>
    <w:rsid w:val="00A75B08"/>
    <w:rsid w:val="00A75E07"/>
    <w:rsid w:val="00A761BC"/>
    <w:rsid w:val="00A76543"/>
    <w:rsid w:val="00A767F7"/>
    <w:rsid w:val="00A769FF"/>
    <w:rsid w:val="00A76DAA"/>
    <w:rsid w:val="00A76F9B"/>
    <w:rsid w:val="00A77429"/>
    <w:rsid w:val="00A7746D"/>
    <w:rsid w:val="00A778AC"/>
    <w:rsid w:val="00A77B48"/>
    <w:rsid w:val="00A77EBE"/>
    <w:rsid w:val="00A77F6B"/>
    <w:rsid w:val="00A77F75"/>
    <w:rsid w:val="00A8045F"/>
    <w:rsid w:val="00A80521"/>
    <w:rsid w:val="00A80606"/>
    <w:rsid w:val="00A80D00"/>
    <w:rsid w:val="00A80E3D"/>
    <w:rsid w:val="00A80F04"/>
    <w:rsid w:val="00A80F97"/>
    <w:rsid w:val="00A8119D"/>
    <w:rsid w:val="00A81215"/>
    <w:rsid w:val="00A812C5"/>
    <w:rsid w:val="00A81507"/>
    <w:rsid w:val="00A81D06"/>
    <w:rsid w:val="00A81DDE"/>
    <w:rsid w:val="00A821A6"/>
    <w:rsid w:val="00A8246A"/>
    <w:rsid w:val="00A8266B"/>
    <w:rsid w:val="00A82A06"/>
    <w:rsid w:val="00A82A7A"/>
    <w:rsid w:val="00A8343F"/>
    <w:rsid w:val="00A83612"/>
    <w:rsid w:val="00A836B1"/>
    <w:rsid w:val="00A83717"/>
    <w:rsid w:val="00A838C4"/>
    <w:rsid w:val="00A838CC"/>
    <w:rsid w:val="00A838D3"/>
    <w:rsid w:val="00A83A0F"/>
    <w:rsid w:val="00A83EE8"/>
    <w:rsid w:val="00A841DD"/>
    <w:rsid w:val="00A84253"/>
    <w:rsid w:val="00A8461A"/>
    <w:rsid w:val="00A84838"/>
    <w:rsid w:val="00A848A0"/>
    <w:rsid w:val="00A84940"/>
    <w:rsid w:val="00A84C21"/>
    <w:rsid w:val="00A84E4B"/>
    <w:rsid w:val="00A84EBA"/>
    <w:rsid w:val="00A8537A"/>
    <w:rsid w:val="00A8551F"/>
    <w:rsid w:val="00A85A9F"/>
    <w:rsid w:val="00A85B2D"/>
    <w:rsid w:val="00A85C0C"/>
    <w:rsid w:val="00A85E65"/>
    <w:rsid w:val="00A861E7"/>
    <w:rsid w:val="00A86ACF"/>
    <w:rsid w:val="00A86B60"/>
    <w:rsid w:val="00A87274"/>
    <w:rsid w:val="00A8792F"/>
    <w:rsid w:val="00A90289"/>
    <w:rsid w:val="00A9028E"/>
    <w:rsid w:val="00A902B7"/>
    <w:rsid w:val="00A904CE"/>
    <w:rsid w:val="00A90548"/>
    <w:rsid w:val="00A905A3"/>
    <w:rsid w:val="00A908D5"/>
    <w:rsid w:val="00A90A03"/>
    <w:rsid w:val="00A90CBD"/>
    <w:rsid w:val="00A90CF1"/>
    <w:rsid w:val="00A90F23"/>
    <w:rsid w:val="00A911D5"/>
    <w:rsid w:val="00A91625"/>
    <w:rsid w:val="00A916EB"/>
    <w:rsid w:val="00A916FF"/>
    <w:rsid w:val="00A91894"/>
    <w:rsid w:val="00A91DC2"/>
    <w:rsid w:val="00A92007"/>
    <w:rsid w:val="00A92008"/>
    <w:rsid w:val="00A92013"/>
    <w:rsid w:val="00A921C7"/>
    <w:rsid w:val="00A926EC"/>
    <w:rsid w:val="00A92835"/>
    <w:rsid w:val="00A92B7F"/>
    <w:rsid w:val="00A92C19"/>
    <w:rsid w:val="00A92D8F"/>
    <w:rsid w:val="00A931F9"/>
    <w:rsid w:val="00A9333F"/>
    <w:rsid w:val="00A934AA"/>
    <w:rsid w:val="00A93BC0"/>
    <w:rsid w:val="00A9404C"/>
    <w:rsid w:val="00A94159"/>
    <w:rsid w:val="00A943E0"/>
    <w:rsid w:val="00A947F7"/>
    <w:rsid w:val="00A947F8"/>
    <w:rsid w:val="00A94D6F"/>
    <w:rsid w:val="00A94D7D"/>
    <w:rsid w:val="00A94DF7"/>
    <w:rsid w:val="00A94E84"/>
    <w:rsid w:val="00A95166"/>
    <w:rsid w:val="00A955A6"/>
    <w:rsid w:val="00A95746"/>
    <w:rsid w:val="00A957CF"/>
    <w:rsid w:val="00A95A88"/>
    <w:rsid w:val="00A95E9A"/>
    <w:rsid w:val="00A9610D"/>
    <w:rsid w:val="00A9626B"/>
    <w:rsid w:val="00A964A0"/>
    <w:rsid w:val="00A96583"/>
    <w:rsid w:val="00A96611"/>
    <w:rsid w:val="00A967AC"/>
    <w:rsid w:val="00A96B11"/>
    <w:rsid w:val="00A96B47"/>
    <w:rsid w:val="00A96BB2"/>
    <w:rsid w:val="00A97378"/>
    <w:rsid w:val="00A978B0"/>
    <w:rsid w:val="00A97A99"/>
    <w:rsid w:val="00A97D3C"/>
    <w:rsid w:val="00A97E70"/>
    <w:rsid w:val="00AA0381"/>
    <w:rsid w:val="00AA05AA"/>
    <w:rsid w:val="00AA0BBE"/>
    <w:rsid w:val="00AA0C42"/>
    <w:rsid w:val="00AA0D31"/>
    <w:rsid w:val="00AA0ECF"/>
    <w:rsid w:val="00AA155F"/>
    <w:rsid w:val="00AA177B"/>
    <w:rsid w:val="00AA17CE"/>
    <w:rsid w:val="00AA1A21"/>
    <w:rsid w:val="00AA1E31"/>
    <w:rsid w:val="00AA22ED"/>
    <w:rsid w:val="00AA23E7"/>
    <w:rsid w:val="00AA2802"/>
    <w:rsid w:val="00AA2C21"/>
    <w:rsid w:val="00AA30BF"/>
    <w:rsid w:val="00AA315E"/>
    <w:rsid w:val="00AA375E"/>
    <w:rsid w:val="00AA3921"/>
    <w:rsid w:val="00AA3ACA"/>
    <w:rsid w:val="00AA3E43"/>
    <w:rsid w:val="00AA4056"/>
    <w:rsid w:val="00AA4673"/>
    <w:rsid w:val="00AA47D3"/>
    <w:rsid w:val="00AA47DE"/>
    <w:rsid w:val="00AA4AC8"/>
    <w:rsid w:val="00AA4CA3"/>
    <w:rsid w:val="00AA4D60"/>
    <w:rsid w:val="00AA5B8A"/>
    <w:rsid w:val="00AA5D01"/>
    <w:rsid w:val="00AA5E36"/>
    <w:rsid w:val="00AA5EE4"/>
    <w:rsid w:val="00AA6922"/>
    <w:rsid w:val="00AA6AB9"/>
    <w:rsid w:val="00AA6F47"/>
    <w:rsid w:val="00AA702A"/>
    <w:rsid w:val="00AA706B"/>
    <w:rsid w:val="00AA719D"/>
    <w:rsid w:val="00AA738A"/>
    <w:rsid w:val="00AA7A44"/>
    <w:rsid w:val="00AA7A95"/>
    <w:rsid w:val="00AA7C33"/>
    <w:rsid w:val="00AA7C3A"/>
    <w:rsid w:val="00AA7CB2"/>
    <w:rsid w:val="00AA7EB9"/>
    <w:rsid w:val="00AB01F8"/>
    <w:rsid w:val="00AB03C6"/>
    <w:rsid w:val="00AB0797"/>
    <w:rsid w:val="00AB0825"/>
    <w:rsid w:val="00AB092F"/>
    <w:rsid w:val="00AB099F"/>
    <w:rsid w:val="00AB0A75"/>
    <w:rsid w:val="00AB0B4C"/>
    <w:rsid w:val="00AB0B73"/>
    <w:rsid w:val="00AB0CEC"/>
    <w:rsid w:val="00AB0D90"/>
    <w:rsid w:val="00AB0D9E"/>
    <w:rsid w:val="00AB1043"/>
    <w:rsid w:val="00AB1134"/>
    <w:rsid w:val="00AB12B2"/>
    <w:rsid w:val="00AB1403"/>
    <w:rsid w:val="00AB14B8"/>
    <w:rsid w:val="00AB18EC"/>
    <w:rsid w:val="00AB1A1F"/>
    <w:rsid w:val="00AB1AE8"/>
    <w:rsid w:val="00AB1B43"/>
    <w:rsid w:val="00AB1D1D"/>
    <w:rsid w:val="00AB1FCF"/>
    <w:rsid w:val="00AB2307"/>
    <w:rsid w:val="00AB23AC"/>
    <w:rsid w:val="00AB2A15"/>
    <w:rsid w:val="00AB2BAE"/>
    <w:rsid w:val="00AB2C87"/>
    <w:rsid w:val="00AB2FCF"/>
    <w:rsid w:val="00AB32AF"/>
    <w:rsid w:val="00AB339E"/>
    <w:rsid w:val="00AB3488"/>
    <w:rsid w:val="00AB39D7"/>
    <w:rsid w:val="00AB3DD9"/>
    <w:rsid w:val="00AB3F14"/>
    <w:rsid w:val="00AB40F1"/>
    <w:rsid w:val="00AB41E3"/>
    <w:rsid w:val="00AB4388"/>
    <w:rsid w:val="00AB4645"/>
    <w:rsid w:val="00AB479E"/>
    <w:rsid w:val="00AB4961"/>
    <w:rsid w:val="00AB4A6E"/>
    <w:rsid w:val="00AB4E5C"/>
    <w:rsid w:val="00AB4F9B"/>
    <w:rsid w:val="00AB5162"/>
    <w:rsid w:val="00AB51C6"/>
    <w:rsid w:val="00AB5269"/>
    <w:rsid w:val="00AB5478"/>
    <w:rsid w:val="00AB555C"/>
    <w:rsid w:val="00AB5639"/>
    <w:rsid w:val="00AB579A"/>
    <w:rsid w:val="00AB5A6C"/>
    <w:rsid w:val="00AB5B91"/>
    <w:rsid w:val="00AB5D3D"/>
    <w:rsid w:val="00AB5D71"/>
    <w:rsid w:val="00AB6418"/>
    <w:rsid w:val="00AB6756"/>
    <w:rsid w:val="00AB681D"/>
    <w:rsid w:val="00AB6980"/>
    <w:rsid w:val="00AB6A27"/>
    <w:rsid w:val="00AB6ABC"/>
    <w:rsid w:val="00AB7608"/>
    <w:rsid w:val="00AB7A53"/>
    <w:rsid w:val="00AB7DC9"/>
    <w:rsid w:val="00AC01D0"/>
    <w:rsid w:val="00AC0711"/>
    <w:rsid w:val="00AC0791"/>
    <w:rsid w:val="00AC08B1"/>
    <w:rsid w:val="00AC09A7"/>
    <w:rsid w:val="00AC0E53"/>
    <w:rsid w:val="00AC1225"/>
    <w:rsid w:val="00AC1559"/>
    <w:rsid w:val="00AC1799"/>
    <w:rsid w:val="00AC1D7E"/>
    <w:rsid w:val="00AC2203"/>
    <w:rsid w:val="00AC23D0"/>
    <w:rsid w:val="00AC2471"/>
    <w:rsid w:val="00AC25A9"/>
    <w:rsid w:val="00AC26BB"/>
    <w:rsid w:val="00AC26DA"/>
    <w:rsid w:val="00AC27AD"/>
    <w:rsid w:val="00AC2889"/>
    <w:rsid w:val="00AC2A71"/>
    <w:rsid w:val="00AC2C6E"/>
    <w:rsid w:val="00AC2E88"/>
    <w:rsid w:val="00AC2F88"/>
    <w:rsid w:val="00AC3065"/>
    <w:rsid w:val="00AC3562"/>
    <w:rsid w:val="00AC35DF"/>
    <w:rsid w:val="00AC3A21"/>
    <w:rsid w:val="00AC3A4F"/>
    <w:rsid w:val="00AC3AD9"/>
    <w:rsid w:val="00AC3DBD"/>
    <w:rsid w:val="00AC3F68"/>
    <w:rsid w:val="00AC4428"/>
    <w:rsid w:val="00AC446B"/>
    <w:rsid w:val="00AC49CA"/>
    <w:rsid w:val="00AC4A30"/>
    <w:rsid w:val="00AC4C22"/>
    <w:rsid w:val="00AC4DF8"/>
    <w:rsid w:val="00AC52FD"/>
    <w:rsid w:val="00AC5399"/>
    <w:rsid w:val="00AC53B8"/>
    <w:rsid w:val="00AC56B5"/>
    <w:rsid w:val="00AC5841"/>
    <w:rsid w:val="00AC5988"/>
    <w:rsid w:val="00AC5A82"/>
    <w:rsid w:val="00AC5E49"/>
    <w:rsid w:val="00AC5F55"/>
    <w:rsid w:val="00AC6050"/>
    <w:rsid w:val="00AC612A"/>
    <w:rsid w:val="00AC61BA"/>
    <w:rsid w:val="00AC6232"/>
    <w:rsid w:val="00AC63F2"/>
    <w:rsid w:val="00AC6A17"/>
    <w:rsid w:val="00AC6D5B"/>
    <w:rsid w:val="00AC6E55"/>
    <w:rsid w:val="00AC6F04"/>
    <w:rsid w:val="00AC711D"/>
    <w:rsid w:val="00AC7645"/>
    <w:rsid w:val="00AC77EB"/>
    <w:rsid w:val="00AC7821"/>
    <w:rsid w:val="00AC7D7F"/>
    <w:rsid w:val="00AC7E71"/>
    <w:rsid w:val="00AC7ECC"/>
    <w:rsid w:val="00AD0134"/>
    <w:rsid w:val="00AD02C9"/>
    <w:rsid w:val="00AD0561"/>
    <w:rsid w:val="00AD0623"/>
    <w:rsid w:val="00AD070C"/>
    <w:rsid w:val="00AD0840"/>
    <w:rsid w:val="00AD0F49"/>
    <w:rsid w:val="00AD1001"/>
    <w:rsid w:val="00AD10FB"/>
    <w:rsid w:val="00AD14A2"/>
    <w:rsid w:val="00AD14C1"/>
    <w:rsid w:val="00AD15AB"/>
    <w:rsid w:val="00AD15C2"/>
    <w:rsid w:val="00AD17F1"/>
    <w:rsid w:val="00AD1B76"/>
    <w:rsid w:val="00AD1C50"/>
    <w:rsid w:val="00AD234F"/>
    <w:rsid w:val="00AD2368"/>
    <w:rsid w:val="00AD24F4"/>
    <w:rsid w:val="00AD27FE"/>
    <w:rsid w:val="00AD2A2C"/>
    <w:rsid w:val="00AD3645"/>
    <w:rsid w:val="00AD3897"/>
    <w:rsid w:val="00AD3988"/>
    <w:rsid w:val="00AD3B0C"/>
    <w:rsid w:val="00AD3B39"/>
    <w:rsid w:val="00AD3BA8"/>
    <w:rsid w:val="00AD3DCF"/>
    <w:rsid w:val="00AD3E05"/>
    <w:rsid w:val="00AD412A"/>
    <w:rsid w:val="00AD413F"/>
    <w:rsid w:val="00AD41BE"/>
    <w:rsid w:val="00AD42EE"/>
    <w:rsid w:val="00AD44BC"/>
    <w:rsid w:val="00AD4625"/>
    <w:rsid w:val="00AD4720"/>
    <w:rsid w:val="00AD4C42"/>
    <w:rsid w:val="00AD5067"/>
    <w:rsid w:val="00AD52AB"/>
    <w:rsid w:val="00AD5516"/>
    <w:rsid w:val="00AD5AC9"/>
    <w:rsid w:val="00AD5E69"/>
    <w:rsid w:val="00AD631B"/>
    <w:rsid w:val="00AD6340"/>
    <w:rsid w:val="00AD63F1"/>
    <w:rsid w:val="00AD6794"/>
    <w:rsid w:val="00AD6934"/>
    <w:rsid w:val="00AD6CC7"/>
    <w:rsid w:val="00AD6CD4"/>
    <w:rsid w:val="00AD6D64"/>
    <w:rsid w:val="00AD6FD4"/>
    <w:rsid w:val="00AD71EB"/>
    <w:rsid w:val="00AD74E0"/>
    <w:rsid w:val="00AD787C"/>
    <w:rsid w:val="00AD7925"/>
    <w:rsid w:val="00AD7CA6"/>
    <w:rsid w:val="00AD7E91"/>
    <w:rsid w:val="00AD7F11"/>
    <w:rsid w:val="00AD7FA8"/>
    <w:rsid w:val="00AE0225"/>
    <w:rsid w:val="00AE0439"/>
    <w:rsid w:val="00AE0549"/>
    <w:rsid w:val="00AE0681"/>
    <w:rsid w:val="00AE0B00"/>
    <w:rsid w:val="00AE0B02"/>
    <w:rsid w:val="00AE0B7B"/>
    <w:rsid w:val="00AE0BA5"/>
    <w:rsid w:val="00AE0CF7"/>
    <w:rsid w:val="00AE0D93"/>
    <w:rsid w:val="00AE1251"/>
    <w:rsid w:val="00AE127F"/>
    <w:rsid w:val="00AE1468"/>
    <w:rsid w:val="00AE1569"/>
    <w:rsid w:val="00AE198F"/>
    <w:rsid w:val="00AE1A5A"/>
    <w:rsid w:val="00AE1D12"/>
    <w:rsid w:val="00AE1DF6"/>
    <w:rsid w:val="00AE1E83"/>
    <w:rsid w:val="00AE2210"/>
    <w:rsid w:val="00AE2526"/>
    <w:rsid w:val="00AE2663"/>
    <w:rsid w:val="00AE28CE"/>
    <w:rsid w:val="00AE2971"/>
    <w:rsid w:val="00AE29FE"/>
    <w:rsid w:val="00AE2B27"/>
    <w:rsid w:val="00AE2EE1"/>
    <w:rsid w:val="00AE3234"/>
    <w:rsid w:val="00AE32B5"/>
    <w:rsid w:val="00AE32F6"/>
    <w:rsid w:val="00AE3414"/>
    <w:rsid w:val="00AE3585"/>
    <w:rsid w:val="00AE359F"/>
    <w:rsid w:val="00AE392B"/>
    <w:rsid w:val="00AE3A40"/>
    <w:rsid w:val="00AE3E07"/>
    <w:rsid w:val="00AE43A8"/>
    <w:rsid w:val="00AE44B4"/>
    <w:rsid w:val="00AE46D7"/>
    <w:rsid w:val="00AE4A95"/>
    <w:rsid w:val="00AE4C5D"/>
    <w:rsid w:val="00AE4D66"/>
    <w:rsid w:val="00AE5182"/>
    <w:rsid w:val="00AE52DA"/>
    <w:rsid w:val="00AE5572"/>
    <w:rsid w:val="00AE55BF"/>
    <w:rsid w:val="00AE57F1"/>
    <w:rsid w:val="00AE5840"/>
    <w:rsid w:val="00AE58C7"/>
    <w:rsid w:val="00AE592F"/>
    <w:rsid w:val="00AE5E21"/>
    <w:rsid w:val="00AE6341"/>
    <w:rsid w:val="00AE6362"/>
    <w:rsid w:val="00AE6495"/>
    <w:rsid w:val="00AE660F"/>
    <w:rsid w:val="00AE6685"/>
    <w:rsid w:val="00AE6A12"/>
    <w:rsid w:val="00AE6AF6"/>
    <w:rsid w:val="00AE6E0E"/>
    <w:rsid w:val="00AE6E4A"/>
    <w:rsid w:val="00AE6F4C"/>
    <w:rsid w:val="00AE7188"/>
    <w:rsid w:val="00AE7597"/>
    <w:rsid w:val="00AE7702"/>
    <w:rsid w:val="00AE7888"/>
    <w:rsid w:val="00AE79F0"/>
    <w:rsid w:val="00AE7AB7"/>
    <w:rsid w:val="00AE7E0B"/>
    <w:rsid w:val="00AE7F14"/>
    <w:rsid w:val="00AE7F9C"/>
    <w:rsid w:val="00AE7FC6"/>
    <w:rsid w:val="00AF012E"/>
    <w:rsid w:val="00AF0218"/>
    <w:rsid w:val="00AF028B"/>
    <w:rsid w:val="00AF036C"/>
    <w:rsid w:val="00AF03C6"/>
    <w:rsid w:val="00AF03DB"/>
    <w:rsid w:val="00AF04B2"/>
    <w:rsid w:val="00AF0569"/>
    <w:rsid w:val="00AF0724"/>
    <w:rsid w:val="00AF072E"/>
    <w:rsid w:val="00AF0B0F"/>
    <w:rsid w:val="00AF0C4B"/>
    <w:rsid w:val="00AF0E2B"/>
    <w:rsid w:val="00AF0E52"/>
    <w:rsid w:val="00AF13CE"/>
    <w:rsid w:val="00AF152D"/>
    <w:rsid w:val="00AF166C"/>
    <w:rsid w:val="00AF1696"/>
    <w:rsid w:val="00AF19D2"/>
    <w:rsid w:val="00AF19F6"/>
    <w:rsid w:val="00AF1AE2"/>
    <w:rsid w:val="00AF1E3E"/>
    <w:rsid w:val="00AF203C"/>
    <w:rsid w:val="00AF20B9"/>
    <w:rsid w:val="00AF20E4"/>
    <w:rsid w:val="00AF23E8"/>
    <w:rsid w:val="00AF2497"/>
    <w:rsid w:val="00AF28A5"/>
    <w:rsid w:val="00AF292D"/>
    <w:rsid w:val="00AF29A8"/>
    <w:rsid w:val="00AF2C32"/>
    <w:rsid w:val="00AF2DDB"/>
    <w:rsid w:val="00AF329E"/>
    <w:rsid w:val="00AF3383"/>
    <w:rsid w:val="00AF3612"/>
    <w:rsid w:val="00AF3BF1"/>
    <w:rsid w:val="00AF3EC8"/>
    <w:rsid w:val="00AF3FA8"/>
    <w:rsid w:val="00AF417A"/>
    <w:rsid w:val="00AF433D"/>
    <w:rsid w:val="00AF4652"/>
    <w:rsid w:val="00AF46AD"/>
    <w:rsid w:val="00AF4A7F"/>
    <w:rsid w:val="00AF4B1E"/>
    <w:rsid w:val="00AF4BF3"/>
    <w:rsid w:val="00AF4EB0"/>
    <w:rsid w:val="00AF4F02"/>
    <w:rsid w:val="00AF4FE3"/>
    <w:rsid w:val="00AF53C5"/>
    <w:rsid w:val="00AF58A8"/>
    <w:rsid w:val="00AF58E2"/>
    <w:rsid w:val="00AF59AD"/>
    <w:rsid w:val="00AF5D41"/>
    <w:rsid w:val="00AF5E21"/>
    <w:rsid w:val="00AF607A"/>
    <w:rsid w:val="00AF69EE"/>
    <w:rsid w:val="00AF6BA6"/>
    <w:rsid w:val="00AF6C65"/>
    <w:rsid w:val="00AF6D0E"/>
    <w:rsid w:val="00AF70A9"/>
    <w:rsid w:val="00AF70E9"/>
    <w:rsid w:val="00AF73DC"/>
    <w:rsid w:val="00AF74CB"/>
    <w:rsid w:val="00AF754F"/>
    <w:rsid w:val="00AF7619"/>
    <w:rsid w:val="00AF76B3"/>
    <w:rsid w:val="00AF7719"/>
    <w:rsid w:val="00AF78A0"/>
    <w:rsid w:val="00AF7BE5"/>
    <w:rsid w:val="00AF7C36"/>
    <w:rsid w:val="00AF7CEA"/>
    <w:rsid w:val="00AF7D86"/>
    <w:rsid w:val="00AF7EF9"/>
    <w:rsid w:val="00B0017C"/>
    <w:rsid w:val="00B001FC"/>
    <w:rsid w:val="00B0038B"/>
    <w:rsid w:val="00B0043B"/>
    <w:rsid w:val="00B00736"/>
    <w:rsid w:val="00B00830"/>
    <w:rsid w:val="00B00D66"/>
    <w:rsid w:val="00B00E6A"/>
    <w:rsid w:val="00B00E98"/>
    <w:rsid w:val="00B0132D"/>
    <w:rsid w:val="00B017F1"/>
    <w:rsid w:val="00B01D76"/>
    <w:rsid w:val="00B01E1C"/>
    <w:rsid w:val="00B01F22"/>
    <w:rsid w:val="00B027EE"/>
    <w:rsid w:val="00B02857"/>
    <w:rsid w:val="00B02B20"/>
    <w:rsid w:val="00B02C7C"/>
    <w:rsid w:val="00B03627"/>
    <w:rsid w:val="00B037D2"/>
    <w:rsid w:val="00B03C02"/>
    <w:rsid w:val="00B03C25"/>
    <w:rsid w:val="00B040A7"/>
    <w:rsid w:val="00B0412D"/>
    <w:rsid w:val="00B04268"/>
    <w:rsid w:val="00B0458B"/>
    <w:rsid w:val="00B04879"/>
    <w:rsid w:val="00B048F2"/>
    <w:rsid w:val="00B04CED"/>
    <w:rsid w:val="00B04E03"/>
    <w:rsid w:val="00B0502A"/>
    <w:rsid w:val="00B05284"/>
    <w:rsid w:val="00B05551"/>
    <w:rsid w:val="00B05732"/>
    <w:rsid w:val="00B05820"/>
    <w:rsid w:val="00B059AF"/>
    <w:rsid w:val="00B05BAC"/>
    <w:rsid w:val="00B060C9"/>
    <w:rsid w:val="00B061CE"/>
    <w:rsid w:val="00B06705"/>
    <w:rsid w:val="00B06723"/>
    <w:rsid w:val="00B0695E"/>
    <w:rsid w:val="00B06ACF"/>
    <w:rsid w:val="00B06BCC"/>
    <w:rsid w:val="00B06CCE"/>
    <w:rsid w:val="00B07093"/>
    <w:rsid w:val="00B070E7"/>
    <w:rsid w:val="00B07269"/>
    <w:rsid w:val="00B074AE"/>
    <w:rsid w:val="00B0753F"/>
    <w:rsid w:val="00B07630"/>
    <w:rsid w:val="00B07676"/>
    <w:rsid w:val="00B07930"/>
    <w:rsid w:val="00B079B1"/>
    <w:rsid w:val="00B07B02"/>
    <w:rsid w:val="00B07DBA"/>
    <w:rsid w:val="00B07E07"/>
    <w:rsid w:val="00B07F93"/>
    <w:rsid w:val="00B106BD"/>
    <w:rsid w:val="00B10840"/>
    <w:rsid w:val="00B10D8F"/>
    <w:rsid w:val="00B10EA1"/>
    <w:rsid w:val="00B10F5C"/>
    <w:rsid w:val="00B11055"/>
    <w:rsid w:val="00B116C1"/>
    <w:rsid w:val="00B117E1"/>
    <w:rsid w:val="00B1182C"/>
    <w:rsid w:val="00B118E4"/>
    <w:rsid w:val="00B11F3B"/>
    <w:rsid w:val="00B120CD"/>
    <w:rsid w:val="00B1285A"/>
    <w:rsid w:val="00B129ED"/>
    <w:rsid w:val="00B12E33"/>
    <w:rsid w:val="00B131CA"/>
    <w:rsid w:val="00B1348D"/>
    <w:rsid w:val="00B13711"/>
    <w:rsid w:val="00B137BA"/>
    <w:rsid w:val="00B138C2"/>
    <w:rsid w:val="00B138CE"/>
    <w:rsid w:val="00B13C76"/>
    <w:rsid w:val="00B13CC4"/>
    <w:rsid w:val="00B13EB5"/>
    <w:rsid w:val="00B143A6"/>
    <w:rsid w:val="00B144CB"/>
    <w:rsid w:val="00B144D1"/>
    <w:rsid w:val="00B14977"/>
    <w:rsid w:val="00B14A15"/>
    <w:rsid w:val="00B14ACC"/>
    <w:rsid w:val="00B14C75"/>
    <w:rsid w:val="00B14CDB"/>
    <w:rsid w:val="00B14D8F"/>
    <w:rsid w:val="00B15166"/>
    <w:rsid w:val="00B1556A"/>
    <w:rsid w:val="00B155BB"/>
    <w:rsid w:val="00B155E6"/>
    <w:rsid w:val="00B156EE"/>
    <w:rsid w:val="00B15D6E"/>
    <w:rsid w:val="00B15DF2"/>
    <w:rsid w:val="00B15DFF"/>
    <w:rsid w:val="00B15F55"/>
    <w:rsid w:val="00B1636C"/>
    <w:rsid w:val="00B16444"/>
    <w:rsid w:val="00B168F3"/>
    <w:rsid w:val="00B168F7"/>
    <w:rsid w:val="00B16A1E"/>
    <w:rsid w:val="00B16B79"/>
    <w:rsid w:val="00B16E6D"/>
    <w:rsid w:val="00B16FFB"/>
    <w:rsid w:val="00B1700D"/>
    <w:rsid w:val="00B172A9"/>
    <w:rsid w:val="00B1740F"/>
    <w:rsid w:val="00B17808"/>
    <w:rsid w:val="00B179B3"/>
    <w:rsid w:val="00B17C77"/>
    <w:rsid w:val="00B17F23"/>
    <w:rsid w:val="00B20197"/>
    <w:rsid w:val="00B20216"/>
    <w:rsid w:val="00B205CB"/>
    <w:rsid w:val="00B20DF3"/>
    <w:rsid w:val="00B20DFB"/>
    <w:rsid w:val="00B20E6A"/>
    <w:rsid w:val="00B21331"/>
    <w:rsid w:val="00B213B4"/>
    <w:rsid w:val="00B213EC"/>
    <w:rsid w:val="00B217ED"/>
    <w:rsid w:val="00B2182D"/>
    <w:rsid w:val="00B21B8B"/>
    <w:rsid w:val="00B21E11"/>
    <w:rsid w:val="00B22048"/>
    <w:rsid w:val="00B2205E"/>
    <w:rsid w:val="00B2263F"/>
    <w:rsid w:val="00B22756"/>
    <w:rsid w:val="00B2303A"/>
    <w:rsid w:val="00B234A6"/>
    <w:rsid w:val="00B235AD"/>
    <w:rsid w:val="00B237DA"/>
    <w:rsid w:val="00B23C45"/>
    <w:rsid w:val="00B23C6A"/>
    <w:rsid w:val="00B23C99"/>
    <w:rsid w:val="00B241C7"/>
    <w:rsid w:val="00B241EE"/>
    <w:rsid w:val="00B24377"/>
    <w:rsid w:val="00B24984"/>
    <w:rsid w:val="00B24AB0"/>
    <w:rsid w:val="00B24ADB"/>
    <w:rsid w:val="00B24D90"/>
    <w:rsid w:val="00B24F3F"/>
    <w:rsid w:val="00B25235"/>
    <w:rsid w:val="00B2533A"/>
    <w:rsid w:val="00B255CE"/>
    <w:rsid w:val="00B2563E"/>
    <w:rsid w:val="00B2574F"/>
    <w:rsid w:val="00B25F63"/>
    <w:rsid w:val="00B25FAD"/>
    <w:rsid w:val="00B25FFB"/>
    <w:rsid w:val="00B26020"/>
    <w:rsid w:val="00B264A6"/>
    <w:rsid w:val="00B265D3"/>
    <w:rsid w:val="00B269D5"/>
    <w:rsid w:val="00B269E9"/>
    <w:rsid w:val="00B2738B"/>
    <w:rsid w:val="00B27417"/>
    <w:rsid w:val="00B27431"/>
    <w:rsid w:val="00B27464"/>
    <w:rsid w:val="00B274CA"/>
    <w:rsid w:val="00B276D0"/>
    <w:rsid w:val="00B278A1"/>
    <w:rsid w:val="00B27FAE"/>
    <w:rsid w:val="00B300F5"/>
    <w:rsid w:val="00B30521"/>
    <w:rsid w:val="00B30574"/>
    <w:rsid w:val="00B3080C"/>
    <w:rsid w:val="00B30BF0"/>
    <w:rsid w:val="00B30D72"/>
    <w:rsid w:val="00B3159C"/>
    <w:rsid w:val="00B317DC"/>
    <w:rsid w:val="00B3185C"/>
    <w:rsid w:val="00B31867"/>
    <w:rsid w:val="00B31C0C"/>
    <w:rsid w:val="00B31C87"/>
    <w:rsid w:val="00B31CA3"/>
    <w:rsid w:val="00B31E96"/>
    <w:rsid w:val="00B31F32"/>
    <w:rsid w:val="00B31FBB"/>
    <w:rsid w:val="00B325C3"/>
    <w:rsid w:val="00B32831"/>
    <w:rsid w:val="00B32A16"/>
    <w:rsid w:val="00B32A7D"/>
    <w:rsid w:val="00B32C5D"/>
    <w:rsid w:val="00B32D15"/>
    <w:rsid w:val="00B32D7E"/>
    <w:rsid w:val="00B330B8"/>
    <w:rsid w:val="00B332B1"/>
    <w:rsid w:val="00B332F3"/>
    <w:rsid w:val="00B33779"/>
    <w:rsid w:val="00B3377D"/>
    <w:rsid w:val="00B33960"/>
    <w:rsid w:val="00B33CBC"/>
    <w:rsid w:val="00B34318"/>
    <w:rsid w:val="00B345B7"/>
    <w:rsid w:val="00B34782"/>
    <w:rsid w:val="00B347E6"/>
    <w:rsid w:val="00B34B36"/>
    <w:rsid w:val="00B35165"/>
    <w:rsid w:val="00B351D0"/>
    <w:rsid w:val="00B35335"/>
    <w:rsid w:val="00B35474"/>
    <w:rsid w:val="00B35640"/>
    <w:rsid w:val="00B359DC"/>
    <w:rsid w:val="00B359E6"/>
    <w:rsid w:val="00B35AA0"/>
    <w:rsid w:val="00B35AB2"/>
    <w:rsid w:val="00B35AC9"/>
    <w:rsid w:val="00B35BDE"/>
    <w:rsid w:val="00B35D4C"/>
    <w:rsid w:val="00B35D64"/>
    <w:rsid w:val="00B35F1D"/>
    <w:rsid w:val="00B360A5"/>
    <w:rsid w:val="00B36144"/>
    <w:rsid w:val="00B36254"/>
    <w:rsid w:val="00B363AA"/>
    <w:rsid w:val="00B3675A"/>
    <w:rsid w:val="00B36869"/>
    <w:rsid w:val="00B36A0A"/>
    <w:rsid w:val="00B36B17"/>
    <w:rsid w:val="00B36D9B"/>
    <w:rsid w:val="00B36FF3"/>
    <w:rsid w:val="00B3716A"/>
    <w:rsid w:val="00B37239"/>
    <w:rsid w:val="00B37285"/>
    <w:rsid w:val="00B3761C"/>
    <w:rsid w:val="00B37651"/>
    <w:rsid w:val="00B37A1C"/>
    <w:rsid w:val="00B37D37"/>
    <w:rsid w:val="00B4016A"/>
    <w:rsid w:val="00B401DD"/>
    <w:rsid w:val="00B406D3"/>
    <w:rsid w:val="00B40776"/>
    <w:rsid w:val="00B40984"/>
    <w:rsid w:val="00B4099E"/>
    <w:rsid w:val="00B40A87"/>
    <w:rsid w:val="00B40B0F"/>
    <w:rsid w:val="00B40F15"/>
    <w:rsid w:val="00B41152"/>
    <w:rsid w:val="00B41190"/>
    <w:rsid w:val="00B412DF"/>
    <w:rsid w:val="00B41550"/>
    <w:rsid w:val="00B41557"/>
    <w:rsid w:val="00B41638"/>
    <w:rsid w:val="00B41757"/>
    <w:rsid w:val="00B41BAC"/>
    <w:rsid w:val="00B41D3D"/>
    <w:rsid w:val="00B41F21"/>
    <w:rsid w:val="00B4224A"/>
    <w:rsid w:val="00B4291A"/>
    <w:rsid w:val="00B429BD"/>
    <w:rsid w:val="00B42F3B"/>
    <w:rsid w:val="00B4320C"/>
    <w:rsid w:val="00B432DA"/>
    <w:rsid w:val="00B43354"/>
    <w:rsid w:val="00B434F3"/>
    <w:rsid w:val="00B43511"/>
    <w:rsid w:val="00B436AC"/>
    <w:rsid w:val="00B437B4"/>
    <w:rsid w:val="00B43991"/>
    <w:rsid w:val="00B43A3C"/>
    <w:rsid w:val="00B43C46"/>
    <w:rsid w:val="00B43F28"/>
    <w:rsid w:val="00B43FDC"/>
    <w:rsid w:val="00B44085"/>
    <w:rsid w:val="00B444F7"/>
    <w:rsid w:val="00B444F9"/>
    <w:rsid w:val="00B4451D"/>
    <w:rsid w:val="00B44529"/>
    <w:rsid w:val="00B4464D"/>
    <w:rsid w:val="00B4483B"/>
    <w:rsid w:val="00B4491F"/>
    <w:rsid w:val="00B44A8B"/>
    <w:rsid w:val="00B44D90"/>
    <w:rsid w:val="00B44E33"/>
    <w:rsid w:val="00B45044"/>
    <w:rsid w:val="00B45712"/>
    <w:rsid w:val="00B45AD5"/>
    <w:rsid w:val="00B45C0B"/>
    <w:rsid w:val="00B45E1D"/>
    <w:rsid w:val="00B45EAF"/>
    <w:rsid w:val="00B45EDB"/>
    <w:rsid w:val="00B45F46"/>
    <w:rsid w:val="00B45F87"/>
    <w:rsid w:val="00B45FE0"/>
    <w:rsid w:val="00B461F9"/>
    <w:rsid w:val="00B47047"/>
    <w:rsid w:val="00B47185"/>
    <w:rsid w:val="00B47233"/>
    <w:rsid w:val="00B47797"/>
    <w:rsid w:val="00B47964"/>
    <w:rsid w:val="00B47B57"/>
    <w:rsid w:val="00B50035"/>
    <w:rsid w:val="00B503D6"/>
    <w:rsid w:val="00B5064F"/>
    <w:rsid w:val="00B50730"/>
    <w:rsid w:val="00B50A71"/>
    <w:rsid w:val="00B50D10"/>
    <w:rsid w:val="00B50DAA"/>
    <w:rsid w:val="00B50E17"/>
    <w:rsid w:val="00B50FCC"/>
    <w:rsid w:val="00B51191"/>
    <w:rsid w:val="00B51358"/>
    <w:rsid w:val="00B51665"/>
    <w:rsid w:val="00B516AD"/>
    <w:rsid w:val="00B516C2"/>
    <w:rsid w:val="00B51851"/>
    <w:rsid w:val="00B51855"/>
    <w:rsid w:val="00B519BD"/>
    <w:rsid w:val="00B51A7F"/>
    <w:rsid w:val="00B51F04"/>
    <w:rsid w:val="00B52030"/>
    <w:rsid w:val="00B52043"/>
    <w:rsid w:val="00B5231E"/>
    <w:rsid w:val="00B524DD"/>
    <w:rsid w:val="00B527DC"/>
    <w:rsid w:val="00B529A5"/>
    <w:rsid w:val="00B52A07"/>
    <w:rsid w:val="00B52AEB"/>
    <w:rsid w:val="00B52B72"/>
    <w:rsid w:val="00B52C90"/>
    <w:rsid w:val="00B52E4C"/>
    <w:rsid w:val="00B52EBF"/>
    <w:rsid w:val="00B531A9"/>
    <w:rsid w:val="00B532DC"/>
    <w:rsid w:val="00B533A3"/>
    <w:rsid w:val="00B534D9"/>
    <w:rsid w:val="00B53501"/>
    <w:rsid w:val="00B535D1"/>
    <w:rsid w:val="00B53810"/>
    <w:rsid w:val="00B538F0"/>
    <w:rsid w:val="00B53AC5"/>
    <w:rsid w:val="00B5410A"/>
    <w:rsid w:val="00B54768"/>
    <w:rsid w:val="00B54FA7"/>
    <w:rsid w:val="00B55048"/>
    <w:rsid w:val="00B55071"/>
    <w:rsid w:val="00B551D4"/>
    <w:rsid w:val="00B552F6"/>
    <w:rsid w:val="00B558AB"/>
    <w:rsid w:val="00B55A02"/>
    <w:rsid w:val="00B55B5A"/>
    <w:rsid w:val="00B55C64"/>
    <w:rsid w:val="00B55C6A"/>
    <w:rsid w:val="00B55F3A"/>
    <w:rsid w:val="00B563FF"/>
    <w:rsid w:val="00B56438"/>
    <w:rsid w:val="00B56525"/>
    <w:rsid w:val="00B56B15"/>
    <w:rsid w:val="00B56C6A"/>
    <w:rsid w:val="00B56D38"/>
    <w:rsid w:val="00B56DC4"/>
    <w:rsid w:val="00B56F74"/>
    <w:rsid w:val="00B574F4"/>
    <w:rsid w:val="00B57524"/>
    <w:rsid w:val="00B577C7"/>
    <w:rsid w:val="00B57F14"/>
    <w:rsid w:val="00B60412"/>
    <w:rsid w:val="00B608DC"/>
    <w:rsid w:val="00B608EA"/>
    <w:rsid w:val="00B60A13"/>
    <w:rsid w:val="00B60C1E"/>
    <w:rsid w:val="00B61054"/>
    <w:rsid w:val="00B61278"/>
    <w:rsid w:val="00B617AE"/>
    <w:rsid w:val="00B6187E"/>
    <w:rsid w:val="00B61D62"/>
    <w:rsid w:val="00B61F12"/>
    <w:rsid w:val="00B6219B"/>
    <w:rsid w:val="00B621AA"/>
    <w:rsid w:val="00B62208"/>
    <w:rsid w:val="00B62387"/>
    <w:rsid w:val="00B627F9"/>
    <w:rsid w:val="00B6284F"/>
    <w:rsid w:val="00B62A57"/>
    <w:rsid w:val="00B62C5A"/>
    <w:rsid w:val="00B62D04"/>
    <w:rsid w:val="00B62D43"/>
    <w:rsid w:val="00B62E29"/>
    <w:rsid w:val="00B62E63"/>
    <w:rsid w:val="00B630D2"/>
    <w:rsid w:val="00B631F5"/>
    <w:rsid w:val="00B63220"/>
    <w:rsid w:val="00B63435"/>
    <w:rsid w:val="00B63533"/>
    <w:rsid w:val="00B635A5"/>
    <w:rsid w:val="00B63A0B"/>
    <w:rsid w:val="00B63A3C"/>
    <w:rsid w:val="00B63B87"/>
    <w:rsid w:val="00B640DB"/>
    <w:rsid w:val="00B6480A"/>
    <w:rsid w:val="00B64831"/>
    <w:rsid w:val="00B64CB9"/>
    <w:rsid w:val="00B65179"/>
    <w:rsid w:val="00B651CC"/>
    <w:rsid w:val="00B65332"/>
    <w:rsid w:val="00B65818"/>
    <w:rsid w:val="00B65A4F"/>
    <w:rsid w:val="00B6637F"/>
    <w:rsid w:val="00B663DE"/>
    <w:rsid w:val="00B664B5"/>
    <w:rsid w:val="00B664C9"/>
    <w:rsid w:val="00B6655D"/>
    <w:rsid w:val="00B665B4"/>
    <w:rsid w:val="00B66642"/>
    <w:rsid w:val="00B667EB"/>
    <w:rsid w:val="00B669EE"/>
    <w:rsid w:val="00B66B82"/>
    <w:rsid w:val="00B66B83"/>
    <w:rsid w:val="00B66D49"/>
    <w:rsid w:val="00B67231"/>
    <w:rsid w:val="00B67695"/>
    <w:rsid w:val="00B67764"/>
    <w:rsid w:val="00B67833"/>
    <w:rsid w:val="00B678E8"/>
    <w:rsid w:val="00B67B51"/>
    <w:rsid w:val="00B70263"/>
    <w:rsid w:val="00B702B1"/>
    <w:rsid w:val="00B70318"/>
    <w:rsid w:val="00B7038A"/>
    <w:rsid w:val="00B7045A"/>
    <w:rsid w:val="00B705E3"/>
    <w:rsid w:val="00B70681"/>
    <w:rsid w:val="00B70757"/>
    <w:rsid w:val="00B7083F"/>
    <w:rsid w:val="00B70B94"/>
    <w:rsid w:val="00B70B9E"/>
    <w:rsid w:val="00B70D28"/>
    <w:rsid w:val="00B70E90"/>
    <w:rsid w:val="00B710CA"/>
    <w:rsid w:val="00B71124"/>
    <w:rsid w:val="00B711E9"/>
    <w:rsid w:val="00B7152E"/>
    <w:rsid w:val="00B715C7"/>
    <w:rsid w:val="00B71650"/>
    <w:rsid w:val="00B71ADF"/>
    <w:rsid w:val="00B71AE4"/>
    <w:rsid w:val="00B71E18"/>
    <w:rsid w:val="00B71FE5"/>
    <w:rsid w:val="00B726B6"/>
    <w:rsid w:val="00B726D6"/>
    <w:rsid w:val="00B727F5"/>
    <w:rsid w:val="00B72848"/>
    <w:rsid w:val="00B72B49"/>
    <w:rsid w:val="00B72C8F"/>
    <w:rsid w:val="00B735C2"/>
    <w:rsid w:val="00B737D5"/>
    <w:rsid w:val="00B738D0"/>
    <w:rsid w:val="00B73B3A"/>
    <w:rsid w:val="00B73C3A"/>
    <w:rsid w:val="00B73C7C"/>
    <w:rsid w:val="00B73C9D"/>
    <w:rsid w:val="00B73CE4"/>
    <w:rsid w:val="00B73EDB"/>
    <w:rsid w:val="00B73F1C"/>
    <w:rsid w:val="00B740E5"/>
    <w:rsid w:val="00B741EE"/>
    <w:rsid w:val="00B747A4"/>
    <w:rsid w:val="00B747AC"/>
    <w:rsid w:val="00B751E7"/>
    <w:rsid w:val="00B7521F"/>
    <w:rsid w:val="00B75496"/>
    <w:rsid w:val="00B754A1"/>
    <w:rsid w:val="00B755FD"/>
    <w:rsid w:val="00B75B7E"/>
    <w:rsid w:val="00B75C04"/>
    <w:rsid w:val="00B75E6C"/>
    <w:rsid w:val="00B75EF7"/>
    <w:rsid w:val="00B75FA8"/>
    <w:rsid w:val="00B7607F"/>
    <w:rsid w:val="00B7616F"/>
    <w:rsid w:val="00B76189"/>
    <w:rsid w:val="00B76301"/>
    <w:rsid w:val="00B766C1"/>
    <w:rsid w:val="00B766F5"/>
    <w:rsid w:val="00B76B2C"/>
    <w:rsid w:val="00B76BF7"/>
    <w:rsid w:val="00B76CB8"/>
    <w:rsid w:val="00B76F25"/>
    <w:rsid w:val="00B770A2"/>
    <w:rsid w:val="00B77112"/>
    <w:rsid w:val="00B77531"/>
    <w:rsid w:val="00B77674"/>
    <w:rsid w:val="00B776DC"/>
    <w:rsid w:val="00B778C7"/>
    <w:rsid w:val="00B77983"/>
    <w:rsid w:val="00B77E64"/>
    <w:rsid w:val="00B80164"/>
    <w:rsid w:val="00B8034C"/>
    <w:rsid w:val="00B804F9"/>
    <w:rsid w:val="00B8052A"/>
    <w:rsid w:val="00B8065F"/>
    <w:rsid w:val="00B80E63"/>
    <w:rsid w:val="00B811F1"/>
    <w:rsid w:val="00B813B6"/>
    <w:rsid w:val="00B81741"/>
    <w:rsid w:val="00B81780"/>
    <w:rsid w:val="00B81879"/>
    <w:rsid w:val="00B81888"/>
    <w:rsid w:val="00B81965"/>
    <w:rsid w:val="00B82314"/>
    <w:rsid w:val="00B823A0"/>
    <w:rsid w:val="00B82477"/>
    <w:rsid w:val="00B8249D"/>
    <w:rsid w:val="00B82870"/>
    <w:rsid w:val="00B828AF"/>
    <w:rsid w:val="00B82957"/>
    <w:rsid w:val="00B82993"/>
    <w:rsid w:val="00B82A0E"/>
    <w:rsid w:val="00B82A5F"/>
    <w:rsid w:val="00B82AFE"/>
    <w:rsid w:val="00B82D60"/>
    <w:rsid w:val="00B830DA"/>
    <w:rsid w:val="00B830DC"/>
    <w:rsid w:val="00B830EC"/>
    <w:rsid w:val="00B83285"/>
    <w:rsid w:val="00B833C4"/>
    <w:rsid w:val="00B835C1"/>
    <w:rsid w:val="00B835D8"/>
    <w:rsid w:val="00B836B6"/>
    <w:rsid w:val="00B836C3"/>
    <w:rsid w:val="00B83ACB"/>
    <w:rsid w:val="00B83CB1"/>
    <w:rsid w:val="00B83E89"/>
    <w:rsid w:val="00B846F1"/>
    <w:rsid w:val="00B847EF"/>
    <w:rsid w:val="00B84822"/>
    <w:rsid w:val="00B84840"/>
    <w:rsid w:val="00B84982"/>
    <w:rsid w:val="00B84B34"/>
    <w:rsid w:val="00B84CB9"/>
    <w:rsid w:val="00B84E90"/>
    <w:rsid w:val="00B85208"/>
    <w:rsid w:val="00B85263"/>
    <w:rsid w:val="00B85297"/>
    <w:rsid w:val="00B854EA"/>
    <w:rsid w:val="00B85642"/>
    <w:rsid w:val="00B866DE"/>
    <w:rsid w:val="00B86944"/>
    <w:rsid w:val="00B8697D"/>
    <w:rsid w:val="00B86A95"/>
    <w:rsid w:val="00B86BBF"/>
    <w:rsid w:val="00B86CD7"/>
    <w:rsid w:val="00B86D82"/>
    <w:rsid w:val="00B86DCA"/>
    <w:rsid w:val="00B86E9B"/>
    <w:rsid w:val="00B87061"/>
    <w:rsid w:val="00B879F2"/>
    <w:rsid w:val="00B87B4C"/>
    <w:rsid w:val="00B87BBF"/>
    <w:rsid w:val="00B87D06"/>
    <w:rsid w:val="00B87FD8"/>
    <w:rsid w:val="00B87FD9"/>
    <w:rsid w:val="00B8D350"/>
    <w:rsid w:val="00B9006E"/>
    <w:rsid w:val="00B900B8"/>
    <w:rsid w:val="00B9014A"/>
    <w:rsid w:val="00B904CF"/>
    <w:rsid w:val="00B905FE"/>
    <w:rsid w:val="00B90BD4"/>
    <w:rsid w:val="00B90E9C"/>
    <w:rsid w:val="00B91572"/>
    <w:rsid w:val="00B91632"/>
    <w:rsid w:val="00B919DF"/>
    <w:rsid w:val="00B91A12"/>
    <w:rsid w:val="00B91B69"/>
    <w:rsid w:val="00B91BC8"/>
    <w:rsid w:val="00B91BD0"/>
    <w:rsid w:val="00B91D9E"/>
    <w:rsid w:val="00B92213"/>
    <w:rsid w:val="00B92344"/>
    <w:rsid w:val="00B9248B"/>
    <w:rsid w:val="00B92A1C"/>
    <w:rsid w:val="00B92A77"/>
    <w:rsid w:val="00B92BB8"/>
    <w:rsid w:val="00B92D5D"/>
    <w:rsid w:val="00B9322D"/>
    <w:rsid w:val="00B932BB"/>
    <w:rsid w:val="00B93467"/>
    <w:rsid w:val="00B9353C"/>
    <w:rsid w:val="00B93907"/>
    <w:rsid w:val="00B9393B"/>
    <w:rsid w:val="00B93A0E"/>
    <w:rsid w:val="00B93A81"/>
    <w:rsid w:val="00B93AAB"/>
    <w:rsid w:val="00B93C42"/>
    <w:rsid w:val="00B93F19"/>
    <w:rsid w:val="00B93FBE"/>
    <w:rsid w:val="00B940CE"/>
    <w:rsid w:val="00B940E5"/>
    <w:rsid w:val="00B94477"/>
    <w:rsid w:val="00B945A8"/>
    <w:rsid w:val="00B947AA"/>
    <w:rsid w:val="00B9482C"/>
    <w:rsid w:val="00B94907"/>
    <w:rsid w:val="00B94967"/>
    <w:rsid w:val="00B94975"/>
    <w:rsid w:val="00B94D50"/>
    <w:rsid w:val="00B94DE3"/>
    <w:rsid w:val="00B94F92"/>
    <w:rsid w:val="00B951D3"/>
    <w:rsid w:val="00B951FF"/>
    <w:rsid w:val="00B95225"/>
    <w:rsid w:val="00B953FD"/>
    <w:rsid w:val="00B95481"/>
    <w:rsid w:val="00B9564F"/>
    <w:rsid w:val="00B95844"/>
    <w:rsid w:val="00B958E7"/>
    <w:rsid w:val="00B95CDE"/>
    <w:rsid w:val="00B95E2D"/>
    <w:rsid w:val="00B95F8C"/>
    <w:rsid w:val="00B9612B"/>
    <w:rsid w:val="00B96257"/>
    <w:rsid w:val="00B9661A"/>
    <w:rsid w:val="00B96956"/>
    <w:rsid w:val="00B96981"/>
    <w:rsid w:val="00B96BC6"/>
    <w:rsid w:val="00B96D16"/>
    <w:rsid w:val="00B96E0E"/>
    <w:rsid w:val="00B96E52"/>
    <w:rsid w:val="00B97529"/>
    <w:rsid w:val="00B9762A"/>
    <w:rsid w:val="00B97679"/>
    <w:rsid w:val="00B977D3"/>
    <w:rsid w:val="00B97A6C"/>
    <w:rsid w:val="00B97B4A"/>
    <w:rsid w:val="00B97C4D"/>
    <w:rsid w:val="00B97F3B"/>
    <w:rsid w:val="00BA0031"/>
    <w:rsid w:val="00BA0131"/>
    <w:rsid w:val="00BA02DF"/>
    <w:rsid w:val="00BA048F"/>
    <w:rsid w:val="00BA0710"/>
    <w:rsid w:val="00BA0765"/>
    <w:rsid w:val="00BA0854"/>
    <w:rsid w:val="00BA0C17"/>
    <w:rsid w:val="00BA0E99"/>
    <w:rsid w:val="00BA1219"/>
    <w:rsid w:val="00BA1725"/>
    <w:rsid w:val="00BA1C40"/>
    <w:rsid w:val="00BA2563"/>
    <w:rsid w:val="00BA2673"/>
    <w:rsid w:val="00BA2955"/>
    <w:rsid w:val="00BA2968"/>
    <w:rsid w:val="00BA2A4C"/>
    <w:rsid w:val="00BA2CBF"/>
    <w:rsid w:val="00BA2FA6"/>
    <w:rsid w:val="00BA3177"/>
    <w:rsid w:val="00BA3258"/>
    <w:rsid w:val="00BA3321"/>
    <w:rsid w:val="00BA3508"/>
    <w:rsid w:val="00BA3663"/>
    <w:rsid w:val="00BA3782"/>
    <w:rsid w:val="00BA39F4"/>
    <w:rsid w:val="00BA3AC5"/>
    <w:rsid w:val="00BA3BC2"/>
    <w:rsid w:val="00BA3D8F"/>
    <w:rsid w:val="00BA3FCB"/>
    <w:rsid w:val="00BA4059"/>
    <w:rsid w:val="00BA409A"/>
    <w:rsid w:val="00BA4118"/>
    <w:rsid w:val="00BA42B9"/>
    <w:rsid w:val="00BA4549"/>
    <w:rsid w:val="00BA481B"/>
    <w:rsid w:val="00BA4A04"/>
    <w:rsid w:val="00BA4A52"/>
    <w:rsid w:val="00BA4F98"/>
    <w:rsid w:val="00BA55DE"/>
    <w:rsid w:val="00BA5742"/>
    <w:rsid w:val="00BA577C"/>
    <w:rsid w:val="00BA57E2"/>
    <w:rsid w:val="00BA57EF"/>
    <w:rsid w:val="00BA59FC"/>
    <w:rsid w:val="00BA5AC4"/>
    <w:rsid w:val="00BA5B65"/>
    <w:rsid w:val="00BA5EAF"/>
    <w:rsid w:val="00BA6142"/>
    <w:rsid w:val="00BA61F4"/>
    <w:rsid w:val="00BA6290"/>
    <w:rsid w:val="00BA62BC"/>
    <w:rsid w:val="00BA65D6"/>
    <w:rsid w:val="00BA6634"/>
    <w:rsid w:val="00BA6741"/>
    <w:rsid w:val="00BA67CC"/>
    <w:rsid w:val="00BA6B02"/>
    <w:rsid w:val="00BA714F"/>
    <w:rsid w:val="00BA7250"/>
    <w:rsid w:val="00BA7319"/>
    <w:rsid w:val="00BA739D"/>
    <w:rsid w:val="00BA73C8"/>
    <w:rsid w:val="00BA7743"/>
    <w:rsid w:val="00BA7810"/>
    <w:rsid w:val="00BA7829"/>
    <w:rsid w:val="00BA7B6C"/>
    <w:rsid w:val="00BA7FF9"/>
    <w:rsid w:val="00BB013D"/>
    <w:rsid w:val="00BB046C"/>
    <w:rsid w:val="00BB0A22"/>
    <w:rsid w:val="00BB0D57"/>
    <w:rsid w:val="00BB1120"/>
    <w:rsid w:val="00BB1309"/>
    <w:rsid w:val="00BB153A"/>
    <w:rsid w:val="00BB1A30"/>
    <w:rsid w:val="00BB1D46"/>
    <w:rsid w:val="00BB1D88"/>
    <w:rsid w:val="00BB1F0F"/>
    <w:rsid w:val="00BB1F30"/>
    <w:rsid w:val="00BB2335"/>
    <w:rsid w:val="00BB290C"/>
    <w:rsid w:val="00BB294C"/>
    <w:rsid w:val="00BB29E4"/>
    <w:rsid w:val="00BB2B59"/>
    <w:rsid w:val="00BB2C4E"/>
    <w:rsid w:val="00BB2FC6"/>
    <w:rsid w:val="00BB3381"/>
    <w:rsid w:val="00BB3682"/>
    <w:rsid w:val="00BB369F"/>
    <w:rsid w:val="00BB3A74"/>
    <w:rsid w:val="00BB3E2D"/>
    <w:rsid w:val="00BB3E99"/>
    <w:rsid w:val="00BB3F93"/>
    <w:rsid w:val="00BB3FC2"/>
    <w:rsid w:val="00BB4524"/>
    <w:rsid w:val="00BB4590"/>
    <w:rsid w:val="00BB4756"/>
    <w:rsid w:val="00BB4D2B"/>
    <w:rsid w:val="00BB4E9C"/>
    <w:rsid w:val="00BB512B"/>
    <w:rsid w:val="00BB5146"/>
    <w:rsid w:val="00BB51D0"/>
    <w:rsid w:val="00BB51DA"/>
    <w:rsid w:val="00BB5494"/>
    <w:rsid w:val="00BB58D0"/>
    <w:rsid w:val="00BB5A9D"/>
    <w:rsid w:val="00BB5BE2"/>
    <w:rsid w:val="00BB5BFF"/>
    <w:rsid w:val="00BB5DF4"/>
    <w:rsid w:val="00BB60E3"/>
    <w:rsid w:val="00BB626E"/>
    <w:rsid w:val="00BB63E9"/>
    <w:rsid w:val="00BB644F"/>
    <w:rsid w:val="00BB658B"/>
    <w:rsid w:val="00BB6590"/>
    <w:rsid w:val="00BB66BC"/>
    <w:rsid w:val="00BB692B"/>
    <w:rsid w:val="00BB69D5"/>
    <w:rsid w:val="00BB69F8"/>
    <w:rsid w:val="00BB6BED"/>
    <w:rsid w:val="00BB6C54"/>
    <w:rsid w:val="00BB6D2F"/>
    <w:rsid w:val="00BB6F6B"/>
    <w:rsid w:val="00BB6FEF"/>
    <w:rsid w:val="00BB733D"/>
    <w:rsid w:val="00BB73AC"/>
    <w:rsid w:val="00BB7817"/>
    <w:rsid w:val="00BB7C01"/>
    <w:rsid w:val="00BB7D3A"/>
    <w:rsid w:val="00BC0095"/>
    <w:rsid w:val="00BC00AA"/>
    <w:rsid w:val="00BC0111"/>
    <w:rsid w:val="00BC011D"/>
    <w:rsid w:val="00BC05F1"/>
    <w:rsid w:val="00BC0898"/>
    <w:rsid w:val="00BC092D"/>
    <w:rsid w:val="00BC0A40"/>
    <w:rsid w:val="00BC0AD6"/>
    <w:rsid w:val="00BC0AF1"/>
    <w:rsid w:val="00BC1241"/>
    <w:rsid w:val="00BC126F"/>
    <w:rsid w:val="00BC12E9"/>
    <w:rsid w:val="00BC17C4"/>
    <w:rsid w:val="00BC181B"/>
    <w:rsid w:val="00BC1898"/>
    <w:rsid w:val="00BC1AF6"/>
    <w:rsid w:val="00BC1B58"/>
    <w:rsid w:val="00BC2629"/>
    <w:rsid w:val="00BC27AC"/>
    <w:rsid w:val="00BC2BE2"/>
    <w:rsid w:val="00BC2DA2"/>
    <w:rsid w:val="00BC2EE7"/>
    <w:rsid w:val="00BC303F"/>
    <w:rsid w:val="00BC32BA"/>
    <w:rsid w:val="00BC3617"/>
    <w:rsid w:val="00BC3963"/>
    <w:rsid w:val="00BC3F8F"/>
    <w:rsid w:val="00BC44FF"/>
    <w:rsid w:val="00BC460B"/>
    <w:rsid w:val="00BC46B0"/>
    <w:rsid w:val="00BC47FD"/>
    <w:rsid w:val="00BC4818"/>
    <w:rsid w:val="00BC4981"/>
    <w:rsid w:val="00BC4BEC"/>
    <w:rsid w:val="00BC4C6F"/>
    <w:rsid w:val="00BC4E02"/>
    <w:rsid w:val="00BC5232"/>
    <w:rsid w:val="00BC52A3"/>
    <w:rsid w:val="00BC5377"/>
    <w:rsid w:val="00BC5428"/>
    <w:rsid w:val="00BC545B"/>
    <w:rsid w:val="00BC5531"/>
    <w:rsid w:val="00BC5723"/>
    <w:rsid w:val="00BC5872"/>
    <w:rsid w:val="00BC59F5"/>
    <w:rsid w:val="00BC5A97"/>
    <w:rsid w:val="00BC5BC2"/>
    <w:rsid w:val="00BC5DCA"/>
    <w:rsid w:val="00BC5E0A"/>
    <w:rsid w:val="00BC5EB3"/>
    <w:rsid w:val="00BC60B2"/>
    <w:rsid w:val="00BC62B5"/>
    <w:rsid w:val="00BC6400"/>
    <w:rsid w:val="00BC645D"/>
    <w:rsid w:val="00BC66CA"/>
    <w:rsid w:val="00BC6B36"/>
    <w:rsid w:val="00BC6BD1"/>
    <w:rsid w:val="00BC6BE1"/>
    <w:rsid w:val="00BC6CE0"/>
    <w:rsid w:val="00BC6F56"/>
    <w:rsid w:val="00BC72CF"/>
    <w:rsid w:val="00BC73BB"/>
    <w:rsid w:val="00BC7477"/>
    <w:rsid w:val="00BC74A6"/>
    <w:rsid w:val="00BC74B8"/>
    <w:rsid w:val="00BC752F"/>
    <w:rsid w:val="00BC782E"/>
    <w:rsid w:val="00BC7900"/>
    <w:rsid w:val="00BC7907"/>
    <w:rsid w:val="00BC7A4B"/>
    <w:rsid w:val="00BC7BD6"/>
    <w:rsid w:val="00BD047A"/>
    <w:rsid w:val="00BD0796"/>
    <w:rsid w:val="00BD0837"/>
    <w:rsid w:val="00BD0E65"/>
    <w:rsid w:val="00BD0F72"/>
    <w:rsid w:val="00BD1084"/>
    <w:rsid w:val="00BD10CC"/>
    <w:rsid w:val="00BD12A2"/>
    <w:rsid w:val="00BD149C"/>
    <w:rsid w:val="00BD182D"/>
    <w:rsid w:val="00BD1F2D"/>
    <w:rsid w:val="00BD216F"/>
    <w:rsid w:val="00BD27BE"/>
    <w:rsid w:val="00BD2801"/>
    <w:rsid w:val="00BD2838"/>
    <w:rsid w:val="00BD2AB6"/>
    <w:rsid w:val="00BD2D99"/>
    <w:rsid w:val="00BD2E95"/>
    <w:rsid w:val="00BD2E9B"/>
    <w:rsid w:val="00BD35DE"/>
    <w:rsid w:val="00BD3636"/>
    <w:rsid w:val="00BD37B9"/>
    <w:rsid w:val="00BD398C"/>
    <w:rsid w:val="00BD3ABB"/>
    <w:rsid w:val="00BD3B11"/>
    <w:rsid w:val="00BD3D34"/>
    <w:rsid w:val="00BD3D9D"/>
    <w:rsid w:val="00BD3DDA"/>
    <w:rsid w:val="00BD3F80"/>
    <w:rsid w:val="00BD40F0"/>
    <w:rsid w:val="00BD4490"/>
    <w:rsid w:val="00BD4EC0"/>
    <w:rsid w:val="00BD4EE0"/>
    <w:rsid w:val="00BD5077"/>
    <w:rsid w:val="00BD5162"/>
    <w:rsid w:val="00BD53BD"/>
    <w:rsid w:val="00BD5BA5"/>
    <w:rsid w:val="00BD5DB0"/>
    <w:rsid w:val="00BD5EC0"/>
    <w:rsid w:val="00BD60E7"/>
    <w:rsid w:val="00BD6210"/>
    <w:rsid w:val="00BD62DB"/>
    <w:rsid w:val="00BD648B"/>
    <w:rsid w:val="00BD652E"/>
    <w:rsid w:val="00BD663B"/>
    <w:rsid w:val="00BD6662"/>
    <w:rsid w:val="00BD67C9"/>
    <w:rsid w:val="00BD67DF"/>
    <w:rsid w:val="00BD6B47"/>
    <w:rsid w:val="00BD6B48"/>
    <w:rsid w:val="00BD6E09"/>
    <w:rsid w:val="00BD6E9C"/>
    <w:rsid w:val="00BD76F0"/>
    <w:rsid w:val="00BD776B"/>
    <w:rsid w:val="00BD7995"/>
    <w:rsid w:val="00BD7B05"/>
    <w:rsid w:val="00BD7C1B"/>
    <w:rsid w:val="00BD7DD2"/>
    <w:rsid w:val="00BE0018"/>
    <w:rsid w:val="00BE01E7"/>
    <w:rsid w:val="00BE0376"/>
    <w:rsid w:val="00BE0736"/>
    <w:rsid w:val="00BE097C"/>
    <w:rsid w:val="00BE0A0E"/>
    <w:rsid w:val="00BE0CC5"/>
    <w:rsid w:val="00BE0CF9"/>
    <w:rsid w:val="00BE0D67"/>
    <w:rsid w:val="00BE0EF7"/>
    <w:rsid w:val="00BE138F"/>
    <w:rsid w:val="00BE188D"/>
    <w:rsid w:val="00BE1BD1"/>
    <w:rsid w:val="00BE1D05"/>
    <w:rsid w:val="00BE1D73"/>
    <w:rsid w:val="00BE1E4C"/>
    <w:rsid w:val="00BE2003"/>
    <w:rsid w:val="00BE2010"/>
    <w:rsid w:val="00BE202E"/>
    <w:rsid w:val="00BE2081"/>
    <w:rsid w:val="00BE2679"/>
    <w:rsid w:val="00BE2884"/>
    <w:rsid w:val="00BE2A0D"/>
    <w:rsid w:val="00BE2FC4"/>
    <w:rsid w:val="00BE3551"/>
    <w:rsid w:val="00BE36EA"/>
    <w:rsid w:val="00BE3720"/>
    <w:rsid w:val="00BE3755"/>
    <w:rsid w:val="00BE3811"/>
    <w:rsid w:val="00BE3A0A"/>
    <w:rsid w:val="00BE3BF7"/>
    <w:rsid w:val="00BE3C88"/>
    <w:rsid w:val="00BE40F0"/>
    <w:rsid w:val="00BE4214"/>
    <w:rsid w:val="00BE44B4"/>
    <w:rsid w:val="00BE44DC"/>
    <w:rsid w:val="00BE4580"/>
    <w:rsid w:val="00BE4869"/>
    <w:rsid w:val="00BE4B03"/>
    <w:rsid w:val="00BE4E6F"/>
    <w:rsid w:val="00BE5436"/>
    <w:rsid w:val="00BE569D"/>
    <w:rsid w:val="00BE58DA"/>
    <w:rsid w:val="00BE5956"/>
    <w:rsid w:val="00BE596C"/>
    <w:rsid w:val="00BE5F67"/>
    <w:rsid w:val="00BE603F"/>
    <w:rsid w:val="00BE625E"/>
    <w:rsid w:val="00BE6353"/>
    <w:rsid w:val="00BE65FD"/>
    <w:rsid w:val="00BE6B22"/>
    <w:rsid w:val="00BE7125"/>
    <w:rsid w:val="00BE71CF"/>
    <w:rsid w:val="00BE7313"/>
    <w:rsid w:val="00BE7735"/>
    <w:rsid w:val="00BE7835"/>
    <w:rsid w:val="00BE7AFD"/>
    <w:rsid w:val="00BE7C45"/>
    <w:rsid w:val="00BE7CE1"/>
    <w:rsid w:val="00BE7F43"/>
    <w:rsid w:val="00BF00CB"/>
    <w:rsid w:val="00BF0336"/>
    <w:rsid w:val="00BF060A"/>
    <w:rsid w:val="00BF0ADB"/>
    <w:rsid w:val="00BF0CB4"/>
    <w:rsid w:val="00BF1102"/>
    <w:rsid w:val="00BF12BF"/>
    <w:rsid w:val="00BF1492"/>
    <w:rsid w:val="00BF14A5"/>
    <w:rsid w:val="00BF151B"/>
    <w:rsid w:val="00BF15E4"/>
    <w:rsid w:val="00BF18F0"/>
    <w:rsid w:val="00BF1AC1"/>
    <w:rsid w:val="00BF1F68"/>
    <w:rsid w:val="00BF23B0"/>
    <w:rsid w:val="00BF24A5"/>
    <w:rsid w:val="00BF26F7"/>
    <w:rsid w:val="00BF2804"/>
    <w:rsid w:val="00BF28EA"/>
    <w:rsid w:val="00BF2B61"/>
    <w:rsid w:val="00BF2BC2"/>
    <w:rsid w:val="00BF2C49"/>
    <w:rsid w:val="00BF2DC4"/>
    <w:rsid w:val="00BF2F1E"/>
    <w:rsid w:val="00BF33CD"/>
    <w:rsid w:val="00BF3424"/>
    <w:rsid w:val="00BF36AE"/>
    <w:rsid w:val="00BF3D09"/>
    <w:rsid w:val="00BF3D56"/>
    <w:rsid w:val="00BF3D61"/>
    <w:rsid w:val="00BF3D79"/>
    <w:rsid w:val="00BF3DD7"/>
    <w:rsid w:val="00BF4019"/>
    <w:rsid w:val="00BF422E"/>
    <w:rsid w:val="00BF461D"/>
    <w:rsid w:val="00BF47C4"/>
    <w:rsid w:val="00BF4984"/>
    <w:rsid w:val="00BF4A74"/>
    <w:rsid w:val="00BF4F07"/>
    <w:rsid w:val="00BF50ED"/>
    <w:rsid w:val="00BF56A3"/>
    <w:rsid w:val="00BF5823"/>
    <w:rsid w:val="00BF58D7"/>
    <w:rsid w:val="00BF598A"/>
    <w:rsid w:val="00BF59DA"/>
    <w:rsid w:val="00BF5B50"/>
    <w:rsid w:val="00BF5C27"/>
    <w:rsid w:val="00BF5D8A"/>
    <w:rsid w:val="00BF5E10"/>
    <w:rsid w:val="00BF60CF"/>
    <w:rsid w:val="00BF6315"/>
    <w:rsid w:val="00BF6383"/>
    <w:rsid w:val="00BF650D"/>
    <w:rsid w:val="00BF6920"/>
    <w:rsid w:val="00BF6B87"/>
    <w:rsid w:val="00BF6C8A"/>
    <w:rsid w:val="00BF70B2"/>
    <w:rsid w:val="00BF7160"/>
    <w:rsid w:val="00BF7256"/>
    <w:rsid w:val="00BF7373"/>
    <w:rsid w:val="00BF7E4C"/>
    <w:rsid w:val="00C00367"/>
    <w:rsid w:val="00C0041C"/>
    <w:rsid w:val="00C00991"/>
    <w:rsid w:val="00C00B8B"/>
    <w:rsid w:val="00C00CE0"/>
    <w:rsid w:val="00C00CF6"/>
    <w:rsid w:val="00C00EBF"/>
    <w:rsid w:val="00C00EE6"/>
    <w:rsid w:val="00C01A43"/>
    <w:rsid w:val="00C01B52"/>
    <w:rsid w:val="00C0234E"/>
    <w:rsid w:val="00C02386"/>
    <w:rsid w:val="00C023FB"/>
    <w:rsid w:val="00C024B8"/>
    <w:rsid w:val="00C02DE6"/>
    <w:rsid w:val="00C02E65"/>
    <w:rsid w:val="00C02E69"/>
    <w:rsid w:val="00C02EB1"/>
    <w:rsid w:val="00C02F15"/>
    <w:rsid w:val="00C03151"/>
    <w:rsid w:val="00C0322C"/>
    <w:rsid w:val="00C03494"/>
    <w:rsid w:val="00C03746"/>
    <w:rsid w:val="00C039E1"/>
    <w:rsid w:val="00C03AEE"/>
    <w:rsid w:val="00C04122"/>
    <w:rsid w:val="00C041F8"/>
    <w:rsid w:val="00C042EA"/>
    <w:rsid w:val="00C04318"/>
    <w:rsid w:val="00C0445E"/>
    <w:rsid w:val="00C047D2"/>
    <w:rsid w:val="00C04BE3"/>
    <w:rsid w:val="00C05039"/>
    <w:rsid w:val="00C0503B"/>
    <w:rsid w:val="00C050C6"/>
    <w:rsid w:val="00C05118"/>
    <w:rsid w:val="00C05238"/>
    <w:rsid w:val="00C0552E"/>
    <w:rsid w:val="00C0559D"/>
    <w:rsid w:val="00C0598F"/>
    <w:rsid w:val="00C05A57"/>
    <w:rsid w:val="00C05E22"/>
    <w:rsid w:val="00C06019"/>
    <w:rsid w:val="00C06325"/>
    <w:rsid w:val="00C063E9"/>
    <w:rsid w:val="00C06523"/>
    <w:rsid w:val="00C0685E"/>
    <w:rsid w:val="00C06AC9"/>
    <w:rsid w:val="00C0706E"/>
    <w:rsid w:val="00C0725C"/>
    <w:rsid w:val="00C07636"/>
    <w:rsid w:val="00C07788"/>
    <w:rsid w:val="00C07B68"/>
    <w:rsid w:val="00C07BAD"/>
    <w:rsid w:val="00C07E01"/>
    <w:rsid w:val="00C07F81"/>
    <w:rsid w:val="00C07F90"/>
    <w:rsid w:val="00C100CD"/>
    <w:rsid w:val="00C10360"/>
    <w:rsid w:val="00C104B3"/>
    <w:rsid w:val="00C104C9"/>
    <w:rsid w:val="00C10668"/>
    <w:rsid w:val="00C106C7"/>
    <w:rsid w:val="00C108E6"/>
    <w:rsid w:val="00C10B89"/>
    <w:rsid w:val="00C10E09"/>
    <w:rsid w:val="00C11308"/>
    <w:rsid w:val="00C11313"/>
    <w:rsid w:val="00C1146E"/>
    <w:rsid w:val="00C1165F"/>
    <w:rsid w:val="00C11B07"/>
    <w:rsid w:val="00C11B7E"/>
    <w:rsid w:val="00C11F81"/>
    <w:rsid w:val="00C1212F"/>
    <w:rsid w:val="00C122F9"/>
    <w:rsid w:val="00C12672"/>
    <w:rsid w:val="00C126CE"/>
    <w:rsid w:val="00C130F7"/>
    <w:rsid w:val="00C131B2"/>
    <w:rsid w:val="00C132D3"/>
    <w:rsid w:val="00C132E2"/>
    <w:rsid w:val="00C1330D"/>
    <w:rsid w:val="00C13530"/>
    <w:rsid w:val="00C13AA4"/>
    <w:rsid w:val="00C13C64"/>
    <w:rsid w:val="00C13DDC"/>
    <w:rsid w:val="00C13EC7"/>
    <w:rsid w:val="00C13EF4"/>
    <w:rsid w:val="00C14AE1"/>
    <w:rsid w:val="00C14EA1"/>
    <w:rsid w:val="00C14F6A"/>
    <w:rsid w:val="00C150DD"/>
    <w:rsid w:val="00C154EA"/>
    <w:rsid w:val="00C1589F"/>
    <w:rsid w:val="00C15950"/>
    <w:rsid w:val="00C15AF5"/>
    <w:rsid w:val="00C15CB8"/>
    <w:rsid w:val="00C16074"/>
    <w:rsid w:val="00C161D3"/>
    <w:rsid w:val="00C16733"/>
    <w:rsid w:val="00C16A74"/>
    <w:rsid w:val="00C16D54"/>
    <w:rsid w:val="00C1704E"/>
    <w:rsid w:val="00C1715D"/>
    <w:rsid w:val="00C171BC"/>
    <w:rsid w:val="00C17223"/>
    <w:rsid w:val="00C17318"/>
    <w:rsid w:val="00C176DE"/>
    <w:rsid w:val="00C1782F"/>
    <w:rsid w:val="00C17892"/>
    <w:rsid w:val="00C1795C"/>
    <w:rsid w:val="00C17CEC"/>
    <w:rsid w:val="00C17CFA"/>
    <w:rsid w:val="00C17EDF"/>
    <w:rsid w:val="00C17EEA"/>
    <w:rsid w:val="00C17FC6"/>
    <w:rsid w:val="00C2028D"/>
    <w:rsid w:val="00C202B9"/>
    <w:rsid w:val="00C202C6"/>
    <w:rsid w:val="00C205DF"/>
    <w:rsid w:val="00C20842"/>
    <w:rsid w:val="00C208DF"/>
    <w:rsid w:val="00C208E8"/>
    <w:rsid w:val="00C20A7F"/>
    <w:rsid w:val="00C20D83"/>
    <w:rsid w:val="00C20E7C"/>
    <w:rsid w:val="00C21068"/>
    <w:rsid w:val="00C21359"/>
    <w:rsid w:val="00C2198E"/>
    <w:rsid w:val="00C21BD7"/>
    <w:rsid w:val="00C21BD9"/>
    <w:rsid w:val="00C21BE7"/>
    <w:rsid w:val="00C21C25"/>
    <w:rsid w:val="00C21DF9"/>
    <w:rsid w:val="00C227A9"/>
    <w:rsid w:val="00C22A32"/>
    <w:rsid w:val="00C23084"/>
    <w:rsid w:val="00C23351"/>
    <w:rsid w:val="00C2342D"/>
    <w:rsid w:val="00C23564"/>
    <w:rsid w:val="00C236E1"/>
    <w:rsid w:val="00C23704"/>
    <w:rsid w:val="00C23804"/>
    <w:rsid w:val="00C238F4"/>
    <w:rsid w:val="00C23C7E"/>
    <w:rsid w:val="00C23DA9"/>
    <w:rsid w:val="00C23E63"/>
    <w:rsid w:val="00C23F34"/>
    <w:rsid w:val="00C241AD"/>
    <w:rsid w:val="00C242C4"/>
    <w:rsid w:val="00C2444A"/>
    <w:rsid w:val="00C24708"/>
    <w:rsid w:val="00C24BC9"/>
    <w:rsid w:val="00C2529C"/>
    <w:rsid w:val="00C252D7"/>
    <w:rsid w:val="00C25679"/>
    <w:rsid w:val="00C257E1"/>
    <w:rsid w:val="00C25922"/>
    <w:rsid w:val="00C25AEE"/>
    <w:rsid w:val="00C25D6D"/>
    <w:rsid w:val="00C26025"/>
    <w:rsid w:val="00C26227"/>
    <w:rsid w:val="00C26600"/>
    <w:rsid w:val="00C266BD"/>
    <w:rsid w:val="00C26D6B"/>
    <w:rsid w:val="00C2705C"/>
    <w:rsid w:val="00C27132"/>
    <w:rsid w:val="00C27725"/>
    <w:rsid w:val="00C27766"/>
    <w:rsid w:val="00C27B4B"/>
    <w:rsid w:val="00C27CAE"/>
    <w:rsid w:val="00C27CD7"/>
    <w:rsid w:val="00C3009F"/>
    <w:rsid w:val="00C300DA"/>
    <w:rsid w:val="00C300E8"/>
    <w:rsid w:val="00C307FD"/>
    <w:rsid w:val="00C3095D"/>
    <w:rsid w:val="00C30980"/>
    <w:rsid w:val="00C30B10"/>
    <w:rsid w:val="00C30B23"/>
    <w:rsid w:val="00C3120C"/>
    <w:rsid w:val="00C314EF"/>
    <w:rsid w:val="00C316D6"/>
    <w:rsid w:val="00C318A2"/>
    <w:rsid w:val="00C318E0"/>
    <w:rsid w:val="00C31DAA"/>
    <w:rsid w:val="00C327D2"/>
    <w:rsid w:val="00C32834"/>
    <w:rsid w:val="00C32A11"/>
    <w:rsid w:val="00C32DC7"/>
    <w:rsid w:val="00C32FCA"/>
    <w:rsid w:val="00C32FDD"/>
    <w:rsid w:val="00C330F9"/>
    <w:rsid w:val="00C332FF"/>
    <w:rsid w:val="00C3330C"/>
    <w:rsid w:val="00C333D1"/>
    <w:rsid w:val="00C334F1"/>
    <w:rsid w:val="00C33549"/>
    <w:rsid w:val="00C33727"/>
    <w:rsid w:val="00C3389C"/>
    <w:rsid w:val="00C338E4"/>
    <w:rsid w:val="00C33B82"/>
    <w:rsid w:val="00C33ECC"/>
    <w:rsid w:val="00C34168"/>
    <w:rsid w:val="00C34366"/>
    <w:rsid w:val="00C346AB"/>
    <w:rsid w:val="00C34A81"/>
    <w:rsid w:val="00C34A89"/>
    <w:rsid w:val="00C34AAC"/>
    <w:rsid w:val="00C34F72"/>
    <w:rsid w:val="00C350C8"/>
    <w:rsid w:val="00C3530E"/>
    <w:rsid w:val="00C35550"/>
    <w:rsid w:val="00C35E25"/>
    <w:rsid w:val="00C36077"/>
    <w:rsid w:val="00C360E0"/>
    <w:rsid w:val="00C36395"/>
    <w:rsid w:val="00C364CD"/>
    <w:rsid w:val="00C36562"/>
    <w:rsid w:val="00C365E8"/>
    <w:rsid w:val="00C36792"/>
    <w:rsid w:val="00C36891"/>
    <w:rsid w:val="00C36A61"/>
    <w:rsid w:val="00C36CCA"/>
    <w:rsid w:val="00C37176"/>
    <w:rsid w:val="00C372BD"/>
    <w:rsid w:val="00C375AA"/>
    <w:rsid w:val="00C376E3"/>
    <w:rsid w:val="00C3771A"/>
    <w:rsid w:val="00C3776E"/>
    <w:rsid w:val="00C3795C"/>
    <w:rsid w:val="00C37B57"/>
    <w:rsid w:val="00C37B89"/>
    <w:rsid w:val="00C37DCD"/>
    <w:rsid w:val="00C37E0D"/>
    <w:rsid w:val="00C37F1D"/>
    <w:rsid w:val="00C40263"/>
    <w:rsid w:val="00C402BF"/>
    <w:rsid w:val="00C402E5"/>
    <w:rsid w:val="00C403E7"/>
    <w:rsid w:val="00C4045B"/>
    <w:rsid w:val="00C40925"/>
    <w:rsid w:val="00C4095C"/>
    <w:rsid w:val="00C409C8"/>
    <w:rsid w:val="00C40B01"/>
    <w:rsid w:val="00C40C89"/>
    <w:rsid w:val="00C40C97"/>
    <w:rsid w:val="00C41011"/>
    <w:rsid w:val="00C41192"/>
    <w:rsid w:val="00C4128A"/>
    <w:rsid w:val="00C412FC"/>
    <w:rsid w:val="00C413EB"/>
    <w:rsid w:val="00C41412"/>
    <w:rsid w:val="00C417F1"/>
    <w:rsid w:val="00C418C2"/>
    <w:rsid w:val="00C41936"/>
    <w:rsid w:val="00C419AF"/>
    <w:rsid w:val="00C41C19"/>
    <w:rsid w:val="00C41C1E"/>
    <w:rsid w:val="00C41CAA"/>
    <w:rsid w:val="00C41ED2"/>
    <w:rsid w:val="00C41EDA"/>
    <w:rsid w:val="00C42253"/>
    <w:rsid w:val="00C422F8"/>
    <w:rsid w:val="00C423D3"/>
    <w:rsid w:val="00C424EA"/>
    <w:rsid w:val="00C42705"/>
    <w:rsid w:val="00C42805"/>
    <w:rsid w:val="00C42815"/>
    <w:rsid w:val="00C4293C"/>
    <w:rsid w:val="00C42C01"/>
    <w:rsid w:val="00C42C40"/>
    <w:rsid w:val="00C42DE3"/>
    <w:rsid w:val="00C43196"/>
    <w:rsid w:val="00C4343D"/>
    <w:rsid w:val="00C4360B"/>
    <w:rsid w:val="00C436D3"/>
    <w:rsid w:val="00C437E8"/>
    <w:rsid w:val="00C43BD6"/>
    <w:rsid w:val="00C43CB6"/>
    <w:rsid w:val="00C43D2F"/>
    <w:rsid w:val="00C44327"/>
    <w:rsid w:val="00C4452F"/>
    <w:rsid w:val="00C44541"/>
    <w:rsid w:val="00C445C4"/>
    <w:rsid w:val="00C44CF9"/>
    <w:rsid w:val="00C44FD8"/>
    <w:rsid w:val="00C44FE3"/>
    <w:rsid w:val="00C45048"/>
    <w:rsid w:val="00C456D1"/>
    <w:rsid w:val="00C457C2"/>
    <w:rsid w:val="00C457C5"/>
    <w:rsid w:val="00C45C34"/>
    <w:rsid w:val="00C460A0"/>
    <w:rsid w:val="00C46180"/>
    <w:rsid w:val="00C46228"/>
    <w:rsid w:val="00C462A4"/>
    <w:rsid w:val="00C4664E"/>
    <w:rsid w:val="00C468DB"/>
    <w:rsid w:val="00C46AE0"/>
    <w:rsid w:val="00C46F5E"/>
    <w:rsid w:val="00C47096"/>
    <w:rsid w:val="00C470E5"/>
    <w:rsid w:val="00C4738C"/>
    <w:rsid w:val="00C473E1"/>
    <w:rsid w:val="00C476B9"/>
    <w:rsid w:val="00C47899"/>
    <w:rsid w:val="00C47A9F"/>
    <w:rsid w:val="00C47E74"/>
    <w:rsid w:val="00C47F87"/>
    <w:rsid w:val="00C50521"/>
    <w:rsid w:val="00C508A0"/>
    <w:rsid w:val="00C5092A"/>
    <w:rsid w:val="00C50966"/>
    <w:rsid w:val="00C50A03"/>
    <w:rsid w:val="00C50A3E"/>
    <w:rsid w:val="00C50F5C"/>
    <w:rsid w:val="00C51139"/>
    <w:rsid w:val="00C511B4"/>
    <w:rsid w:val="00C512CE"/>
    <w:rsid w:val="00C515EE"/>
    <w:rsid w:val="00C51D96"/>
    <w:rsid w:val="00C522F3"/>
    <w:rsid w:val="00C52412"/>
    <w:rsid w:val="00C52424"/>
    <w:rsid w:val="00C52592"/>
    <w:rsid w:val="00C52594"/>
    <w:rsid w:val="00C52727"/>
    <w:rsid w:val="00C52823"/>
    <w:rsid w:val="00C528CC"/>
    <w:rsid w:val="00C52C68"/>
    <w:rsid w:val="00C52E60"/>
    <w:rsid w:val="00C52F18"/>
    <w:rsid w:val="00C5312A"/>
    <w:rsid w:val="00C53777"/>
    <w:rsid w:val="00C53780"/>
    <w:rsid w:val="00C539B1"/>
    <w:rsid w:val="00C53D26"/>
    <w:rsid w:val="00C53DC2"/>
    <w:rsid w:val="00C53E6E"/>
    <w:rsid w:val="00C53EAB"/>
    <w:rsid w:val="00C53F4F"/>
    <w:rsid w:val="00C548D0"/>
    <w:rsid w:val="00C549E7"/>
    <w:rsid w:val="00C54AC2"/>
    <w:rsid w:val="00C550CE"/>
    <w:rsid w:val="00C55233"/>
    <w:rsid w:val="00C5526D"/>
    <w:rsid w:val="00C55323"/>
    <w:rsid w:val="00C5546D"/>
    <w:rsid w:val="00C55683"/>
    <w:rsid w:val="00C55BC2"/>
    <w:rsid w:val="00C55EF2"/>
    <w:rsid w:val="00C55FA3"/>
    <w:rsid w:val="00C56412"/>
    <w:rsid w:val="00C56429"/>
    <w:rsid w:val="00C5679C"/>
    <w:rsid w:val="00C567A4"/>
    <w:rsid w:val="00C56A93"/>
    <w:rsid w:val="00C56B85"/>
    <w:rsid w:val="00C56ED5"/>
    <w:rsid w:val="00C56FF6"/>
    <w:rsid w:val="00C572CF"/>
    <w:rsid w:val="00C57CCF"/>
    <w:rsid w:val="00C57CFD"/>
    <w:rsid w:val="00C57DE9"/>
    <w:rsid w:val="00C57F06"/>
    <w:rsid w:val="00C600E3"/>
    <w:rsid w:val="00C6043F"/>
    <w:rsid w:val="00C6095F"/>
    <w:rsid w:val="00C609E0"/>
    <w:rsid w:val="00C60A58"/>
    <w:rsid w:val="00C60BC1"/>
    <w:rsid w:val="00C60CE2"/>
    <w:rsid w:val="00C60D61"/>
    <w:rsid w:val="00C60DF3"/>
    <w:rsid w:val="00C6129A"/>
    <w:rsid w:val="00C612C1"/>
    <w:rsid w:val="00C614A5"/>
    <w:rsid w:val="00C61524"/>
    <w:rsid w:val="00C617AE"/>
    <w:rsid w:val="00C61EB4"/>
    <w:rsid w:val="00C61EB7"/>
    <w:rsid w:val="00C61FFE"/>
    <w:rsid w:val="00C62093"/>
    <w:rsid w:val="00C62877"/>
    <w:rsid w:val="00C628CC"/>
    <w:rsid w:val="00C63094"/>
    <w:rsid w:val="00C631DE"/>
    <w:rsid w:val="00C6338C"/>
    <w:rsid w:val="00C63530"/>
    <w:rsid w:val="00C6356D"/>
    <w:rsid w:val="00C63A48"/>
    <w:rsid w:val="00C63D21"/>
    <w:rsid w:val="00C63ED4"/>
    <w:rsid w:val="00C641DB"/>
    <w:rsid w:val="00C642D2"/>
    <w:rsid w:val="00C64314"/>
    <w:rsid w:val="00C6449C"/>
    <w:rsid w:val="00C64639"/>
    <w:rsid w:val="00C649F2"/>
    <w:rsid w:val="00C64DCA"/>
    <w:rsid w:val="00C64F1B"/>
    <w:rsid w:val="00C64FD1"/>
    <w:rsid w:val="00C6522F"/>
    <w:rsid w:val="00C654B5"/>
    <w:rsid w:val="00C655F3"/>
    <w:rsid w:val="00C658AD"/>
    <w:rsid w:val="00C65BCB"/>
    <w:rsid w:val="00C65E39"/>
    <w:rsid w:val="00C65FBF"/>
    <w:rsid w:val="00C6605E"/>
    <w:rsid w:val="00C66331"/>
    <w:rsid w:val="00C663D8"/>
    <w:rsid w:val="00C665FF"/>
    <w:rsid w:val="00C66622"/>
    <w:rsid w:val="00C66766"/>
    <w:rsid w:val="00C6685E"/>
    <w:rsid w:val="00C6687D"/>
    <w:rsid w:val="00C668C6"/>
    <w:rsid w:val="00C669F6"/>
    <w:rsid w:val="00C66CA1"/>
    <w:rsid w:val="00C67141"/>
    <w:rsid w:val="00C672AF"/>
    <w:rsid w:val="00C673F3"/>
    <w:rsid w:val="00C675A6"/>
    <w:rsid w:val="00C676B6"/>
    <w:rsid w:val="00C6775F"/>
    <w:rsid w:val="00C678AF"/>
    <w:rsid w:val="00C67AEF"/>
    <w:rsid w:val="00C67CB4"/>
    <w:rsid w:val="00C67F03"/>
    <w:rsid w:val="00C67F7B"/>
    <w:rsid w:val="00C7000F"/>
    <w:rsid w:val="00C7021F"/>
    <w:rsid w:val="00C70228"/>
    <w:rsid w:val="00C703A1"/>
    <w:rsid w:val="00C703D5"/>
    <w:rsid w:val="00C70624"/>
    <w:rsid w:val="00C7066D"/>
    <w:rsid w:val="00C7067B"/>
    <w:rsid w:val="00C70854"/>
    <w:rsid w:val="00C710FE"/>
    <w:rsid w:val="00C7117A"/>
    <w:rsid w:val="00C7133B"/>
    <w:rsid w:val="00C71599"/>
    <w:rsid w:val="00C71648"/>
    <w:rsid w:val="00C71767"/>
    <w:rsid w:val="00C71C34"/>
    <w:rsid w:val="00C71E65"/>
    <w:rsid w:val="00C71F54"/>
    <w:rsid w:val="00C7205F"/>
    <w:rsid w:val="00C72152"/>
    <w:rsid w:val="00C724F4"/>
    <w:rsid w:val="00C7297B"/>
    <w:rsid w:val="00C729FB"/>
    <w:rsid w:val="00C72DE1"/>
    <w:rsid w:val="00C7307D"/>
    <w:rsid w:val="00C732C7"/>
    <w:rsid w:val="00C7331F"/>
    <w:rsid w:val="00C734A6"/>
    <w:rsid w:val="00C7355A"/>
    <w:rsid w:val="00C736F6"/>
    <w:rsid w:val="00C7371B"/>
    <w:rsid w:val="00C737B6"/>
    <w:rsid w:val="00C7387D"/>
    <w:rsid w:val="00C73885"/>
    <w:rsid w:val="00C739D8"/>
    <w:rsid w:val="00C73E43"/>
    <w:rsid w:val="00C740DD"/>
    <w:rsid w:val="00C74272"/>
    <w:rsid w:val="00C74607"/>
    <w:rsid w:val="00C746CB"/>
    <w:rsid w:val="00C74B49"/>
    <w:rsid w:val="00C7504A"/>
    <w:rsid w:val="00C7516A"/>
    <w:rsid w:val="00C755BA"/>
    <w:rsid w:val="00C7566E"/>
    <w:rsid w:val="00C756E3"/>
    <w:rsid w:val="00C75866"/>
    <w:rsid w:val="00C75E07"/>
    <w:rsid w:val="00C75EA6"/>
    <w:rsid w:val="00C7601A"/>
    <w:rsid w:val="00C76362"/>
    <w:rsid w:val="00C764C1"/>
    <w:rsid w:val="00C76704"/>
    <w:rsid w:val="00C76B7B"/>
    <w:rsid w:val="00C76D2A"/>
    <w:rsid w:val="00C77446"/>
    <w:rsid w:val="00C77660"/>
    <w:rsid w:val="00C777E5"/>
    <w:rsid w:val="00C778B3"/>
    <w:rsid w:val="00C77BD9"/>
    <w:rsid w:val="00C77BF4"/>
    <w:rsid w:val="00C77CFB"/>
    <w:rsid w:val="00C80212"/>
    <w:rsid w:val="00C80249"/>
    <w:rsid w:val="00C80283"/>
    <w:rsid w:val="00C80342"/>
    <w:rsid w:val="00C80692"/>
    <w:rsid w:val="00C807C0"/>
    <w:rsid w:val="00C80B28"/>
    <w:rsid w:val="00C80C03"/>
    <w:rsid w:val="00C80C45"/>
    <w:rsid w:val="00C80CE0"/>
    <w:rsid w:val="00C80EC9"/>
    <w:rsid w:val="00C8104F"/>
    <w:rsid w:val="00C81349"/>
    <w:rsid w:val="00C813A5"/>
    <w:rsid w:val="00C81424"/>
    <w:rsid w:val="00C815D5"/>
    <w:rsid w:val="00C8160D"/>
    <w:rsid w:val="00C8181A"/>
    <w:rsid w:val="00C81ACF"/>
    <w:rsid w:val="00C81E25"/>
    <w:rsid w:val="00C81ED9"/>
    <w:rsid w:val="00C82632"/>
    <w:rsid w:val="00C827A3"/>
    <w:rsid w:val="00C827FE"/>
    <w:rsid w:val="00C82944"/>
    <w:rsid w:val="00C8298A"/>
    <w:rsid w:val="00C83049"/>
    <w:rsid w:val="00C83094"/>
    <w:rsid w:val="00C832EE"/>
    <w:rsid w:val="00C8369B"/>
    <w:rsid w:val="00C837D1"/>
    <w:rsid w:val="00C8392C"/>
    <w:rsid w:val="00C83CA3"/>
    <w:rsid w:val="00C83CAF"/>
    <w:rsid w:val="00C84104"/>
    <w:rsid w:val="00C84681"/>
    <w:rsid w:val="00C84987"/>
    <w:rsid w:val="00C84A38"/>
    <w:rsid w:val="00C84EA8"/>
    <w:rsid w:val="00C85008"/>
    <w:rsid w:val="00C85193"/>
    <w:rsid w:val="00C856E6"/>
    <w:rsid w:val="00C85724"/>
    <w:rsid w:val="00C85937"/>
    <w:rsid w:val="00C85955"/>
    <w:rsid w:val="00C85967"/>
    <w:rsid w:val="00C85E42"/>
    <w:rsid w:val="00C85F3B"/>
    <w:rsid w:val="00C86357"/>
    <w:rsid w:val="00C86897"/>
    <w:rsid w:val="00C86A9A"/>
    <w:rsid w:val="00C86AC8"/>
    <w:rsid w:val="00C86B6F"/>
    <w:rsid w:val="00C86BBA"/>
    <w:rsid w:val="00C87324"/>
    <w:rsid w:val="00C873D4"/>
    <w:rsid w:val="00C877CB"/>
    <w:rsid w:val="00C87A65"/>
    <w:rsid w:val="00C87C26"/>
    <w:rsid w:val="00C87CF5"/>
    <w:rsid w:val="00C87DE9"/>
    <w:rsid w:val="00C902A4"/>
    <w:rsid w:val="00C90800"/>
    <w:rsid w:val="00C908A5"/>
    <w:rsid w:val="00C908FF"/>
    <w:rsid w:val="00C91560"/>
    <w:rsid w:val="00C9156F"/>
    <w:rsid w:val="00C915F1"/>
    <w:rsid w:val="00C91C65"/>
    <w:rsid w:val="00C92369"/>
    <w:rsid w:val="00C92402"/>
    <w:rsid w:val="00C924B6"/>
    <w:rsid w:val="00C92521"/>
    <w:rsid w:val="00C925AD"/>
    <w:rsid w:val="00C925AE"/>
    <w:rsid w:val="00C9269A"/>
    <w:rsid w:val="00C92969"/>
    <w:rsid w:val="00C92F19"/>
    <w:rsid w:val="00C931FB"/>
    <w:rsid w:val="00C93306"/>
    <w:rsid w:val="00C9372D"/>
    <w:rsid w:val="00C93891"/>
    <w:rsid w:val="00C93937"/>
    <w:rsid w:val="00C939FD"/>
    <w:rsid w:val="00C93A1D"/>
    <w:rsid w:val="00C93AF4"/>
    <w:rsid w:val="00C9435E"/>
    <w:rsid w:val="00C9445C"/>
    <w:rsid w:val="00C946B6"/>
    <w:rsid w:val="00C947E9"/>
    <w:rsid w:val="00C94BBA"/>
    <w:rsid w:val="00C94CCF"/>
    <w:rsid w:val="00C94D91"/>
    <w:rsid w:val="00C95153"/>
    <w:rsid w:val="00C95438"/>
    <w:rsid w:val="00C954B0"/>
    <w:rsid w:val="00C95662"/>
    <w:rsid w:val="00C9574B"/>
    <w:rsid w:val="00C958D9"/>
    <w:rsid w:val="00C95A9F"/>
    <w:rsid w:val="00C960DD"/>
    <w:rsid w:val="00C9617B"/>
    <w:rsid w:val="00C961EC"/>
    <w:rsid w:val="00C96339"/>
    <w:rsid w:val="00C96733"/>
    <w:rsid w:val="00C96895"/>
    <w:rsid w:val="00C96916"/>
    <w:rsid w:val="00C970C5"/>
    <w:rsid w:val="00C9721A"/>
    <w:rsid w:val="00C97268"/>
    <w:rsid w:val="00C9727F"/>
    <w:rsid w:val="00C9732C"/>
    <w:rsid w:val="00C97631"/>
    <w:rsid w:val="00C97915"/>
    <w:rsid w:val="00C97A54"/>
    <w:rsid w:val="00C97A95"/>
    <w:rsid w:val="00C97C92"/>
    <w:rsid w:val="00C97EAA"/>
    <w:rsid w:val="00C97EB1"/>
    <w:rsid w:val="00C97EFE"/>
    <w:rsid w:val="00CA033E"/>
    <w:rsid w:val="00CA0827"/>
    <w:rsid w:val="00CA0A79"/>
    <w:rsid w:val="00CA0AE0"/>
    <w:rsid w:val="00CA0B20"/>
    <w:rsid w:val="00CA0B53"/>
    <w:rsid w:val="00CA0D85"/>
    <w:rsid w:val="00CA0E4D"/>
    <w:rsid w:val="00CA11EC"/>
    <w:rsid w:val="00CA13DD"/>
    <w:rsid w:val="00CA15CD"/>
    <w:rsid w:val="00CA16B9"/>
    <w:rsid w:val="00CA17B2"/>
    <w:rsid w:val="00CA1976"/>
    <w:rsid w:val="00CA1995"/>
    <w:rsid w:val="00CA1ACA"/>
    <w:rsid w:val="00CA1ADA"/>
    <w:rsid w:val="00CA1CA5"/>
    <w:rsid w:val="00CA209A"/>
    <w:rsid w:val="00CA246D"/>
    <w:rsid w:val="00CA27D0"/>
    <w:rsid w:val="00CA27EF"/>
    <w:rsid w:val="00CA2A08"/>
    <w:rsid w:val="00CA2B01"/>
    <w:rsid w:val="00CA2CB5"/>
    <w:rsid w:val="00CA2CDA"/>
    <w:rsid w:val="00CA2E1F"/>
    <w:rsid w:val="00CA36A4"/>
    <w:rsid w:val="00CA36E8"/>
    <w:rsid w:val="00CA3760"/>
    <w:rsid w:val="00CA39AE"/>
    <w:rsid w:val="00CA3CB1"/>
    <w:rsid w:val="00CA3D58"/>
    <w:rsid w:val="00CA3D67"/>
    <w:rsid w:val="00CA42D4"/>
    <w:rsid w:val="00CA43E0"/>
    <w:rsid w:val="00CA4464"/>
    <w:rsid w:val="00CA4685"/>
    <w:rsid w:val="00CA49F2"/>
    <w:rsid w:val="00CA4E3F"/>
    <w:rsid w:val="00CA4ED6"/>
    <w:rsid w:val="00CA5BB8"/>
    <w:rsid w:val="00CA5FAF"/>
    <w:rsid w:val="00CA63F3"/>
    <w:rsid w:val="00CA64A6"/>
    <w:rsid w:val="00CA64E7"/>
    <w:rsid w:val="00CA6843"/>
    <w:rsid w:val="00CA6892"/>
    <w:rsid w:val="00CA6F1D"/>
    <w:rsid w:val="00CA7016"/>
    <w:rsid w:val="00CA7330"/>
    <w:rsid w:val="00CA774A"/>
    <w:rsid w:val="00CA789B"/>
    <w:rsid w:val="00CA78C1"/>
    <w:rsid w:val="00CA78CF"/>
    <w:rsid w:val="00CA7AA8"/>
    <w:rsid w:val="00CA7B4B"/>
    <w:rsid w:val="00CA7BFA"/>
    <w:rsid w:val="00CA7E8D"/>
    <w:rsid w:val="00CB000B"/>
    <w:rsid w:val="00CB0227"/>
    <w:rsid w:val="00CB0C84"/>
    <w:rsid w:val="00CB0E45"/>
    <w:rsid w:val="00CB0E9A"/>
    <w:rsid w:val="00CB0F18"/>
    <w:rsid w:val="00CB187C"/>
    <w:rsid w:val="00CB18D4"/>
    <w:rsid w:val="00CB18E6"/>
    <w:rsid w:val="00CB19F3"/>
    <w:rsid w:val="00CB1A91"/>
    <w:rsid w:val="00CB1CA7"/>
    <w:rsid w:val="00CB1CE9"/>
    <w:rsid w:val="00CB1E07"/>
    <w:rsid w:val="00CB1E9D"/>
    <w:rsid w:val="00CB1FAF"/>
    <w:rsid w:val="00CB208E"/>
    <w:rsid w:val="00CB224B"/>
    <w:rsid w:val="00CB2318"/>
    <w:rsid w:val="00CB2367"/>
    <w:rsid w:val="00CB2503"/>
    <w:rsid w:val="00CB2765"/>
    <w:rsid w:val="00CB27E6"/>
    <w:rsid w:val="00CB29F2"/>
    <w:rsid w:val="00CB2B1A"/>
    <w:rsid w:val="00CB2DAE"/>
    <w:rsid w:val="00CB2DB6"/>
    <w:rsid w:val="00CB3040"/>
    <w:rsid w:val="00CB3654"/>
    <w:rsid w:val="00CB3708"/>
    <w:rsid w:val="00CB38CA"/>
    <w:rsid w:val="00CB3917"/>
    <w:rsid w:val="00CB3CE5"/>
    <w:rsid w:val="00CB3DD3"/>
    <w:rsid w:val="00CB3E80"/>
    <w:rsid w:val="00CB4002"/>
    <w:rsid w:val="00CB44EE"/>
    <w:rsid w:val="00CB4744"/>
    <w:rsid w:val="00CB52D3"/>
    <w:rsid w:val="00CB5391"/>
    <w:rsid w:val="00CB557D"/>
    <w:rsid w:val="00CB567C"/>
    <w:rsid w:val="00CB56A0"/>
    <w:rsid w:val="00CB576B"/>
    <w:rsid w:val="00CB57B3"/>
    <w:rsid w:val="00CB57B7"/>
    <w:rsid w:val="00CB6163"/>
    <w:rsid w:val="00CB61A8"/>
    <w:rsid w:val="00CB65E0"/>
    <w:rsid w:val="00CB6D65"/>
    <w:rsid w:val="00CB6FC4"/>
    <w:rsid w:val="00CB6FC9"/>
    <w:rsid w:val="00CB74C5"/>
    <w:rsid w:val="00CB78B7"/>
    <w:rsid w:val="00CB78BB"/>
    <w:rsid w:val="00CB7907"/>
    <w:rsid w:val="00CB7A00"/>
    <w:rsid w:val="00CB7B2B"/>
    <w:rsid w:val="00CC0104"/>
    <w:rsid w:val="00CC0385"/>
    <w:rsid w:val="00CC049D"/>
    <w:rsid w:val="00CC0812"/>
    <w:rsid w:val="00CC0959"/>
    <w:rsid w:val="00CC0B14"/>
    <w:rsid w:val="00CC0E35"/>
    <w:rsid w:val="00CC0ED3"/>
    <w:rsid w:val="00CC0FC0"/>
    <w:rsid w:val="00CC184A"/>
    <w:rsid w:val="00CC1887"/>
    <w:rsid w:val="00CC1897"/>
    <w:rsid w:val="00CC1C9C"/>
    <w:rsid w:val="00CC1DA2"/>
    <w:rsid w:val="00CC1E51"/>
    <w:rsid w:val="00CC1F75"/>
    <w:rsid w:val="00CC2048"/>
    <w:rsid w:val="00CC2259"/>
    <w:rsid w:val="00CC2282"/>
    <w:rsid w:val="00CC2286"/>
    <w:rsid w:val="00CC2301"/>
    <w:rsid w:val="00CC2632"/>
    <w:rsid w:val="00CC2866"/>
    <w:rsid w:val="00CC2A70"/>
    <w:rsid w:val="00CC2B7C"/>
    <w:rsid w:val="00CC2D46"/>
    <w:rsid w:val="00CC2D62"/>
    <w:rsid w:val="00CC30EC"/>
    <w:rsid w:val="00CC312C"/>
    <w:rsid w:val="00CC3379"/>
    <w:rsid w:val="00CC3417"/>
    <w:rsid w:val="00CC34BD"/>
    <w:rsid w:val="00CC360F"/>
    <w:rsid w:val="00CC394F"/>
    <w:rsid w:val="00CC39B2"/>
    <w:rsid w:val="00CC3C15"/>
    <w:rsid w:val="00CC3D72"/>
    <w:rsid w:val="00CC4092"/>
    <w:rsid w:val="00CC425C"/>
    <w:rsid w:val="00CC42A1"/>
    <w:rsid w:val="00CC47E0"/>
    <w:rsid w:val="00CC4CAA"/>
    <w:rsid w:val="00CC5056"/>
    <w:rsid w:val="00CC5273"/>
    <w:rsid w:val="00CC5506"/>
    <w:rsid w:val="00CC55D5"/>
    <w:rsid w:val="00CC5678"/>
    <w:rsid w:val="00CC567C"/>
    <w:rsid w:val="00CC56A5"/>
    <w:rsid w:val="00CC5A92"/>
    <w:rsid w:val="00CC5E02"/>
    <w:rsid w:val="00CC5E56"/>
    <w:rsid w:val="00CC5E5B"/>
    <w:rsid w:val="00CC5EFE"/>
    <w:rsid w:val="00CC64EC"/>
    <w:rsid w:val="00CC64F3"/>
    <w:rsid w:val="00CC67BB"/>
    <w:rsid w:val="00CC694F"/>
    <w:rsid w:val="00CC6950"/>
    <w:rsid w:val="00CC6A4E"/>
    <w:rsid w:val="00CC6C38"/>
    <w:rsid w:val="00CC6D7B"/>
    <w:rsid w:val="00CC6DB7"/>
    <w:rsid w:val="00CC6EAF"/>
    <w:rsid w:val="00CC70EE"/>
    <w:rsid w:val="00CC7386"/>
    <w:rsid w:val="00CC73E7"/>
    <w:rsid w:val="00CC7902"/>
    <w:rsid w:val="00CC7BC4"/>
    <w:rsid w:val="00CC7D8B"/>
    <w:rsid w:val="00CC7E78"/>
    <w:rsid w:val="00CC7F43"/>
    <w:rsid w:val="00CCD0D0"/>
    <w:rsid w:val="00CD02E1"/>
    <w:rsid w:val="00CD062A"/>
    <w:rsid w:val="00CD09FF"/>
    <w:rsid w:val="00CD0A55"/>
    <w:rsid w:val="00CD0C54"/>
    <w:rsid w:val="00CD0E6C"/>
    <w:rsid w:val="00CD0EB4"/>
    <w:rsid w:val="00CD0FD3"/>
    <w:rsid w:val="00CD10A6"/>
    <w:rsid w:val="00CD12A2"/>
    <w:rsid w:val="00CD159D"/>
    <w:rsid w:val="00CD17F0"/>
    <w:rsid w:val="00CD1B82"/>
    <w:rsid w:val="00CD1D6B"/>
    <w:rsid w:val="00CD1DCC"/>
    <w:rsid w:val="00CD1F09"/>
    <w:rsid w:val="00CD2118"/>
    <w:rsid w:val="00CD21FF"/>
    <w:rsid w:val="00CD2243"/>
    <w:rsid w:val="00CD2485"/>
    <w:rsid w:val="00CD2ADD"/>
    <w:rsid w:val="00CD2C33"/>
    <w:rsid w:val="00CD2CD2"/>
    <w:rsid w:val="00CD2FBA"/>
    <w:rsid w:val="00CD3338"/>
    <w:rsid w:val="00CD338A"/>
    <w:rsid w:val="00CD34F9"/>
    <w:rsid w:val="00CD35C1"/>
    <w:rsid w:val="00CD37E6"/>
    <w:rsid w:val="00CD38F4"/>
    <w:rsid w:val="00CD3E1C"/>
    <w:rsid w:val="00CD406F"/>
    <w:rsid w:val="00CD4113"/>
    <w:rsid w:val="00CD420D"/>
    <w:rsid w:val="00CD43D1"/>
    <w:rsid w:val="00CD43DA"/>
    <w:rsid w:val="00CD441E"/>
    <w:rsid w:val="00CD448A"/>
    <w:rsid w:val="00CD4542"/>
    <w:rsid w:val="00CD4C39"/>
    <w:rsid w:val="00CD5074"/>
    <w:rsid w:val="00CD5197"/>
    <w:rsid w:val="00CD51F9"/>
    <w:rsid w:val="00CD5200"/>
    <w:rsid w:val="00CD5338"/>
    <w:rsid w:val="00CD554A"/>
    <w:rsid w:val="00CD579E"/>
    <w:rsid w:val="00CD5E16"/>
    <w:rsid w:val="00CD5FE5"/>
    <w:rsid w:val="00CD5FFF"/>
    <w:rsid w:val="00CD6071"/>
    <w:rsid w:val="00CD6118"/>
    <w:rsid w:val="00CD673F"/>
    <w:rsid w:val="00CD6AEB"/>
    <w:rsid w:val="00CD6E5B"/>
    <w:rsid w:val="00CD72F8"/>
    <w:rsid w:val="00CD7710"/>
    <w:rsid w:val="00CD7AC2"/>
    <w:rsid w:val="00CD7D87"/>
    <w:rsid w:val="00CD7F50"/>
    <w:rsid w:val="00CD7FA3"/>
    <w:rsid w:val="00CE008E"/>
    <w:rsid w:val="00CE01CF"/>
    <w:rsid w:val="00CE031B"/>
    <w:rsid w:val="00CE04E0"/>
    <w:rsid w:val="00CE0768"/>
    <w:rsid w:val="00CE0970"/>
    <w:rsid w:val="00CE0A02"/>
    <w:rsid w:val="00CE0AD7"/>
    <w:rsid w:val="00CE0C7A"/>
    <w:rsid w:val="00CE100A"/>
    <w:rsid w:val="00CE1223"/>
    <w:rsid w:val="00CE13A1"/>
    <w:rsid w:val="00CE1655"/>
    <w:rsid w:val="00CE167E"/>
    <w:rsid w:val="00CE18D1"/>
    <w:rsid w:val="00CE1A23"/>
    <w:rsid w:val="00CE1A75"/>
    <w:rsid w:val="00CE1C42"/>
    <w:rsid w:val="00CE1CF0"/>
    <w:rsid w:val="00CE2541"/>
    <w:rsid w:val="00CE2589"/>
    <w:rsid w:val="00CE278B"/>
    <w:rsid w:val="00CE2881"/>
    <w:rsid w:val="00CE2F6D"/>
    <w:rsid w:val="00CE2F71"/>
    <w:rsid w:val="00CE2FA2"/>
    <w:rsid w:val="00CE2FA9"/>
    <w:rsid w:val="00CE3225"/>
    <w:rsid w:val="00CE35B9"/>
    <w:rsid w:val="00CE37D2"/>
    <w:rsid w:val="00CE3987"/>
    <w:rsid w:val="00CE3B8F"/>
    <w:rsid w:val="00CE3D89"/>
    <w:rsid w:val="00CE4025"/>
    <w:rsid w:val="00CE445E"/>
    <w:rsid w:val="00CE44AB"/>
    <w:rsid w:val="00CE4690"/>
    <w:rsid w:val="00CE46EE"/>
    <w:rsid w:val="00CE4D87"/>
    <w:rsid w:val="00CE4E75"/>
    <w:rsid w:val="00CE5149"/>
    <w:rsid w:val="00CE5165"/>
    <w:rsid w:val="00CE5403"/>
    <w:rsid w:val="00CE5526"/>
    <w:rsid w:val="00CE5915"/>
    <w:rsid w:val="00CE594F"/>
    <w:rsid w:val="00CE5ABA"/>
    <w:rsid w:val="00CE6220"/>
    <w:rsid w:val="00CE62A0"/>
    <w:rsid w:val="00CE6448"/>
    <w:rsid w:val="00CE6511"/>
    <w:rsid w:val="00CE65BD"/>
    <w:rsid w:val="00CE6763"/>
    <w:rsid w:val="00CE67EF"/>
    <w:rsid w:val="00CE6C83"/>
    <w:rsid w:val="00CE6E92"/>
    <w:rsid w:val="00CE6F28"/>
    <w:rsid w:val="00CE70A0"/>
    <w:rsid w:val="00CE739E"/>
    <w:rsid w:val="00CE742B"/>
    <w:rsid w:val="00CE7799"/>
    <w:rsid w:val="00CE7919"/>
    <w:rsid w:val="00CE7941"/>
    <w:rsid w:val="00CE7F4E"/>
    <w:rsid w:val="00CF011E"/>
    <w:rsid w:val="00CF024B"/>
    <w:rsid w:val="00CF02EC"/>
    <w:rsid w:val="00CF0305"/>
    <w:rsid w:val="00CF03E8"/>
    <w:rsid w:val="00CF0642"/>
    <w:rsid w:val="00CF066E"/>
    <w:rsid w:val="00CF07E8"/>
    <w:rsid w:val="00CF09B4"/>
    <w:rsid w:val="00CF0DCE"/>
    <w:rsid w:val="00CF0F9E"/>
    <w:rsid w:val="00CF1255"/>
    <w:rsid w:val="00CF199C"/>
    <w:rsid w:val="00CF1A22"/>
    <w:rsid w:val="00CF1FC3"/>
    <w:rsid w:val="00CF232E"/>
    <w:rsid w:val="00CF260B"/>
    <w:rsid w:val="00CF27B6"/>
    <w:rsid w:val="00CF29A2"/>
    <w:rsid w:val="00CF2E84"/>
    <w:rsid w:val="00CF2FC4"/>
    <w:rsid w:val="00CF3057"/>
    <w:rsid w:val="00CF3401"/>
    <w:rsid w:val="00CF357F"/>
    <w:rsid w:val="00CF3670"/>
    <w:rsid w:val="00CF371E"/>
    <w:rsid w:val="00CF382B"/>
    <w:rsid w:val="00CF3D1C"/>
    <w:rsid w:val="00CF3D81"/>
    <w:rsid w:val="00CF3DEF"/>
    <w:rsid w:val="00CF3F56"/>
    <w:rsid w:val="00CF4305"/>
    <w:rsid w:val="00CF458D"/>
    <w:rsid w:val="00CF48CF"/>
    <w:rsid w:val="00CF4F6E"/>
    <w:rsid w:val="00CF4FCD"/>
    <w:rsid w:val="00CF507C"/>
    <w:rsid w:val="00CF508B"/>
    <w:rsid w:val="00CF50B0"/>
    <w:rsid w:val="00CF50C0"/>
    <w:rsid w:val="00CF5230"/>
    <w:rsid w:val="00CF54C3"/>
    <w:rsid w:val="00CF5718"/>
    <w:rsid w:val="00CF59C8"/>
    <w:rsid w:val="00CF59D6"/>
    <w:rsid w:val="00CF5E1E"/>
    <w:rsid w:val="00CF61E9"/>
    <w:rsid w:val="00CF6230"/>
    <w:rsid w:val="00CF6504"/>
    <w:rsid w:val="00CF6534"/>
    <w:rsid w:val="00CF654D"/>
    <w:rsid w:val="00CF6A91"/>
    <w:rsid w:val="00CF6AE3"/>
    <w:rsid w:val="00CF6B47"/>
    <w:rsid w:val="00CF6C5A"/>
    <w:rsid w:val="00CF6D76"/>
    <w:rsid w:val="00CF715E"/>
    <w:rsid w:val="00CF71FE"/>
    <w:rsid w:val="00CF7285"/>
    <w:rsid w:val="00CF7422"/>
    <w:rsid w:val="00CF75E8"/>
    <w:rsid w:val="00CF7B0C"/>
    <w:rsid w:val="00CF7B3F"/>
    <w:rsid w:val="00CF7DAB"/>
    <w:rsid w:val="00CF7F73"/>
    <w:rsid w:val="00CF7FD2"/>
    <w:rsid w:val="00D00078"/>
    <w:rsid w:val="00D0019F"/>
    <w:rsid w:val="00D0023E"/>
    <w:rsid w:val="00D0048F"/>
    <w:rsid w:val="00D00728"/>
    <w:rsid w:val="00D00BEC"/>
    <w:rsid w:val="00D00CDF"/>
    <w:rsid w:val="00D00F9B"/>
    <w:rsid w:val="00D00FCB"/>
    <w:rsid w:val="00D01403"/>
    <w:rsid w:val="00D016F3"/>
    <w:rsid w:val="00D0175D"/>
    <w:rsid w:val="00D019A9"/>
    <w:rsid w:val="00D01A5C"/>
    <w:rsid w:val="00D01CA0"/>
    <w:rsid w:val="00D01D27"/>
    <w:rsid w:val="00D01DB4"/>
    <w:rsid w:val="00D01E40"/>
    <w:rsid w:val="00D01EEC"/>
    <w:rsid w:val="00D0214C"/>
    <w:rsid w:val="00D022C0"/>
    <w:rsid w:val="00D0239D"/>
    <w:rsid w:val="00D025BC"/>
    <w:rsid w:val="00D027EB"/>
    <w:rsid w:val="00D02A50"/>
    <w:rsid w:val="00D02B4D"/>
    <w:rsid w:val="00D02D0F"/>
    <w:rsid w:val="00D02FEF"/>
    <w:rsid w:val="00D03062"/>
    <w:rsid w:val="00D030F3"/>
    <w:rsid w:val="00D03699"/>
    <w:rsid w:val="00D03887"/>
    <w:rsid w:val="00D03890"/>
    <w:rsid w:val="00D0391F"/>
    <w:rsid w:val="00D0398E"/>
    <w:rsid w:val="00D03ACB"/>
    <w:rsid w:val="00D04183"/>
    <w:rsid w:val="00D04958"/>
    <w:rsid w:val="00D04A13"/>
    <w:rsid w:val="00D04C38"/>
    <w:rsid w:val="00D04CC7"/>
    <w:rsid w:val="00D04F29"/>
    <w:rsid w:val="00D04F5A"/>
    <w:rsid w:val="00D04FA7"/>
    <w:rsid w:val="00D05664"/>
    <w:rsid w:val="00D057A3"/>
    <w:rsid w:val="00D058D4"/>
    <w:rsid w:val="00D063CA"/>
    <w:rsid w:val="00D066BD"/>
    <w:rsid w:val="00D068FC"/>
    <w:rsid w:val="00D06992"/>
    <w:rsid w:val="00D069B2"/>
    <w:rsid w:val="00D06CA9"/>
    <w:rsid w:val="00D06E4B"/>
    <w:rsid w:val="00D0728B"/>
    <w:rsid w:val="00D073CF"/>
    <w:rsid w:val="00D077C6"/>
    <w:rsid w:val="00D077DF"/>
    <w:rsid w:val="00D07872"/>
    <w:rsid w:val="00D07A64"/>
    <w:rsid w:val="00D07B51"/>
    <w:rsid w:val="00D07C84"/>
    <w:rsid w:val="00D10137"/>
    <w:rsid w:val="00D102DD"/>
    <w:rsid w:val="00D106BC"/>
    <w:rsid w:val="00D106F8"/>
    <w:rsid w:val="00D1079B"/>
    <w:rsid w:val="00D10A9F"/>
    <w:rsid w:val="00D111C2"/>
    <w:rsid w:val="00D11273"/>
    <w:rsid w:val="00D112C2"/>
    <w:rsid w:val="00D11345"/>
    <w:rsid w:val="00D114A9"/>
    <w:rsid w:val="00D116B2"/>
    <w:rsid w:val="00D1184F"/>
    <w:rsid w:val="00D11928"/>
    <w:rsid w:val="00D11ABF"/>
    <w:rsid w:val="00D11AD0"/>
    <w:rsid w:val="00D11EBD"/>
    <w:rsid w:val="00D11F79"/>
    <w:rsid w:val="00D12073"/>
    <w:rsid w:val="00D1220F"/>
    <w:rsid w:val="00D12334"/>
    <w:rsid w:val="00D1233A"/>
    <w:rsid w:val="00D1236A"/>
    <w:rsid w:val="00D12477"/>
    <w:rsid w:val="00D124B7"/>
    <w:rsid w:val="00D12596"/>
    <w:rsid w:val="00D12665"/>
    <w:rsid w:val="00D128D9"/>
    <w:rsid w:val="00D12A6D"/>
    <w:rsid w:val="00D12BDE"/>
    <w:rsid w:val="00D12D74"/>
    <w:rsid w:val="00D12F4F"/>
    <w:rsid w:val="00D12F6D"/>
    <w:rsid w:val="00D12F77"/>
    <w:rsid w:val="00D13319"/>
    <w:rsid w:val="00D1338C"/>
    <w:rsid w:val="00D13401"/>
    <w:rsid w:val="00D1346E"/>
    <w:rsid w:val="00D1377B"/>
    <w:rsid w:val="00D137BB"/>
    <w:rsid w:val="00D13965"/>
    <w:rsid w:val="00D13B3B"/>
    <w:rsid w:val="00D13CF9"/>
    <w:rsid w:val="00D13D29"/>
    <w:rsid w:val="00D13F4C"/>
    <w:rsid w:val="00D1470A"/>
    <w:rsid w:val="00D1473D"/>
    <w:rsid w:val="00D14D7B"/>
    <w:rsid w:val="00D150DA"/>
    <w:rsid w:val="00D15429"/>
    <w:rsid w:val="00D1545B"/>
    <w:rsid w:val="00D1548E"/>
    <w:rsid w:val="00D15919"/>
    <w:rsid w:val="00D15AE1"/>
    <w:rsid w:val="00D15EBA"/>
    <w:rsid w:val="00D162F7"/>
    <w:rsid w:val="00D16520"/>
    <w:rsid w:val="00D166D1"/>
    <w:rsid w:val="00D16739"/>
    <w:rsid w:val="00D167A8"/>
    <w:rsid w:val="00D16942"/>
    <w:rsid w:val="00D16B5C"/>
    <w:rsid w:val="00D16CE2"/>
    <w:rsid w:val="00D173D6"/>
    <w:rsid w:val="00D1750B"/>
    <w:rsid w:val="00D1759C"/>
    <w:rsid w:val="00D17704"/>
    <w:rsid w:val="00D177F3"/>
    <w:rsid w:val="00D20105"/>
    <w:rsid w:val="00D205BD"/>
    <w:rsid w:val="00D206FC"/>
    <w:rsid w:val="00D20758"/>
    <w:rsid w:val="00D20790"/>
    <w:rsid w:val="00D207DA"/>
    <w:rsid w:val="00D2096F"/>
    <w:rsid w:val="00D20AD7"/>
    <w:rsid w:val="00D20B48"/>
    <w:rsid w:val="00D20B6A"/>
    <w:rsid w:val="00D21559"/>
    <w:rsid w:val="00D21704"/>
    <w:rsid w:val="00D21ACB"/>
    <w:rsid w:val="00D21B9A"/>
    <w:rsid w:val="00D21BBA"/>
    <w:rsid w:val="00D21BD3"/>
    <w:rsid w:val="00D21C4D"/>
    <w:rsid w:val="00D21E7B"/>
    <w:rsid w:val="00D21ED6"/>
    <w:rsid w:val="00D21F14"/>
    <w:rsid w:val="00D220C3"/>
    <w:rsid w:val="00D22270"/>
    <w:rsid w:val="00D224C9"/>
    <w:rsid w:val="00D22A4B"/>
    <w:rsid w:val="00D22CF7"/>
    <w:rsid w:val="00D22F9F"/>
    <w:rsid w:val="00D23391"/>
    <w:rsid w:val="00D235F3"/>
    <w:rsid w:val="00D237FE"/>
    <w:rsid w:val="00D239DA"/>
    <w:rsid w:val="00D23DE6"/>
    <w:rsid w:val="00D23DF2"/>
    <w:rsid w:val="00D24130"/>
    <w:rsid w:val="00D24423"/>
    <w:rsid w:val="00D2443D"/>
    <w:rsid w:val="00D24680"/>
    <w:rsid w:val="00D24B1B"/>
    <w:rsid w:val="00D24B40"/>
    <w:rsid w:val="00D24C8F"/>
    <w:rsid w:val="00D2512B"/>
    <w:rsid w:val="00D253C5"/>
    <w:rsid w:val="00D255E0"/>
    <w:rsid w:val="00D25639"/>
    <w:rsid w:val="00D257DC"/>
    <w:rsid w:val="00D259BA"/>
    <w:rsid w:val="00D259BD"/>
    <w:rsid w:val="00D260DD"/>
    <w:rsid w:val="00D26263"/>
    <w:rsid w:val="00D263A4"/>
    <w:rsid w:val="00D26813"/>
    <w:rsid w:val="00D26896"/>
    <w:rsid w:val="00D269C6"/>
    <w:rsid w:val="00D26A3E"/>
    <w:rsid w:val="00D26A84"/>
    <w:rsid w:val="00D27131"/>
    <w:rsid w:val="00D27200"/>
    <w:rsid w:val="00D272AB"/>
    <w:rsid w:val="00D27515"/>
    <w:rsid w:val="00D277DC"/>
    <w:rsid w:val="00D27C6B"/>
    <w:rsid w:val="00D27DB3"/>
    <w:rsid w:val="00D27EB4"/>
    <w:rsid w:val="00D300E0"/>
    <w:rsid w:val="00D3075E"/>
    <w:rsid w:val="00D30AC4"/>
    <w:rsid w:val="00D30CDF"/>
    <w:rsid w:val="00D30E4D"/>
    <w:rsid w:val="00D30E5F"/>
    <w:rsid w:val="00D31253"/>
    <w:rsid w:val="00D312AB"/>
    <w:rsid w:val="00D315F2"/>
    <w:rsid w:val="00D31969"/>
    <w:rsid w:val="00D31BBE"/>
    <w:rsid w:val="00D31DD6"/>
    <w:rsid w:val="00D31E4F"/>
    <w:rsid w:val="00D32146"/>
    <w:rsid w:val="00D3217E"/>
    <w:rsid w:val="00D32187"/>
    <w:rsid w:val="00D32189"/>
    <w:rsid w:val="00D32234"/>
    <w:rsid w:val="00D32448"/>
    <w:rsid w:val="00D3268C"/>
    <w:rsid w:val="00D3277F"/>
    <w:rsid w:val="00D32859"/>
    <w:rsid w:val="00D32881"/>
    <w:rsid w:val="00D32965"/>
    <w:rsid w:val="00D32B0A"/>
    <w:rsid w:val="00D32B30"/>
    <w:rsid w:val="00D32C4D"/>
    <w:rsid w:val="00D32CE5"/>
    <w:rsid w:val="00D32EB4"/>
    <w:rsid w:val="00D3303D"/>
    <w:rsid w:val="00D33346"/>
    <w:rsid w:val="00D33403"/>
    <w:rsid w:val="00D334DA"/>
    <w:rsid w:val="00D33536"/>
    <w:rsid w:val="00D33938"/>
    <w:rsid w:val="00D33951"/>
    <w:rsid w:val="00D33BBD"/>
    <w:rsid w:val="00D33BE4"/>
    <w:rsid w:val="00D341B1"/>
    <w:rsid w:val="00D345B1"/>
    <w:rsid w:val="00D346D5"/>
    <w:rsid w:val="00D34810"/>
    <w:rsid w:val="00D348CA"/>
    <w:rsid w:val="00D34AC3"/>
    <w:rsid w:val="00D34BB1"/>
    <w:rsid w:val="00D351C4"/>
    <w:rsid w:val="00D351D0"/>
    <w:rsid w:val="00D35291"/>
    <w:rsid w:val="00D354A7"/>
    <w:rsid w:val="00D35536"/>
    <w:rsid w:val="00D3579D"/>
    <w:rsid w:val="00D35D09"/>
    <w:rsid w:val="00D35DF3"/>
    <w:rsid w:val="00D35EE4"/>
    <w:rsid w:val="00D35F09"/>
    <w:rsid w:val="00D364EC"/>
    <w:rsid w:val="00D365CE"/>
    <w:rsid w:val="00D3665D"/>
    <w:rsid w:val="00D36688"/>
    <w:rsid w:val="00D366CA"/>
    <w:rsid w:val="00D36AC3"/>
    <w:rsid w:val="00D3744E"/>
    <w:rsid w:val="00D374A5"/>
    <w:rsid w:val="00D376B8"/>
    <w:rsid w:val="00D379BD"/>
    <w:rsid w:val="00D37BBF"/>
    <w:rsid w:val="00D37BCA"/>
    <w:rsid w:val="00D37C2F"/>
    <w:rsid w:val="00D37C41"/>
    <w:rsid w:val="00D37D2D"/>
    <w:rsid w:val="00D401A7"/>
    <w:rsid w:val="00D40542"/>
    <w:rsid w:val="00D40A9B"/>
    <w:rsid w:val="00D40B2D"/>
    <w:rsid w:val="00D40FC4"/>
    <w:rsid w:val="00D416E6"/>
    <w:rsid w:val="00D417DE"/>
    <w:rsid w:val="00D41A9F"/>
    <w:rsid w:val="00D41AF4"/>
    <w:rsid w:val="00D41E50"/>
    <w:rsid w:val="00D41F1B"/>
    <w:rsid w:val="00D41FE1"/>
    <w:rsid w:val="00D428CF"/>
    <w:rsid w:val="00D42C3A"/>
    <w:rsid w:val="00D42C46"/>
    <w:rsid w:val="00D4311F"/>
    <w:rsid w:val="00D43300"/>
    <w:rsid w:val="00D43747"/>
    <w:rsid w:val="00D437E2"/>
    <w:rsid w:val="00D438F0"/>
    <w:rsid w:val="00D43D58"/>
    <w:rsid w:val="00D43DC4"/>
    <w:rsid w:val="00D43FD9"/>
    <w:rsid w:val="00D4412B"/>
    <w:rsid w:val="00D44171"/>
    <w:rsid w:val="00D442BC"/>
    <w:rsid w:val="00D44696"/>
    <w:rsid w:val="00D446D7"/>
    <w:rsid w:val="00D4478A"/>
    <w:rsid w:val="00D447DB"/>
    <w:rsid w:val="00D44885"/>
    <w:rsid w:val="00D449F3"/>
    <w:rsid w:val="00D44CB4"/>
    <w:rsid w:val="00D44DC5"/>
    <w:rsid w:val="00D44DCC"/>
    <w:rsid w:val="00D450FD"/>
    <w:rsid w:val="00D451F7"/>
    <w:rsid w:val="00D45359"/>
    <w:rsid w:val="00D454B5"/>
    <w:rsid w:val="00D457F5"/>
    <w:rsid w:val="00D45CD2"/>
    <w:rsid w:val="00D45E94"/>
    <w:rsid w:val="00D45F89"/>
    <w:rsid w:val="00D46091"/>
    <w:rsid w:val="00D460D6"/>
    <w:rsid w:val="00D466AA"/>
    <w:rsid w:val="00D466E5"/>
    <w:rsid w:val="00D46754"/>
    <w:rsid w:val="00D46AC6"/>
    <w:rsid w:val="00D46B5B"/>
    <w:rsid w:val="00D4755C"/>
    <w:rsid w:val="00D47B9E"/>
    <w:rsid w:val="00D47D7C"/>
    <w:rsid w:val="00D50094"/>
    <w:rsid w:val="00D50387"/>
    <w:rsid w:val="00D50391"/>
    <w:rsid w:val="00D503D5"/>
    <w:rsid w:val="00D5054C"/>
    <w:rsid w:val="00D50AB5"/>
    <w:rsid w:val="00D5141A"/>
    <w:rsid w:val="00D515F8"/>
    <w:rsid w:val="00D51611"/>
    <w:rsid w:val="00D51851"/>
    <w:rsid w:val="00D519D0"/>
    <w:rsid w:val="00D51C85"/>
    <w:rsid w:val="00D51D48"/>
    <w:rsid w:val="00D5218F"/>
    <w:rsid w:val="00D52337"/>
    <w:rsid w:val="00D524BA"/>
    <w:rsid w:val="00D5278C"/>
    <w:rsid w:val="00D52894"/>
    <w:rsid w:val="00D52A3E"/>
    <w:rsid w:val="00D52A45"/>
    <w:rsid w:val="00D52B67"/>
    <w:rsid w:val="00D52DA3"/>
    <w:rsid w:val="00D52F17"/>
    <w:rsid w:val="00D5300B"/>
    <w:rsid w:val="00D53043"/>
    <w:rsid w:val="00D5308B"/>
    <w:rsid w:val="00D5356E"/>
    <w:rsid w:val="00D53623"/>
    <w:rsid w:val="00D537A7"/>
    <w:rsid w:val="00D5387E"/>
    <w:rsid w:val="00D539B5"/>
    <w:rsid w:val="00D53A3A"/>
    <w:rsid w:val="00D53C8C"/>
    <w:rsid w:val="00D54095"/>
    <w:rsid w:val="00D54159"/>
    <w:rsid w:val="00D54262"/>
    <w:rsid w:val="00D542C5"/>
    <w:rsid w:val="00D543E0"/>
    <w:rsid w:val="00D54495"/>
    <w:rsid w:val="00D544A8"/>
    <w:rsid w:val="00D5452F"/>
    <w:rsid w:val="00D54547"/>
    <w:rsid w:val="00D54841"/>
    <w:rsid w:val="00D54A19"/>
    <w:rsid w:val="00D54BD9"/>
    <w:rsid w:val="00D54FFF"/>
    <w:rsid w:val="00D552A0"/>
    <w:rsid w:val="00D55463"/>
    <w:rsid w:val="00D55575"/>
    <w:rsid w:val="00D55964"/>
    <w:rsid w:val="00D55A69"/>
    <w:rsid w:val="00D55AC8"/>
    <w:rsid w:val="00D55AF3"/>
    <w:rsid w:val="00D55C48"/>
    <w:rsid w:val="00D55CAA"/>
    <w:rsid w:val="00D55CB1"/>
    <w:rsid w:val="00D5628A"/>
    <w:rsid w:val="00D56461"/>
    <w:rsid w:val="00D565C7"/>
    <w:rsid w:val="00D56AE2"/>
    <w:rsid w:val="00D56FB6"/>
    <w:rsid w:val="00D57043"/>
    <w:rsid w:val="00D572B3"/>
    <w:rsid w:val="00D572E7"/>
    <w:rsid w:val="00D57331"/>
    <w:rsid w:val="00D573E4"/>
    <w:rsid w:val="00D5777F"/>
    <w:rsid w:val="00D577B3"/>
    <w:rsid w:val="00D577CB"/>
    <w:rsid w:val="00D579D5"/>
    <w:rsid w:val="00D579F3"/>
    <w:rsid w:val="00D57B9B"/>
    <w:rsid w:val="00D57BB5"/>
    <w:rsid w:val="00D57F16"/>
    <w:rsid w:val="00D57FBE"/>
    <w:rsid w:val="00D57FDA"/>
    <w:rsid w:val="00D6009B"/>
    <w:rsid w:val="00D60190"/>
    <w:rsid w:val="00D601F1"/>
    <w:rsid w:val="00D6056E"/>
    <w:rsid w:val="00D605A9"/>
    <w:rsid w:val="00D6060E"/>
    <w:rsid w:val="00D60B04"/>
    <w:rsid w:val="00D60B32"/>
    <w:rsid w:val="00D60B5A"/>
    <w:rsid w:val="00D60BF2"/>
    <w:rsid w:val="00D60F09"/>
    <w:rsid w:val="00D6105E"/>
    <w:rsid w:val="00D610BA"/>
    <w:rsid w:val="00D6125A"/>
    <w:rsid w:val="00D6140B"/>
    <w:rsid w:val="00D61533"/>
    <w:rsid w:val="00D615C9"/>
    <w:rsid w:val="00D616B7"/>
    <w:rsid w:val="00D617A1"/>
    <w:rsid w:val="00D61B75"/>
    <w:rsid w:val="00D62154"/>
    <w:rsid w:val="00D62298"/>
    <w:rsid w:val="00D6238B"/>
    <w:rsid w:val="00D6272D"/>
    <w:rsid w:val="00D62881"/>
    <w:rsid w:val="00D62D5C"/>
    <w:rsid w:val="00D62DDB"/>
    <w:rsid w:val="00D62FE3"/>
    <w:rsid w:val="00D632FB"/>
    <w:rsid w:val="00D63A20"/>
    <w:rsid w:val="00D63A4A"/>
    <w:rsid w:val="00D63CC6"/>
    <w:rsid w:val="00D63D85"/>
    <w:rsid w:val="00D63D87"/>
    <w:rsid w:val="00D63E5F"/>
    <w:rsid w:val="00D63FA0"/>
    <w:rsid w:val="00D643A5"/>
    <w:rsid w:val="00D6441A"/>
    <w:rsid w:val="00D6471E"/>
    <w:rsid w:val="00D64736"/>
    <w:rsid w:val="00D647EA"/>
    <w:rsid w:val="00D64AD1"/>
    <w:rsid w:val="00D64BCA"/>
    <w:rsid w:val="00D64CF7"/>
    <w:rsid w:val="00D653BD"/>
    <w:rsid w:val="00D65408"/>
    <w:rsid w:val="00D6557A"/>
    <w:rsid w:val="00D6560C"/>
    <w:rsid w:val="00D658A9"/>
    <w:rsid w:val="00D65C1C"/>
    <w:rsid w:val="00D6612C"/>
    <w:rsid w:val="00D66149"/>
    <w:rsid w:val="00D66187"/>
    <w:rsid w:val="00D6662C"/>
    <w:rsid w:val="00D6669C"/>
    <w:rsid w:val="00D66B55"/>
    <w:rsid w:val="00D66F0B"/>
    <w:rsid w:val="00D66FF3"/>
    <w:rsid w:val="00D6710D"/>
    <w:rsid w:val="00D67406"/>
    <w:rsid w:val="00D6756A"/>
    <w:rsid w:val="00D67D4D"/>
    <w:rsid w:val="00D70517"/>
    <w:rsid w:val="00D70706"/>
    <w:rsid w:val="00D7089E"/>
    <w:rsid w:val="00D70A21"/>
    <w:rsid w:val="00D70BDC"/>
    <w:rsid w:val="00D70C18"/>
    <w:rsid w:val="00D70E2C"/>
    <w:rsid w:val="00D70F9F"/>
    <w:rsid w:val="00D714CA"/>
    <w:rsid w:val="00D71509"/>
    <w:rsid w:val="00D71956"/>
    <w:rsid w:val="00D71BE5"/>
    <w:rsid w:val="00D71C2A"/>
    <w:rsid w:val="00D71CD7"/>
    <w:rsid w:val="00D7221F"/>
    <w:rsid w:val="00D7250F"/>
    <w:rsid w:val="00D72682"/>
    <w:rsid w:val="00D72684"/>
    <w:rsid w:val="00D728BC"/>
    <w:rsid w:val="00D728DF"/>
    <w:rsid w:val="00D72B72"/>
    <w:rsid w:val="00D72D1D"/>
    <w:rsid w:val="00D73160"/>
    <w:rsid w:val="00D737F8"/>
    <w:rsid w:val="00D73E4D"/>
    <w:rsid w:val="00D73FE2"/>
    <w:rsid w:val="00D7409F"/>
    <w:rsid w:val="00D7425C"/>
    <w:rsid w:val="00D74270"/>
    <w:rsid w:val="00D74409"/>
    <w:rsid w:val="00D7440E"/>
    <w:rsid w:val="00D74439"/>
    <w:rsid w:val="00D744C3"/>
    <w:rsid w:val="00D7450C"/>
    <w:rsid w:val="00D74523"/>
    <w:rsid w:val="00D74694"/>
    <w:rsid w:val="00D747A4"/>
    <w:rsid w:val="00D747D6"/>
    <w:rsid w:val="00D7492B"/>
    <w:rsid w:val="00D74A0D"/>
    <w:rsid w:val="00D74ABF"/>
    <w:rsid w:val="00D7556F"/>
    <w:rsid w:val="00D7562B"/>
    <w:rsid w:val="00D75AC3"/>
    <w:rsid w:val="00D75FAC"/>
    <w:rsid w:val="00D76843"/>
    <w:rsid w:val="00D76BF1"/>
    <w:rsid w:val="00D76CF6"/>
    <w:rsid w:val="00D7774D"/>
    <w:rsid w:val="00D77773"/>
    <w:rsid w:val="00D77826"/>
    <w:rsid w:val="00D778F0"/>
    <w:rsid w:val="00D80177"/>
    <w:rsid w:val="00D8043E"/>
    <w:rsid w:val="00D80463"/>
    <w:rsid w:val="00D80824"/>
    <w:rsid w:val="00D80EFF"/>
    <w:rsid w:val="00D80FC5"/>
    <w:rsid w:val="00D80FCC"/>
    <w:rsid w:val="00D8130D"/>
    <w:rsid w:val="00D81520"/>
    <w:rsid w:val="00D81D7E"/>
    <w:rsid w:val="00D81DE9"/>
    <w:rsid w:val="00D81F61"/>
    <w:rsid w:val="00D81FDD"/>
    <w:rsid w:val="00D821CA"/>
    <w:rsid w:val="00D8249A"/>
    <w:rsid w:val="00D8251D"/>
    <w:rsid w:val="00D825DD"/>
    <w:rsid w:val="00D8295E"/>
    <w:rsid w:val="00D82A3A"/>
    <w:rsid w:val="00D82DEC"/>
    <w:rsid w:val="00D82E52"/>
    <w:rsid w:val="00D8356A"/>
    <w:rsid w:val="00D83628"/>
    <w:rsid w:val="00D837D0"/>
    <w:rsid w:val="00D83839"/>
    <w:rsid w:val="00D83907"/>
    <w:rsid w:val="00D842EC"/>
    <w:rsid w:val="00D843AE"/>
    <w:rsid w:val="00D843FD"/>
    <w:rsid w:val="00D84742"/>
    <w:rsid w:val="00D847D4"/>
    <w:rsid w:val="00D84822"/>
    <w:rsid w:val="00D84844"/>
    <w:rsid w:val="00D84E93"/>
    <w:rsid w:val="00D84FC1"/>
    <w:rsid w:val="00D85198"/>
    <w:rsid w:val="00D8522F"/>
    <w:rsid w:val="00D852D3"/>
    <w:rsid w:val="00D85664"/>
    <w:rsid w:val="00D85826"/>
    <w:rsid w:val="00D85A71"/>
    <w:rsid w:val="00D85C15"/>
    <w:rsid w:val="00D86650"/>
    <w:rsid w:val="00D867BF"/>
    <w:rsid w:val="00D868B5"/>
    <w:rsid w:val="00D86A16"/>
    <w:rsid w:val="00D86EF7"/>
    <w:rsid w:val="00D8700B"/>
    <w:rsid w:val="00D8707A"/>
    <w:rsid w:val="00D870A4"/>
    <w:rsid w:val="00D87965"/>
    <w:rsid w:val="00D87AAC"/>
    <w:rsid w:val="00D87D17"/>
    <w:rsid w:val="00D87F17"/>
    <w:rsid w:val="00D87FF5"/>
    <w:rsid w:val="00D902C3"/>
    <w:rsid w:val="00D902DF"/>
    <w:rsid w:val="00D9048B"/>
    <w:rsid w:val="00D90820"/>
    <w:rsid w:val="00D90984"/>
    <w:rsid w:val="00D90ADA"/>
    <w:rsid w:val="00D91240"/>
    <w:rsid w:val="00D9141E"/>
    <w:rsid w:val="00D91423"/>
    <w:rsid w:val="00D918D9"/>
    <w:rsid w:val="00D91CD2"/>
    <w:rsid w:val="00D91D58"/>
    <w:rsid w:val="00D92042"/>
    <w:rsid w:val="00D92175"/>
    <w:rsid w:val="00D92287"/>
    <w:rsid w:val="00D9229B"/>
    <w:rsid w:val="00D923F1"/>
    <w:rsid w:val="00D92621"/>
    <w:rsid w:val="00D92906"/>
    <w:rsid w:val="00D92A7A"/>
    <w:rsid w:val="00D92D57"/>
    <w:rsid w:val="00D92D93"/>
    <w:rsid w:val="00D92FD8"/>
    <w:rsid w:val="00D93094"/>
    <w:rsid w:val="00D93287"/>
    <w:rsid w:val="00D9343B"/>
    <w:rsid w:val="00D93533"/>
    <w:rsid w:val="00D9378D"/>
    <w:rsid w:val="00D93860"/>
    <w:rsid w:val="00D938B0"/>
    <w:rsid w:val="00D939D2"/>
    <w:rsid w:val="00D93A04"/>
    <w:rsid w:val="00D93B7D"/>
    <w:rsid w:val="00D93BF9"/>
    <w:rsid w:val="00D93C1D"/>
    <w:rsid w:val="00D940EB"/>
    <w:rsid w:val="00D94112"/>
    <w:rsid w:val="00D94132"/>
    <w:rsid w:val="00D941F7"/>
    <w:rsid w:val="00D9427A"/>
    <w:rsid w:val="00D9437C"/>
    <w:rsid w:val="00D944C3"/>
    <w:rsid w:val="00D94806"/>
    <w:rsid w:val="00D948C1"/>
    <w:rsid w:val="00D94BF0"/>
    <w:rsid w:val="00D95654"/>
    <w:rsid w:val="00D95686"/>
    <w:rsid w:val="00D95B1E"/>
    <w:rsid w:val="00D95C96"/>
    <w:rsid w:val="00D95D41"/>
    <w:rsid w:val="00D95E70"/>
    <w:rsid w:val="00D96037"/>
    <w:rsid w:val="00D965E1"/>
    <w:rsid w:val="00D96672"/>
    <w:rsid w:val="00D967E2"/>
    <w:rsid w:val="00D969F3"/>
    <w:rsid w:val="00D96FC9"/>
    <w:rsid w:val="00D972D9"/>
    <w:rsid w:val="00D9787E"/>
    <w:rsid w:val="00D978C2"/>
    <w:rsid w:val="00D97AAF"/>
    <w:rsid w:val="00D97C8C"/>
    <w:rsid w:val="00D97E96"/>
    <w:rsid w:val="00DA009A"/>
    <w:rsid w:val="00DA0709"/>
    <w:rsid w:val="00DA0722"/>
    <w:rsid w:val="00DA096F"/>
    <w:rsid w:val="00DA0A07"/>
    <w:rsid w:val="00DA0AFA"/>
    <w:rsid w:val="00DA0B9F"/>
    <w:rsid w:val="00DA0BA0"/>
    <w:rsid w:val="00DA10A9"/>
    <w:rsid w:val="00DA10E3"/>
    <w:rsid w:val="00DA1226"/>
    <w:rsid w:val="00DA1396"/>
    <w:rsid w:val="00DA13D1"/>
    <w:rsid w:val="00DA13F2"/>
    <w:rsid w:val="00DA192E"/>
    <w:rsid w:val="00DA1BCF"/>
    <w:rsid w:val="00DA2068"/>
    <w:rsid w:val="00DA20FF"/>
    <w:rsid w:val="00DA2138"/>
    <w:rsid w:val="00DA2337"/>
    <w:rsid w:val="00DA240E"/>
    <w:rsid w:val="00DA2500"/>
    <w:rsid w:val="00DA26EB"/>
    <w:rsid w:val="00DA2732"/>
    <w:rsid w:val="00DA2BA1"/>
    <w:rsid w:val="00DA2BE7"/>
    <w:rsid w:val="00DA3095"/>
    <w:rsid w:val="00DA36EB"/>
    <w:rsid w:val="00DA382B"/>
    <w:rsid w:val="00DA38A8"/>
    <w:rsid w:val="00DA4036"/>
    <w:rsid w:val="00DA418A"/>
    <w:rsid w:val="00DA4800"/>
    <w:rsid w:val="00DA4B19"/>
    <w:rsid w:val="00DA4B8A"/>
    <w:rsid w:val="00DA4C1F"/>
    <w:rsid w:val="00DA4DD1"/>
    <w:rsid w:val="00DA4DE9"/>
    <w:rsid w:val="00DA4FE5"/>
    <w:rsid w:val="00DA505A"/>
    <w:rsid w:val="00DA50D6"/>
    <w:rsid w:val="00DA56DB"/>
    <w:rsid w:val="00DA58D9"/>
    <w:rsid w:val="00DA5A9E"/>
    <w:rsid w:val="00DA63B8"/>
    <w:rsid w:val="00DA6678"/>
    <w:rsid w:val="00DA668A"/>
    <w:rsid w:val="00DA68B7"/>
    <w:rsid w:val="00DA6D42"/>
    <w:rsid w:val="00DA7034"/>
    <w:rsid w:val="00DA705B"/>
    <w:rsid w:val="00DA7259"/>
    <w:rsid w:val="00DA7509"/>
    <w:rsid w:val="00DA75A8"/>
    <w:rsid w:val="00DA7607"/>
    <w:rsid w:val="00DA76B9"/>
    <w:rsid w:val="00DA7889"/>
    <w:rsid w:val="00DA79A2"/>
    <w:rsid w:val="00DA7B88"/>
    <w:rsid w:val="00DA7BB2"/>
    <w:rsid w:val="00DB004F"/>
    <w:rsid w:val="00DB0234"/>
    <w:rsid w:val="00DB048F"/>
    <w:rsid w:val="00DB070E"/>
    <w:rsid w:val="00DB07EC"/>
    <w:rsid w:val="00DB08CD"/>
    <w:rsid w:val="00DB09C2"/>
    <w:rsid w:val="00DB0A5A"/>
    <w:rsid w:val="00DB0D48"/>
    <w:rsid w:val="00DB0DEC"/>
    <w:rsid w:val="00DB0DF3"/>
    <w:rsid w:val="00DB0F24"/>
    <w:rsid w:val="00DB0F36"/>
    <w:rsid w:val="00DB1044"/>
    <w:rsid w:val="00DB1660"/>
    <w:rsid w:val="00DB1DBA"/>
    <w:rsid w:val="00DB1E68"/>
    <w:rsid w:val="00DB1E99"/>
    <w:rsid w:val="00DB1F1A"/>
    <w:rsid w:val="00DB221C"/>
    <w:rsid w:val="00DB2497"/>
    <w:rsid w:val="00DB24D4"/>
    <w:rsid w:val="00DB25AF"/>
    <w:rsid w:val="00DB25F5"/>
    <w:rsid w:val="00DB28A0"/>
    <w:rsid w:val="00DB29BF"/>
    <w:rsid w:val="00DB2B69"/>
    <w:rsid w:val="00DB2F86"/>
    <w:rsid w:val="00DB3156"/>
    <w:rsid w:val="00DB3314"/>
    <w:rsid w:val="00DB35A3"/>
    <w:rsid w:val="00DB3C16"/>
    <w:rsid w:val="00DB3C8B"/>
    <w:rsid w:val="00DB3CB2"/>
    <w:rsid w:val="00DB3CF1"/>
    <w:rsid w:val="00DB3DEC"/>
    <w:rsid w:val="00DB3E32"/>
    <w:rsid w:val="00DB3EFD"/>
    <w:rsid w:val="00DB459C"/>
    <w:rsid w:val="00DB47E5"/>
    <w:rsid w:val="00DB4A5C"/>
    <w:rsid w:val="00DB4E0E"/>
    <w:rsid w:val="00DB5282"/>
    <w:rsid w:val="00DB5B81"/>
    <w:rsid w:val="00DB5E3D"/>
    <w:rsid w:val="00DB617B"/>
    <w:rsid w:val="00DB61C7"/>
    <w:rsid w:val="00DB638D"/>
    <w:rsid w:val="00DB67AC"/>
    <w:rsid w:val="00DB6B55"/>
    <w:rsid w:val="00DB6D09"/>
    <w:rsid w:val="00DB71FB"/>
    <w:rsid w:val="00DB742C"/>
    <w:rsid w:val="00DB748E"/>
    <w:rsid w:val="00DB7900"/>
    <w:rsid w:val="00DB7BB9"/>
    <w:rsid w:val="00DB7D3A"/>
    <w:rsid w:val="00DB7D72"/>
    <w:rsid w:val="00DB7EB2"/>
    <w:rsid w:val="00DC01B3"/>
    <w:rsid w:val="00DC0290"/>
    <w:rsid w:val="00DC0571"/>
    <w:rsid w:val="00DC080B"/>
    <w:rsid w:val="00DC0982"/>
    <w:rsid w:val="00DC0A53"/>
    <w:rsid w:val="00DC0B4F"/>
    <w:rsid w:val="00DC0BA7"/>
    <w:rsid w:val="00DC0DDA"/>
    <w:rsid w:val="00DC0F3F"/>
    <w:rsid w:val="00DC104C"/>
    <w:rsid w:val="00DC1096"/>
    <w:rsid w:val="00DC11B1"/>
    <w:rsid w:val="00DC1359"/>
    <w:rsid w:val="00DC1415"/>
    <w:rsid w:val="00DC1451"/>
    <w:rsid w:val="00DC14C9"/>
    <w:rsid w:val="00DC159B"/>
    <w:rsid w:val="00DC17B0"/>
    <w:rsid w:val="00DC17E5"/>
    <w:rsid w:val="00DC2256"/>
    <w:rsid w:val="00DC2285"/>
    <w:rsid w:val="00DC2616"/>
    <w:rsid w:val="00DC28BE"/>
    <w:rsid w:val="00DC2A3E"/>
    <w:rsid w:val="00DC2A60"/>
    <w:rsid w:val="00DC2AFD"/>
    <w:rsid w:val="00DC2C34"/>
    <w:rsid w:val="00DC2F11"/>
    <w:rsid w:val="00DC3169"/>
    <w:rsid w:val="00DC32F9"/>
    <w:rsid w:val="00DC3398"/>
    <w:rsid w:val="00DC34D4"/>
    <w:rsid w:val="00DC3937"/>
    <w:rsid w:val="00DC3B7D"/>
    <w:rsid w:val="00DC404C"/>
    <w:rsid w:val="00DC407C"/>
    <w:rsid w:val="00DC4142"/>
    <w:rsid w:val="00DC44AA"/>
    <w:rsid w:val="00DC459D"/>
    <w:rsid w:val="00DC4D3A"/>
    <w:rsid w:val="00DC4F17"/>
    <w:rsid w:val="00DC53CA"/>
    <w:rsid w:val="00DC5636"/>
    <w:rsid w:val="00DC58C5"/>
    <w:rsid w:val="00DC5957"/>
    <w:rsid w:val="00DC5D78"/>
    <w:rsid w:val="00DC5D9C"/>
    <w:rsid w:val="00DC60F8"/>
    <w:rsid w:val="00DC6230"/>
    <w:rsid w:val="00DC64F8"/>
    <w:rsid w:val="00DC684E"/>
    <w:rsid w:val="00DC693B"/>
    <w:rsid w:val="00DC6DD9"/>
    <w:rsid w:val="00DC6F4B"/>
    <w:rsid w:val="00DC6FE6"/>
    <w:rsid w:val="00DC7156"/>
    <w:rsid w:val="00DC71CF"/>
    <w:rsid w:val="00DC7318"/>
    <w:rsid w:val="00DC7577"/>
    <w:rsid w:val="00DC76E4"/>
    <w:rsid w:val="00DC7860"/>
    <w:rsid w:val="00DC7EC0"/>
    <w:rsid w:val="00DD023F"/>
    <w:rsid w:val="00DD03AB"/>
    <w:rsid w:val="00DD05EF"/>
    <w:rsid w:val="00DD0911"/>
    <w:rsid w:val="00DD0B8B"/>
    <w:rsid w:val="00DD0D29"/>
    <w:rsid w:val="00DD0FEF"/>
    <w:rsid w:val="00DD1217"/>
    <w:rsid w:val="00DD15A5"/>
    <w:rsid w:val="00DD1671"/>
    <w:rsid w:val="00DD2103"/>
    <w:rsid w:val="00DD2149"/>
    <w:rsid w:val="00DD2169"/>
    <w:rsid w:val="00DD2376"/>
    <w:rsid w:val="00DD2694"/>
    <w:rsid w:val="00DD26D9"/>
    <w:rsid w:val="00DD2D47"/>
    <w:rsid w:val="00DD2FFC"/>
    <w:rsid w:val="00DD3958"/>
    <w:rsid w:val="00DD3A1F"/>
    <w:rsid w:val="00DD3B64"/>
    <w:rsid w:val="00DD3B7A"/>
    <w:rsid w:val="00DD3CB7"/>
    <w:rsid w:val="00DD42A9"/>
    <w:rsid w:val="00DD4501"/>
    <w:rsid w:val="00DD4535"/>
    <w:rsid w:val="00DD46DC"/>
    <w:rsid w:val="00DD4B22"/>
    <w:rsid w:val="00DD4CAE"/>
    <w:rsid w:val="00DD4DA9"/>
    <w:rsid w:val="00DD4E42"/>
    <w:rsid w:val="00DD4F3D"/>
    <w:rsid w:val="00DD4F8E"/>
    <w:rsid w:val="00DD54FE"/>
    <w:rsid w:val="00DD55CE"/>
    <w:rsid w:val="00DD56ED"/>
    <w:rsid w:val="00DD587D"/>
    <w:rsid w:val="00DD58F0"/>
    <w:rsid w:val="00DD596B"/>
    <w:rsid w:val="00DD59F8"/>
    <w:rsid w:val="00DD5A11"/>
    <w:rsid w:val="00DD5A87"/>
    <w:rsid w:val="00DD5DDA"/>
    <w:rsid w:val="00DD6062"/>
    <w:rsid w:val="00DD62AF"/>
    <w:rsid w:val="00DD6525"/>
    <w:rsid w:val="00DD6563"/>
    <w:rsid w:val="00DD68D2"/>
    <w:rsid w:val="00DD696C"/>
    <w:rsid w:val="00DD6B63"/>
    <w:rsid w:val="00DD6BA9"/>
    <w:rsid w:val="00DD6D5E"/>
    <w:rsid w:val="00DD6D68"/>
    <w:rsid w:val="00DD74DD"/>
    <w:rsid w:val="00DD74F4"/>
    <w:rsid w:val="00DD7706"/>
    <w:rsid w:val="00DD7C89"/>
    <w:rsid w:val="00DD7E21"/>
    <w:rsid w:val="00DD7E84"/>
    <w:rsid w:val="00DD7EC0"/>
    <w:rsid w:val="00DD7F8D"/>
    <w:rsid w:val="00DE00DF"/>
    <w:rsid w:val="00DE01F4"/>
    <w:rsid w:val="00DE0661"/>
    <w:rsid w:val="00DE06F8"/>
    <w:rsid w:val="00DE0780"/>
    <w:rsid w:val="00DE0867"/>
    <w:rsid w:val="00DE0B0F"/>
    <w:rsid w:val="00DE0B48"/>
    <w:rsid w:val="00DE0C07"/>
    <w:rsid w:val="00DE128D"/>
    <w:rsid w:val="00DE162F"/>
    <w:rsid w:val="00DE198F"/>
    <w:rsid w:val="00DE19CE"/>
    <w:rsid w:val="00DE1E21"/>
    <w:rsid w:val="00DE1EC8"/>
    <w:rsid w:val="00DE207A"/>
    <w:rsid w:val="00DE2142"/>
    <w:rsid w:val="00DE220B"/>
    <w:rsid w:val="00DE2574"/>
    <w:rsid w:val="00DE27DC"/>
    <w:rsid w:val="00DE2AE3"/>
    <w:rsid w:val="00DE2BD9"/>
    <w:rsid w:val="00DE3072"/>
    <w:rsid w:val="00DE3249"/>
    <w:rsid w:val="00DE32FC"/>
    <w:rsid w:val="00DE3934"/>
    <w:rsid w:val="00DE3D02"/>
    <w:rsid w:val="00DE4483"/>
    <w:rsid w:val="00DE458E"/>
    <w:rsid w:val="00DE48B5"/>
    <w:rsid w:val="00DE4935"/>
    <w:rsid w:val="00DE4B1F"/>
    <w:rsid w:val="00DE4C3D"/>
    <w:rsid w:val="00DE4D33"/>
    <w:rsid w:val="00DE4D86"/>
    <w:rsid w:val="00DE4FA0"/>
    <w:rsid w:val="00DE4FDA"/>
    <w:rsid w:val="00DE51F2"/>
    <w:rsid w:val="00DE54E4"/>
    <w:rsid w:val="00DE555E"/>
    <w:rsid w:val="00DE5B75"/>
    <w:rsid w:val="00DE5C35"/>
    <w:rsid w:val="00DE5C3B"/>
    <w:rsid w:val="00DE5EC2"/>
    <w:rsid w:val="00DE60B3"/>
    <w:rsid w:val="00DE6148"/>
    <w:rsid w:val="00DE65AA"/>
    <w:rsid w:val="00DE661D"/>
    <w:rsid w:val="00DE6A4C"/>
    <w:rsid w:val="00DE6DD3"/>
    <w:rsid w:val="00DE7031"/>
    <w:rsid w:val="00DE7271"/>
    <w:rsid w:val="00DE7488"/>
    <w:rsid w:val="00DE7F8B"/>
    <w:rsid w:val="00DF02FB"/>
    <w:rsid w:val="00DF05CB"/>
    <w:rsid w:val="00DF096F"/>
    <w:rsid w:val="00DF0D1D"/>
    <w:rsid w:val="00DF0E2A"/>
    <w:rsid w:val="00DF0FBC"/>
    <w:rsid w:val="00DF102A"/>
    <w:rsid w:val="00DF1061"/>
    <w:rsid w:val="00DF10BC"/>
    <w:rsid w:val="00DF15BB"/>
    <w:rsid w:val="00DF183D"/>
    <w:rsid w:val="00DF18A0"/>
    <w:rsid w:val="00DF19F5"/>
    <w:rsid w:val="00DF1CAB"/>
    <w:rsid w:val="00DF1DDA"/>
    <w:rsid w:val="00DF2307"/>
    <w:rsid w:val="00DF2503"/>
    <w:rsid w:val="00DF2A50"/>
    <w:rsid w:val="00DF2CDF"/>
    <w:rsid w:val="00DF2D72"/>
    <w:rsid w:val="00DF2DEF"/>
    <w:rsid w:val="00DF31CF"/>
    <w:rsid w:val="00DF324F"/>
    <w:rsid w:val="00DF3365"/>
    <w:rsid w:val="00DF35E6"/>
    <w:rsid w:val="00DF365E"/>
    <w:rsid w:val="00DF3720"/>
    <w:rsid w:val="00DF3D90"/>
    <w:rsid w:val="00DF3E6E"/>
    <w:rsid w:val="00DF4093"/>
    <w:rsid w:val="00DF4260"/>
    <w:rsid w:val="00DF48A8"/>
    <w:rsid w:val="00DF49E6"/>
    <w:rsid w:val="00DF4A20"/>
    <w:rsid w:val="00DF4A39"/>
    <w:rsid w:val="00DF5416"/>
    <w:rsid w:val="00DF5474"/>
    <w:rsid w:val="00DF5A88"/>
    <w:rsid w:val="00DF5BBA"/>
    <w:rsid w:val="00DF5D07"/>
    <w:rsid w:val="00DF5E84"/>
    <w:rsid w:val="00DF64FF"/>
    <w:rsid w:val="00DF6623"/>
    <w:rsid w:val="00DF6776"/>
    <w:rsid w:val="00DF6A78"/>
    <w:rsid w:val="00DF6AD0"/>
    <w:rsid w:val="00DF6C6E"/>
    <w:rsid w:val="00DF70F4"/>
    <w:rsid w:val="00DF732F"/>
    <w:rsid w:val="00DF7691"/>
    <w:rsid w:val="00DF7A55"/>
    <w:rsid w:val="00DF7A7C"/>
    <w:rsid w:val="00DF7AC7"/>
    <w:rsid w:val="00DF7C35"/>
    <w:rsid w:val="00DF7D1A"/>
    <w:rsid w:val="00DF7E37"/>
    <w:rsid w:val="00E0018C"/>
    <w:rsid w:val="00E002A2"/>
    <w:rsid w:val="00E00662"/>
    <w:rsid w:val="00E00844"/>
    <w:rsid w:val="00E00863"/>
    <w:rsid w:val="00E008CC"/>
    <w:rsid w:val="00E00DCA"/>
    <w:rsid w:val="00E00FCA"/>
    <w:rsid w:val="00E01304"/>
    <w:rsid w:val="00E01346"/>
    <w:rsid w:val="00E013AA"/>
    <w:rsid w:val="00E0140B"/>
    <w:rsid w:val="00E01559"/>
    <w:rsid w:val="00E015AB"/>
    <w:rsid w:val="00E015FB"/>
    <w:rsid w:val="00E016FB"/>
    <w:rsid w:val="00E01907"/>
    <w:rsid w:val="00E01AC5"/>
    <w:rsid w:val="00E01C71"/>
    <w:rsid w:val="00E01F45"/>
    <w:rsid w:val="00E01FA9"/>
    <w:rsid w:val="00E0200A"/>
    <w:rsid w:val="00E025B1"/>
    <w:rsid w:val="00E027DF"/>
    <w:rsid w:val="00E029DB"/>
    <w:rsid w:val="00E02D44"/>
    <w:rsid w:val="00E02E50"/>
    <w:rsid w:val="00E0313C"/>
    <w:rsid w:val="00E032DA"/>
    <w:rsid w:val="00E033B4"/>
    <w:rsid w:val="00E036AC"/>
    <w:rsid w:val="00E03855"/>
    <w:rsid w:val="00E0389E"/>
    <w:rsid w:val="00E03906"/>
    <w:rsid w:val="00E043E1"/>
    <w:rsid w:val="00E04A12"/>
    <w:rsid w:val="00E04C59"/>
    <w:rsid w:val="00E04D54"/>
    <w:rsid w:val="00E04F74"/>
    <w:rsid w:val="00E04FA9"/>
    <w:rsid w:val="00E0500C"/>
    <w:rsid w:val="00E05010"/>
    <w:rsid w:val="00E050BC"/>
    <w:rsid w:val="00E0519A"/>
    <w:rsid w:val="00E051FC"/>
    <w:rsid w:val="00E0523A"/>
    <w:rsid w:val="00E052B9"/>
    <w:rsid w:val="00E054A3"/>
    <w:rsid w:val="00E05551"/>
    <w:rsid w:val="00E0579A"/>
    <w:rsid w:val="00E05919"/>
    <w:rsid w:val="00E0591D"/>
    <w:rsid w:val="00E05C8C"/>
    <w:rsid w:val="00E06095"/>
    <w:rsid w:val="00E063B2"/>
    <w:rsid w:val="00E065B4"/>
    <w:rsid w:val="00E06774"/>
    <w:rsid w:val="00E06845"/>
    <w:rsid w:val="00E06BA1"/>
    <w:rsid w:val="00E06E48"/>
    <w:rsid w:val="00E07123"/>
    <w:rsid w:val="00E07466"/>
    <w:rsid w:val="00E07771"/>
    <w:rsid w:val="00E07A7E"/>
    <w:rsid w:val="00E07BC2"/>
    <w:rsid w:val="00E07C8B"/>
    <w:rsid w:val="00E10340"/>
    <w:rsid w:val="00E1034E"/>
    <w:rsid w:val="00E1036E"/>
    <w:rsid w:val="00E10A7C"/>
    <w:rsid w:val="00E10D60"/>
    <w:rsid w:val="00E10F19"/>
    <w:rsid w:val="00E11112"/>
    <w:rsid w:val="00E112A2"/>
    <w:rsid w:val="00E113B8"/>
    <w:rsid w:val="00E1156A"/>
    <w:rsid w:val="00E119A2"/>
    <w:rsid w:val="00E11D20"/>
    <w:rsid w:val="00E12566"/>
    <w:rsid w:val="00E125F3"/>
    <w:rsid w:val="00E1269E"/>
    <w:rsid w:val="00E12D70"/>
    <w:rsid w:val="00E12F2F"/>
    <w:rsid w:val="00E13180"/>
    <w:rsid w:val="00E1319C"/>
    <w:rsid w:val="00E1336A"/>
    <w:rsid w:val="00E13627"/>
    <w:rsid w:val="00E13647"/>
    <w:rsid w:val="00E13811"/>
    <w:rsid w:val="00E138FD"/>
    <w:rsid w:val="00E13951"/>
    <w:rsid w:val="00E143AD"/>
    <w:rsid w:val="00E146B0"/>
    <w:rsid w:val="00E1486A"/>
    <w:rsid w:val="00E14C36"/>
    <w:rsid w:val="00E14D81"/>
    <w:rsid w:val="00E14DD8"/>
    <w:rsid w:val="00E14EA7"/>
    <w:rsid w:val="00E14EAC"/>
    <w:rsid w:val="00E15240"/>
    <w:rsid w:val="00E154AC"/>
    <w:rsid w:val="00E15671"/>
    <w:rsid w:val="00E1577D"/>
    <w:rsid w:val="00E1583E"/>
    <w:rsid w:val="00E15A2F"/>
    <w:rsid w:val="00E15DB6"/>
    <w:rsid w:val="00E1607A"/>
    <w:rsid w:val="00E161F4"/>
    <w:rsid w:val="00E163CA"/>
    <w:rsid w:val="00E16905"/>
    <w:rsid w:val="00E16ACC"/>
    <w:rsid w:val="00E16D0A"/>
    <w:rsid w:val="00E171D6"/>
    <w:rsid w:val="00E1726B"/>
    <w:rsid w:val="00E178F5"/>
    <w:rsid w:val="00E17949"/>
    <w:rsid w:val="00E17B07"/>
    <w:rsid w:val="00E17EEE"/>
    <w:rsid w:val="00E200B9"/>
    <w:rsid w:val="00E202C2"/>
    <w:rsid w:val="00E20B24"/>
    <w:rsid w:val="00E20CA1"/>
    <w:rsid w:val="00E20D8B"/>
    <w:rsid w:val="00E20ECA"/>
    <w:rsid w:val="00E21074"/>
    <w:rsid w:val="00E21105"/>
    <w:rsid w:val="00E21453"/>
    <w:rsid w:val="00E21474"/>
    <w:rsid w:val="00E2183B"/>
    <w:rsid w:val="00E219BA"/>
    <w:rsid w:val="00E21DE9"/>
    <w:rsid w:val="00E21F98"/>
    <w:rsid w:val="00E22093"/>
    <w:rsid w:val="00E222D9"/>
    <w:rsid w:val="00E223A8"/>
    <w:rsid w:val="00E2245C"/>
    <w:rsid w:val="00E2250C"/>
    <w:rsid w:val="00E22605"/>
    <w:rsid w:val="00E226F6"/>
    <w:rsid w:val="00E227A2"/>
    <w:rsid w:val="00E22B34"/>
    <w:rsid w:val="00E22D5E"/>
    <w:rsid w:val="00E2328A"/>
    <w:rsid w:val="00E2334A"/>
    <w:rsid w:val="00E2354A"/>
    <w:rsid w:val="00E23808"/>
    <w:rsid w:val="00E23943"/>
    <w:rsid w:val="00E23989"/>
    <w:rsid w:val="00E239F3"/>
    <w:rsid w:val="00E23B1B"/>
    <w:rsid w:val="00E244EA"/>
    <w:rsid w:val="00E246E9"/>
    <w:rsid w:val="00E24B4B"/>
    <w:rsid w:val="00E24C33"/>
    <w:rsid w:val="00E2518F"/>
    <w:rsid w:val="00E2553C"/>
    <w:rsid w:val="00E25553"/>
    <w:rsid w:val="00E255F1"/>
    <w:rsid w:val="00E25A26"/>
    <w:rsid w:val="00E25D5F"/>
    <w:rsid w:val="00E25DC5"/>
    <w:rsid w:val="00E25DF0"/>
    <w:rsid w:val="00E25ED2"/>
    <w:rsid w:val="00E2624C"/>
    <w:rsid w:val="00E26250"/>
    <w:rsid w:val="00E262FE"/>
    <w:rsid w:val="00E26456"/>
    <w:rsid w:val="00E265F3"/>
    <w:rsid w:val="00E26A9F"/>
    <w:rsid w:val="00E26C97"/>
    <w:rsid w:val="00E26D1C"/>
    <w:rsid w:val="00E26E09"/>
    <w:rsid w:val="00E26F7E"/>
    <w:rsid w:val="00E271A6"/>
    <w:rsid w:val="00E271E4"/>
    <w:rsid w:val="00E274FF"/>
    <w:rsid w:val="00E27798"/>
    <w:rsid w:val="00E27D43"/>
    <w:rsid w:val="00E27F64"/>
    <w:rsid w:val="00E30300"/>
    <w:rsid w:val="00E30632"/>
    <w:rsid w:val="00E307C3"/>
    <w:rsid w:val="00E308DB"/>
    <w:rsid w:val="00E309DC"/>
    <w:rsid w:val="00E30B3C"/>
    <w:rsid w:val="00E30DD8"/>
    <w:rsid w:val="00E30E48"/>
    <w:rsid w:val="00E30F86"/>
    <w:rsid w:val="00E313C0"/>
    <w:rsid w:val="00E31617"/>
    <w:rsid w:val="00E316DF"/>
    <w:rsid w:val="00E3173D"/>
    <w:rsid w:val="00E31A67"/>
    <w:rsid w:val="00E31A94"/>
    <w:rsid w:val="00E31F1C"/>
    <w:rsid w:val="00E3218C"/>
    <w:rsid w:val="00E323EF"/>
    <w:rsid w:val="00E3249B"/>
    <w:rsid w:val="00E324B9"/>
    <w:rsid w:val="00E324BF"/>
    <w:rsid w:val="00E325BB"/>
    <w:rsid w:val="00E3264D"/>
    <w:rsid w:val="00E32844"/>
    <w:rsid w:val="00E329F9"/>
    <w:rsid w:val="00E32CC7"/>
    <w:rsid w:val="00E32DDA"/>
    <w:rsid w:val="00E3311E"/>
    <w:rsid w:val="00E333CF"/>
    <w:rsid w:val="00E3355E"/>
    <w:rsid w:val="00E335C0"/>
    <w:rsid w:val="00E33768"/>
    <w:rsid w:val="00E33A89"/>
    <w:rsid w:val="00E33ACD"/>
    <w:rsid w:val="00E33ADF"/>
    <w:rsid w:val="00E33E11"/>
    <w:rsid w:val="00E33E3A"/>
    <w:rsid w:val="00E33E98"/>
    <w:rsid w:val="00E341CB"/>
    <w:rsid w:val="00E3420A"/>
    <w:rsid w:val="00E3451C"/>
    <w:rsid w:val="00E34A6F"/>
    <w:rsid w:val="00E35212"/>
    <w:rsid w:val="00E3533A"/>
    <w:rsid w:val="00E354FE"/>
    <w:rsid w:val="00E3556B"/>
    <w:rsid w:val="00E355F7"/>
    <w:rsid w:val="00E35C37"/>
    <w:rsid w:val="00E35C6A"/>
    <w:rsid w:val="00E36031"/>
    <w:rsid w:val="00E3623B"/>
    <w:rsid w:val="00E36354"/>
    <w:rsid w:val="00E3651F"/>
    <w:rsid w:val="00E36552"/>
    <w:rsid w:val="00E365D4"/>
    <w:rsid w:val="00E3698C"/>
    <w:rsid w:val="00E36AEE"/>
    <w:rsid w:val="00E36C45"/>
    <w:rsid w:val="00E36D4A"/>
    <w:rsid w:val="00E36E4B"/>
    <w:rsid w:val="00E3716B"/>
    <w:rsid w:val="00E374E1"/>
    <w:rsid w:val="00E374E8"/>
    <w:rsid w:val="00E374F0"/>
    <w:rsid w:val="00E37769"/>
    <w:rsid w:val="00E37E4B"/>
    <w:rsid w:val="00E404F7"/>
    <w:rsid w:val="00E40B6C"/>
    <w:rsid w:val="00E40FF0"/>
    <w:rsid w:val="00E41108"/>
    <w:rsid w:val="00E411A7"/>
    <w:rsid w:val="00E411FE"/>
    <w:rsid w:val="00E41284"/>
    <w:rsid w:val="00E41353"/>
    <w:rsid w:val="00E4198E"/>
    <w:rsid w:val="00E41A79"/>
    <w:rsid w:val="00E41BF5"/>
    <w:rsid w:val="00E42315"/>
    <w:rsid w:val="00E42408"/>
    <w:rsid w:val="00E4254E"/>
    <w:rsid w:val="00E425D1"/>
    <w:rsid w:val="00E429E5"/>
    <w:rsid w:val="00E42A7D"/>
    <w:rsid w:val="00E42C53"/>
    <w:rsid w:val="00E42DE4"/>
    <w:rsid w:val="00E42F02"/>
    <w:rsid w:val="00E432F8"/>
    <w:rsid w:val="00E43313"/>
    <w:rsid w:val="00E43478"/>
    <w:rsid w:val="00E434F4"/>
    <w:rsid w:val="00E43625"/>
    <w:rsid w:val="00E436BB"/>
    <w:rsid w:val="00E43D2C"/>
    <w:rsid w:val="00E43D83"/>
    <w:rsid w:val="00E43DEC"/>
    <w:rsid w:val="00E43E90"/>
    <w:rsid w:val="00E4402D"/>
    <w:rsid w:val="00E44373"/>
    <w:rsid w:val="00E4445B"/>
    <w:rsid w:val="00E4446F"/>
    <w:rsid w:val="00E44627"/>
    <w:rsid w:val="00E446E3"/>
    <w:rsid w:val="00E448EC"/>
    <w:rsid w:val="00E44AE2"/>
    <w:rsid w:val="00E44B51"/>
    <w:rsid w:val="00E44BD8"/>
    <w:rsid w:val="00E451FA"/>
    <w:rsid w:val="00E45432"/>
    <w:rsid w:val="00E455D5"/>
    <w:rsid w:val="00E45B1C"/>
    <w:rsid w:val="00E45D9A"/>
    <w:rsid w:val="00E463A4"/>
    <w:rsid w:val="00E463D0"/>
    <w:rsid w:val="00E46783"/>
    <w:rsid w:val="00E46A2F"/>
    <w:rsid w:val="00E46C73"/>
    <w:rsid w:val="00E46E77"/>
    <w:rsid w:val="00E46F1B"/>
    <w:rsid w:val="00E46FB0"/>
    <w:rsid w:val="00E47503"/>
    <w:rsid w:val="00E47883"/>
    <w:rsid w:val="00E50360"/>
    <w:rsid w:val="00E504F4"/>
    <w:rsid w:val="00E5080C"/>
    <w:rsid w:val="00E50D03"/>
    <w:rsid w:val="00E50F29"/>
    <w:rsid w:val="00E5142B"/>
    <w:rsid w:val="00E514D6"/>
    <w:rsid w:val="00E51874"/>
    <w:rsid w:val="00E5187D"/>
    <w:rsid w:val="00E51F9C"/>
    <w:rsid w:val="00E52232"/>
    <w:rsid w:val="00E529F1"/>
    <w:rsid w:val="00E52A56"/>
    <w:rsid w:val="00E52E34"/>
    <w:rsid w:val="00E52ED7"/>
    <w:rsid w:val="00E53076"/>
    <w:rsid w:val="00E53175"/>
    <w:rsid w:val="00E5333F"/>
    <w:rsid w:val="00E53365"/>
    <w:rsid w:val="00E534CB"/>
    <w:rsid w:val="00E534DF"/>
    <w:rsid w:val="00E5362E"/>
    <w:rsid w:val="00E53787"/>
    <w:rsid w:val="00E537DA"/>
    <w:rsid w:val="00E53B17"/>
    <w:rsid w:val="00E53B70"/>
    <w:rsid w:val="00E53C9D"/>
    <w:rsid w:val="00E53E25"/>
    <w:rsid w:val="00E53F2E"/>
    <w:rsid w:val="00E54255"/>
    <w:rsid w:val="00E5453B"/>
    <w:rsid w:val="00E54817"/>
    <w:rsid w:val="00E5490A"/>
    <w:rsid w:val="00E54CA6"/>
    <w:rsid w:val="00E54E74"/>
    <w:rsid w:val="00E54ED6"/>
    <w:rsid w:val="00E5505F"/>
    <w:rsid w:val="00E55601"/>
    <w:rsid w:val="00E55644"/>
    <w:rsid w:val="00E55826"/>
    <w:rsid w:val="00E55A34"/>
    <w:rsid w:val="00E55CD7"/>
    <w:rsid w:val="00E55F24"/>
    <w:rsid w:val="00E55FE3"/>
    <w:rsid w:val="00E5652E"/>
    <w:rsid w:val="00E565CE"/>
    <w:rsid w:val="00E568D5"/>
    <w:rsid w:val="00E56A43"/>
    <w:rsid w:val="00E56B55"/>
    <w:rsid w:val="00E571F2"/>
    <w:rsid w:val="00E578D3"/>
    <w:rsid w:val="00E57922"/>
    <w:rsid w:val="00E57A94"/>
    <w:rsid w:val="00E57CE6"/>
    <w:rsid w:val="00E600FB"/>
    <w:rsid w:val="00E601DC"/>
    <w:rsid w:val="00E603BD"/>
    <w:rsid w:val="00E60442"/>
    <w:rsid w:val="00E60486"/>
    <w:rsid w:val="00E6055F"/>
    <w:rsid w:val="00E6060A"/>
    <w:rsid w:val="00E607B1"/>
    <w:rsid w:val="00E6137F"/>
    <w:rsid w:val="00E6188E"/>
    <w:rsid w:val="00E6191A"/>
    <w:rsid w:val="00E61984"/>
    <w:rsid w:val="00E61D2F"/>
    <w:rsid w:val="00E61E9A"/>
    <w:rsid w:val="00E61ECC"/>
    <w:rsid w:val="00E61FB9"/>
    <w:rsid w:val="00E61FC3"/>
    <w:rsid w:val="00E620ED"/>
    <w:rsid w:val="00E62406"/>
    <w:rsid w:val="00E62969"/>
    <w:rsid w:val="00E62AB2"/>
    <w:rsid w:val="00E62AD6"/>
    <w:rsid w:val="00E62E90"/>
    <w:rsid w:val="00E62F7A"/>
    <w:rsid w:val="00E62FE9"/>
    <w:rsid w:val="00E63165"/>
    <w:rsid w:val="00E63274"/>
    <w:rsid w:val="00E6342E"/>
    <w:rsid w:val="00E636B4"/>
    <w:rsid w:val="00E63736"/>
    <w:rsid w:val="00E6380A"/>
    <w:rsid w:val="00E63D11"/>
    <w:rsid w:val="00E63D7F"/>
    <w:rsid w:val="00E63F25"/>
    <w:rsid w:val="00E640AF"/>
    <w:rsid w:val="00E6422A"/>
    <w:rsid w:val="00E64EC6"/>
    <w:rsid w:val="00E65107"/>
    <w:rsid w:val="00E65668"/>
    <w:rsid w:val="00E65A67"/>
    <w:rsid w:val="00E65C29"/>
    <w:rsid w:val="00E65D3D"/>
    <w:rsid w:val="00E65EE0"/>
    <w:rsid w:val="00E65F5C"/>
    <w:rsid w:val="00E65FDE"/>
    <w:rsid w:val="00E6616C"/>
    <w:rsid w:val="00E665DD"/>
    <w:rsid w:val="00E66972"/>
    <w:rsid w:val="00E669A3"/>
    <w:rsid w:val="00E66A3B"/>
    <w:rsid w:val="00E66A6B"/>
    <w:rsid w:val="00E66BEF"/>
    <w:rsid w:val="00E66CF1"/>
    <w:rsid w:val="00E66D9E"/>
    <w:rsid w:val="00E66FD1"/>
    <w:rsid w:val="00E6707E"/>
    <w:rsid w:val="00E67289"/>
    <w:rsid w:val="00E67314"/>
    <w:rsid w:val="00E677B6"/>
    <w:rsid w:val="00E67868"/>
    <w:rsid w:val="00E67996"/>
    <w:rsid w:val="00E67A32"/>
    <w:rsid w:val="00E67A49"/>
    <w:rsid w:val="00E67BFC"/>
    <w:rsid w:val="00E67D80"/>
    <w:rsid w:val="00E67D8F"/>
    <w:rsid w:val="00E67F60"/>
    <w:rsid w:val="00E7061B"/>
    <w:rsid w:val="00E70E47"/>
    <w:rsid w:val="00E70ED6"/>
    <w:rsid w:val="00E711E6"/>
    <w:rsid w:val="00E71238"/>
    <w:rsid w:val="00E713A7"/>
    <w:rsid w:val="00E715B4"/>
    <w:rsid w:val="00E71B98"/>
    <w:rsid w:val="00E71D26"/>
    <w:rsid w:val="00E71DAF"/>
    <w:rsid w:val="00E71F50"/>
    <w:rsid w:val="00E725D6"/>
    <w:rsid w:val="00E72792"/>
    <w:rsid w:val="00E72A1B"/>
    <w:rsid w:val="00E72B6E"/>
    <w:rsid w:val="00E72C28"/>
    <w:rsid w:val="00E730C7"/>
    <w:rsid w:val="00E732CE"/>
    <w:rsid w:val="00E7376A"/>
    <w:rsid w:val="00E737EB"/>
    <w:rsid w:val="00E739A5"/>
    <w:rsid w:val="00E73B18"/>
    <w:rsid w:val="00E73B3A"/>
    <w:rsid w:val="00E73E15"/>
    <w:rsid w:val="00E7407F"/>
    <w:rsid w:val="00E74668"/>
    <w:rsid w:val="00E74A9B"/>
    <w:rsid w:val="00E74C08"/>
    <w:rsid w:val="00E74DEC"/>
    <w:rsid w:val="00E74EE1"/>
    <w:rsid w:val="00E7516E"/>
    <w:rsid w:val="00E7569D"/>
    <w:rsid w:val="00E7584B"/>
    <w:rsid w:val="00E75B73"/>
    <w:rsid w:val="00E75C3A"/>
    <w:rsid w:val="00E75E3A"/>
    <w:rsid w:val="00E761DE"/>
    <w:rsid w:val="00E764B7"/>
    <w:rsid w:val="00E7653A"/>
    <w:rsid w:val="00E766EF"/>
    <w:rsid w:val="00E76780"/>
    <w:rsid w:val="00E767A3"/>
    <w:rsid w:val="00E76951"/>
    <w:rsid w:val="00E76B22"/>
    <w:rsid w:val="00E76C6B"/>
    <w:rsid w:val="00E77024"/>
    <w:rsid w:val="00E77056"/>
    <w:rsid w:val="00E7746F"/>
    <w:rsid w:val="00E774F2"/>
    <w:rsid w:val="00E7793D"/>
    <w:rsid w:val="00E77951"/>
    <w:rsid w:val="00E779DE"/>
    <w:rsid w:val="00E77AC4"/>
    <w:rsid w:val="00E77E0C"/>
    <w:rsid w:val="00E77E8F"/>
    <w:rsid w:val="00E77F4A"/>
    <w:rsid w:val="00E8009A"/>
    <w:rsid w:val="00E80142"/>
    <w:rsid w:val="00E80458"/>
    <w:rsid w:val="00E80668"/>
    <w:rsid w:val="00E8080F"/>
    <w:rsid w:val="00E809DE"/>
    <w:rsid w:val="00E80B0C"/>
    <w:rsid w:val="00E80B35"/>
    <w:rsid w:val="00E80DE2"/>
    <w:rsid w:val="00E80EBF"/>
    <w:rsid w:val="00E81026"/>
    <w:rsid w:val="00E81029"/>
    <w:rsid w:val="00E811CB"/>
    <w:rsid w:val="00E814AC"/>
    <w:rsid w:val="00E81693"/>
    <w:rsid w:val="00E8170B"/>
    <w:rsid w:val="00E8189F"/>
    <w:rsid w:val="00E81A57"/>
    <w:rsid w:val="00E81A6B"/>
    <w:rsid w:val="00E81B28"/>
    <w:rsid w:val="00E81BBD"/>
    <w:rsid w:val="00E81E8C"/>
    <w:rsid w:val="00E824F9"/>
    <w:rsid w:val="00E82A30"/>
    <w:rsid w:val="00E82A8F"/>
    <w:rsid w:val="00E82C7F"/>
    <w:rsid w:val="00E82FCB"/>
    <w:rsid w:val="00E83309"/>
    <w:rsid w:val="00E833B6"/>
    <w:rsid w:val="00E834DF"/>
    <w:rsid w:val="00E83527"/>
    <w:rsid w:val="00E835C9"/>
    <w:rsid w:val="00E83683"/>
    <w:rsid w:val="00E83C36"/>
    <w:rsid w:val="00E83CF7"/>
    <w:rsid w:val="00E84012"/>
    <w:rsid w:val="00E841A7"/>
    <w:rsid w:val="00E8439E"/>
    <w:rsid w:val="00E84516"/>
    <w:rsid w:val="00E8452F"/>
    <w:rsid w:val="00E845E1"/>
    <w:rsid w:val="00E8481C"/>
    <w:rsid w:val="00E84884"/>
    <w:rsid w:val="00E84986"/>
    <w:rsid w:val="00E84C54"/>
    <w:rsid w:val="00E84C81"/>
    <w:rsid w:val="00E84CD3"/>
    <w:rsid w:val="00E8515D"/>
    <w:rsid w:val="00E85210"/>
    <w:rsid w:val="00E8535D"/>
    <w:rsid w:val="00E85932"/>
    <w:rsid w:val="00E8597E"/>
    <w:rsid w:val="00E85E65"/>
    <w:rsid w:val="00E85EB7"/>
    <w:rsid w:val="00E8615D"/>
    <w:rsid w:val="00E8631E"/>
    <w:rsid w:val="00E86352"/>
    <w:rsid w:val="00E8642D"/>
    <w:rsid w:val="00E864D4"/>
    <w:rsid w:val="00E86649"/>
    <w:rsid w:val="00E8688D"/>
    <w:rsid w:val="00E86A20"/>
    <w:rsid w:val="00E86D73"/>
    <w:rsid w:val="00E86EDA"/>
    <w:rsid w:val="00E86EF3"/>
    <w:rsid w:val="00E87019"/>
    <w:rsid w:val="00E872D3"/>
    <w:rsid w:val="00E87390"/>
    <w:rsid w:val="00E87551"/>
    <w:rsid w:val="00E876A5"/>
    <w:rsid w:val="00E87BFE"/>
    <w:rsid w:val="00E87DA9"/>
    <w:rsid w:val="00E87F13"/>
    <w:rsid w:val="00E900A0"/>
    <w:rsid w:val="00E90107"/>
    <w:rsid w:val="00E90280"/>
    <w:rsid w:val="00E9045F"/>
    <w:rsid w:val="00E9086F"/>
    <w:rsid w:val="00E909CB"/>
    <w:rsid w:val="00E90DDE"/>
    <w:rsid w:val="00E90EC0"/>
    <w:rsid w:val="00E91939"/>
    <w:rsid w:val="00E91DC8"/>
    <w:rsid w:val="00E91F3F"/>
    <w:rsid w:val="00E91F90"/>
    <w:rsid w:val="00E9228E"/>
    <w:rsid w:val="00E92545"/>
    <w:rsid w:val="00E925C9"/>
    <w:rsid w:val="00E9260C"/>
    <w:rsid w:val="00E92896"/>
    <w:rsid w:val="00E92965"/>
    <w:rsid w:val="00E92B33"/>
    <w:rsid w:val="00E92F06"/>
    <w:rsid w:val="00E93063"/>
    <w:rsid w:val="00E930DC"/>
    <w:rsid w:val="00E932DE"/>
    <w:rsid w:val="00E93563"/>
    <w:rsid w:val="00E93739"/>
    <w:rsid w:val="00E9374E"/>
    <w:rsid w:val="00E93804"/>
    <w:rsid w:val="00E93968"/>
    <w:rsid w:val="00E93A8A"/>
    <w:rsid w:val="00E93CA0"/>
    <w:rsid w:val="00E93E55"/>
    <w:rsid w:val="00E941FC"/>
    <w:rsid w:val="00E943B6"/>
    <w:rsid w:val="00E94A5F"/>
    <w:rsid w:val="00E94AFA"/>
    <w:rsid w:val="00E94B73"/>
    <w:rsid w:val="00E94CBB"/>
    <w:rsid w:val="00E94D99"/>
    <w:rsid w:val="00E952E5"/>
    <w:rsid w:val="00E95386"/>
    <w:rsid w:val="00E953E5"/>
    <w:rsid w:val="00E9545E"/>
    <w:rsid w:val="00E954D5"/>
    <w:rsid w:val="00E95669"/>
    <w:rsid w:val="00E96019"/>
    <w:rsid w:val="00E9616A"/>
    <w:rsid w:val="00E961E5"/>
    <w:rsid w:val="00E962FA"/>
    <w:rsid w:val="00E9672F"/>
    <w:rsid w:val="00E96813"/>
    <w:rsid w:val="00E96956"/>
    <w:rsid w:val="00E96A5F"/>
    <w:rsid w:val="00E96A6D"/>
    <w:rsid w:val="00E96B1F"/>
    <w:rsid w:val="00E96B52"/>
    <w:rsid w:val="00E96BB7"/>
    <w:rsid w:val="00E96E8F"/>
    <w:rsid w:val="00E97007"/>
    <w:rsid w:val="00E97091"/>
    <w:rsid w:val="00E97273"/>
    <w:rsid w:val="00E97708"/>
    <w:rsid w:val="00E97729"/>
    <w:rsid w:val="00E978BB"/>
    <w:rsid w:val="00E97A36"/>
    <w:rsid w:val="00E97E30"/>
    <w:rsid w:val="00EA004E"/>
    <w:rsid w:val="00EA006E"/>
    <w:rsid w:val="00EA0548"/>
    <w:rsid w:val="00EA055D"/>
    <w:rsid w:val="00EA0D42"/>
    <w:rsid w:val="00EA0E0A"/>
    <w:rsid w:val="00EA10B8"/>
    <w:rsid w:val="00EA1121"/>
    <w:rsid w:val="00EA15A2"/>
    <w:rsid w:val="00EA17F7"/>
    <w:rsid w:val="00EA1C3F"/>
    <w:rsid w:val="00EA1D2C"/>
    <w:rsid w:val="00EA1EA6"/>
    <w:rsid w:val="00EA1FC0"/>
    <w:rsid w:val="00EA21C1"/>
    <w:rsid w:val="00EA236C"/>
    <w:rsid w:val="00EA2BA3"/>
    <w:rsid w:val="00EA2EAE"/>
    <w:rsid w:val="00EA2FA5"/>
    <w:rsid w:val="00EA3141"/>
    <w:rsid w:val="00EA36FD"/>
    <w:rsid w:val="00EA3760"/>
    <w:rsid w:val="00EA3A0E"/>
    <w:rsid w:val="00EA3C75"/>
    <w:rsid w:val="00EA3CE4"/>
    <w:rsid w:val="00EA3D61"/>
    <w:rsid w:val="00EA3D88"/>
    <w:rsid w:val="00EA4504"/>
    <w:rsid w:val="00EA49EE"/>
    <w:rsid w:val="00EA4B07"/>
    <w:rsid w:val="00EA4CDE"/>
    <w:rsid w:val="00EA4CFF"/>
    <w:rsid w:val="00EA5341"/>
    <w:rsid w:val="00EA54E6"/>
    <w:rsid w:val="00EA5518"/>
    <w:rsid w:val="00EA552D"/>
    <w:rsid w:val="00EA579B"/>
    <w:rsid w:val="00EA5982"/>
    <w:rsid w:val="00EA5A94"/>
    <w:rsid w:val="00EA5B17"/>
    <w:rsid w:val="00EA5D41"/>
    <w:rsid w:val="00EA60E8"/>
    <w:rsid w:val="00EA62DD"/>
    <w:rsid w:val="00EA6A17"/>
    <w:rsid w:val="00EA6ADF"/>
    <w:rsid w:val="00EA7127"/>
    <w:rsid w:val="00EA71F3"/>
    <w:rsid w:val="00EA7373"/>
    <w:rsid w:val="00EA7440"/>
    <w:rsid w:val="00EA7706"/>
    <w:rsid w:val="00EA7832"/>
    <w:rsid w:val="00EA7BCC"/>
    <w:rsid w:val="00EA7C8A"/>
    <w:rsid w:val="00EA7F20"/>
    <w:rsid w:val="00EB0405"/>
    <w:rsid w:val="00EB08F3"/>
    <w:rsid w:val="00EB0982"/>
    <w:rsid w:val="00EB0C9E"/>
    <w:rsid w:val="00EB0CB0"/>
    <w:rsid w:val="00EB0D38"/>
    <w:rsid w:val="00EB11EF"/>
    <w:rsid w:val="00EB127D"/>
    <w:rsid w:val="00EB1B82"/>
    <w:rsid w:val="00EB1BDE"/>
    <w:rsid w:val="00EB1C07"/>
    <w:rsid w:val="00EB1DFD"/>
    <w:rsid w:val="00EB1FC4"/>
    <w:rsid w:val="00EB200F"/>
    <w:rsid w:val="00EB2012"/>
    <w:rsid w:val="00EB22C0"/>
    <w:rsid w:val="00EB2414"/>
    <w:rsid w:val="00EB256E"/>
    <w:rsid w:val="00EB267B"/>
    <w:rsid w:val="00EB2967"/>
    <w:rsid w:val="00EB29EF"/>
    <w:rsid w:val="00EB2A04"/>
    <w:rsid w:val="00EB2EA5"/>
    <w:rsid w:val="00EB30A7"/>
    <w:rsid w:val="00EB31B8"/>
    <w:rsid w:val="00EB344F"/>
    <w:rsid w:val="00EB34CF"/>
    <w:rsid w:val="00EB37E8"/>
    <w:rsid w:val="00EB38E5"/>
    <w:rsid w:val="00EB3F8E"/>
    <w:rsid w:val="00EB42A4"/>
    <w:rsid w:val="00EB42F1"/>
    <w:rsid w:val="00EB432A"/>
    <w:rsid w:val="00EB4A8A"/>
    <w:rsid w:val="00EB4DBC"/>
    <w:rsid w:val="00EB4F87"/>
    <w:rsid w:val="00EB51B5"/>
    <w:rsid w:val="00EB5249"/>
    <w:rsid w:val="00EB53F0"/>
    <w:rsid w:val="00EB563E"/>
    <w:rsid w:val="00EB5B26"/>
    <w:rsid w:val="00EB5B46"/>
    <w:rsid w:val="00EB5B8D"/>
    <w:rsid w:val="00EB5C24"/>
    <w:rsid w:val="00EB5D94"/>
    <w:rsid w:val="00EB5D96"/>
    <w:rsid w:val="00EB6049"/>
    <w:rsid w:val="00EB611E"/>
    <w:rsid w:val="00EB6394"/>
    <w:rsid w:val="00EB6643"/>
    <w:rsid w:val="00EB6B17"/>
    <w:rsid w:val="00EB6C2F"/>
    <w:rsid w:val="00EB6C48"/>
    <w:rsid w:val="00EB6DA7"/>
    <w:rsid w:val="00EB701B"/>
    <w:rsid w:val="00EB720A"/>
    <w:rsid w:val="00EB7298"/>
    <w:rsid w:val="00EB7AD0"/>
    <w:rsid w:val="00EB7C63"/>
    <w:rsid w:val="00EB7E03"/>
    <w:rsid w:val="00EB7F1A"/>
    <w:rsid w:val="00EC0070"/>
    <w:rsid w:val="00EC022F"/>
    <w:rsid w:val="00EC055F"/>
    <w:rsid w:val="00EC0655"/>
    <w:rsid w:val="00EC09CA"/>
    <w:rsid w:val="00EC0CF2"/>
    <w:rsid w:val="00EC0D31"/>
    <w:rsid w:val="00EC0FB7"/>
    <w:rsid w:val="00EC0FD3"/>
    <w:rsid w:val="00EC10A7"/>
    <w:rsid w:val="00EC1109"/>
    <w:rsid w:val="00EC1383"/>
    <w:rsid w:val="00EC1410"/>
    <w:rsid w:val="00EC16B3"/>
    <w:rsid w:val="00EC178E"/>
    <w:rsid w:val="00EC18A5"/>
    <w:rsid w:val="00EC18BB"/>
    <w:rsid w:val="00EC194D"/>
    <w:rsid w:val="00EC1AD3"/>
    <w:rsid w:val="00EC1EFC"/>
    <w:rsid w:val="00EC20A3"/>
    <w:rsid w:val="00EC2302"/>
    <w:rsid w:val="00EC23AF"/>
    <w:rsid w:val="00EC2444"/>
    <w:rsid w:val="00EC265D"/>
    <w:rsid w:val="00EC26A3"/>
    <w:rsid w:val="00EC2778"/>
    <w:rsid w:val="00EC27C7"/>
    <w:rsid w:val="00EC2A97"/>
    <w:rsid w:val="00EC2BEB"/>
    <w:rsid w:val="00EC2D3C"/>
    <w:rsid w:val="00EC32E9"/>
    <w:rsid w:val="00EC3367"/>
    <w:rsid w:val="00EC362C"/>
    <w:rsid w:val="00EC36CB"/>
    <w:rsid w:val="00EC3A53"/>
    <w:rsid w:val="00EC3BCC"/>
    <w:rsid w:val="00EC418E"/>
    <w:rsid w:val="00EC41FD"/>
    <w:rsid w:val="00EC4414"/>
    <w:rsid w:val="00EC45F0"/>
    <w:rsid w:val="00EC4725"/>
    <w:rsid w:val="00EC492F"/>
    <w:rsid w:val="00EC4A71"/>
    <w:rsid w:val="00EC4C39"/>
    <w:rsid w:val="00EC4CAF"/>
    <w:rsid w:val="00EC4E7A"/>
    <w:rsid w:val="00EC4E7F"/>
    <w:rsid w:val="00EC4EAF"/>
    <w:rsid w:val="00EC50A6"/>
    <w:rsid w:val="00EC54E0"/>
    <w:rsid w:val="00EC54EA"/>
    <w:rsid w:val="00EC55E4"/>
    <w:rsid w:val="00EC568D"/>
    <w:rsid w:val="00EC5ABE"/>
    <w:rsid w:val="00EC5B87"/>
    <w:rsid w:val="00EC5E34"/>
    <w:rsid w:val="00EC5F3A"/>
    <w:rsid w:val="00EC5F66"/>
    <w:rsid w:val="00EC631E"/>
    <w:rsid w:val="00EC6336"/>
    <w:rsid w:val="00EC67D7"/>
    <w:rsid w:val="00EC6B7A"/>
    <w:rsid w:val="00EC6DB5"/>
    <w:rsid w:val="00EC6EC2"/>
    <w:rsid w:val="00EC741B"/>
    <w:rsid w:val="00EC74E2"/>
    <w:rsid w:val="00EC7595"/>
    <w:rsid w:val="00EC774E"/>
    <w:rsid w:val="00EC7B74"/>
    <w:rsid w:val="00EC7CDF"/>
    <w:rsid w:val="00EC7E23"/>
    <w:rsid w:val="00ED02C7"/>
    <w:rsid w:val="00ED0455"/>
    <w:rsid w:val="00ED0A9B"/>
    <w:rsid w:val="00ED0F15"/>
    <w:rsid w:val="00ED1631"/>
    <w:rsid w:val="00ED1871"/>
    <w:rsid w:val="00ED1F82"/>
    <w:rsid w:val="00ED1F8E"/>
    <w:rsid w:val="00ED202F"/>
    <w:rsid w:val="00ED2554"/>
    <w:rsid w:val="00ED25A2"/>
    <w:rsid w:val="00ED2D30"/>
    <w:rsid w:val="00ED2E34"/>
    <w:rsid w:val="00ED2F42"/>
    <w:rsid w:val="00ED3585"/>
    <w:rsid w:val="00ED3818"/>
    <w:rsid w:val="00ED3941"/>
    <w:rsid w:val="00ED3A84"/>
    <w:rsid w:val="00ED3AF4"/>
    <w:rsid w:val="00ED3B90"/>
    <w:rsid w:val="00ED3C58"/>
    <w:rsid w:val="00ED3CFE"/>
    <w:rsid w:val="00ED3D7B"/>
    <w:rsid w:val="00ED42B3"/>
    <w:rsid w:val="00ED4427"/>
    <w:rsid w:val="00ED4479"/>
    <w:rsid w:val="00ED44C6"/>
    <w:rsid w:val="00ED4576"/>
    <w:rsid w:val="00ED478E"/>
    <w:rsid w:val="00ED47E6"/>
    <w:rsid w:val="00ED4A3E"/>
    <w:rsid w:val="00ED4AC0"/>
    <w:rsid w:val="00ED4B14"/>
    <w:rsid w:val="00ED550F"/>
    <w:rsid w:val="00ED56CF"/>
    <w:rsid w:val="00ED5713"/>
    <w:rsid w:val="00ED5800"/>
    <w:rsid w:val="00ED58E8"/>
    <w:rsid w:val="00ED5A73"/>
    <w:rsid w:val="00ED5ADF"/>
    <w:rsid w:val="00ED627D"/>
    <w:rsid w:val="00ED66D3"/>
    <w:rsid w:val="00ED69D9"/>
    <w:rsid w:val="00ED6A67"/>
    <w:rsid w:val="00ED6A97"/>
    <w:rsid w:val="00ED6AB3"/>
    <w:rsid w:val="00ED6AC6"/>
    <w:rsid w:val="00ED6B3C"/>
    <w:rsid w:val="00ED70F2"/>
    <w:rsid w:val="00ED735B"/>
    <w:rsid w:val="00ED75CB"/>
    <w:rsid w:val="00ED76E6"/>
    <w:rsid w:val="00ED778E"/>
    <w:rsid w:val="00ED791B"/>
    <w:rsid w:val="00ED7A0A"/>
    <w:rsid w:val="00ED7FD0"/>
    <w:rsid w:val="00EE078F"/>
    <w:rsid w:val="00EE0861"/>
    <w:rsid w:val="00EE09E8"/>
    <w:rsid w:val="00EE0CC8"/>
    <w:rsid w:val="00EE0D0F"/>
    <w:rsid w:val="00EE0E3F"/>
    <w:rsid w:val="00EE0F34"/>
    <w:rsid w:val="00EE13C4"/>
    <w:rsid w:val="00EE14B8"/>
    <w:rsid w:val="00EE1784"/>
    <w:rsid w:val="00EE18AE"/>
    <w:rsid w:val="00EE1A6F"/>
    <w:rsid w:val="00EE1DB4"/>
    <w:rsid w:val="00EE1F23"/>
    <w:rsid w:val="00EE2639"/>
    <w:rsid w:val="00EE27C0"/>
    <w:rsid w:val="00EE2B7C"/>
    <w:rsid w:val="00EE2E20"/>
    <w:rsid w:val="00EE300F"/>
    <w:rsid w:val="00EE32EC"/>
    <w:rsid w:val="00EE3448"/>
    <w:rsid w:val="00EE3A3D"/>
    <w:rsid w:val="00EE3B39"/>
    <w:rsid w:val="00EE3BDE"/>
    <w:rsid w:val="00EE41F3"/>
    <w:rsid w:val="00EE42F6"/>
    <w:rsid w:val="00EE42F7"/>
    <w:rsid w:val="00EE4411"/>
    <w:rsid w:val="00EE47BD"/>
    <w:rsid w:val="00EE4862"/>
    <w:rsid w:val="00EE48B6"/>
    <w:rsid w:val="00EE49BC"/>
    <w:rsid w:val="00EE4A90"/>
    <w:rsid w:val="00EE4D4D"/>
    <w:rsid w:val="00EE4D88"/>
    <w:rsid w:val="00EE4EDF"/>
    <w:rsid w:val="00EE515D"/>
    <w:rsid w:val="00EE5241"/>
    <w:rsid w:val="00EE531D"/>
    <w:rsid w:val="00EE5526"/>
    <w:rsid w:val="00EE556D"/>
    <w:rsid w:val="00EE559F"/>
    <w:rsid w:val="00EE5774"/>
    <w:rsid w:val="00EE57D9"/>
    <w:rsid w:val="00EE596D"/>
    <w:rsid w:val="00EE59DC"/>
    <w:rsid w:val="00EE5B09"/>
    <w:rsid w:val="00EE5D0E"/>
    <w:rsid w:val="00EE5D5F"/>
    <w:rsid w:val="00EE5D6D"/>
    <w:rsid w:val="00EE601F"/>
    <w:rsid w:val="00EE642F"/>
    <w:rsid w:val="00EE6699"/>
    <w:rsid w:val="00EE6797"/>
    <w:rsid w:val="00EE6A8C"/>
    <w:rsid w:val="00EE6CDC"/>
    <w:rsid w:val="00EE6E4C"/>
    <w:rsid w:val="00EE7061"/>
    <w:rsid w:val="00EE722D"/>
    <w:rsid w:val="00EE7236"/>
    <w:rsid w:val="00EE7409"/>
    <w:rsid w:val="00EE747D"/>
    <w:rsid w:val="00EE7590"/>
    <w:rsid w:val="00EE7700"/>
    <w:rsid w:val="00EE7978"/>
    <w:rsid w:val="00EE7A64"/>
    <w:rsid w:val="00EE7B22"/>
    <w:rsid w:val="00EE7DCC"/>
    <w:rsid w:val="00EF0031"/>
    <w:rsid w:val="00EF0162"/>
    <w:rsid w:val="00EF01EE"/>
    <w:rsid w:val="00EF02ED"/>
    <w:rsid w:val="00EF02FA"/>
    <w:rsid w:val="00EF034E"/>
    <w:rsid w:val="00EF05EB"/>
    <w:rsid w:val="00EF086E"/>
    <w:rsid w:val="00EF09AA"/>
    <w:rsid w:val="00EF09C8"/>
    <w:rsid w:val="00EF0BAC"/>
    <w:rsid w:val="00EF0C45"/>
    <w:rsid w:val="00EF0D34"/>
    <w:rsid w:val="00EF137C"/>
    <w:rsid w:val="00EF16A8"/>
    <w:rsid w:val="00EF16F0"/>
    <w:rsid w:val="00EF20CC"/>
    <w:rsid w:val="00EF21D2"/>
    <w:rsid w:val="00EF2253"/>
    <w:rsid w:val="00EF2259"/>
    <w:rsid w:val="00EF248E"/>
    <w:rsid w:val="00EF266A"/>
    <w:rsid w:val="00EF2679"/>
    <w:rsid w:val="00EF2CB7"/>
    <w:rsid w:val="00EF2F19"/>
    <w:rsid w:val="00EF2F7C"/>
    <w:rsid w:val="00EF317B"/>
    <w:rsid w:val="00EF31A1"/>
    <w:rsid w:val="00EF36DC"/>
    <w:rsid w:val="00EF3FA6"/>
    <w:rsid w:val="00EF43F3"/>
    <w:rsid w:val="00EF4526"/>
    <w:rsid w:val="00EF462A"/>
    <w:rsid w:val="00EF4850"/>
    <w:rsid w:val="00EF499D"/>
    <w:rsid w:val="00EF4A7B"/>
    <w:rsid w:val="00EF52D2"/>
    <w:rsid w:val="00EF5429"/>
    <w:rsid w:val="00EF547D"/>
    <w:rsid w:val="00EF5618"/>
    <w:rsid w:val="00EF5726"/>
    <w:rsid w:val="00EF576F"/>
    <w:rsid w:val="00EF58A9"/>
    <w:rsid w:val="00EF597E"/>
    <w:rsid w:val="00EF598A"/>
    <w:rsid w:val="00EF5A0E"/>
    <w:rsid w:val="00EF5BAA"/>
    <w:rsid w:val="00EF5BE9"/>
    <w:rsid w:val="00EF5C5B"/>
    <w:rsid w:val="00EF5C62"/>
    <w:rsid w:val="00EF5D2A"/>
    <w:rsid w:val="00EF5EED"/>
    <w:rsid w:val="00EF611E"/>
    <w:rsid w:val="00EF62C9"/>
    <w:rsid w:val="00EF637C"/>
    <w:rsid w:val="00EF6441"/>
    <w:rsid w:val="00EF648F"/>
    <w:rsid w:val="00EF64BA"/>
    <w:rsid w:val="00EF67CA"/>
    <w:rsid w:val="00EF6866"/>
    <w:rsid w:val="00EF6BC2"/>
    <w:rsid w:val="00EF6C74"/>
    <w:rsid w:val="00EF6D5C"/>
    <w:rsid w:val="00EF6D88"/>
    <w:rsid w:val="00EF6DBB"/>
    <w:rsid w:val="00EF6DD0"/>
    <w:rsid w:val="00EF6DEE"/>
    <w:rsid w:val="00EF6E4D"/>
    <w:rsid w:val="00EF6F59"/>
    <w:rsid w:val="00EF717A"/>
    <w:rsid w:val="00EF721A"/>
    <w:rsid w:val="00EF73EA"/>
    <w:rsid w:val="00EF7470"/>
    <w:rsid w:val="00EF78E6"/>
    <w:rsid w:val="00EF7BED"/>
    <w:rsid w:val="00EF7F99"/>
    <w:rsid w:val="00F003AA"/>
    <w:rsid w:val="00F005CA"/>
    <w:rsid w:val="00F00617"/>
    <w:rsid w:val="00F0065E"/>
    <w:rsid w:val="00F00876"/>
    <w:rsid w:val="00F00A36"/>
    <w:rsid w:val="00F00B75"/>
    <w:rsid w:val="00F00CC0"/>
    <w:rsid w:val="00F00D65"/>
    <w:rsid w:val="00F00E7B"/>
    <w:rsid w:val="00F0100C"/>
    <w:rsid w:val="00F01080"/>
    <w:rsid w:val="00F01178"/>
    <w:rsid w:val="00F012CF"/>
    <w:rsid w:val="00F01507"/>
    <w:rsid w:val="00F0158F"/>
    <w:rsid w:val="00F01739"/>
    <w:rsid w:val="00F017F4"/>
    <w:rsid w:val="00F018B2"/>
    <w:rsid w:val="00F01A32"/>
    <w:rsid w:val="00F01BF0"/>
    <w:rsid w:val="00F01D97"/>
    <w:rsid w:val="00F01DFB"/>
    <w:rsid w:val="00F01F8C"/>
    <w:rsid w:val="00F0207E"/>
    <w:rsid w:val="00F022A3"/>
    <w:rsid w:val="00F022EC"/>
    <w:rsid w:val="00F0288E"/>
    <w:rsid w:val="00F0292A"/>
    <w:rsid w:val="00F02A71"/>
    <w:rsid w:val="00F02AE0"/>
    <w:rsid w:val="00F02B4D"/>
    <w:rsid w:val="00F02D59"/>
    <w:rsid w:val="00F02DE3"/>
    <w:rsid w:val="00F03510"/>
    <w:rsid w:val="00F03633"/>
    <w:rsid w:val="00F036B3"/>
    <w:rsid w:val="00F03715"/>
    <w:rsid w:val="00F03763"/>
    <w:rsid w:val="00F03EAD"/>
    <w:rsid w:val="00F03EC0"/>
    <w:rsid w:val="00F03EF8"/>
    <w:rsid w:val="00F03FFC"/>
    <w:rsid w:val="00F043E8"/>
    <w:rsid w:val="00F04727"/>
    <w:rsid w:val="00F0489D"/>
    <w:rsid w:val="00F049AF"/>
    <w:rsid w:val="00F04D35"/>
    <w:rsid w:val="00F04D82"/>
    <w:rsid w:val="00F04FD7"/>
    <w:rsid w:val="00F05441"/>
    <w:rsid w:val="00F0550C"/>
    <w:rsid w:val="00F056EA"/>
    <w:rsid w:val="00F059FB"/>
    <w:rsid w:val="00F05A28"/>
    <w:rsid w:val="00F05C08"/>
    <w:rsid w:val="00F05C40"/>
    <w:rsid w:val="00F05CAF"/>
    <w:rsid w:val="00F05E40"/>
    <w:rsid w:val="00F0615E"/>
    <w:rsid w:val="00F0626F"/>
    <w:rsid w:val="00F0652C"/>
    <w:rsid w:val="00F06794"/>
    <w:rsid w:val="00F06833"/>
    <w:rsid w:val="00F06945"/>
    <w:rsid w:val="00F069C4"/>
    <w:rsid w:val="00F06C3F"/>
    <w:rsid w:val="00F06C61"/>
    <w:rsid w:val="00F06D6E"/>
    <w:rsid w:val="00F06DBC"/>
    <w:rsid w:val="00F07168"/>
    <w:rsid w:val="00F071D7"/>
    <w:rsid w:val="00F07241"/>
    <w:rsid w:val="00F07338"/>
    <w:rsid w:val="00F07473"/>
    <w:rsid w:val="00F07575"/>
    <w:rsid w:val="00F076FA"/>
    <w:rsid w:val="00F07A6D"/>
    <w:rsid w:val="00F07B45"/>
    <w:rsid w:val="00F07FA3"/>
    <w:rsid w:val="00F1014E"/>
    <w:rsid w:val="00F101E6"/>
    <w:rsid w:val="00F10495"/>
    <w:rsid w:val="00F1079C"/>
    <w:rsid w:val="00F10B76"/>
    <w:rsid w:val="00F10C11"/>
    <w:rsid w:val="00F10C4F"/>
    <w:rsid w:val="00F10EEE"/>
    <w:rsid w:val="00F11220"/>
    <w:rsid w:val="00F113EE"/>
    <w:rsid w:val="00F117F5"/>
    <w:rsid w:val="00F11942"/>
    <w:rsid w:val="00F11DF2"/>
    <w:rsid w:val="00F11E8B"/>
    <w:rsid w:val="00F1207A"/>
    <w:rsid w:val="00F12357"/>
    <w:rsid w:val="00F123B5"/>
    <w:rsid w:val="00F12818"/>
    <w:rsid w:val="00F128C5"/>
    <w:rsid w:val="00F12BF0"/>
    <w:rsid w:val="00F1330C"/>
    <w:rsid w:val="00F136D9"/>
    <w:rsid w:val="00F137D4"/>
    <w:rsid w:val="00F139E4"/>
    <w:rsid w:val="00F13A40"/>
    <w:rsid w:val="00F13AC0"/>
    <w:rsid w:val="00F13ACD"/>
    <w:rsid w:val="00F13D23"/>
    <w:rsid w:val="00F13ED3"/>
    <w:rsid w:val="00F13F17"/>
    <w:rsid w:val="00F1412C"/>
    <w:rsid w:val="00F14265"/>
    <w:rsid w:val="00F142CB"/>
    <w:rsid w:val="00F149CD"/>
    <w:rsid w:val="00F149EF"/>
    <w:rsid w:val="00F14C40"/>
    <w:rsid w:val="00F14CEE"/>
    <w:rsid w:val="00F14E5F"/>
    <w:rsid w:val="00F14FE5"/>
    <w:rsid w:val="00F15075"/>
    <w:rsid w:val="00F15117"/>
    <w:rsid w:val="00F153F3"/>
    <w:rsid w:val="00F154DE"/>
    <w:rsid w:val="00F15658"/>
    <w:rsid w:val="00F156FE"/>
    <w:rsid w:val="00F1589E"/>
    <w:rsid w:val="00F15A07"/>
    <w:rsid w:val="00F15A7D"/>
    <w:rsid w:val="00F15B0F"/>
    <w:rsid w:val="00F15C6F"/>
    <w:rsid w:val="00F15DF9"/>
    <w:rsid w:val="00F15F9D"/>
    <w:rsid w:val="00F16177"/>
    <w:rsid w:val="00F16232"/>
    <w:rsid w:val="00F16326"/>
    <w:rsid w:val="00F166DA"/>
    <w:rsid w:val="00F1697D"/>
    <w:rsid w:val="00F16B96"/>
    <w:rsid w:val="00F16D11"/>
    <w:rsid w:val="00F16DDD"/>
    <w:rsid w:val="00F16E15"/>
    <w:rsid w:val="00F1741E"/>
    <w:rsid w:val="00F17558"/>
    <w:rsid w:val="00F1771D"/>
    <w:rsid w:val="00F177D8"/>
    <w:rsid w:val="00F17C7D"/>
    <w:rsid w:val="00F17C97"/>
    <w:rsid w:val="00F17D42"/>
    <w:rsid w:val="00F20330"/>
    <w:rsid w:val="00F20648"/>
    <w:rsid w:val="00F208AB"/>
    <w:rsid w:val="00F2096C"/>
    <w:rsid w:val="00F20A9F"/>
    <w:rsid w:val="00F20CAB"/>
    <w:rsid w:val="00F213DF"/>
    <w:rsid w:val="00F21638"/>
    <w:rsid w:val="00F21678"/>
    <w:rsid w:val="00F21917"/>
    <w:rsid w:val="00F21A2C"/>
    <w:rsid w:val="00F21AFD"/>
    <w:rsid w:val="00F222DD"/>
    <w:rsid w:val="00F2241C"/>
    <w:rsid w:val="00F22556"/>
    <w:rsid w:val="00F2257F"/>
    <w:rsid w:val="00F225C9"/>
    <w:rsid w:val="00F225D4"/>
    <w:rsid w:val="00F22635"/>
    <w:rsid w:val="00F227D7"/>
    <w:rsid w:val="00F227DF"/>
    <w:rsid w:val="00F22C4F"/>
    <w:rsid w:val="00F22C60"/>
    <w:rsid w:val="00F22CA0"/>
    <w:rsid w:val="00F22F86"/>
    <w:rsid w:val="00F2308C"/>
    <w:rsid w:val="00F232F3"/>
    <w:rsid w:val="00F23974"/>
    <w:rsid w:val="00F23C27"/>
    <w:rsid w:val="00F23CF8"/>
    <w:rsid w:val="00F243E6"/>
    <w:rsid w:val="00F245DF"/>
    <w:rsid w:val="00F24AFD"/>
    <w:rsid w:val="00F25059"/>
    <w:rsid w:val="00F25C60"/>
    <w:rsid w:val="00F25C9D"/>
    <w:rsid w:val="00F25D5B"/>
    <w:rsid w:val="00F2676D"/>
    <w:rsid w:val="00F26C78"/>
    <w:rsid w:val="00F26DA6"/>
    <w:rsid w:val="00F27365"/>
    <w:rsid w:val="00F277CD"/>
    <w:rsid w:val="00F27ADD"/>
    <w:rsid w:val="00F27AE3"/>
    <w:rsid w:val="00F27FD8"/>
    <w:rsid w:val="00F300A5"/>
    <w:rsid w:val="00F30339"/>
    <w:rsid w:val="00F30361"/>
    <w:rsid w:val="00F303EE"/>
    <w:rsid w:val="00F30553"/>
    <w:rsid w:val="00F305D1"/>
    <w:rsid w:val="00F30864"/>
    <w:rsid w:val="00F3094E"/>
    <w:rsid w:val="00F30AA8"/>
    <w:rsid w:val="00F30CF9"/>
    <w:rsid w:val="00F30D93"/>
    <w:rsid w:val="00F30EBF"/>
    <w:rsid w:val="00F3169D"/>
    <w:rsid w:val="00F319AB"/>
    <w:rsid w:val="00F31B56"/>
    <w:rsid w:val="00F31D03"/>
    <w:rsid w:val="00F31D8B"/>
    <w:rsid w:val="00F32158"/>
    <w:rsid w:val="00F32162"/>
    <w:rsid w:val="00F3216E"/>
    <w:rsid w:val="00F323F5"/>
    <w:rsid w:val="00F32416"/>
    <w:rsid w:val="00F32731"/>
    <w:rsid w:val="00F327DA"/>
    <w:rsid w:val="00F32869"/>
    <w:rsid w:val="00F329ED"/>
    <w:rsid w:val="00F32B00"/>
    <w:rsid w:val="00F32B0B"/>
    <w:rsid w:val="00F32F84"/>
    <w:rsid w:val="00F3301F"/>
    <w:rsid w:val="00F331A0"/>
    <w:rsid w:val="00F333E1"/>
    <w:rsid w:val="00F33792"/>
    <w:rsid w:val="00F33BD5"/>
    <w:rsid w:val="00F33CE8"/>
    <w:rsid w:val="00F33F6A"/>
    <w:rsid w:val="00F3426C"/>
    <w:rsid w:val="00F34275"/>
    <w:rsid w:val="00F343C1"/>
    <w:rsid w:val="00F348A8"/>
    <w:rsid w:val="00F34A00"/>
    <w:rsid w:val="00F34BD2"/>
    <w:rsid w:val="00F34DB5"/>
    <w:rsid w:val="00F34E23"/>
    <w:rsid w:val="00F34E43"/>
    <w:rsid w:val="00F34F84"/>
    <w:rsid w:val="00F3631B"/>
    <w:rsid w:val="00F363A5"/>
    <w:rsid w:val="00F368C7"/>
    <w:rsid w:val="00F36962"/>
    <w:rsid w:val="00F36BD6"/>
    <w:rsid w:val="00F37161"/>
    <w:rsid w:val="00F37180"/>
    <w:rsid w:val="00F372E8"/>
    <w:rsid w:val="00F37766"/>
    <w:rsid w:val="00F3786E"/>
    <w:rsid w:val="00F39038"/>
    <w:rsid w:val="00F40082"/>
    <w:rsid w:val="00F401C6"/>
    <w:rsid w:val="00F40284"/>
    <w:rsid w:val="00F4060A"/>
    <w:rsid w:val="00F407EC"/>
    <w:rsid w:val="00F40AF0"/>
    <w:rsid w:val="00F40E0D"/>
    <w:rsid w:val="00F416EB"/>
    <w:rsid w:val="00F4177C"/>
    <w:rsid w:val="00F41910"/>
    <w:rsid w:val="00F41A72"/>
    <w:rsid w:val="00F41D3A"/>
    <w:rsid w:val="00F41FDC"/>
    <w:rsid w:val="00F422CA"/>
    <w:rsid w:val="00F424FC"/>
    <w:rsid w:val="00F42C0C"/>
    <w:rsid w:val="00F42CCE"/>
    <w:rsid w:val="00F42D11"/>
    <w:rsid w:val="00F42E15"/>
    <w:rsid w:val="00F42E21"/>
    <w:rsid w:val="00F42F8D"/>
    <w:rsid w:val="00F43574"/>
    <w:rsid w:val="00F43577"/>
    <w:rsid w:val="00F4387B"/>
    <w:rsid w:val="00F43B50"/>
    <w:rsid w:val="00F43DB8"/>
    <w:rsid w:val="00F4411A"/>
    <w:rsid w:val="00F44179"/>
    <w:rsid w:val="00F4450C"/>
    <w:rsid w:val="00F44684"/>
    <w:rsid w:val="00F44B5A"/>
    <w:rsid w:val="00F44D85"/>
    <w:rsid w:val="00F44FD6"/>
    <w:rsid w:val="00F44FEA"/>
    <w:rsid w:val="00F45331"/>
    <w:rsid w:val="00F454F6"/>
    <w:rsid w:val="00F45836"/>
    <w:rsid w:val="00F45A86"/>
    <w:rsid w:val="00F45C56"/>
    <w:rsid w:val="00F45FA7"/>
    <w:rsid w:val="00F4640A"/>
    <w:rsid w:val="00F46762"/>
    <w:rsid w:val="00F4679B"/>
    <w:rsid w:val="00F46A35"/>
    <w:rsid w:val="00F46D9D"/>
    <w:rsid w:val="00F46FA3"/>
    <w:rsid w:val="00F47127"/>
    <w:rsid w:val="00F47147"/>
    <w:rsid w:val="00F4718A"/>
    <w:rsid w:val="00F4718F"/>
    <w:rsid w:val="00F4722C"/>
    <w:rsid w:val="00F47630"/>
    <w:rsid w:val="00F47A69"/>
    <w:rsid w:val="00F47D3E"/>
    <w:rsid w:val="00F47DB2"/>
    <w:rsid w:val="00F5010D"/>
    <w:rsid w:val="00F50691"/>
    <w:rsid w:val="00F508B5"/>
    <w:rsid w:val="00F509BB"/>
    <w:rsid w:val="00F50C9B"/>
    <w:rsid w:val="00F50FEC"/>
    <w:rsid w:val="00F5104C"/>
    <w:rsid w:val="00F510B1"/>
    <w:rsid w:val="00F519AF"/>
    <w:rsid w:val="00F51CAC"/>
    <w:rsid w:val="00F51ED7"/>
    <w:rsid w:val="00F5241C"/>
    <w:rsid w:val="00F5286C"/>
    <w:rsid w:val="00F529A5"/>
    <w:rsid w:val="00F52A37"/>
    <w:rsid w:val="00F52C65"/>
    <w:rsid w:val="00F5312C"/>
    <w:rsid w:val="00F5325D"/>
    <w:rsid w:val="00F532A2"/>
    <w:rsid w:val="00F5338D"/>
    <w:rsid w:val="00F5349E"/>
    <w:rsid w:val="00F5388E"/>
    <w:rsid w:val="00F53D82"/>
    <w:rsid w:val="00F54184"/>
    <w:rsid w:val="00F54233"/>
    <w:rsid w:val="00F54319"/>
    <w:rsid w:val="00F544C9"/>
    <w:rsid w:val="00F54E9C"/>
    <w:rsid w:val="00F550FE"/>
    <w:rsid w:val="00F553D1"/>
    <w:rsid w:val="00F5568F"/>
    <w:rsid w:val="00F55C50"/>
    <w:rsid w:val="00F5626F"/>
    <w:rsid w:val="00F56709"/>
    <w:rsid w:val="00F56766"/>
    <w:rsid w:val="00F56A1A"/>
    <w:rsid w:val="00F56C6C"/>
    <w:rsid w:val="00F56DE4"/>
    <w:rsid w:val="00F56E5F"/>
    <w:rsid w:val="00F5732A"/>
    <w:rsid w:val="00F573C1"/>
    <w:rsid w:val="00F576C3"/>
    <w:rsid w:val="00F57C24"/>
    <w:rsid w:val="00F57E2A"/>
    <w:rsid w:val="00F60061"/>
    <w:rsid w:val="00F60386"/>
    <w:rsid w:val="00F60676"/>
    <w:rsid w:val="00F60800"/>
    <w:rsid w:val="00F60900"/>
    <w:rsid w:val="00F60D2D"/>
    <w:rsid w:val="00F60D67"/>
    <w:rsid w:val="00F60EA8"/>
    <w:rsid w:val="00F61331"/>
    <w:rsid w:val="00F61436"/>
    <w:rsid w:val="00F614D6"/>
    <w:rsid w:val="00F61BFD"/>
    <w:rsid w:val="00F61E53"/>
    <w:rsid w:val="00F622A8"/>
    <w:rsid w:val="00F622B8"/>
    <w:rsid w:val="00F62745"/>
    <w:rsid w:val="00F6275C"/>
    <w:rsid w:val="00F6290A"/>
    <w:rsid w:val="00F62B60"/>
    <w:rsid w:val="00F62D4C"/>
    <w:rsid w:val="00F62E29"/>
    <w:rsid w:val="00F62F82"/>
    <w:rsid w:val="00F630DD"/>
    <w:rsid w:val="00F631AC"/>
    <w:rsid w:val="00F632C7"/>
    <w:rsid w:val="00F63534"/>
    <w:rsid w:val="00F635EA"/>
    <w:rsid w:val="00F63819"/>
    <w:rsid w:val="00F63B9E"/>
    <w:rsid w:val="00F63DD1"/>
    <w:rsid w:val="00F64078"/>
    <w:rsid w:val="00F64845"/>
    <w:rsid w:val="00F64AFA"/>
    <w:rsid w:val="00F64C44"/>
    <w:rsid w:val="00F64EDE"/>
    <w:rsid w:val="00F65299"/>
    <w:rsid w:val="00F65330"/>
    <w:rsid w:val="00F65587"/>
    <w:rsid w:val="00F65945"/>
    <w:rsid w:val="00F659BF"/>
    <w:rsid w:val="00F65A0D"/>
    <w:rsid w:val="00F65A1B"/>
    <w:rsid w:val="00F65E09"/>
    <w:rsid w:val="00F66281"/>
    <w:rsid w:val="00F6647D"/>
    <w:rsid w:val="00F66700"/>
    <w:rsid w:val="00F66AAF"/>
    <w:rsid w:val="00F66C3D"/>
    <w:rsid w:val="00F66F27"/>
    <w:rsid w:val="00F670A0"/>
    <w:rsid w:val="00F67207"/>
    <w:rsid w:val="00F672D0"/>
    <w:rsid w:val="00F6774D"/>
    <w:rsid w:val="00F679F9"/>
    <w:rsid w:val="00F67B82"/>
    <w:rsid w:val="00F67E72"/>
    <w:rsid w:val="00F67EE1"/>
    <w:rsid w:val="00F67F34"/>
    <w:rsid w:val="00F701FB"/>
    <w:rsid w:val="00F70358"/>
    <w:rsid w:val="00F7083C"/>
    <w:rsid w:val="00F70BFB"/>
    <w:rsid w:val="00F70E7E"/>
    <w:rsid w:val="00F70F40"/>
    <w:rsid w:val="00F710EF"/>
    <w:rsid w:val="00F7110D"/>
    <w:rsid w:val="00F7113C"/>
    <w:rsid w:val="00F7131B"/>
    <w:rsid w:val="00F71412"/>
    <w:rsid w:val="00F715C2"/>
    <w:rsid w:val="00F716C5"/>
    <w:rsid w:val="00F71CF0"/>
    <w:rsid w:val="00F71D4F"/>
    <w:rsid w:val="00F71E87"/>
    <w:rsid w:val="00F71F2A"/>
    <w:rsid w:val="00F71F37"/>
    <w:rsid w:val="00F7206E"/>
    <w:rsid w:val="00F721CB"/>
    <w:rsid w:val="00F72528"/>
    <w:rsid w:val="00F726BA"/>
    <w:rsid w:val="00F72717"/>
    <w:rsid w:val="00F72898"/>
    <w:rsid w:val="00F72A7D"/>
    <w:rsid w:val="00F734CA"/>
    <w:rsid w:val="00F73729"/>
    <w:rsid w:val="00F738C7"/>
    <w:rsid w:val="00F73B28"/>
    <w:rsid w:val="00F73C14"/>
    <w:rsid w:val="00F73C6A"/>
    <w:rsid w:val="00F73CF1"/>
    <w:rsid w:val="00F73D0A"/>
    <w:rsid w:val="00F74106"/>
    <w:rsid w:val="00F7413E"/>
    <w:rsid w:val="00F74250"/>
    <w:rsid w:val="00F74578"/>
    <w:rsid w:val="00F7458E"/>
    <w:rsid w:val="00F745A5"/>
    <w:rsid w:val="00F74610"/>
    <w:rsid w:val="00F74720"/>
    <w:rsid w:val="00F7496B"/>
    <w:rsid w:val="00F74B09"/>
    <w:rsid w:val="00F74E69"/>
    <w:rsid w:val="00F74EC2"/>
    <w:rsid w:val="00F74ED9"/>
    <w:rsid w:val="00F7547D"/>
    <w:rsid w:val="00F754C7"/>
    <w:rsid w:val="00F759D1"/>
    <w:rsid w:val="00F75B45"/>
    <w:rsid w:val="00F75D3A"/>
    <w:rsid w:val="00F75EEF"/>
    <w:rsid w:val="00F75F80"/>
    <w:rsid w:val="00F7612A"/>
    <w:rsid w:val="00F763C6"/>
    <w:rsid w:val="00F7642E"/>
    <w:rsid w:val="00F76A68"/>
    <w:rsid w:val="00F76B1D"/>
    <w:rsid w:val="00F76B27"/>
    <w:rsid w:val="00F76F66"/>
    <w:rsid w:val="00F770CF"/>
    <w:rsid w:val="00F771DB"/>
    <w:rsid w:val="00F77211"/>
    <w:rsid w:val="00F7778C"/>
    <w:rsid w:val="00F7779F"/>
    <w:rsid w:val="00F77A2D"/>
    <w:rsid w:val="00F77C56"/>
    <w:rsid w:val="00F77D1E"/>
    <w:rsid w:val="00F77F1B"/>
    <w:rsid w:val="00F80080"/>
    <w:rsid w:val="00F80473"/>
    <w:rsid w:val="00F807EB"/>
    <w:rsid w:val="00F80A56"/>
    <w:rsid w:val="00F81036"/>
    <w:rsid w:val="00F810A2"/>
    <w:rsid w:val="00F8123C"/>
    <w:rsid w:val="00F81267"/>
    <w:rsid w:val="00F813D6"/>
    <w:rsid w:val="00F81C2B"/>
    <w:rsid w:val="00F81CFB"/>
    <w:rsid w:val="00F81EC3"/>
    <w:rsid w:val="00F81F86"/>
    <w:rsid w:val="00F8241F"/>
    <w:rsid w:val="00F824C2"/>
    <w:rsid w:val="00F826F1"/>
    <w:rsid w:val="00F82746"/>
    <w:rsid w:val="00F82755"/>
    <w:rsid w:val="00F8293A"/>
    <w:rsid w:val="00F829AF"/>
    <w:rsid w:val="00F82B39"/>
    <w:rsid w:val="00F82D02"/>
    <w:rsid w:val="00F83107"/>
    <w:rsid w:val="00F83269"/>
    <w:rsid w:val="00F834A6"/>
    <w:rsid w:val="00F83518"/>
    <w:rsid w:val="00F83731"/>
    <w:rsid w:val="00F837C5"/>
    <w:rsid w:val="00F83AB5"/>
    <w:rsid w:val="00F83BE7"/>
    <w:rsid w:val="00F84060"/>
    <w:rsid w:val="00F84199"/>
    <w:rsid w:val="00F842E8"/>
    <w:rsid w:val="00F84665"/>
    <w:rsid w:val="00F84D4C"/>
    <w:rsid w:val="00F84F23"/>
    <w:rsid w:val="00F84F4C"/>
    <w:rsid w:val="00F84F6B"/>
    <w:rsid w:val="00F8534D"/>
    <w:rsid w:val="00F85399"/>
    <w:rsid w:val="00F854D8"/>
    <w:rsid w:val="00F85638"/>
    <w:rsid w:val="00F8567C"/>
    <w:rsid w:val="00F8584F"/>
    <w:rsid w:val="00F85DCE"/>
    <w:rsid w:val="00F85ED4"/>
    <w:rsid w:val="00F85EDD"/>
    <w:rsid w:val="00F85F07"/>
    <w:rsid w:val="00F85F2F"/>
    <w:rsid w:val="00F8607F"/>
    <w:rsid w:val="00F8608E"/>
    <w:rsid w:val="00F86218"/>
    <w:rsid w:val="00F863E2"/>
    <w:rsid w:val="00F864D1"/>
    <w:rsid w:val="00F86816"/>
    <w:rsid w:val="00F8682B"/>
    <w:rsid w:val="00F86CE9"/>
    <w:rsid w:val="00F86FD7"/>
    <w:rsid w:val="00F870CE"/>
    <w:rsid w:val="00F8711A"/>
    <w:rsid w:val="00F87638"/>
    <w:rsid w:val="00F876D3"/>
    <w:rsid w:val="00F876F1"/>
    <w:rsid w:val="00F87A79"/>
    <w:rsid w:val="00F87C51"/>
    <w:rsid w:val="00F87EE7"/>
    <w:rsid w:val="00F902E8"/>
    <w:rsid w:val="00F9035D"/>
    <w:rsid w:val="00F903EE"/>
    <w:rsid w:val="00F90547"/>
    <w:rsid w:val="00F90A1A"/>
    <w:rsid w:val="00F91105"/>
    <w:rsid w:val="00F9117C"/>
    <w:rsid w:val="00F91401"/>
    <w:rsid w:val="00F915D4"/>
    <w:rsid w:val="00F91690"/>
    <w:rsid w:val="00F91893"/>
    <w:rsid w:val="00F91AC5"/>
    <w:rsid w:val="00F91B10"/>
    <w:rsid w:val="00F91F71"/>
    <w:rsid w:val="00F92046"/>
    <w:rsid w:val="00F920B8"/>
    <w:rsid w:val="00F92103"/>
    <w:rsid w:val="00F92196"/>
    <w:rsid w:val="00F922DA"/>
    <w:rsid w:val="00F924B4"/>
    <w:rsid w:val="00F927E5"/>
    <w:rsid w:val="00F92866"/>
    <w:rsid w:val="00F92EF1"/>
    <w:rsid w:val="00F93281"/>
    <w:rsid w:val="00F933B2"/>
    <w:rsid w:val="00F93673"/>
    <w:rsid w:val="00F9393B"/>
    <w:rsid w:val="00F93C14"/>
    <w:rsid w:val="00F93C15"/>
    <w:rsid w:val="00F93DD7"/>
    <w:rsid w:val="00F93DE1"/>
    <w:rsid w:val="00F93EFA"/>
    <w:rsid w:val="00F941D9"/>
    <w:rsid w:val="00F9441A"/>
    <w:rsid w:val="00F94491"/>
    <w:rsid w:val="00F945A2"/>
    <w:rsid w:val="00F94942"/>
    <w:rsid w:val="00F949F2"/>
    <w:rsid w:val="00F94C39"/>
    <w:rsid w:val="00F94C9D"/>
    <w:rsid w:val="00F95043"/>
    <w:rsid w:val="00F95188"/>
    <w:rsid w:val="00F953FA"/>
    <w:rsid w:val="00F95481"/>
    <w:rsid w:val="00F954FB"/>
    <w:rsid w:val="00F95557"/>
    <w:rsid w:val="00F955F5"/>
    <w:rsid w:val="00F96103"/>
    <w:rsid w:val="00F966F3"/>
    <w:rsid w:val="00F9680E"/>
    <w:rsid w:val="00F96C6B"/>
    <w:rsid w:val="00F9739D"/>
    <w:rsid w:val="00F9767B"/>
    <w:rsid w:val="00F976DF"/>
    <w:rsid w:val="00F9778F"/>
    <w:rsid w:val="00F9785D"/>
    <w:rsid w:val="00F978F0"/>
    <w:rsid w:val="00F97BCB"/>
    <w:rsid w:val="00F97D69"/>
    <w:rsid w:val="00F97F5A"/>
    <w:rsid w:val="00F97F88"/>
    <w:rsid w:val="00F97FF0"/>
    <w:rsid w:val="00F9B983"/>
    <w:rsid w:val="00FA00D9"/>
    <w:rsid w:val="00FA01E7"/>
    <w:rsid w:val="00FA02CF"/>
    <w:rsid w:val="00FA02F3"/>
    <w:rsid w:val="00FA03C0"/>
    <w:rsid w:val="00FA03EC"/>
    <w:rsid w:val="00FA049C"/>
    <w:rsid w:val="00FA0587"/>
    <w:rsid w:val="00FA0C0D"/>
    <w:rsid w:val="00FA1048"/>
    <w:rsid w:val="00FA14BD"/>
    <w:rsid w:val="00FA191B"/>
    <w:rsid w:val="00FA1CC5"/>
    <w:rsid w:val="00FA2000"/>
    <w:rsid w:val="00FA2843"/>
    <w:rsid w:val="00FA2B4A"/>
    <w:rsid w:val="00FA2B54"/>
    <w:rsid w:val="00FA2B6C"/>
    <w:rsid w:val="00FA2E2B"/>
    <w:rsid w:val="00FA2F13"/>
    <w:rsid w:val="00FA30CF"/>
    <w:rsid w:val="00FA31E9"/>
    <w:rsid w:val="00FA33D6"/>
    <w:rsid w:val="00FA3613"/>
    <w:rsid w:val="00FA38AC"/>
    <w:rsid w:val="00FA3957"/>
    <w:rsid w:val="00FA3994"/>
    <w:rsid w:val="00FA39EB"/>
    <w:rsid w:val="00FA3B63"/>
    <w:rsid w:val="00FA3F48"/>
    <w:rsid w:val="00FA4049"/>
    <w:rsid w:val="00FA4351"/>
    <w:rsid w:val="00FA44E1"/>
    <w:rsid w:val="00FA46E9"/>
    <w:rsid w:val="00FA46F3"/>
    <w:rsid w:val="00FA4A7E"/>
    <w:rsid w:val="00FA4C7A"/>
    <w:rsid w:val="00FA4D60"/>
    <w:rsid w:val="00FA4E2B"/>
    <w:rsid w:val="00FA4F51"/>
    <w:rsid w:val="00FA5492"/>
    <w:rsid w:val="00FA57E1"/>
    <w:rsid w:val="00FA5AC7"/>
    <w:rsid w:val="00FA5D51"/>
    <w:rsid w:val="00FA5D53"/>
    <w:rsid w:val="00FA5EE7"/>
    <w:rsid w:val="00FA5EF4"/>
    <w:rsid w:val="00FA5F5B"/>
    <w:rsid w:val="00FA5F8F"/>
    <w:rsid w:val="00FA61AF"/>
    <w:rsid w:val="00FA631F"/>
    <w:rsid w:val="00FA6665"/>
    <w:rsid w:val="00FA6EFA"/>
    <w:rsid w:val="00FA763C"/>
    <w:rsid w:val="00FA7686"/>
    <w:rsid w:val="00FA7B41"/>
    <w:rsid w:val="00FA7C89"/>
    <w:rsid w:val="00FA7CE4"/>
    <w:rsid w:val="00FA7D50"/>
    <w:rsid w:val="00FA7EA1"/>
    <w:rsid w:val="00FA7EC0"/>
    <w:rsid w:val="00FB00B5"/>
    <w:rsid w:val="00FB0293"/>
    <w:rsid w:val="00FB047E"/>
    <w:rsid w:val="00FB05BF"/>
    <w:rsid w:val="00FB06ED"/>
    <w:rsid w:val="00FB071B"/>
    <w:rsid w:val="00FB0733"/>
    <w:rsid w:val="00FB0D14"/>
    <w:rsid w:val="00FB0F7C"/>
    <w:rsid w:val="00FB11B0"/>
    <w:rsid w:val="00FB18FE"/>
    <w:rsid w:val="00FB1ACE"/>
    <w:rsid w:val="00FB1C37"/>
    <w:rsid w:val="00FB1CB4"/>
    <w:rsid w:val="00FB1DC4"/>
    <w:rsid w:val="00FB1F6F"/>
    <w:rsid w:val="00FB222F"/>
    <w:rsid w:val="00FB27AB"/>
    <w:rsid w:val="00FB2AB6"/>
    <w:rsid w:val="00FB2EB1"/>
    <w:rsid w:val="00FB2EFE"/>
    <w:rsid w:val="00FB30C1"/>
    <w:rsid w:val="00FB33DC"/>
    <w:rsid w:val="00FB35DC"/>
    <w:rsid w:val="00FB37FD"/>
    <w:rsid w:val="00FB3967"/>
    <w:rsid w:val="00FB39DA"/>
    <w:rsid w:val="00FB3A52"/>
    <w:rsid w:val="00FB3A8A"/>
    <w:rsid w:val="00FB3C4C"/>
    <w:rsid w:val="00FB3CE4"/>
    <w:rsid w:val="00FB42AD"/>
    <w:rsid w:val="00FB4535"/>
    <w:rsid w:val="00FB4683"/>
    <w:rsid w:val="00FB4797"/>
    <w:rsid w:val="00FB4A18"/>
    <w:rsid w:val="00FB5068"/>
    <w:rsid w:val="00FB513D"/>
    <w:rsid w:val="00FB5580"/>
    <w:rsid w:val="00FB5A02"/>
    <w:rsid w:val="00FB5F57"/>
    <w:rsid w:val="00FB6182"/>
    <w:rsid w:val="00FB64DA"/>
    <w:rsid w:val="00FB6810"/>
    <w:rsid w:val="00FB68B0"/>
    <w:rsid w:val="00FB68CC"/>
    <w:rsid w:val="00FB693C"/>
    <w:rsid w:val="00FB6CE7"/>
    <w:rsid w:val="00FB6D0E"/>
    <w:rsid w:val="00FB6D94"/>
    <w:rsid w:val="00FB6F4D"/>
    <w:rsid w:val="00FB7094"/>
    <w:rsid w:val="00FB722D"/>
    <w:rsid w:val="00FB74EF"/>
    <w:rsid w:val="00FB7585"/>
    <w:rsid w:val="00FB758E"/>
    <w:rsid w:val="00FB760C"/>
    <w:rsid w:val="00FB7A94"/>
    <w:rsid w:val="00FB7AD9"/>
    <w:rsid w:val="00FB7DE5"/>
    <w:rsid w:val="00FB7DF1"/>
    <w:rsid w:val="00FC0010"/>
    <w:rsid w:val="00FC0023"/>
    <w:rsid w:val="00FC01B4"/>
    <w:rsid w:val="00FC05A2"/>
    <w:rsid w:val="00FC079E"/>
    <w:rsid w:val="00FC07C2"/>
    <w:rsid w:val="00FC0911"/>
    <w:rsid w:val="00FC0A7E"/>
    <w:rsid w:val="00FC0B49"/>
    <w:rsid w:val="00FC0EC7"/>
    <w:rsid w:val="00FC0F8C"/>
    <w:rsid w:val="00FC103D"/>
    <w:rsid w:val="00FC12CE"/>
    <w:rsid w:val="00FC1490"/>
    <w:rsid w:val="00FC18E7"/>
    <w:rsid w:val="00FC197D"/>
    <w:rsid w:val="00FC19AF"/>
    <w:rsid w:val="00FC1BD2"/>
    <w:rsid w:val="00FC1DE6"/>
    <w:rsid w:val="00FC1F13"/>
    <w:rsid w:val="00FC20BC"/>
    <w:rsid w:val="00FC2128"/>
    <w:rsid w:val="00FC2367"/>
    <w:rsid w:val="00FC249D"/>
    <w:rsid w:val="00FC2991"/>
    <w:rsid w:val="00FC2A6C"/>
    <w:rsid w:val="00FC2CA2"/>
    <w:rsid w:val="00FC2D6C"/>
    <w:rsid w:val="00FC33DE"/>
    <w:rsid w:val="00FC3544"/>
    <w:rsid w:val="00FC35D3"/>
    <w:rsid w:val="00FC363A"/>
    <w:rsid w:val="00FC3709"/>
    <w:rsid w:val="00FC3BAF"/>
    <w:rsid w:val="00FC3EA2"/>
    <w:rsid w:val="00FC3EEB"/>
    <w:rsid w:val="00FC3F22"/>
    <w:rsid w:val="00FC3F4A"/>
    <w:rsid w:val="00FC4214"/>
    <w:rsid w:val="00FC467E"/>
    <w:rsid w:val="00FC4CBC"/>
    <w:rsid w:val="00FC4D8D"/>
    <w:rsid w:val="00FC4D91"/>
    <w:rsid w:val="00FC5BE0"/>
    <w:rsid w:val="00FC5CB1"/>
    <w:rsid w:val="00FC5D7A"/>
    <w:rsid w:val="00FC632B"/>
    <w:rsid w:val="00FC6427"/>
    <w:rsid w:val="00FC6918"/>
    <w:rsid w:val="00FC6AC6"/>
    <w:rsid w:val="00FC6D0A"/>
    <w:rsid w:val="00FC6D96"/>
    <w:rsid w:val="00FC6E3D"/>
    <w:rsid w:val="00FC707A"/>
    <w:rsid w:val="00FC70B9"/>
    <w:rsid w:val="00FC730E"/>
    <w:rsid w:val="00FC75E3"/>
    <w:rsid w:val="00FC770E"/>
    <w:rsid w:val="00FC7718"/>
    <w:rsid w:val="00FC7762"/>
    <w:rsid w:val="00FC78CF"/>
    <w:rsid w:val="00FC7948"/>
    <w:rsid w:val="00FC7985"/>
    <w:rsid w:val="00FC7B50"/>
    <w:rsid w:val="00FC7B53"/>
    <w:rsid w:val="00FC7CD8"/>
    <w:rsid w:val="00FC7DA8"/>
    <w:rsid w:val="00FD00EC"/>
    <w:rsid w:val="00FD014B"/>
    <w:rsid w:val="00FD0449"/>
    <w:rsid w:val="00FD04BB"/>
    <w:rsid w:val="00FD06B1"/>
    <w:rsid w:val="00FD0948"/>
    <w:rsid w:val="00FD0C26"/>
    <w:rsid w:val="00FD0EF6"/>
    <w:rsid w:val="00FD1100"/>
    <w:rsid w:val="00FD11D9"/>
    <w:rsid w:val="00FD151F"/>
    <w:rsid w:val="00FD17B8"/>
    <w:rsid w:val="00FD1C51"/>
    <w:rsid w:val="00FD1DF8"/>
    <w:rsid w:val="00FD28C6"/>
    <w:rsid w:val="00FD2CAB"/>
    <w:rsid w:val="00FD3A71"/>
    <w:rsid w:val="00FD3C91"/>
    <w:rsid w:val="00FD3DAE"/>
    <w:rsid w:val="00FD3F61"/>
    <w:rsid w:val="00FD3F7F"/>
    <w:rsid w:val="00FD4247"/>
    <w:rsid w:val="00FD42D6"/>
    <w:rsid w:val="00FD47B4"/>
    <w:rsid w:val="00FD49BF"/>
    <w:rsid w:val="00FD4CD1"/>
    <w:rsid w:val="00FD4EBB"/>
    <w:rsid w:val="00FD4FD7"/>
    <w:rsid w:val="00FD5091"/>
    <w:rsid w:val="00FD5251"/>
    <w:rsid w:val="00FD5296"/>
    <w:rsid w:val="00FD530D"/>
    <w:rsid w:val="00FD5596"/>
    <w:rsid w:val="00FD55EF"/>
    <w:rsid w:val="00FD5D8B"/>
    <w:rsid w:val="00FD5E71"/>
    <w:rsid w:val="00FD60BB"/>
    <w:rsid w:val="00FD6112"/>
    <w:rsid w:val="00FD638E"/>
    <w:rsid w:val="00FD64D7"/>
    <w:rsid w:val="00FD6590"/>
    <w:rsid w:val="00FD673A"/>
    <w:rsid w:val="00FD67B9"/>
    <w:rsid w:val="00FD6894"/>
    <w:rsid w:val="00FD68A9"/>
    <w:rsid w:val="00FD6B1F"/>
    <w:rsid w:val="00FD6DCA"/>
    <w:rsid w:val="00FD6E16"/>
    <w:rsid w:val="00FD704C"/>
    <w:rsid w:val="00FD705C"/>
    <w:rsid w:val="00FD7066"/>
    <w:rsid w:val="00FD72EB"/>
    <w:rsid w:val="00FD740C"/>
    <w:rsid w:val="00FD7442"/>
    <w:rsid w:val="00FD78CA"/>
    <w:rsid w:val="00FD7980"/>
    <w:rsid w:val="00FD7B2A"/>
    <w:rsid w:val="00FD7B63"/>
    <w:rsid w:val="00FD7CAE"/>
    <w:rsid w:val="00FD7CDC"/>
    <w:rsid w:val="00FE0198"/>
    <w:rsid w:val="00FE042F"/>
    <w:rsid w:val="00FE0866"/>
    <w:rsid w:val="00FE09D0"/>
    <w:rsid w:val="00FE0B88"/>
    <w:rsid w:val="00FE0BAF"/>
    <w:rsid w:val="00FE0CD6"/>
    <w:rsid w:val="00FE0E0A"/>
    <w:rsid w:val="00FE1121"/>
    <w:rsid w:val="00FE136A"/>
    <w:rsid w:val="00FE16F5"/>
    <w:rsid w:val="00FE1890"/>
    <w:rsid w:val="00FE1943"/>
    <w:rsid w:val="00FE1EA9"/>
    <w:rsid w:val="00FE201D"/>
    <w:rsid w:val="00FE2090"/>
    <w:rsid w:val="00FE255F"/>
    <w:rsid w:val="00FE28FE"/>
    <w:rsid w:val="00FE2987"/>
    <w:rsid w:val="00FE2A70"/>
    <w:rsid w:val="00FE2BFB"/>
    <w:rsid w:val="00FE2D06"/>
    <w:rsid w:val="00FE2E65"/>
    <w:rsid w:val="00FE3678"/>
    <w:rsid w:val="00FE36E5"/>
    <w:rsid w:val="00FE3995"/>
    <w:rsid w:val="00FE3A67"/>
    <w:rsid w:val="00FE3FF4"/>
    <w:rsid w:val="00FE407A"/>
    <w:rsid w:val="00FE4323"/>
    <w:rsid w:val="00FE43A1"/>
    <w:rsid w:val="00FE46E4"/>
    <w:rsid w:val="00FE4D76"/>
    <w:rsid w:val="00FE4DD4"/>
    <w:rsid w:val="00FE515B"/>
    <w:rsid w:val="00FE54E0"/>
    <w:rsid w:val="00FE554A"/>
    <w:rsid w:val="00FE555F"/>
    <w:rsid w:val="00FE55A3"/>
    <w:rsid w:val="00FE5666"/>
    <w:rsid w:val="00FE592B"/>
    <w:rsid w:val="00FE59D1"/>
    <w:rsid w:val="00FE607E"/>
    <w:rsid w:val="00FE6378"/>
    <w:rsid w:val="00FE68AD"/>
    <w:rsid w:val="00FE69B2"/>
    <w:rsid w:val="00FE6DEE"/>
    <w:rsid w:val="00FE6E9D"/>
    <w:rsid w:val="00FE6F66"/>
    <w:rsid w:val="00FE6F79"/>
    <w:rsid w:val="00FE7053"/>
    <w:rsid w:val="00FE706F"/>
    <w:rsid w:val="00FE76DE"/>
    <w:rsid w:val="00FE77EF"/>
    <w:rsid w:val="00FE788B"/>
    <w:rsid w:val="00FE7E96"/>
    <w:rsid w:val="00FF0181"/>
    <w:rsid w:val="00FF0208"/>
    <w:rsid w:val="00FF0343"/>
    <w:rsid w:val="00FF0408"/>
    <w:rsid w:val="00FF044E"/>
    <w:rsid w:val="00FF05FF"/>
    <w:rsid w:val="00FF06E8"/>
    <w:rsid w:val="00FF07BD"/>
    <w:rsid w:val="00FF0838"/>
    <w:rsid w:val="00FF0C13"/>
    <w:rsid w:val="00FF0EAC"/>
    <w:rsid w:val="00FF126A"/>
    <w:rsid w:val="00FF1314"/>
    <w:rsid w:val="00FF1424"/>
    <w:rsid w:val="00FF1444"/>
    <w:rsid w:val="00FF1D3D"/>
    <w:rsid w:val="00FF2014"/>
    <w:rsid w:val="00FF2178"/>
    <w:rsid w:val="00FF22CF"/>
    <w:rsid w:val="00FF2631"/>
    <w:rsid w:val="00FF2685"/>
    <w:rsid w:val="00FF26A2"/>
    <w:rsid w:val="00FF317C"/>
    <w:rsid w:val="00FF3435"/>
    <w:rsid w:val="00FF36AA"/>
    <w:rsid w:val="00FF3CB7"/>
    <w:rsid w:val="00FF3E95"/>
    <w:rsid w:val="00FF3F84"/>
    <w:rsid w:val="00FF40B1"/>
    <w:rsid w:val="00FF41F1"/>
    <w:rsid w:val="00FF44DE"/>
    <w:rsid w:val="00FF4548"/>
    <w:rsid w:val="00FF47D0"/>
    <w:rsid w:val="00FF4B13"/>
    <w:rsid w:val="00FF4DAC"/>
    <w:rsid w:val="00FF4F0E"/>
    <w:rsid w:val="00FF50B2"/>
    <w:rsid w:val="00FF5142"/>
    <w:rsid w:val="00FF534A"/>
    <w:rsid w:val="00FF53D7"/>
    <w:rsid w:val="00FF5777"/>
    <w:rsid w:val="00FF577D"/>
    <w:rsid w:val="00FF5791"/>
    <w:rsid w:val="00FF597F"/>
    <w:rsid w:val="00FF5C09"/>
    <w:rsid w:val="00FF5C8A"/>
    <w:rsid w:val="00FF6103"/>
    <w:rsid w:val="00FF615B"/>
    <w:rsid w:val="00FF63CC"/>
    <w:rsid w:val="00FF6458"/>
    <w:rsid w:val="00FF6A4C"/>
    <w:rsid w:val="00FF6AD2"/>
    <w:rsid w:val="00FF6B42"/>
    <w:rsid w:val="00FF6BB2"/>
    <w:rsid w:val="00FF709C"/>
    <w:rsid w:val="00FF720B"/>
    <w:rsid w:val="00FF7336"/>
    <w:rsid w:val="00FF7481"/>
    <w:rsid w:val="00FF7698"/>
    <w:rsid w:val="00FF76EA"/>
    <w:rsid w:val="00FF7A71"/>
    <w:rsid w:val="00FF7A9B"/>
    <w:rsid w:val="00FF7B5E"/>
    <w:rsid w:val="00FF7CE2"/>
    <w:rsid w:val="00FF7D8D"/>
    <w:rsid w:val="00FF7F9C"/>
    <w:rsid w:val="010CF908"/>
    <w:rsid w:val="010DE871"/>
    <w:rsid w:val="011BE2C9"/>
    <w:rsid w:val="011D4D16"/>
    <w:rsid w:val="01280021"/>
    <w:rsid w:val="01432245"/>
    <w:rsid w:val="016D5E74"/>
    <w:rsid w:val="0174252B"/>
    <w:rsid w:val="01871ECB"/>
    <w:rsid w:val="018E2624"/>
    <w:rsid w:val="01A76D8B"/>
    <w:rsid w:val="01B85BF5"/>
    <w:rsid w:val="01D20064"/>
    <w:rsid w:val="01D816E0"/>
    <w:rsid w:val="01D99481"/>
    <w:rsid w:val="01DF1EF8"/>
    <w:rsid w:val="01E2BD9F"/>
    <w:rsid w:val="01ECE686"/>
    <w:rsid w:val="02155EE9"/>
    <w:rsid w:val="02160E19"/>
    <w:rsid w:val="02170834"/>
    <w:rsid w:val="0219DA1D"/>
    <w:rsid w:val="021BBDDE"/>
    <w:rsid w:val="022C01CC"/>
    <w:rsid w:val="02439CB9"/>
    <w:rsid w:val="024E15F8"/>
    <w:rsid w:val="02533D28"/>
    <w:rsid w:val="02636B63"/>
    <w:rsid w:val="028AF0E1"/>
    <w:rsid w:val="028FD75D"/>
    <w:rsid w:val="02ACE5D8"/>
    <w:rsid w:val="02B8AE87"/>
    <w:rsid w:val="02CE61E5"/>
    <w:rsid w:val="02D156CA"/>
    <w:rsid w:val="02D49B7B"/>
    <w:rsid w:val="02E138BB"/>
    <w:rsid w:val="03031B8D"/>
    <w:rsid w:val="0334A775"/>
    <w:rsid w:val="0335C81D"/>
    <w:rsid w:val="033DF2F6"/>
    <w:rsid w:val="03461FC4"/>
    <w:rsid w:val="03474ECB"/>
    <w:rsid w:val="0347D782"/>
    <w:rsid w:val="034EDB14"/>
    <w:rsid w:val="03A7AB92"/>
    <w:rsid w:val="03A97EE9"/>
    <w:rsid w:val="03B4F7F9"/>
    <w:rsid w:val="03C58039"/>
    <w:rsid w:val="03C6C4CF"/>
    <w:rsid w:val="03D75655"/>
    <w:rsid w:val="03E6513E"/>
    <w:rsid w:val="03EAB035"/>
    <w:rsid w:val="040E7989"/>
    <w:rsid w:val="0420D24E"/>
    <w:rsid w:val="042BA7BE"/>
    <w:rsid w:val="04447087"/>
    <w:rsid w:val="04642563"/>
    <w:rsid w:val="046CF92D"/>
    <w:rsid w:val="046F01B4"/>
    <w:rsid w:val="0474A1B3"/>
    <w:rsid w:val="047D02AC"/>
    <w:rsid w:val="04852E2B"/>
    <w:rsid w:val="048C8760"/>
    <w:rsid w:val="04A070DB"/>
    <w:rsid w:val="04AC347E"/>
    <w:rsid w:val="04B5DC60"/>
    <w:rsid w:val="04BAF87F"/>
    <w:rsid w:val="04D412C4"/>
    <w:rsid w:val="0539722B"/>
    <w:rsid w:val="0559DE42"/>
    <w:rsid w:val="0563D89A"/>
    <w:rsid w:val="05691091"/>
    <w:rsid w:val="05784526"/>
    <w:rsid w:val="05796BBC"/>
    <w:rsid w:val="05862CD2"/>
    <w:rsid w:val="0589D6FD"/>
    <w:rsid w:val="059632E0"/>
    <w:rsid w:val="05AB27A4"/>
    <w:rsid w:val="05ABE383"/>
    <w:rsid w:val="05BE3FC0"/>
    <w:rsid w:val="05E4DD83"/>
    <w:rsid w:val="05F39FCA"/>
    <w:rsid w:val="05FAE7ED"/>
    <w:rsid w:val="0606B7CE"/>
    <w:rsid w:val="061B7ED6"/>
    <w:rsid w:val="06354923"/>
    <w:rsid w:val="0655EFCC"/>
    <w:rsid w:val="066A3ADD"/>
    <w:rsid w:val="066B3599"/>
    <w:rsid w:val="06728392"/>
    <w:rsid w:val="0676BE99"/>
    <w:rsid w:val="067DBF3E"/>
    <w:rsid w:val="06840967"/>
    <w:rsid w:val="068C3F08"/>
    <w:rsid w:val="0698E2DA"/>
    <w:rsid w:val="069E5322"/>
    <w:rsid w:val="06A0AFE8"/>
    <w:rsid w:val="06A9D378"/>
    <w:rsid w:val="06C5B6BE"/>
    <w:rsid w:val="06E02F7A"/>
    <w:rsid w:val="06ED7459"/>
    <w:rsid w:val="06F10C11"/>
    <w:rsid w:val="07001B7B"/>
    <w:rsid w:val="0717FE70"/>
    <w:rsid w:val="072882AB"/>
    <w:rsid w:val="0738FABB"/>
    <w:rsid w:val="073B7D01"/>
    <w:rsid w:val="0750D2B1"/>
    <w:rsid w:val="07585898"/>
    <w:rsid w:val="0759F7AF"/>
    <w:rsid w:val="0762EC72"/>
    <w:rsid w:val="07681C1F"/>
    <w:rsid w:val="07A15120"/>
    <w:rsid w:val="07B3C1CD"/>
    <w:rsid w:val="07BC75CF"/>
    <w:rsid w:val="07C2C661"/>
    <w:rsid w:val="07DAAE06"/>
    <w:rsid w:val="07DD080C"/>
    <w:rsid w:val="07DFDC13"/>
    <w:rsid w:val="07F19AE9"/>
    <w:rsid w:val="07F9CCB2"/>
    <w:rsid w:val="0810ED21"/>
    <w:rsid w:val="083354A1"/>
    <w:rsid w:val="0838ACCC"/>
    <w:rsid w:val="08481440"/>
    <w:rsid w:val="084ED5E0"/>
    <w:rsid w:val="0855C390"/>
    <w:rsid w:val="085801F5"/>
    <w:rsid w:val="08630519"/>
    <w:rsid w:val="086F8108"/>
    <w:rsid w:val="08715106"/>
    <w:rsid w:val="08759F17"/>
    <w:rsid w:val="0881F459"/>
    <w:rsid w:val="0885DD3D"/>
    <w:rsid w:val="089F01F6"/>
    <w:rsid w:val="08A68DC1"/>
    <w:rsid w:val="08B4AC5C"/>
    <w:rsid w:val="08C4E3EA"/>
    <w:rsid w:val="08C4F90E"/>
    <w:rsid w:val="08C7A015"/>
    <w:rsid w:val="08D5CF58"/>
    <w:rsid w:val="08DEB759"/>
    <w:rsid w:val="08EA7B4E"/>
    <w:rsid w:val="08EF7A3A"/>
    <w:rsid w:val="08FE80CB"/>
    <w:rsid w:val="0914DAB6"/>
    <w:rsid w:val="0915CAC7"/>
    <w:rsid w:val="091A5C5D"/>
    <w:rsid w:val="0925B57C"/>
    <w:rsid w:val="0943F004"/>
    <w:rsid w:val="09488B36"/>
    <w:rsid w:val="095880BF"/>
    <w:rsid w:val="0960FD13"/>
    <w:rsid w:val="09626231"/>
    <w:rsid w:val="09648E3E"/>
    <w:rsid w:val="096789B0"/>
    <w:rsid w:val="0968DCE3"/>
    <w:rsid w:val="0978D86D"/>
    <w:rsid w:val="097AD846"/>
    <w:rsid w:val="09805ECB"/>
    <w:rsid w:val="099094B1"/>
    <w:rsid w:val="099C4FA3"/>
    <w:rsid w:val="09B7ADA7"/>
    <w:rsid w:val="09BD64FD"/>
    <w:rsid w:val="09CB1CFB"/>
    <w:rsid w:val="09D6C01B"/>
    <w:rsid w:val="09E1B444"/>
    <w:rsid w:val="09F06544"/>
    <w:rsid w:val="0A0BC074"/>
    <w:rsid w:val="0A13F047"/>
    <w:rsid w:val="0A19BEE7"/>
    <w:rsid w:val="0A1D8101"/>
    <w:rsid w:val="0A1E3015"/>
    <w:rsid w:val="0A3B704A"/>
    <w:rsid w:val="0A3EAD07"/>
    <w:rsid w:val="0A5CB5FC"/>
    <w:rsid w:val="0A72A685"/>
    <w:rsid w:val="0A7974A2"/>
    <w:rsid w:val="0A80E05A"/>
    <w:rsid w:val="0AB9139F"/>
    <w:rsid w:val="0ACD1CFA"/>
    <w:rsid w:val="0AFBC85B"/>
    <w:rsid w:val="0B01A0D1"/>
    <w:rsid w:val="0B10A3E6"/>
    <w:rsid w:val="0B1D3CBF"/>
    <w:rsid w:val="0B2010C8"/>
    <w:rsid w:val="0B4B506A"/>
    <w:rsid w:val="0B519E6A"/>
    <w:rsid w:val="0B551010"/>
    <w:rsid w:val="0B5A03C3"/>
    <w:rsid w:val="0B5A26CF"/>
    <w:rsid w:val="0B64450E"/>
    <w:rsid w:val="0B7B04F3"/>
    <w:rsid w:val="0B8256F6"/>
    <w:rsid w:val="0BBE4A13"/>
    <w:rsid w:val="0BDB4C2D"/>
    <w:rsid w:val="0BE2597C"/>
    <w:rsid w:val="0BE74CC7"/>
    <w:rsid w:val="0BEF7124"/>
    <w:rsid w:val="0BF889A0"/>
    <w:rsid w:val="0C141F85"/>
    <w:rsid w:val="0C25661C"/>
    <w:rsid w:val="0C3FF3CB"/>
    <w:rsid w:val="0C440F10"/>
    <w:rsid w:val="0C4C619D"/>
    <w:rsid w:val="0C7B8B6F"/>
    <w:rsid w:val="0C8BC28A"/>
    <w:rsid w:val="0CA7A6C4"/>
    <w:rsid w:val="0CCB6600"/>
    <w:rsid w:val="0CCC8421"/>
    <w:rsid w:val="0CDF8978"/>
    <w:rsid w:val="0CF2988A"/>
    <w:rsid w:val="0D148AD4"/>
    <w:rsid w:val="0D1E29FD"/>
    <w:rsid w:val="0D505580"/>
    <w:rsid w:val="0D618EAA"/>
    <w:rsid w:val="0D6369CC"/>
    <w:rsid w:val="0D6D20DC"/>
    <w:rsid w:val="0D915351"/>
    <w:rsid w:val="0DA66566"/>
    <w:rsid w:val="0DAAE521"/>
    <w:rsid w:val="0DABD6E7"/>
    <w:rsid w:val="0DC9105D"/>
    <w:rsid w:val="0DD5952B"/>
    <w:rsid w:val="0DD5C09F"/>
    <w:rsid w:val="0DEF6BAF"/>
    <w:rsid w:val="0DF6F6BA"/>
    <w:rsid w:val="0E0A1568"/>
    <w:rsid w:val="0E181313"/>
    <w:rsid w:val="0E2423E6"/>
    <w:rsid w:val="0E27CA1B"/>
    <w:rsid w:val="0E284E79"/>
    <w:rsid w:val="0E2B7FB5"/>
    <w:rsid w:val="0E55CE79"/>
    <w:rsid w:val="0E56FE0B"/>
    <w:rsid w:val="0E653432"/>
    <w:rsid w:val="0E708980"/>
    <w:rsid w:val="0E842192"/>
    <w:rsid w:val="0E8751E2"/>
    <w:rsid w:val="0E8AD9F5"/>
    <w:rsid w:val="0EA11AD9"/>
    <w:rsid w:val="0EB0AB03"/>
    <w:rsid w:val="0ED78103"/>
    <w:rsid w:val="0ED828EE"/>
    <w:rsid w:val="0EDB2EA1"/>
    <w:rsid w:val="0EE616E8"/>
    <w:rsid w:val="0EEB92F6"/>
    <w:rsid w:val="0EF90B10"/>
    <w:rsid w:val="0EFB4E01"/>
    <w:rsid w:val="0EFE9EF2"/>
    <w:rsid w:val="0F023A68"/>
    <w:rsid w:val="0F09EC31"/>
    <w:rsid w:val="0F14D8B0"/>
    <w:rsid w:val="0F1EC792"/>
    <w:rsid w:val="0F26B5B7"/>
    <w:rsid w:val="0F2A703B"/>
    <w:rsid w:val="0F2BB4AF"/>
    <w:rsid w:val="0F34E808"/>
    <w:rsid w:val="0F3BDB69"/>
    <w:rsid w:val="0F44A327"/>
    <w:rsid w:val="0F50B54B"/>
    <w:rsid w:val="0F5393B0"/>
    <w:rsid w:val="0F640D84"/>
    <w:rsid w:val="0F6441B7"/>
    <w:rsid w:val="0F713CB9"/>
    <w:rsid w:val="0F84A8B4"/>
    <w:rsid w:val="0F8E918E"/>
    <w:rsid w:val="0FBDC05A"/>
    <w:rsid w:val="0FC351AD"/>
    <w:rsid w:val="0FD5E6CF"/>
    <w:rsid w:val="0FDA0550"/>
    <w:rsid w:val="0FE18FEB"/>
    <w:rsid w:val="0FE7062B"/>
    <w:rsid w:val="0FF95C31"/>
    <w:rsid w:val="100BDB19"/>
    <w:rsid w:val="101E324F"/>
    <w:rsid w:val="101EF1DE"/>
    <w:rsid w:val="102A71CF"/>
    <w:rsid w:val="1041EB27"/>
    <w:rsid w:val="10562164"/>
    <w:rsid w:val="106600F0"/>
    <w:rsid w:val="1076CD2C"/>
    <w:rsid w:val="109DCA92"/>
    <w:rsid w:val="10B3E00D"/>
    <w:rsid w:val="10BE575D"/>
    <w:rsid w:val="10BF513C"/>
    <w:rsid w:val="10C01B6F"/>
    <w:rsid w:val="10CAB4A1"/>
    <w:rsid w:val="10D96215"/>
    <w:rsid w:val="10DF097B"/>
    <w:rsid w:val="10F1FF83"/>
    <w:rsid w:val="10F689B8"/>
    <w:rsid w:val="11097BEB"/>
    <w:rsid w:val="112C1BC9"/>
    <w:rsid w:val="112F5973"/>
    <w:rsid w:val="113A2633"/>
    <w:rsid w:val="1144E281"/>
    <w:rsid w:val="11522A52"/>
    <w:rsid w:val="11522CDC"/>
    <w:rsid w:val="1167EFA7"/>
    <w:rsid w:val="1171488B"/>
    <w:rsid w:val="1183F6E4"/>
    <w:rsid w:val="11A7CA2A"/>
    <w:rsid w:val="11B5A3E8"/>
    <w:rsid w:val="11BDEF22"/>
    <w:rsid w:val="11C781DC"/>
    <w:rsid w:val="11C80909"/>
    <w:rsid w:val="11CAA96E"/>
    <w:rsid w:val="11D0E9C8"/>
    <w:rsid w:val="11D4A85A"/>
    <w:rsid w:val="11DA0379"/>
    <w:rsid w:val="120405B0"/>
    <w:rsid w:val="12185201"/>
    <w:rsid w:val="121E3674"/>
    <w:rsid w:val="1236D474"/>
    <w:rsid w:val="1237FE28"/>
    <w:rsid w:val="12381958"/>
    <w:rsid w:val="12382952"/>
    <w:rsid w:val="1241B3F1"/>
    <w:rsid w:val="125F4FAE"/>
    <w:rsid w:val="12631BA6"/>
    <w:rsid w:val="12ACE355"/>
    <w:rsid w:val="12B39D7C"/>
    <w:rsid w:val="12B5F95C"/>
    <w:rsid w:val="12B9B729"/>
    <w:rsid w:val="12BF456A"/>
    <w:rsid w:val="12C36738"/>
    <w:rsid w:val="12C5C651"/>
    <w:rsid w:val="12D621CB"/>
    <w:rsid w:val="12E37569"/>
    <w:rsid w:val="12F2DEA1"/>
    <w:rsid w:val="1307ED83"/>
    <w:rsid w:val="1328DB97"/>
    <w:rsid w:val="1329CB8F"/>
    <w:rsid w:val="1336FA14"/>
    <w:rsid w:val="1337C700"/>
    <w:rsid w:val="135836F9"/>
    <w:rsid w:val="13754780"/>
    <w:rsid w:val="13829CB4"/>
    <w:rsid w:val="138AD603"/>
    <w:rsid w:val="13C7A7CB"/>
    <w:rsid w:val="13C81224"/>
    <w:rsid w:val="13CAD86B"/>
    <w:rsid w:val="13D5CB64"/>
    <w:rsid w:val="13DB2FC6"/>
    <w:rsid w:val="13DBD104"/>
    <w:rsid w:val="13E83706"/>
    <w:rsid w:val="13F09D27"/>
    <w:rsid w:val="13FE1958"/>
    <w:rsid w:val="14016B77"/>
    <w:rsid w:val="1401B34E"/>
    <w:rsid w:val="1418FF02"/>
    <w:rsid w:val="142249F8"/>
    <w:rsid w:val="142E07FF"/>
    <w:rsid w:val="14302939"/>
    <w:rsid w:val="1432EB3D"/>
    <w:rsid w:val="1453DD18"/>
    <w:rsid w:val="145412DC"/>
    <w:rsid w:val="14598721"/>
    <w:rsid w:val="148BC5DC"/>
    <w:rsid w:val="148C1283"/>
    <w:rsid w:val="14ABC6A5"/>
    <w:rsid w:val="14AC23F6"/>
    <w:rsid w:val="14BB9B38"/>
    <w:rsid w:val="14C83656"/>
    <w:rsid w:val="14CADF71"/>
    <w:rsid w:val="14CC9221"/>
    <w:rsid w:val="14F6879E"/>
    <w:rsid w:val="14F7FF13"/>
    <w:rsid w:val="151FADE8"/>
    <w:rsid w:val="153C94B6"/>
    <w:rsid w:val="1567FD95"/>
    <w:rsid w:val="158EAAC6"/>
    <w:rsid w:val="15A062CB"/>
    <w:rsid w:val="15A9A3D6"/>
    <w:rsid w:val="15F8CD8C"/>
    <w:rsid w:val="160D9B33"/>
    <w:rsid w:val="1628219F"/>
    <w:rsid w:val="162E2D88"/>
    <w:rsid w:val="16616C51"/>
    <w:rsid w:val="1669414E"/>
    <w:rsid w:val="1679C485"/>
    <w:rsid w:val="1679F11C"/>
    <w:rsid w:val="16850E5D"/>
    <w:rsid w:val="168F26CA"/>
    <w:rsid w:val="169EACF0"/>
    <w:rsid w:val="169F13AD"/>
    <w:rsid w:val="169F5628"/>
    <w:rsid w:val="16A22DA0"/>
    <w:rsid w:val="16BE7BA2"/>
    <w:rsid w:val="16EAECD0"/>
    <w:rsid w:val="16FD0370"/>
    <w:rsid w:val="1718C977"/>
    <w:rsid w:val="174124BC"/>
    <w:rsid w:val="1744E0EF"/>
    <w:rsid w:val="1781B452"/>
    <w:rsid w:val="178F5DF9"/>
    <w:rsid w:val="17B4FEC5"/>
    <w:rsid w:val="17C3816F"/>
    <w:rsid w:val="17D1BB57"/>
    <w:rsid w:val="17DCB48D"/>
    <w:rsid w:val="17E013F3"/>
    <w:rsid w:val="17E4D4F6"/>
    <w:rsid w:val="181D22AA"/>
    <w:rsid w:val="185D5CB9"/>
    <w:rsid w:val="18645214"/>
    <w:rsid w:val="187F7656"/>
    <w:rsid w:val="18A15FD9"/>
    <w:rsid w:val="18BE57EC"/>
    <w:rsid w:val="18BEB258"/>
    <w:rsid w:val="18D3F494"/>
    <w:rsid w:val="18E465FB"/>
    <w:rsid w:val="18EAE104"/>
    <w:rsid w:val="18ECF416"/>
    <w:rsid w:val="19333766"/>
    <w:rsid w:val="1936F01A"/>
    <w:rsid w:val="1945AE9C"/>
    <w:rsid w:val="19513B8A"/>
    <w:rsid w:val="195AC5BA"/>
    <w:rsid w:val="196AC3F5"/>
    <w:rsid w:val="19803A7F"/>
    <w:rsid w:val="198E9295"/>
    <w:rsid w:val="19A29511"/>
    <w:rsid w:val="19F03614"/>
    <w:rsid w:val="19F15A78"/>
    <w:rsid w:val="19F7501B"/>
    <w:rsid w:val="19F960F7"/>
    <w:rsid w:val="1A09D3B9"/>
    <w:rsid w:val="1A2FEC4E"/>
    <w:rsid w:val="1A3C9BD4"/>
    <w:rsid w:val="1A444C8F"/>
    <w:rsid w:val="1A5D4DF2"/>
    <w:rsid w:val="1A670313"/>
    <w:rsid w:val="1A74674A"/>
    <w:rsid w:val="1A7FFA27"/>
    <w:rsid w:val="1A9B19B9"/>
    <w:rsid w:val="1AC3C784"/>
    <w:rsid w:val="1AC5C249"/>
    <w:rsid w:val="1AD28EAE"/>
    <w:rsid w:val="1ADB5FB6"/>
    <w:rsid w:val="1AE19D8F"/>
    <w:rsid w:val="1AF00D58"/>
    <w:rsid w:val="1AF26E6E"/>
    <w:rsid w:val="1B0023A8"/>
    <w:rsid w:val="1B05853E"/>
    <w:rsid w:val="1B0A68A1"/>
    <w:rsid w:val="1B0EFB62"/>
    <w:rsid w:val="1B202DA1"/>
    <w:rsid w:val="1B55A633"/>
    <w:rsid w:val="1B6B0393"/>
    <w:rsid w:val="1B986093"/>
    <w:rsid w:val="1BA4B2FD"/>
    <w:rsid w:val="1BC47D65"/>
    <w:rsid w:val="1BD02D21"/>
    <w:rsid w:val="1BFF0226"/>
    <w:rsid w:val="1C014CF2"/>
    <w:rsid w:val="1C127031"/>
    <w:rsid w:val="1C1357E1"/>
    <w:rsid w:val="1C322BF1"/>
    <w:rsid w:val="1C3F0E31"/>
    <w:rsid w:val="1C4FA8AF"/>
    <w:rsid w:val="1C540138"/>
    <w:rsid w:val="1C662752"/>
    <w:rsid w:val="1C767146"/>
    <w:rsid w:val="1C7B9B4F"/>
    <w:rsid w:val="1C95AD8D"/>
    <w:rsid w:val="1C97EBDE"/>
    <w:rsid w:val="1CA027E4"/>
    <w:rsid w:val="1CCAB47F"/>
    <w:rsid w:val="1CE1FA02"/>
    <w:rsid w:val="1CE46815"/>
    <w:rsid w:val="1CF525AC"/>
    <w:rsid w:val="1D01C3C6"/>
    <w:rsid w:val="1D1FC54D"/>
    <w:rsid w:val="1D40D9C3"/>
    <w:rsid w:val="1D5D36E0"/>
    <w:rsid w:val="1D713AA1"/>
    <w:rsid w:val="1D78699B"/>
    <w:rsid w:val="1D875A8D"/>
    <w:rsid w:val="1D88BC4C"/>
    <w:rsid w:val="1D9E1022"/>
    <w:rsid w:val="1DA5CC6A"/>
    <w:rsid w:val="1DB23E9C"/>
    <w:rsid w:val="1DE75B7A"/>
    <w:rsid w:val="1DEEBF2D"/>
    <w:rsid w:val="1DF108A8"/>
    <w:rsid w:val="1DF73364"/>
    <w:rsid w:val="1DFA90C3"/>
    <w:rsid w:val="1E124BD3"/>
    <w:rsid w:val="1E1C6348"/>
    <w:rsid w:val="1E2A55F5"/>
    <w:rsid w:val="1E33C3C3"/>
    <w:rsid w:val="1E415129"/>
    <w:rsid w:val="1E5EAB3F"/>
    <w:rsid w:val="1E9435E4"/>
    <w:rsid w:val="1E9478EC"/>
    <w:rsid w:val="1E9C10B0"/>
    <w:rsid w:val="1EB5F734"/>
    <w:rsid w:val="1EB9CE50"/>
    <w:rsid w:val="1EDF6EC6"/>
    <w:rsid w:val="1EE36847"/>
    <w:rsid w:val="1F0FA3C8"/>
    <w:rsid w:val="1F35A533"/>
    <w:rsid w:val="1F536DC6"/>
    <w:rsid w:val="1F6F0340"/>
    <w:rsid w:val="1F7005C1"/>
    <w:rsid w:val="1F80BC31"/>
    <w:rsid w:val="1F81D0A3"/>
    <w:rsid w:val="1F88576C"/>
    <w:rsid w:val="1FAFBD48"/>
    <w:rsid w:val="1FDCA625"/>
    <w:rsid w:val="1FE76B9F"/>
    <w:rsid w:val="1FF38547"/>
    <w:rsid w:val="200C2607"/>
    <w:rsid w:val="2019B4CF"/>
    <w:rsid w:val="201AAA59"/>
    <w:rsid w:val="2022472D"/>
    <w:rsid w:val="2095EB8B"/>
    <w:rsid w:val="20972BE5"/>
    <w:rsid w:val="20A5BF72"/>
    <w:rsid w:val="20B08F66"/>
    <w:rsid w:val="20BA7AA0"/>
    <w:rsid w:val="20BCD956"/>
    <w:rsid w:val="20BF74D2"/>
    <w:rsid w:val="20D030A7"/>
    <w:rsid w:val="21081684"/>
    <w:rsid w:val="2114F657"/>
    <w:rsid w:val="21186992"/>
    <w:rsid w:val="2121CFA5"/>
    <w:rsid w:val="212D7D57"/>
    <w:rsid w:val="2137EDE0"/>
    <w:rsid w:val="2140BE37"/>
    <w:rsid w:val="214815F8"/>
    <w:rsid w:val="2148E21E"/>
    <w:rsid w:val="214FF5C5"/>
    <w:rsid w:val="215894D6"/>
    <w:rsid w:val="215ECB20"/>
    <w:rsid w:val="21661FCB"/>
    <w:rsid w:val="216D0354"/>
    <w:rsid w:val="217D80E5"/>
    <w:rsid w:val="21853C1D"/>
    <w:rsid w:val="218F55A8"/>
    <w:rsid w:val="219819B8"/>
    <w:rsid w:val="219EACEB"/>
    <w:rsid w:val="219F705A"/>
    <w:rsid w:val="21A494A5"/>
    <w:rsid w:val="21A4E6B1"/>
    <w:rsid w:val="21A5BEB6"/>
    <w:rsid w:val="21B69EC3"/>
    <w:rsid w:val="21D9FD57"/>
    <w:rsid w:val="21DADDF5"/>
    <w:rsid w:val="21E615BD"/>
    <w:rsid w:val="21EA4BBF"/>
    <w:rsid w:val="21F1111F"/>
    <w:rsid w:val="21F3DCB3"/>
    <w:rsid w:val="21F8E8F1"/>
    <w:rsid w:val="21FB4DE6"/>
    <w:rsid w:val="220FAE8F"/>
    <w:rsid w:val="2213886C"/>
    <w:rsid w:val="2215520F"/>
    <w:rsid w:val="221A9AAD"/>
    <w:rsid w:val="2221255A"/>
    <w:rsid w:val="2221FD22"/>
    <w:rsid w:val="2228DB47"/>
    <w:rsid w:val="22347C53"/>
    <w:rsid w:val="22386545"/>
    <w:rsid w:val="223FA643"/>
    <w:rsid w:val="2246012B"/>
    <w:rsid w:val="224A6B2E"/>
    <w:rsid w:val="2254C9A2"/>
    <w:rsid w:val="225BB121"/>
    <w:rsid w:val="2265F70D"/>
    <w:rsid w:val="227479C9"/>
    <w:rsid w:val="22880E55"/>
    <w:rsid w:val="22A20DEE"/>
    <w:rsid w:val="22AA1B8C"/>
    <w:rsid w:val="22CCA2E9"/>
    <w:rsid w:val="22D19785"/>
    <w:rsid w:val="22DC7C27"/>
    <w:rsid w:val="22DFB220"/>
    <w:rsid w:val="22EEAC19"/>
    <w:rsid w:val="22FDE3D5"/>
    <w:rsid w:val="23178343"/>
    <w:rsid w:val="2318F24B"/>
    <w:rsid w:val="231EF975"/>
    <w:rsid w:val="23274B3C"/>
    <w:rsid w:val="232BA1C9"/>
    <w:rsid w:val="232DC48A"/>
    <w:rsid w:val="23389B97"/>
    <w:rsid w:val="233C422A"/>
    <w:rsid w:val="2366CF5E"/>
    <w:rsid w:val="236ADABF"/>
    <w:rsid w:val="236C5D6D"/>
    <w:rsid w:val="236CEA22"/>
    <w:rsid w:val="237AE599"/>
    <w:rsid w:val="237BF4FC"/>
    <w:rsid w:val="238D2096"/>
    <w:rsid w:val="23904D4D"/>
    <w:rsid w:val="23938514"/>
    <w:rsid w:val="2398F1AC"/>
    <w:rsid w:val="239AEE86"/>
    <w:rsid w:val="239C1E5B"/>
    <w:rsid w:val="23A3C448"/>
    <w:rsid w:val="23A66854"/>
    <w:rsid w:val="23A873F6"/>
    <w:rsid w:val="23B848E4"/>
    <w:rsid w:val="23B8E291"/>
    <w:rsid w:val="23B941CC"/>
    <w:rsid w:val="23C8F197"/>
    <w:rsid w:val="23E82113"/>
    <w:rsid w:val="23ED0BE9"/>
    <w:rsid w:val="23F78182"/>
    <w:rsid w:val="2402F18F"/>
    <w:rsid w:val="24040C28"/>
    <w:rsid w:val="2407FCE1"/>
    <w:rsid w:val="2408002E"/>
    <w:rsid w:val="243F3669"/>
    <w:rsid w:val="2444AC4D"/>
    <w:rsid w:val="244590C2"/>
    <w:rsid w:val="24501896"/>
    <w:rsid w:val="2457BE5C"/>
    <w:rsid w:val="2472AF3F"/>
    <w:rsid w:val="248C4681"/>
    <w:rsid w:val="249B03D2"/>
    <w:rsid w:val="24A71AB0"/>
    <w:rsid w:val="24B3B362"/>
    <w:rsid w:val="24B852B7"/>
    <w:rsid w:val="24BDCEFC"/>
    <w:rsid w:val="24D4B89B"/>
    <w:rsid w:val="24D6EE84"/>
    <w:rsid w:val="24E6B782"/>
    <w:rsid w:val="24F8680F"/>
    <w:rsid w:val="24FF2382"/>
    <w:rsid w:val="250ABE69"/>
    <w:rsid w:val="2534B6D2"/>
    <w:rsid w:val="2539D9EE"/>
    <w:rsid w:val="254280A2"/>
    <w:rsid w:val="25450303"/>
    <w:rsid w:val="2554A21B"/>
    <w:rsid w:val="255C4C80"/>
    <w:rsid w:val="256145DB"/>
    <w:rsid w:val="25622B65"/>
    <w:rsid w:val="2567BC01"/>
    <w:rsid w:val="256B6F07"/>
    <w:rsid w:val="256E5F54"/>
    <w:rsid w:val="257257B3"/>
    <w:rsid w:val="25917DB9"/>
    <w:rsid w:val="25BA6286"/>
    <w:rsid w:val="25BD6E11"/>
    <w:rsid w:val="2610848B"/>
    <w:rsid w:val="264914D5"/>
    <w:rsid w:val="265A30CC"/>
    <w:rsid w:val="265FA3D0"/>
    <w:rsid w:val="266B2898"/>
    <w:rsid w:val="267DED82"/>
    <w:rsid w:val="2691C26B"/>
    <w:rsid w:val="26A29825"/>
    <w:rsid w:val="26A84AD7"/>
    <w:rsid w:val="26C384BD"/>
    <w:rsid w:val="26C65760"/>
    <w:rsid w:val="26C74DD6"/>
    <w:rsid w:val="26CBEC32"/>
    <w:rsid w:val="26CF2482"/>
    <w:rsid w:val="26D2782A"/>
    <w:rsid w:val="26EB49CC"/>
    <w:rsid w:val="270E28DA"/>
    <w:rsid w:val="27166985"/>
    <w:rsid w:val="272E1EDE"/>
    <w:rsid w:val="27330C09"/>
    <w:rsid w:val="27361C79"/>
    <w:rsid w:val="276204C2"/>
    <w:rsid w:val="27665DAA"/>
    <w:rsid w:val="27757939"/>
    <w:rsid w:val="277B960D"/>
    <w:rsid w:val="277C8632"/>
    <w:rsid w:val="278FA1B0"/>
    <w:rsid w:val="279A7B9F"/>
    <w:rsid w:val="27A53D53"/>
    <w:rsid w:val="27A56744"/>
    <w:rsid w:val="27AD6346"/>
    <w:rsid w:val="27AFA371"/>
    <w:rsid w:val="27B1DCE6"/>
    <w:rsid w:val="27C56506"/>
    <w:rsid w:val="27CE4478"/>
    <w:rsid w:val="27D0094B"/>
    <w:rsid w:val="27F1BB1A"/>
    <w:rsid w:val="27FA72FA"/>
    <w:rsid w:val="27FE508E"/>
    <w:rsid w:val="2808E7FD"/>
    <w:rsid w:val="280FA1C3"/>
    <w:rsid w:val="28223EEE"/>
    <w:rsid w:val="282E8BF8"/>
    <w:rsid w:val="2837D661"/>
    <w:rsid w:val="284F7D17"/>
    <w:rsid w:val="2853DB9E"/>
    <w:rsid w:val="2857DFBD"/>
    <w:rsid w:val="287C0B4D"/>
    <w:rsid w:val="287D41B8"/>
    <w:rsid w:val="28886084"/>
    <w:rsid w:val="289D5A81"/>
    <w:rsid w:val="289DBB7E"/>
    <w:rsid w:val="28D89E7D"/>
    <w:rsid w:val="28DC8358"/>
    <w:rsid w:val="28F09C7A"/>
    <w:rsid w:val="28F831B6"/>
    <w:rsid w:val="2900FD41"/>
    <w:rsid w:val="290B0B36"/>
    <w:rsid w:val="29142CE6"/>
    <w:rsid w:val="291ECFD1"/>
    <w:rsid w:val="292A4A09"/>
    <w:rsid w:val="29322CBC"/>
    <w:rsid w:val="29377CC6"/>
    <w:rsid w:val="294796FC"/>
    <w:rsid w:val="2949057B"/>
    <w:rsid w:val="294CEE54"/>
    <w:rsid w:val="29512F91"/>
    <w:rsid w:val="2956A137"/>
    <w:rsid w:val="295B770D"/>
    <w:rsid w:val="29670E47"/>
    <w:rsid w:val="297FBC98"/>
    <w:rsid w:val="298A8DC1"/>
    <w:rsid w:val="299B3D2A"/>
    <w:rsid w:val="29C88409"/>
    <w:rsid w:val="29D600B3"/>
    <w:rsid w:val="29F00949"/>
    <w:rsid w:val="29F1C6C9"/>
    <w:rsid w:val="29F22525"/>
    <w:rsid w:val="29F48602"/>
    <w:rsid w:val="29F4FB5B"/>
    <w:rsid w:val="29F9182D"/>
    <w:rsid w:val="2A064143"/>
    <w:rsid w:val="2A24AFC5"/>
    <w:rsid w:val="2A5D0523"/>
    <w:rsid w:val="2A63F820"/>
    <w:rsid w:val="2A6E9692"/>
    <w:rsid w:val="2A738155"/>
    <w:rsid w:val="2A73A565"/>
    <w:rsid w:val="2A8AA1E3"/>
    <w:rsid w:val="2A96830F"/>
    <w:rsid w:val="2AA07BD8"/>
    <w:rsid w:val="2AB9A3DB"/>
    <w:rsid w:val="2ABAA2E2"/>
    <w:rsid w:val="2AC9BC2F"/>
    <w:rsid w:val="2AD331C9"/>
    <w:rsid w:val="2ADD5BEF"/>
    <w:rsid w:val="2ADE3ECA"/>
    <w:rsid w:val="2AE113E1"/>
    <w:rsid w:val="2AE1214B"/>
    <w:rsid w:val="2AEB9509"/>
    <w:rsid w:val="2AF1D054"/>
    <w:rsid w:val="2AF27198"/>
    <w:rsid w:val="2AFC4150"/>
    <w:rsid w:val="2B00EF16"/>
    <w:rsid w:val="2B0D39B3"/>
    <w:rsid w:val="2B1C3769"/>
    <w:rsid w:val="2B1CA066"/>
    <w:rsid w:val="2B3581E1"/>
    <w:rsid w:val="2B3ED196"/>
    <w:rsid w:val="2B4EDD00"/>
    <w:rsid w:val="2B529873"/>
    <w:rsid w:val="2B554EC3"/>
    <w:rsid w:val="2B5F6B14"/>
    <w:rsid w:val="2B640A52"/>
    <w:rsid w:val="2B6D8D68"/>
    <w:rsid w:val="2B87A84A"/>
    <w:rsid w:val="2B966072"/>
    <w:rsid w:val="2BAB505F"/>
    <w:rsid w:val="2BB0B5B9"/>
    <w:rsid w:val="2BC0D21C"/>
    <w:rsid w:val="2BC69A9D"/>
    <w:rsid w:val="2BDD35B0"/>
    <w:rsid w:val="2BDEE442"/>
    <w:rsid w:val="2BEA2F12"/>
    <w:rsid w:val="2BFF276A"/>
    <w:rsid w:val="2C13931A"/>
    <w:rsid w:val="2C26AF9E"/>
    <w:rsid w:val="2C357902"/>
    <w:rsid w:val="2C3AA009"/>
    <w:rsid w:val="2C500B2F"/>
    <w:rsid w:val="2C53AC78"/>
    <w:rsid w:val="2C6833A7"/>
    <w:rsid w:val="2C76EB95"/>
    <w:rsid w:val="2C7C5718"/>
    <w:rsid w:val="2C7CCBD3"/>
    <w:rsid w:val="2C88A994"/>
    <w:rsid w:val="2C9317CF"/>
    <w:rsid w:val="2C9C5A5B"/>
    <w:rsid w:val="2CA7E836"/>
    <w:rsid w:val="2CAD97BE"/>
    <w:rsid w:val="2CB9454D"/>
    <w:rsid w:val="2CC37DED"/>
    <w:rsid w:val="2CDB72CB"/>
    <w:rsid w:val="2CE8C9CE"/>
    <w:rsid w:val="2CEEB9C7"/>
    <w:rsid w:val="2CF6B3FA"/>
    <w:rsid w:val="2CF750A1"/>
    <w:rsid w:val="2CFC2552"/>
    <w:rsid w:val="2D1C1981"/>
    <w:rsid w:val="2D5F579A"/>
    <w:rsid w:val="2D738A94"/>
    <w:rsid w:val="2D923308"/>
    <w:rsid w:val="2DA0031F"/>
    <w:rsid w:val="2DB15089"/>
    <w:rsid w:val="2DB1AF87"/>
    <w:rsid w:val="2DB3B131"/>
    <w:rsid w:val="2DBB3C1B"/>
    <w:rsid w:val="2DC3D62C"/>
    <w:rsid w:val="2DD12275"/>
    <w:rsid w:val="2DD4B5D9"/>
    <w:rsid w:val="2DE08A1E"/>
    <w:rsid w:val="2DE1C512"/>
    <w:rsid w:val="2E038383"/>
    <w:rsid w:val="2E04A991"/>
    <w:rsid w:val="2E16315C"/>
    <w:rsid w:val="2E21BAD7"/>
    <w:rsid w:val="2E2C07D5"/>
    <w:rsid w:val="2E812656"/>
    <w:rsid w:val="2E8A360B"/>
    <w:rsid w:val="2E8C6890"/>
    <w:rsid w:val="2E8C6E55"/>
    <w:rsid w:val="2E8F6CE2"/>
    <w:rsid w:val="2EB0B1C6"/>
    <w:rsid w:val="2EB1061E"/>
    <w:rsid w:val="2EB9FB38"/>
    <w:rsid w:val="2EC4AD0F"/>
    <w:rsid w:val="2ED43E80"/>
    <w:rsid w:val="2EE78B8F"/>
    <w:rsid w:val="2EE9C1B0"/>
    <w:rsid w:val="2EFB6EDA"/>
    <w:rsid w:val="2F1C6140"/>
    <w:rsid w:val="2F1CD81F"/>
    <w:rsid w:val="2F21F719"/>
    <w:rsid w:val="2F272B4E"/>
    <w:rsid w:val="2F30A719"/>
    <w:rsid w:val="2F30D8B3"/>
    <w:rsid w:val="2F31BC63"/>
    <w:rsid w:val="2F3B9F78"/>
    <w:rsid w:val="2F502377"/>
    <w:rsid w:val="2F58497A"/>
    <w:rsid w:val="2F735A89"/>
    <w:rsid w:val="2F78D235"/>
    <w:rsid w:val="2F7982EC"/>
    <w:rsid w:val="2F7F9B7F"/>
    <w:rsid w:val="2F8387A3"/>
    <w:rsid w:val="2FA5264D"/>
    <w:rsid w:val="2FA75AD4"/>
    <w:rsid w:val="2FD3AE47"/>
    <w:rsid w:val="2FDA39E2"/>
    <w:rsid w:val="2FDAC2C3"/>
    <w:rsid w:val="2FDB95EF"/>
    <w:rsid w:val="2FDBBCE4"/>
    <w:rsid w:val="30401240"/>
    <w:rsid w:val="304846BC"/>
    <w:rsid w:val="3051676F"/>
    <w:rsid w:val="30623B7C"/>
    <w:rsid w:val="30653C98"/>
    <w:rsid w:val="3074568E"/>
    <w:rsid w:val="3084986C"/>
    <w:rsid w:val="30A27819"/>
    <w:rsid w:val="30A7CF42"/>
    <w:rsid w:val="30C58C9F"/>
    <w:rsid w:val="30C8F692"/>
    <w:rsid w:val="30D35175"/>
    <w:rsid w:val="30D99888"/>
    <w:rsid w:val="30E3CA98"/>
    <w:rsid w:val="30E63AD9"/>
    <w:rsid w:val="31035876"/>
    <w:rsid w:val="310C375F"/>
    <w:rsid w:val="31105663"/>
    <w:rsid w:val="311483DB"/>
    <w:rsid w:val="3121272B"/>
    <w:rsid w:val="3121DCBE"/>
    <w:rsid w:val="313E4608"/>
    <w:rsid w:val="314040EC"/>
    <w:rsid w:val="3158C993"/>
    <w:rsid w:val="316715ED"/>
    <w:rsid w:val="318880D3"/>
    <w:rsid w:val="318A1B67"/>
    <w:rsid w:val="318AF57B"/>
    <w:rsid w:val="319A6228"/>
    <w:rsid w:val="319DDC05"/>
    <w:rsid w:val="31AC6202"/>
    <w:rsid w:val="31B9D7CD"/>
    <w:rsid w:val="31D15288"/>
    <w:rsid w:val="31D40EBE"/>
    <w:rsid w:val="31D74084"/>
    <w:rsid w:val="31E5A5A7"/>
    <w:rsid w:val="31F624B1"/>
    <w:rsid w:val="3230D3A0"/>
    <w:rsid w:val="323B214C"/>
    <w:rsid w:val="3255C6F2"/>
    <w:rsid w:val="325CB4FB"/>
    <w:rsid w:val="32638608"/>
    <w:rsid w:val="327E8151"/>
    <w:rsid w:val="32B1AB73"/>
    <w:rsid w:val="32C609E4"/>
    <w:rsid w:val="32D7938F"/>
    <w:rsid w:val="32E0CC20"/>
    <w:rsid w:val="32F8CD61"/>
    <w:rsid w:val="330B0BC0"/>
    <w:rsid w:val="3317D96B"/>
    <w:rsid w:val="331B49A0"/>
    <w:rsid w:val="334404AB"/>
    <w:rsid w:val="3348F264"/>
    <w:rsid w:val="334B8E1A"/>
    <w:rsid w:val="335ACDD6"/>
    <w:rsid w:val="338D029A"/>
    <w:rsid w:val="338E4D87"/>
    <w:rsid w:val="3394B2DF"/>
    <w:rsid w:val="339C77FC"/>
    <w:rsid w:val="33BE1631"/>
    <w:rsid w:val="33D3A7E7"/>
    <w:rsid w:val="33D9378D"/>
    <w:rsid w:val="340A2E61"/>
    <w:rsid w:val="343A12D7"/>
    <w:rsid w:val="34435678"/>
    <w:rsid w:val="3446F7B2"/>
    <w:rsid w:val="34687F19"/>
    <w:rsid w:val="346D0FBC"/>
    <w:rsid w:val="347BCE56"/>
    <w:rsid w:val="348D4E74"/>
    <w:rsid w:val="34969CE4"/>
    <w:rsid w:val="34A634F2"/>
    <w:rsid w:val="34B6AB9F"/>
    <w:rsid w:val="34E01D97"/>
    <w:rsid w:val="34ED3F44"/>
    <w:rsid w:val="34F754D3"/>
    <w:rsid w:val="34FD6F6B"/>
    <w:rsid w:val="34FE4AFD"/>
    <w:rsid w:val="3502050B"/>
    <w:rsid w:val="350CB10E"/>
    <w:rsid w:val="350D117F"/>
    <w:rsid w:val="351A4CFF"/>
    <w:rsid w:val="352D0A4C"/>
    <w:rsid w:val="353754A9"/>
    <w:rsid w:val="353E1B49"/>
    <w:rsid w:val="35543788"/>
    <w:rsid w:val="355E7305"/>
    <w:rsid w:val="356D4AA9"/>
    <w:rsid w:val="358C70A4"/>
    <w:rsid w:val="358F4DD9"/>
    <w:rsid w:val="35A64481"/>
    <w:rsid w:val="35AA3D18"/>
    <w:rsid w:val="35B13576"/>
    <w:rsid w:val="35CAE958"/>
    <w:rsid w:val="35D20B97"/>
    <w:rsid w:val="35E641C6"/>
    <w:rsid w:val="35E884C2"/>
    <w:rsid w:val="35ED678F"/>
    <w:rsid w:val="35F923EA"/>
    <w:rsid w:val="360AF50E"/>
    <w:rsid w:val="360F3AFC"/>
    <w:rsid w:val="36107E43"/>
    <w:rsid w:val="3623A915"/>
    <w:rsid w:val="362B690D"/>
    <w:rsid w:val="362C0B91"/>
    <w:rsid w:val="363105AB"/>
    <w:rsid w:val="3632D055"/>
    <w:rsid w:val="3641E9C7"/>
    <w:rsid w:val="36464E31"/>
    <w:rsid w:val="36727468"/>
    <w:rsid w:val="36865AA4"/>
    <w:rsid w:val="368727D2"/>
    <w:rsid w:val="36BEA360"/>
    <w:rsid w:val="36C35E10"/>
    <w:rsid w:val="36C37462"/>
    <w:rsid w:val="36C44943"/>
    <w:rsid w:val="36D49834"/>
    <w:rsid w:val="36D679D7"/>
    <w:rsid w:val="36E1BFDE"/>
    <w:rsid w:val="36F0F8D2"/>
    <w:rsid w:val="37120009"/>
    <w:rsid w:val="37134BE5"/>
    <w:rsid w:val="37238290"/>
    <w:rsid w:val="3747A119"/>
    <w:rsid w:val="37538297"/>
    <w:rsid w:val="375B8636"/>
    <w:rsid w:val="375F111E"/>
    <w:rsid w:val="375FD26C"/>
    <w:rsid w:val="37649566"/>
    <w:rsid w:val="37754850"/>
    <w:rsid w:val="378D9148"/>
    <w:rsid w:val="379EAB9F"/>
    <w:rsid w:val="37B202FA"/>
    <w:rsid w:val="37BD76E9"/>
    <w:rsid w:val="37D85E98"/>
    <w:rsid w:val="37DDF6B4"/>
    <w:rsid w:val="37E54FED"/>
    <w:rsid w:val="37F4E00E"/>
    <w:rsid w:val="37F8711B"/>
    <w:rsid w:val="3816EFC4"/>
    <w:rsid w:val="381D5AD6"/>
    <w:rsid w:val="3821F553"/>
    <w:rsid w:val="3823CD8C"/>
    <w:rsid w:val="38259690"/>
    <w:rsid w:val="38278C65"/>
    <w:rsid w:val="383EA161"/>
    <w:rsid w:val="3853CE4B"/>
    <w:rsid w:val="3863107E"/>
    <w:rsid w:val="3865AE85"/>
    <w:rsid w:val="386A1445"/>
    <w:rsid w:val="3877ACAC"/>
    <w:rsid w:val="387E9168"/>
    <w:rsid w:val="3885E171"/>
    <w:rsid w:val="3886389C"/>
    <w:rsid w:val="38A12B41"/>
    <w:rsid w:val="38A16FB6"/>
    <w:rsid w:val="38A76039"/>
    <w:rsid w:val="38B47EBA"/>
    <w:rsid w:val="38CA48C8"/>
    <w:rsid w:val="38D9AA09"/>
    <w:rsid w:val="38E2412E"/>
    <w:rsid w:val="3903934B"/>
    <w:rsid w:val="3916499A"/>
    <w:rsid w:val="392C7F5F"/>
    <w:rsid w:val="3943BD3D"/>
    <w:rsid w:val="394C27A6"/>
    <w:rsid w:val="394EC368"/>
    <w:rsid w:val="39569741"/>
    <w:rsid w:val="39615840"/>
    <w:rsid w:val="3965AEE6"/>
    <w:rsid w:val="39780C0F"/>
    <w:rsid w:val="397B4A1F"/>
    <w:rsid w:val="398710B5"/>
    <w:rsid w:val="39B600F5"/>
    <w:rsid w:val="39CE54D2"/>
    <w:rsid w:val="39D38DB6"/>
    <w:rsid w:val="3A05A5B8"/>
    <w:rsid w:val="3A0AE3FE"/>
    <w:rsid w:val="3A0DE134"/>
    <w:rsid w:val="3A105139"/>
    <w:rsid w:val="3A12C3D7"/>
    <w:rsid w:val="3A303398"/>
    <w:rsid w:val="3A393FC1"/>
    <w:rsid w:val="3A630CCC"/>
    <w:rsid w:val="3A6E12F0"/>
    <w:rsid w:val="3A7033EF"/>
    <w:rsid w:val="3A746BE2"/>
    <w:rsid w:val="3A7DE29C"/>
    <w:rsid w:val="3A900EF5"/>
    <w:rsid w:val="3A987F7A"/>
    <w:rsid w:val="3AC03F0A"/>
    <w:rsid w:val="3AC6DFD5"/>
    <w:rsid w:val="3ACC1026"/>
    <w:rsid w:val="3AD09E33"/>
    <w:rsid w:val="3AE20AAB"/>
    <w:rsid w:val="3AE7B4DA"/>
    <w:rsid w:val="3AFC49E4"/>
    <w:rsid w:val="3B19E019"/>
    <w:rsid w:val="3B3239E0"/>
    <w:rsid w:val="3B35EE4C"/>
    <w:rsid w:val="3B437147"/>
    <w:rsid w:val="3B54F4DD"/>
    <w:rsid w:val="3B65439E"/>
    <w:rsid w:val="3B8FD3F8"/>
    <w:rsid w:val="3B96E1DB"/>
    <w:rsid w:val="3BA372F9"/>
    <w:rsid w:val="3BBC9F66"/>
    <w:rsid w:val="3BBDFA93"/>
    <w:rsid w:val="3BCB05C1"/>
    <w:rsid w:val="3BD5E8F6"/>
    <w:rsid w:val="3BE409F1"/>
    <w:rsid w:val="3BF161EB"/>
    <w:rsid w:val="3BF25D1B"/>
    <w:rsid w:val="3C0A394B"/>
    <w:rsid w:val="3C237F8C"/>
    <w:rsid w:val="3C319C62"/>
    <w:rsid w:val="3C4371B7"/>
    <w:rsid w:val="3C556770"/>
    <w:rsid w:val="3C5F2904"/>
    <w:rsid w:val="3C7A0519"/>
    <w:rsid w:val="3C814000"/>
    <w:rsid w:val="3C865B76"/>
    <w:rsid w:val="3C903FD5"/>
    <w:rsid w:val="3C9DDBF2"/>
    <w:rsid w:val="3CA36E16"/>
    <w:rsid w:val="3CAFB6AE"/>
    <w:rsid w:val="3CAFDCD7"/>
    <w:rsid w:val="3CB6C4AC"/>
    <w:rsid w:val="3CCB452C"/>
    <w:rsid w:val="3CE01D3C"/>
    <w:rsid w:val="3CE0D6DB"/>
    <w:rsid w:val="3CE6EC85"/>
    <w:rsid w:val="3CFD378B"/>
    <w:rsid w:val="3D1349C6"/>
    <w:rsid w:val="3D16F3F1"/>
    <w:rsid w:val="3D29EBE4"/>
    <w:rsid w:val="3D2FCE55"/>
    <w:rsid w:val="3D46CBFD"/>
    <w:rsid w:val="3D507DE1"/>
    <w:rsid w:val="3D5305EB"/>
    <w:rsid w:val="3D8F188C"/>
    <w:rsid w:val="3D9BAD84"/>
    <w:rsid w:val="3D9CB5EC"/>
    <w:rsid w:val="3DA01B06"/>
    <w:rsid w:val="3DAF6152"/>
    <w:rsid w:val="3DB40A03"/>
    <w:rsid w:val="3DB5267F"/>
    <w:rsid w:val="3DBD8A87"/>
    <w:rsid w:val="3DD2F2BE"/>
    <w:rsid w:val="3DDB8237"/>
    <w:rsid w:val="3DE0D4A3"/>
    <w:rsid w:val="3DEF5A57"/>
    <w:rsid w:val="3DF56FB4"/>
    <w:rsid w:val="3E072279"/>
    <w:rsid w:val="3E34AB2A"/>
    <w:rsid w:val="3E56A0F4"/>
    <w:rsid w:val="3E5B15F5"/>
    <w:rsid w:val="3E7ADFF3"/>
    <w:rsid w:val="3E807419"/>
    <w:rsid w:val="3E84DFE8"/>
    <w:rsid w:val="3EA07B39"/>
    <w:rsid w:val="3EC538F6"/>
    <w:rsid w:val="3F068E0A"/>
    <w:rsid w:val="3F0B90AB"/>
    <w:rsid w:val="3F10B586"/>
    <w:rsid w:val="3F227A61"/>
    <w:rsid w:val="3F275356"/>
    <w:rsid w:val="3F3AB592"/>
    <w:rsid w:val="3F6043B8"/>
    <w:rsid w:val="3F723350"/>
    <w:rsid w:val="3F745B97"/>
    <w:rsid w:val="3F830879"/>
    <w:rsid w:val="3FA75568"/>
    <w:rsid w:val="3FCCC012"/>
    <w:rsid w:val="3FDC585A"/>
    <w:rsid w:val="3FE854EB"/>
    <w:rsid w:val="3FF348DC"/>
    <w:rsid w:val="400306E2"/>
    <w:rsid w:val="4009ED54"/>
    <w:rsid w:val="40172BAC"/>
    <w:rsid w:val="4022B5D7"/>
    <w:rsid w:val="402987C4"/>
    <w:rsid w:val="40315C32"/>
    <w:rsid w:val="4037824E"/>
    <w:rsid w:val="403EF850"/>
    <w:rsid w:val="4042B4CD"/>
    <w:rsid w:val="40432296"/>
    <w:rsid w:val="40661B5B"/>
    <w:rsid w:val="40728425"/>
    <w:rsid w:val="4097793F"/>
    <w:rsid w:val="40A18B1F"/>
    <w:rsid w:val="40C87C59"/>
    <w:rsid w:val="40CFEFA9"/>
    <w:rsid w:val="40D685F3"/>
    <w:rsid w:val="40E46390"/>
    <w:rsid w:val="40EFA16B"/>
    <w:rsid w:val="40F323B7"/>
    <w:rsid w:val="411DFF9F"/>
    <w:rsid w:val="412E4087"/>
    <w:rsid w:val="4132B69E"/>
    <w:rsid w:val="41361F4C"/>
    <w:rsid w:val="4155D123"/>
    <w:rsid w:val="415C80DB"/>
    <w:rsid w:val="4170B8C4"/>
    <w:rsid w:val="418D8983"/>
    <w:rsid w:val="41AFB755"/>
    <w:rsid w:val="41D51ECF"/>
    <w:rsid w:val="41D75082"/>
    <w:rsid w:val="41DE0C2E"/>
    <w:rsid w:val="41F37BF3"/>
    <w:rsid w:val="42125CBE"/>
    <w:rsid w:val="421BBADA"/>
    <w:rsid w:val="42247A67"/>
    <w:rsid w:val="423946A5"/>
    <w:rsid w:val="42470EEB"/>
    <w:rsid w:val="4247E1F7"/>
    <w:rsid w:val="4257CC87"/>
    <w:rsid w:val="425AE396"/>
    <w:rsid w:val="4265A608"/>
    <w:rsid w:val="428879D5"/>
    <w:rsid w:val="4289E969"/>
    <w:rsid w:val="42A72960"/>
    <w:rsid w:val="42B3BA64"/>
    <w:rsid w:val="42B509A4"/>
    <w:rsid w:val="42BE72C5"/>
    <w:rsid w:val="42C59B04"/>
    <w:rsid w:val="42C79C17"/>
    <w:rsid w:val="42DDCA21"/>
    <w:rsid w:val="42E962CC"/>
    <w:rsid w:val="42F4995F"/>
    <w:rsid w:val="43042139"/>
    <w:rsid w:val="430B63FE"/>
    <w:rsid w:val="4311700B"/>
    <w:rsid w:val="43144484"/>
    <w:rsid w:val="431D3D5C"/>
    <w:rsid w:val="433CA892"/>
    <w:rsid w:val="433DEFD7"/>
    <w:rsid w:val="4343583C"/>
    <w:rsid w:val="434ED041"/>
    <w:rsid w:val="436CDA8C"/>
    <w:rsid w:val="438568F7"/>
    <w:rsid w:val="43914E5F"/>
    <w:rsid w:val="439BA90E"/>
    <w:rsid w:val="439C7D65"/>
    <w:rsid w:val="43A01B6C"/>
    <w:rsid w:val="43A0F60C"/>
    <w:rsid w:val="43A93A2D"/>
    <w:rsid w:val="43B16572"/>
    <w:rsid w:val="43CC1F2B"/>
    <w:rsid w:val="43DF3CE1"/>
    <w:rsid w:val="43E748C4"/>
    <w:rsid w:val="43F4FCC3"/>
    <w:rsid w:val="43F7F23C"/>
    <w:rsid w:val="43F8C4DE"/>
    <w:rsid w:val="43F9CD5A"/>
    <w:rsid w:val="4402AB1D"/>
    <w:rsid w:val="442794DF"/>
    <w:rsid w:val="4446ABD4"/>
    <w:rsid w:val="4449AE52"/>
    <w:rsid w:val="444F0231"/>
    <w:rsid w:val="4454CC49"/>
    <w:rsid w:val="4470EEC4"/>
    <w:rsid w:val="4472FDEA"/>
    <w:rsid w:val="447DB472"/>
    <w:rsid w:val="4487DE8F"/>
    <w:rsid w:val="4499C079"/>
    <w:rsid w:val="44A4956E"/>
    <w:rsid w:val="44B24B10"/>
    <w:rsid w:val="44CB2EEE"/>
    <w:rsid w:val="44D6CEB7"/>
    <w:rsid w:val="44D81D79"/>
    <w:rsid w:val="44F3EE13"/>
    <w:rsid w:val="450D19C4"/>
    <w:rsid w:val="450DA645"/>
    <w:rsid w:val="451AF0A0"/>
    <w:rsid w:val="451C0F04"/>
    <w:rsid w:val="4528FD75"/>
    <w:rsid w:val="453C22DE"/>
    <w:rsid w:val="453D6BB0"/>
    <w:rsid w:val="458FD96E"/>
    <w:rsid w:val="459BC09D"/>
    <w:rsid w:val="45AFEABA"/>
    <w:rsid w:val="45CE4D74"/>
    <w:rsid w:val="45D19956"/>
    <w:rsid w:val="45E22D1B"/>
    <w:rsid w:val="45EDF2F2"/>
    <w:rsid w:val="461F77A5"/>
    <w:rsid w:val="462D6BCA"/>
    <w:rsid w:val="4631B850"/>
    <w:rsid w:val="4637D37A"/>
    <w:rsid w:val="4656095F"/>
    <w:rsid w:val="4662B19E"/>
    <w:rsid w:val="468A3BDA"/>
    <w:rsid w:val="46AA4811"/>
    <w:rsid w:val="46BA9D86"/>
    <w:rsid w:val="46BCFD19"/>
    <w:rsid w:val="46BD3C7A"/>
    <w:rsid w:val="46C54660"/>
    <w:rsid w:val="46FF0DCA"/>
    <w:rsid w:val="470A7844"/>
    <w:rsid w:val="470EDC4B"/>
    <w:rsid w:val="473333AA"/>
    <w:rsid w:val="47333D30"/>
    <w:rsid w:val="474621EB"/>
    <w:rsid w:val="47632BFB"/>
    <w:rsid w:val="47691DD5"/>
    <w:rsid w:val="477CEC57"/>
    <w:rsid w:val="47841043"/>
    <w:rsid w:val="478894E9"/>
    <w:rsid w:val="4799CE2E"/>
    <w:rsid w:val="47A9A0B2"/>
    <w:rsid w:val="47A9B559"/>
    <w:rsid w:val="47AC5079"/>
    <w:rsid w:val="47BA8B8C"/>
    <w:rsid w:val="47CCF7DA"/>
    <w:rsid w:val="47D95B79"/>
    <w:rsid w:val="47F33025"/>
    <w:rsid w:val="47FEF1D5"/>
    <w:rsid w:val="47FFF559"/>
    <w:rsid w:val="4810EE20"/>
    <w:rsid w:val="482022AD"/>
    <w:rsid w:val="48223D91"/>
    <w:rsid w:val="4828A3DC"/>
    <w:rsid w:val="4833CB9D"/>
    <w:rsid w:val="484E2B99"/>
    <w:rsid w:val="48563DCB"/>
    <w:rsid w:val="486E2FE9"/>
    <w:rsid w:val="48732A50"/>
    <w:rsid w:val="4875E2D7"/>
    <w:rsid w:val="488FD375"/>
    <w:rsid w:val="48AA3F6C"/>
    <w:rsid w:val="48CA734C"/>
    <w:rsid w:val="48D38C80"/>
    <w:rsid w:val="48D3FF6A"/>
    <w:rsid w:val="48DC6F87"/>
    <w:rsid w:val="48E5D1DE"/>
    <w:rsid w:val="48EABB33"/>
    <w:rsid w:val="48F94AC3"/>
    <w:rsid w:val="4905ECC8"/>
    <w:rsid w:val="4906A577"/>
    <w:rsid w:val="4909E72C"/>
    <w:rsid w:val="490E398C"/>
    <w:rsid w:val="491F0CD4"/>
    <w:rsid w:val="492225CB"/>
    <w:rsid w:val="4930363A"/>
    <w:rsid w:val="4930BBCD"/>
    <w:rsid w:val="4932FAC3"/>
    <w:rsid w:val="49345B49"/>
    <w:rsid w:val="4951B57D"/>
    <w:rsid w:val="49713CED"/>
    <w:rsid w:val="49908257"/>
    <w:rsid w:val="499763F8"/>
    <w:rsid w:val="49A0ACA3"/>
    <w:rsid w:val="49A895E3"/>
    <w:rsid w:val="49A89838"/>
    <w:rsid w:val="49AA4BC9"/>
    <w:rsid w:val="49BBA7D1"/>
    <w:rsid w:val="49BF8004"/>
    <w:rsid w:val="49C1C1A1"/>
    <w:rsid w:val="49D481CC"/>
    <w:rsid w:val="49D58186"/>
    <w:rsid w:val="49DA567E"/>
    <w:rsid w:val="49DEF465"/>
    <w:rsid w:val="49EEEE37"/>
    <w:rsid w:val="49EEF611"/>
    <w:rsid w:val="49EF22BE"/>
    <w:rsid w:val="4A0092E8"/>
    <w:rsid w:val="4A2D2B89"/>
    <w:rsid w:val="4A4B1807"/>
    <w:rsid w:val="4A520AF3"/>
    <w:rsid w:val="4A615BF5"/>
    <w:rsid w:val="4A66F667"/>
    <w:rsid w:val="4A75FF10"/>
    <w:rsid w:val="4A7812BC"/>
    <w:rsid w:val="4A9664B1"/>
    <w:rsid w:val="4A9E2289"/>
    <w:rsid w:val="4AA4BFD3"/>
    <w:rsid w:val="4AA4D830"/>
    <w:rsid w:val="4ABA36A1"/>
    <w:rsid w:val="4ABF4682"/>
    <w:rsid w:val="4ACC0C69"/>
    <w:rsid w:val="4ADF25ED"/>
    <w:rsid w:val="4AE6DB66"/>
    <w:rsid w:val="4AE797F7"/>
    <w:rsid w:val="4AECC4F7"/>
    <w:rsid w:val="4AEF6054"/>
    <w:rsid w:val="4AFEBDFE"/>
    <w:rsid w:val="4B07B50C"/>
    <w:rsid w:val="4B0F0FD1"/>
    <w:rsid w:val="4B0F1510"/>
    <w:rsid w:val="4B1C764E"/>
    <w:rsid w:val="4B1C8F42"/>
    <w:rsid w:val="4B1E86DD"/>
    <w:rsid w:val="4B324841"/>
    <w:rsid w:val="4B45053A"/>
    <w:rsid w:val="4B46E79F"/>
    <w:rsid w:val="4B69180C"/>
    <w:rsid w:val="4B6B89E5"/>
    <w:rsid w:val="4B6CF389"/>
    <w:rsid w:val="4B7B8703"/>
    <w:rsid w:val="4B7C7818"/>
    <w:rsid w:val="4B7F4915"/>
    <w:rsid w:val="4B895F7D"/>
    <w:rsid w:val="4B8D60C0"/>
    <w:rsid w:val="4B8DA726"/>
    <w:rsid w:val="4B929AFD"/>
    <w:rsid w:val="4B9B0D09"/>
    <w:rsid w:val="4BA047AE"/>
    <w:rsid w:val="4BA0B5F6"/>
    <w:rsid w:val="4BA439FC"/>
    <w:rsid w:val="4BD74112"/>
    <w:rsid w:val="4BE7939B"/>
    <w:rsid w:val="4C00C679"/>
    <w:rsid w:val="4C3678A1"/>
    <w:rsid w:val="4C38FD2D"/>
    <w:rsid w:val="4C3FE4DF"/>
    <w:rsid w:val="4C4629EB"/>
    <w:rsid w:val="4C47F5D7"/>
    <w:rsid w:val="4C66EB37"/>
    <w:rsid w:val="4C6A13ED"/>
    <w:rsid w:val="4C7423EA"/>
    <w:rsid w:val="4C97FD6E"/>
    <w:rsid w:val="4CACF4BF"/>
    <w:rsid w:val="4CBA81C0"/>
    <w:rsid w:val="4CBC0F1F"/>
    <w:rsid w:val="4CC50576"/>
    <w:rsid w:val="4CDD0FE8"/>
    <w:rsid w:val="4CEA4E8C"/>
    <w:rsid w:val="4D074C7D"/>
    <w:rsid w:val="4D0A8DEE"/>
    <w:rsid w:val="4D193D8E"/>
    <w:rsid w:val="4D278E8B"/>
    <w:rsid w:val="4D308391"/>
    <w:rsid w:val="4D3D5DC5"/>
    <w:rsid w:val="4D537ADC"/>
    <w:rsid w:val="4D54B510"/>
    <w:rsid w:val="4D636354"/>
    <w:rsid w:val="4D809C66"/>
    <w:rsid w:val="4D95BE25"/>
    <w:rsid w:val="4DB7AA4F"/>
    <w:rsid w:val="4DC3F790"/>
    <w:rsid w:val="4DC85BC4"/>
    <w:rsid w:val="4DD65AC3"/>
    <w:rsid w:val="4DE4EFDF"/>
    <w:rsid w:val="4DF3F8A2"/>
    <w:rsid w:val="4DF9E44B"/>
    <w:rsid w:val="4E0648F5"/>
    <w:rsid w:val="4E2A2608"/>
    <w:rsid w:val="4E315C00"/>
    <w:rsid w:val="4E64443E"/>
    <w:rsid w:val="4E65C1AD"/>
    <w:rsid w:val="4E8245DB"/>
    <w:rsid w:val="4E8A5BFE"/>
    <w:rsid w:val="4E8BD989"/>
    <w:rsid w:val="4E8DBCEC"/>
    <w:rsid w:val="4E93134F"/>
    <w:rsid w:val="4E987163"/>
    <w:rsid w:val="4E9F8285"/>
    <w:rsid w:val="4EB8CADA"/>
    <w:rsid w:val="4EBC9693"/>
    <w:rsid w:val="4ECA88BF"/>
    <w:rsid w:val="4ED2A3AE"/>
    <w:rsid w:val="4EFAA47E"/>
    <w:rsid w:val="4EFD708B"/>
    <w:rsid w:val="4F00482D"/>
    <w:rsid w:val="4F00EC34"/>
    <w:rsid w:val="4F044CC8"/>
    <w:rsid w:val="4F106299"/>
    <w:rsid w:val="4F1CBD36"/>
    <w:rsid w:val="4F1D9CF9"/>
    <w:rsid w:val="4F3296FF"/>
    <w:rsid w:val="4F439E3E"/>
    <w:rsid w:val="4F44462D"/>
    <w:rsid w:val="4F514F6F"/>
    <w:rsid w:val="4F5411C5"/>
    <w:rsid w:val="4F6CEF3B"/>
    <w:rsid w:val="4F7BACDB"/>
    <w:rsid w:val="4F82233E"/>
    <w:rsid w:val="4FAEA688"/>
    <w:rsid w:val="4FC535BC"/>
    <w:rsid w:val="4FC539EF"/>
    <w:rsid w:val="4FD74818"/>
    <w:rsid w:val="4FE4FE88"/>
    <w:rsid w:val="5000C5F5"/>
    <w:rsid w:val="50168BEA"/>
    <w:rsid w:val="5017F9B6"/>
    <w:rsid w:val="5027060E"/>
    <w:rsid w:val="502DAD43"/>
    <w:rsid w:val="503845C0"/>
    <w:rsid w:val="5039ACA6"/>
    <w:rsid w:val="5040651C"/>
    <w:rsid w:val="50460C5D"/>
    <w:rsid w:val="504A7C46"/>
    <w:rsid w:val="5077C066"/>
    <w:rsid w:val="50782349"/>
    <w:rsid w:val="5093E863"/>
    <w:rsid w:val="50B14FBA"/>
    <w:rsid w:val="50C5E76C"/>
    <w:rsid w:val="50CAB0A5"/>
    <w:rsid w:val="50D07006"/>
    <w:rsid w:val="50D4C334"/>
    <w:rsid w:val="50E42EE7"/>
    <w:rsid w:val="50EEC1FB"/>
    <w:rsid w:val="50F3BAAD"/>
    <w:rsid w:val="5104461E"/>
    <w:rsid w:val="5109FE09"/>
    <w:rsid w:val="511AFD6A"/>
    <w:rsid w:val="51379820"/>
    <w:rsid w:val="513B7353"/>
    <w:rsid w:val="5143D26B"/>
    <w:rsid w:val="5147C695"/>
    <w:rsid w:val="515E37F2"/>
    <w:rsid w:val="515FBCE3"/>
    <w:rsid w:val="51659D34"/>
    <w:rsid w:val="51843247"/>
    <w:rsid w:val="51864827"/>
    <w:rsid w:val="518A5D3C"/>
    <w:rsid w:val="519B313E"/>
    <w:rsid w:val="519C27AE"/>
    <w:rsid w:val="519C2F58"/>
    <w:rsid w:val="51B3516A"/>
    <w:rsid w:val="51BFE1AB"/>
    <w:rsid w:val="51D63CE3"/>
    <w:rsid w:val="51DC350D"/>
    <w:rsid w:val="51DF9260"/>
    <w:rsid w:val="5204F1F0"/>
    <w:rsid w:val="5215B5DE"/>
    <w:rsid w:val="52365269"/>
    <w:rsid w:val="5236F95F"/>
    <w:rsid w:val="5238CEDB"/>
    <w:rsid w:val="52395418"/>
    <w:rsid w:val="523B8B10"/>
    <w:rsid w:val="52BE05C8"/>
    <w:rsid w:val="52DC7FB5"/>
    <w:rsid w:val="52E90F29"/>
    <w:rsid w:val="53100DC6"/>
    <w:rsid w:val="5315D940"/>
    <w:rsid w:val="5324D677"/>
    <w:rsid w:val="532D4AB2"/>
    <w:rsid w:val="53336FFF"/>
    <w:rsid w:val="5338A6E8"/>
    <w:rsid w:val="534205AA"/>
    <w:rsid w:val="538C1D0F"/>
    <w:rsid w:val="53983DC4"/>
    <w:rsid w:val="53C566D2"/>
    <w:rsid w:val="53DD7B76"/>
    <w:rsid w:val="53FBC2CF"/>
    <w:rsid w:val="5423D529"/>
    <w:rsid w:val="5424EC06"/>
    <w:rsid w:val="542A08C0"/>
    <w:rsid w:val="542C781D"/>
    <w:rsid w:val="5441A130"/>
    <w:rsid w:val="544550CE"/>
    <w:rsid w:val="544A5846"/>
    <w:rsid w:val="546009B7"/>
    <w:rsid w:val="54868D99"/>
    <w:rsid w:val="548AE450"/>
    <w:rsid w:val="54A98EE8"/>
    <w:rsid w:val="54B29DF6"/>
    <w:rsid w:val="54B9D2F8"/>
    <w:rsid w:val="54CBBFBE"/>
    <w:rsid w:val="54F1C514"/>
    <w:rsid w:val="54FC54EC"/>
    <w:rsid w:val="54FFD8B7"/>
    <w:rsid w:val="5509509F"/>
    <w:rsid w:val="5511344B"/>
    <w:rsid w:val="55132426"/>
    <w:rsid w:val="5522C693"/>
    <w:rsid w:val="5523396B"/>
    <w:rsid w:val="5527BCEC"/>
    <w:rsid w:val="552C66E0"/>
    <w:rsid w:val="55486F02"/>
    <w:rsid w:val="55496DC5"/>
    <w:rsid w:val="5561C231"/>
    <w:rsid w:val="557123A5"/>
    <w:rsid w:val="55997E32"/>
    <w:rsid w:val="559F527D"/>
    <w:rsid w:val="55A76667"/>
    <w:rsid w:val="55ACF47E"/>
    <w:rsid w:val="55BA6198"/>
    <w:rsid w:val="55BD1604"/>
    <w:rsid w:val="55D5821D"/>
    <w:rsid w:val="55EA644A"/>
    <w:rsid w:val="55FE0966"/>
    <w:rsid w:val="55FFCD06"/>
    <w:rsid w:val="55FFCE47"/>
    <w:rsid w:val="560132A9"/>
    <w:rsid w:val="5603BA33"/>
    <w:rsid w:val="5603F121"/>
    <w:rsid w:val="560A0915"/>
    <w:rsid w:val="5616B9A6"/>
    <w:rsid w:val="56193840"/>
    <w:rsid w:val="56194A1C"/>
    <w:rsid w:val="562770EF"/>
    <w:rsid w:val="562D2026"/>
    <w:rsid w:val="563AC85E"/>
    <w:rsid w:val="565ED450"/>
    <w:rsid w:val="5661345F"/>
    <w:rsid w:val="56739996"/>
    <w:rsid w:val="5677F99C"/>
    <w:rsid w:val="567DB299"/>
    <w:rsid w:val="569DD209"/>
    <w:rsid w:val="56AB2AA9"/>
    <w:rsid w:val="56B57FAC"/>
    <w:rsid w:val="56BAC3EC"/>
    <w:rsid w:val="56D73627"/>
    <w:rsid w:val="56D795D5"/>
    <w:rsid w:val="5718F526"/>
    <w:rsid w:val="571D7301"/>
    <w:rsid w:val="571EB916"/>
    <w:rsid w:val="5730E814"/>
    <w:rsid w:val="573B59BB"/>
    <w:rsid w:val="574BE63F"/>
    <w:rsid w:val="575C1765"/>
    <w:rsid w:val="575CB0B2"/>
    <w:rsid w:val="577F2B83"/>
    <w:rsid w:val="579B48CC"/>
    <w:rsid w:val="57DABD75"/>
    <w:rsid w:val="57FE4158"/>
    <w:rsid w:val="581CF8DD"/>
    <w:rsid w:val="582CD259"/>
    <w:rsid w:val="583B6DBB"/>
    <w:rsid w:val="5844F2C1"/>
    <w:rsid w:val="585C24CA"/>
    <w:rsid w:val="5861FDF8"/>
    <w:rsid w:val="587F4485"/>
    <w:rsid w:val="5890BC85"/>
    <w:rsid w:val="589B7DB1"/>
    <w:rsid w:val="589DC085"/>
    <w:rsid w:val="58A1111F"/>
    <w:rsid w:val="58A865F2"/>
    <w:rsid w:val="58BA4117"/>
    <w:rsid w:val="58C017E7"/>
    <w:rsid w:val="58C35C28"/>
    <w:rsid w:val="58EA27F4"/>
    <w:rsid w:val="58F64C0F"/>
    <w:rsid w:val="58F8D001"/>
    <w:rsid w:val="590048BE"/>
    <w:rsid w:val="590378B7"/>
    <w:rsid w:val="590937EB"/>
    <w:rsid w:val="591058FA"/>
    <w:rsid w:val="5913582B"/>
    <w:rsid w:val="5916AE94"/>
    <w:rsid w:val="591FE15F"/>
    <w:rsid w:val="59224992"/>
    <w:rsid w:val="592FC72B"/>
    <w:rsid w:val="59387EC5"/>
    <w:rsid w:val="5940BDC4"/>
    <w:rsid w:val="59418A82"/>
    <w:rsid w:val="595E7BB5"/>
    <w:rsid w:val="595EBE58"/>
    <w:rsid w:val="596D56F6"/>
    <w:rsid w:val="5980CD31"/>
    <w:rsid w:val="59B5B3F3"/>
    <w:rsid w:val="59C9E890"/>
    <w:rsid w:val="59CEFE32"/>
    <w:rsid w:val="59E6B5F5"/>
    <w:rsid w:val="59FD54E2"/>
    <w:rsid w:val="5A34E76D"/>
    <w:rsid w:val="5A41E80F"/>
    <w:rsid w:val="5A4C4481"/>
    <w:rsid w:val="5A4DCD20"/>
    <w:rsid w:val="5A6E4FCA"/>
    <w:rsid w:val="5A70121D"/>
    <w:rsid w:val="5A7BA690"/>
    <w:rsid w:val="5A809375"/>
    <w:rsid w:val="5A908727"/>
    <w:rsid w:val="5A921D49"/>
    <w:rsid w:val="5A94A062"/>
    <w:rsid w:val="5A9F6494"/>
    <w:rsid w:val="5ACB8CA1"/>
    <w:rsid w:val="5ACD5184"/>
    <w:rsid w:val="5AE9860C"/>
    <w:rsid w:val="5B409A47"/>
    <w:rsid w:val="5B4A52D4"/>
    <w:rsid w:val="5B58F1CD"/>
    <w:rsid w:val="5B7C76FE"/>
    <w:rsid w:val="5B8E4F66"/>
    <w:rsid w:val="5BA3E931"/>
    <w:rsid w:val="5BC4EA25"/>
    <w:rsid w:val="5BDDE77E"/>
    <w:rsid w:val="5BE729F1"/>
    <w:rsid w:val="5C0BD0A3"/>
    <w:rsid w:val="5C189CA9"/>
    <w:rsid w:val="5C1BD3BB"/>
    <w:rsid w:val="5C1C4ADB"/>
    <w:rsid w:val="5C2A584C"/>
    <w:rsid w:val="5C470E29"/>
    <w:rsid w:val="5C4A9CB3"/>
    <w:rsid w:val="5C621AC8"/>
    <w:rsid w:val="5C7D8620"/>
    <w:rsid w:val="5C8FD4B1"/>
    <w:rsid w:val="5CA25719"/>
    <w:rsid w:val="5CA6E760"/>
    <w:rsid w:val="5CD00ACE"/>
    <w:rsid w:val="5CE73E31"/>
    <w:rsid w:val="5CE7C4DF"/>
    <w:rsid w:val="5CF4AB0E"/>
    <w:rsid w:val="5CF52865"/>
    <w:rsid w:val="5CF7960C"/>
    <w:rsid w:val="5CFECD29"/>
    <w:rsid w:val="5D0972C6"/>
    <w:rsid w:val="5D21E106"/>
    <w:rsid w:val="5D4F73E3"/>
    <w:rsid w:val="5D50E67B"/>
    <w:rsid w:val="5D7F6078"/>
    <w:rsid w:val="5D94E5C2"/>
    <w:rsid w:val="5DA843DA"/>
    <w:rsid w:val="5DA9E3DC"/>
    <w:rsid w:val="5DAF6B29"/>
    <w:rsid w:val="5DB67348"/>
    <w:rsid w:val="5DC28433"/>
    <w:rsid w:val="5DC76E1F"/>
    <w:rsid w:val="5DF83F12"/>
    <w:rsid w:val="5E2C768E"/>
    <w:rsid w:val="5E4D7A70"/>
    <w:rsid w:val="5E5DE664"/>
    <w:rsid w:val="5E5E7504"/>
    <w:rsid w:val="5E609499"/>
    <w:rsid w:val="5E61D348"/>
    <w:rsid w:val="5E77222C"/>
    <w:rsid w:val="5E7D02C8"/>
    <w:rsid w:val="5E8B64ED"/>
    <w:rsid w:val="5E928E91"/>
    <w:rsid w:val="5E9C99BB"/>
    <w:rsid w:val="5EA0A766"/>
    <w:rsid w:val="5EA4F1B7"/>
    <w:rsid w:val="5EB09F80"/>
    <w:rsid w:val="5EB86A55"/>
    <w:rsid w:val="5EFACC83"/>
    <w:rsid w:val="5F141A28"/>
    <w:rsid w:val="5F160A80"/>
    <w:rsid w:val="5F21CF51"/>
    <w:rsid w:val="5F2595EB"/>
    <w:rsid w:val="5F2B9163"/>
    <w:rsid w:val="5F2FB8A4"/>
    <w:rsid w:val="5F398255"/>
    <w:rsid w:val="5F413E1A"/>
    <w:rsid w:val="5F53DBAA"/>
    <w:rsid w:val="5F61F90E"/>
    <w:rsid w:val="5F7E0400"/>
    <w:rsid w:val="5F8536B5"/>
    <w:rsid w:val="5F862E35"/>
    <w:rsid w:val="5F91F956"/>
    <w:rsid w:val="5F93A010"/>
    <w:rsid w:val="5F98432E"/>
    <w:rsid w:val="5FA070A8"/>
    <w:rsid w:val="5FBF62FE"/>
    <w:rsid w:val="5FD71F95"/>
    <w:rsid w:val="5FD91BB0"/>
    <w:rsid w:val="5FE3533F"/>
    <w:rsid w:val="5FE4A760"/>
    <w:rsid w:val="5FF918A2"/>
    <w:rsid w:val="602D3544"/>
    <w:rsid w:val="602EDE81"/>
    <w:rsid w:val="6039F223"/>
    <w:rsid w:val="60555F9B"/>
    <w:rsid w:val="60566972"/>
    <w:rsid w:val="6056FEF9"/>
    <w:rsid w:val="606A217E"/>
    <w:rsid w:val="607739F2"/>
    <w:rsid w:val="609DD2DD"/>
    <w:rsid w:val="60A8CBDB"/>
    <w:rsid w:val="60AA3DE1"/>
    <w:rsid w:val="60AD0068"/>
    <w:rsid w:val="60C3CB60"/>
    <w:rsid w:val="60C4AE65"/>
    <w:rsid w:val="60C9FAE7"/>
    <w:rsid w:val="60D1ADD8"/>
    <w:rsid w:val="60DF9669"/>
    <w:rsid w:val="60E7490E"/>
    <w:rsid w:val="60ED70C5"/>
    <w:rsid w:val="61151FAE"/>
    <w:rsid w:val="6174C3C4"/>
    <w:rsid w:val="617E8E8B"/>
    <w:rsid w:val="6191D328"/>
    <w:rsid w:val="61CC6A3D"/>
    <w:rsid w:val="61D0F4D9"/>
    <w:rsid w:val="61D62A37"/>
    <w:rsid w:val="61D8198A"/>
    <w:rsid w:val="61EE0FFB"/>
    <w:rsid w:val="61F3EF7C"/>
    <w:rsid w:val="61F72056"/>
    <w:rsid w:val="62093049"/>
    <w:rsid w:val="620C13FF"/>
    <w:rsid w:val="622070DD"/>
    <w:rsid w:val="62212808"/>
    <w:rsid w:val="6242EA6A"/>
    <w:rsid w:val="624B2C6E"/>
    <w:rsid w:val="62516994"/>
    <w:rsid w:val="626E8F21"/>
    <w:rsid w:val="627F051A"/>
    <w:rsid w:val="6280494E"/>
    <w:rsid w:val="62935B08"/>
    <w:rsid w:val="6294FE9A"/>
    <w:rsid w:val="62AD744D"/>
    <w:rsid w:val="62BBF2AB"/>
    <w:rsid w:val="62C35771"/>
    <w:rsid w:val="62D58B53"/>
    <w:rsid w:val="62EDE4C2"/>
    <w:rsid w:val="630B629E"/>
    <w:rsid w:val="63373872"/>
    <w:rsid w:val="633B7760"/>
    <w:rsid w:val="63599399"/>
    <w:rsid w:val="637761CC"/>
    <w:rsid w:val="637B1F8A"/>
    <w:rsid w:val="637F25FC"/>
    <w:rsid w:val="638A7520"/>
    <w:rsid w:val="63B182AF"/>
    <w:rsid w:val="63B28657"/>
    <w:rsid w:val="63B2B6DB"/>
    <w:rsid w:val="63CE699D"/>
    <w:rsid w:val="63DD11B9"/>
    <w:rsid w:val="63DE8C6A"/>
    <w:rsid w:val="63E36C1C"/>
    <w:rsid w:val="63E59D49"/>
    <w:rsid w:val="63E98477"/>
    <w:rsid w:val="63EFE41C"/>
    <w:rsid w:val="63FABA6D"/>
    <w:rsid w:val="64087081"/>
    <w:rsid w:val="640A610C"/>
    <w:rsid w:val="640EDAD0"/>
    <w:rsid w:val="64159A42"/>
    <w:rsid w:val="641F82C4"/>
    <w:rsid w:val="6423FFAD"/>
    <w:rsid w:val="645D974C"/>
    <w:rsid w:val="6464AD7C"/>
    <w:rsid w:val="64660694"/>
    <w:rsid w:val="6466BDDD"/>
    <w:rsid w:val="646CFB71"/>
    <w:rsid w:val="647495E5"/>
    <w:rsid w:val="648DFF4E"/>
    <w:rsid w:val="6497EFF7"/>
    <w:rsid w:val="649B8B0B"/>
    <w:rsid w:val="64C2D743"/>
    <w:rsid w:val="64EFB851"/>
    <w:rsid w:val="6524F7D8"/>
    <w:rsid w:val="6535B171"/>
    <w:rsid w:val="6535FA33"/>
    <w:rsid w:val="6549DF91"/>
    <w:rsid w:val="65587A79"/>
    <w:rsid w:val="655D952B"/>
    <w:rsid w:val="656317AF"/>
    <w:rsid w:val="656ABD14"/>
    <w:rsid w:val="6573ED52"/>
    <w:rsid w:val="65762FF9"/>
    <w:rsid w:val="658FCDDC"/>
    <w:rsid w:val="6590EC2D"/>
    <w:rsid w:val="65A29364"/>
    <w:rsid w:val="65D8C759"/>
    <w:rsid w:val="65DCA8AC"/>
    <w:rsid w:val="65EDCAE8"/>
    <w:rsid w:val="65F3042E"/>
    <w:rsid w:val="65F3936D"/>
    <w:rsid w:val="661644E3"/>
    <w:rsid w:val="6623FCAC"/>
    <w:rsid w:val="6627C3ED"/>
    <w:rsid w:val="662BBE67"/>
    <w:rsid w:val="663033B9"/>
    <w:rsid w:val="663204F9"/>
    <w:rsid w:val="66412B32"/>
    <w:rsid w:val="6645C316"/>
    <w:rsid w:val="6648E8FB"/>
    <w:rsid w:val="665519EF"/>
    <w:rsid w:val="6659DB02"/>
    <w:rsid w:val="666C841B"/>
    <w:rsid w:val="66831849"/>
    <w:rsid w:val="66845AE3"/>
    <w:rsid w:val="668674A9"/>
    <w:rsid w:val="669AD90C"/>
    <w:rsid w:val="669DA5A2"/>
    <w:rsid w:val="66D02485"/>
    <w:rsid w:val="66D0C516"/>
    <w:rsid w:val="66DA47EA"/>
    <w:rsid w:val="66F0CF84"/>
    <w:rsid w:val="66F6E97C"/>
    <w:rsid w:val="6702EB8B"/>
    <w:rsid w:val="670F0FD1"/>
    <w:rsid w:val="67149C9D"/>
    <w:rsid w:val="671754C8"/>
    <w:rsid w:val="672330D9"/>
    <w:rsid w:val="672358A2"/>
    <w:rsid w:val="6725F6FA"/>
    <w:rsid w:val="672E3D4E"/>
    <w:rsid w:val="673292C8"/>
    <w:rsid w:val="673F9E91"/>
    <w:rsid w:val="6752CD7E"/>
    <w:rsid w:val="67556E2D"/>
    <w:rsid w:val="676204B1"/>
    <w:rsid w:val="6766D372"/>
    <w:rsid w:val="679B1EC0"/>
    <w:rsid w:val="67A5B6CD"/>
    <w:rsid w:val="67AA84A2"/>
    <w:rsid w:val="67B6EB69"/>
    <w:rsid w:val="67B78E75"/>
    <w:rsid w:val="67CE118A"/>
    <w:rsid w:val="67DA689D"/>
    <w:rsid w:val="67F0B8A4"/>
    <w:rsid w:val="67FECBEB"/>
    <w:rsid w:val="680B7F9A"/>
    <w:rsid w:val="68122665"/>
    <w:rsid w:val="6822E557"/>
    <w:rsid w:val="683EA43A"/>
    <w:rsid w:val="684407E9"/>
    <w:rsid w:val="684D11B8"/>
    <w:rsid w:val="684DDAAC"/>
    <w:rsid w:val="684DF70C"/>
    <w:rsid w:val="684E3786"/>
    <w:rsid w:val="6859BDB4"/>
    <w:rsid w:val="6869C23F"/>
    <w:rsid w:val="6872D16B"/>
    <w:rsid w:val="68783CE5"/>
    <w:rsid w:val="687DD8A2"/>
    <w:rsid w:val="68937107"/>
    <w:rsid w:val="68B85A96"/>
    <w:rsid w:val="68C1C75B"/>
    <w:rsid w:val="68C9D925"/>
    <w:rsid w:val="68CBFC08"/>
    <w:rsid w:val="68DFDF67"/>
    <w:rsid w:val="68E5025C"/>
    <w:rsid w:val="68F355FD"/>
    <w:rsid w:val="690B9FB4"/>
    <w:rsid w:val="690EF3CB"/>
    <w:rsid w:val="690FB416"/>
    <w:rsid w:val="691C0141"/>
    <w:rsid w:val="692AF7A6"/>
    <w:rsid w:val="694E670A"/>
    <w:rsid w:val="6950D9E7"/>
    <w:rsid w:val="69558059"/>
    <w:rsid w:val="69558CAD"/>
    <w:rsid w:val="695E12FA"/>
    <w:rsid w:val="696A3EA1"/>
    <w:rsid w:val="698E8D40"/>
    <w:rsid w:val="6991B0C4"/>
    <w:rsid w:val="69AA5291"/>
    <w:rsid w:val="69B8A9FE"/>
    <w:rsid w:val="69C1D2C1"/>
    <w:rsid w:val="69DB35CF"/>
    <w:rsid w:val="6A0C5C73"/>
    <w:rsid w:val="6A2DB6FB"/>
    <w:rsid w:val="6A2F4EB7"/>
    <w:rsid w:val="6A75D924"/>
    <w:rsid w:val="6ABA8370"/>
    <w:rsid w:val="6AD43C09"/>
    <w:rsid w:val="6ADCEC69"/>
    <w:rsid w:val="6AF033C3"/>
    <w:rsid w:val="6AF081CB"/>
    <w:rsid w:val="6AF26046"/>
    <w:rsid w:val="6B0FC4A7"/>
    <w:rsid w:val="6B12F779"/>
    <w:rsid w:val="6B48D381"/>
    <w:rsid w:val="6B4E439E"/>
    <w:rsid w:val="6B59DA2A"/>
    <w:rsid w:val="6B607281"/>
    <w:rsid w:val="6B63FE2F"/>
    <w:rsid w:val="6B66D84E"/>
    <w:rsid w:val="6B6952DE"/>
    <w:rsid w:val="6B6B71BA"/>
    <w:rsid w:val="6B9E871F"/>
    <w:rsid w:val="6BA5FFDC"/>
    <w:rsid w:val="6BBEE9DF"/>
    <w:rsid w:val="6BC9E0AA"/>
    <w:rsid w:val="6BE2BEB9"/>
    <w:rsid w:val="6BE46F38"/>
    <w:rsid w:val="6BF4B416"/>
    <w:rsid w:val="6BF5D898"/>
    <w:rsid w:val="6C01BE67"/>
    <w:rsid w:val="6C03D980"/>
    <w:rsid w:val="6C0E5E2D"/>
    <w:rsid w:val="6C113485"/>
    <w:rsid w:val="6C28F60B"/>
    <w:rsid w:val="6C36ECE4"/>
    <w:rsid w:val="6C3F06CB"/>
    <w:rsid w:val="6C3F7150"/>
    <w:rsid w:val="6C4F28A2"/>
    <w:rsid w:val="6C7514C3"/>
    <w:rsid w:val="6C80E3E0"/>
    <w:rsid w:val="6C93F21C"/>
    <w:rsid w:val="6CA0D452"/>
    <w:rsid w:val="6CB27F7C"/>
    <w:rsid w:val="6CC7B5BB"/>
    <w:rsid w:val="6CD1991B"/>
    <w:rsid w:val="6CD5D3B3"/>
    <w:rsid w:val="6CEF6C44"/>
    <w:rsid w:val="6D07807F"/>
    <w:rsid w:val="6D102D58"/>
    <w:rsid w:val="6D3A5780"/>
    <w:rsid w:val="6D4F613F"/>
    <w:rsid w:val="6D559032"/>
    <w:rsid w:val="6D5D7AD4"/>
    <w:rsid w:val="6D64819C"/>
    <w:rsid w:val="6D6EF808"/>
    <w:rsid w:val="6D966256"/>
    <w:rsid w:val="6D9EF460"/>
    <w:rsid w:val="6D9F60A6"/>
    <w:rsid w:val="6DA11BC2"/>
    <w:rsid w:val="6DA749C5"/>
    <w:rsid w:val="6DAE9530"/>
    <w:rsid w:val="6DDD25DF"/>
    <w:rsid w:val="6DFD217C"/>
    <w:rsid w:val="6E078943"/>
    <w:rsid w:val="6E3F93E8"/>
    <w:rsid w:val="6E5032E6"/>
    <w:rsid w:val="6E5966A5"/>
    <w:rsid w:val="6E630D65"/>
    <w:rsid w:val="6E643AE4"/>
    <w:rsid w:val="6E6F013F"/>
    <w:rsid w:val="6E839C79"/>
    <w:rsid w:val="6E944719"/>
    <w:rsid w:val="6E954F12"/>
    <w:rsid w:val="6EABE623"/>
    <w:rsid w:val="6EB23CC4"/>
    <w:rsid w:val="6EDCD39A"/>
    <w:rsid w:val="6EEF327C"/>
    <w:rsid w:val="6EFA8639"/>
    <w:rsid w:val="6F165DD6"/>
    <w:rsid w:val="6F434199"/>
    <w:rsid w:val="6F4A2401"/>
    <w:rsid w:val="6F4BDE0C"/>
    <w:rsid w:val="6F5D7ECD"/>
    <w:rsid w:val="6F631B89"/>
    <w:rsid w:val="6F6ADB24"/>
    <w:rsid w:val="6F998C7F"/>
    <w:rsid w:val="6FA8E7F5"/>
    <w:rsid w:val="6FBF0CD2"/>
    <w:rsid w:val="6FCC5ABD"/>
    <w:rsid w:val="6FD49D69"/>
    <w:rsid w:val="6FD887C4"/>
    <w:rsid w:val="6FDE3DB2"/>
    <w:rsid w:val="6FDEAF6B"/>
    <w:rsid w:val="6FE33A76"/>
    <w:rsid w:val="700BFBEE"/>
    <w:rsid w:val="702526FB"/>
    <w:rsid w:val="705AD6CA"/>
    <w:rsid w:val="70678FE5"/>
    <w:rsid w:val="7079E3A0"/>
    <w:rsid w:val="7087E772"/>
    <w:rsid w:val="70912F08"/>
    <w:rsid w:val="7091613C"/>
    <w:rsid w:val="70ACEA3E"/>
    <w:rsid w:val="70BC9954"/>
    <w:rsid w:val="70BD5749"/>
    <w:rsid w:val="70D9E8FD"/>
    <w:rsid w:val="70DB0314"/>
    <w:rsid w:val="70DCEE2C"/>
    <w:rsid w:val="70FF75B9"/>
    <w:rsid w:val="71051F07"/>
    <w:rsid w:val="710DA691"/>
    <w:rsid w:val="711E620B"/>
    <w:rsid w:val="7120BA48"/>
    <w:rsid w:val="7144DAAB"/>
    <w:rsid w:val="714ECBFC"/>
    <w:rsid w:val="7156AA72"/>
    <w:rsid w:val="715B67A6"/>
    <w:rsid w:val="716029BC"/>
    <w:rsid w:val="71631ADA"/>
    <w:rsid w:val="716C89A3"/>
    <w:rsid w:val="717A7FCC"/>
    <w:rsid w:val="717DFD6D"/>
    <w:rsid w:val="71B0814C"/>
    <w:rsid w:val="71B7BA98"/>
    <w:rsid w:val="71C06806"/>
    <w:rsid w:val="71D3E702"/>
    <w:rsid w:val="71D4B98C"/>
    <w:rsid w:val="71E73E3F"/>
    <w:rsid w:val="71E74C26"/>
    <w:rsid w:val="71EBFF93"/>
    <w:rsid w:val="720A728E"/>
    <w:rsid w:val="722A5037"/>
    <w:rsid w:val="72524205"/>
    <w:rsid w:val="725DB248"/>
    <w:rsid w:val="727072B1"/>
    <w:rsid w:val="7278D353"/>
    <w:rsid w:val="727DFF92"/>
    <w:rsid w:val="72827DF3"/>
    <w:rsid w:val="72EE5624"/>
    <w:rsid w:val="72F93CE6"/>
    <w:rsid w:val="72FEEB3B"/>
    <w:rsid w:val="730C11AF"/>
    <w:rsid w:val="73236CC4"/>
    <w:rsid w:val="732E79F1"/>
    <w:rsid w:val="7333E5ED"/>
    <w:rsid w:val="733CAA6D"/>
    <w:rsid w:val="73474EE7"/>
    <w:rsid w:val="734ED786"/>
    <w:rsid w:val="73686050"/>
    <w:rsid w:val="737B7406"/>
    <w:rsid w:val="73978B55"/>
    <w:rsid w:val="73A6F948"/>
    <w:rsid w:val="73B7A923"/>
    <w:rsid w:val="73C20D1B"/>
    <w:rsid w:val="73D756D1"/>
    <w:rsid w:val="73E6D399"/>
    <w:rsid w:val="740E9C45"/>
    <w:rsid w:val="7415897E"/>
    <w:rsid w:val="74203A84"/>
    <w:rsid w:val="743DEEBC"/>
    <w:rsid w:val="7474C901"/>
    <w:rsid w:val="747C4614"/>
    <w:rsid w:val="747FF820"/>
    <w:rsid w:val="74C6536C"/>
    <w:rsid w:val="74CF4DCD"/>
    <w:rsid w:val="74DBC403"/>
    <w:rsid w:val="74E97C9C"/>
    <w:rsid w:val="74FF7A8B"/>
    <w:rsid w:val="75133557"/>
    <w:rsid w:val="7516312A"/>
    <w:rsid w:val="75178097"/>
    <w:rsid w:val="7528599B"/>
    <w:rsid w:val="752A60A1"/>
    <w:rsid w:val="75509542"/>
    <w:rsid w:val="75576C23"/>
    <w:rsid w:val="755C731C"/>
    <w:rsid w:val="75659177"/>
    <w:rsid w:val="7588BEA2"/>
    <w:rsid w:val="75AB34CF"/>
    <w:rsid w:val="75ACF814"/>
    <w:rsid w:val="75B24F88"/>
    <w:rsid w:val="75BDA119"/>
    <w:rsid w:val="75BF11B7"/>
    <w:rsid w:val="75CAC456"/>
    <w:rsid w:val="75E4E743"/>
    <w:rsid w:val="76387A97"/>
    <w:rsid w:val="763AE29E"/>
    <w:rsid w:val="764660A3"/>
    <w:rsid w:val="765DD276"/>
    <w:rsid w:val="766886BF"/>
    <w:rsid w:val="76758824"/>
    <w:rsid w:val="7683D02D"/>
    <w:rsid w:val="768D91DA"/>
    <w:rsid w:val="76906ECA"/>
    <w:rsid w:val="76937DE8"/>
    <w:rsid w:val="769E8F29"/>
    <w:rsid w:val="76B4FF27"/>
    <w:rsid w:val="76D06A8F"/>
    <w:rsid w:val="76D5D36F"/>
    <w:rsid w:val="76DE6DC1"/>
    <w:rsid w:val="76F1AA6D"/>
    <w:rsid w:val="76F65A87"/>
    <w:rsid w:val="76FA8B0E"/>
    <w:rsid w:val="76FFEE60"/>
    <w:rsid w:val="7702F814"/>
    <w:rsid w:val="772C035B"/>
    <w:rsid w:val="772F5A3D"/>
    <w:rsid w:val="773B4276"/>
    <w:rsid w:val="773FD1A7"/>
    <w:rsid w:val="775042BD"/>
    <w:rsid w:val="77528CC1"/>
    <w:rsid w:val="777ADDF5"/>
    <w:rsid w:val="778189F5"/>
    <w:rsid w:val="77966B19"/>
    <w:rsid w:val="7796BC91"/>
    <w:rsid w:val="779C0205"/>
    <w:rsid w:val="77AEE24A"/>
    <w:rsid w:val="77AFE4EE"/>
    <w:rsid w:val="77BAF1D3"/>
    <w:rsid w:val="77BE79B7"/>
    <w:rsid w:val="77E10F73"/>
    <w:rsid w:val="77E22FF4"/>
    <w:rsid w:val="780290E6"/>
    <w:rsid w:val="7808E258"/>
    <w:rsid w:val="7816916D"/>
    <w:rsid w:val="784E5941"/>
    <w:rsid w:val="785EA5E8"/>
    <w:rsid w:val="7863E6AA"/>
    <w:rsid w:val="7865EA16"/>
    <w:rsid w:val="786CB5A2"/>
    <w:rsid w:val="787867C4"/>
    <w:rsid w:val="78801898"/>
    <w:rsid w:val="78875C06"/>
    <w:rsid w:val="78B38340"/>
    <w:rsid w:val="78C6EF46"/>
    <w:rsid w:val="78E8F516"/>
    <w:rsid w:val="78FEE01D"/>
    <w:rsid w:val="7913DE89"/>
    <w:rsid w:val="79347DD8"/>
    <w:rsid w:val="793D17F7"/>
    <w:rsid w:val="793DC210"/>
    <w:rsid w:val="7942ED95"/>
    <w:rsid w:val="7958A142"/>
    <w:rsid w:val="79611E0B"/>
    <w:rsid w:val="7965A6D8"/>
    <w:rsid w:val="7982D541"/>
    <w:rsid w:val="79944197"/>
    <w:rsid w:val="79A6ED8B"/>
    <w:rsid w:val="79AA7C80"/>
    <w:rsid w:val="79B27C95"/>
    <w:rsid w:val="79B769A9"/>
    <w:rsid w:val="79D344AA"/>
    <w:rsid w:val="79D38D35"/>
    <w:rsid w:val="7A06B776"/>
    <w:rsid w:val="7A1BDA4C"/>
    <w:rsid w:val="7A24CC01"/>
    <w:rsid w:val="7A2E95E1"/>
    <w:rsid w:val="7A3B86CB"/>
    <w:rsid w:val="7A50586E"/>
    <w:rsid w:val="7A521763"/>
    <w:rsid w:val="7A5A7101"/>
    <w:rsid w:val="7A6C38E4"/>
    <w:rsid w:val="7A715A0C"/>
    <w:rsid w:val="7A7B9C77"/>
    <w:rsid w:val="7A8B0A9E"/>
    <w:rsid w:val="7A8C7CAC"/>
    <w:rsid w:val="7A8D73EF"/>
    <w:rsid w:val="7A92DD9F"/>
    <w:rsid w:val="7A991ED7"/>
    <w:rsid w:val="7AA2F76A"/>
    <w:rsid w:val="7AA3D558"/>
    <w:rsid w:val="7AA757F1"/>
    <w:rsid w:val="7AAE884F"/>
    <w:rsid w:val="7AD80E17"/>
    <w:rsid w:val="7B00AAE3"/>
    <w:rsid w:val="7B03A1CE"/>
    <w:rsid w:val="7B04FE57"/>
    <w:rsid w:val="7B086532"/>
    <w:rsid w:val="7B38DDC9"/>
    <w:rsid w:val="7B567EF0"/>
    <w:rsid w:val="7B5FD315"/>
    <w:rsid w:val="7B6A26F0"/>
    <w:rsid w:val="7B75D11A"/>
    <w:rsid w:val="7B89FCA4"/>
    <w:rsid w:val="7B990931"/>
    <w:rsid w:val="7B9E715E"/>
    <w:rsid w:val="7BA4AFE3"/>
    <w:rsid w:val="7BCBECEC"/>
    <w:rsid w:val="7BDED7C9"/>
    <w:rsid w:val="7BDF11A2"/>
    <w:rsid w:val="7BE74613"/>
    <w:rsid w:val="7BEB389B"/>
    <w:rsid w:val="7BEC6DF2"/>
    <w:rsid w:val="7C08DB89"/>
    <w:rsid w:val="7C1B7325"/>
    <w:rsid w:val="7C1D6409"/>
    <w:rsid w:val="7C1DFC20"/>
    <w:rsid w:val="7C205245"/>
    <w:rsid w:val="7C26F408"/>
    <w:rsid w:val="7C2E533B"/>
    <w:rsid w:val="7C37CE8F"/>
    <w:rsid w:val="7C94D201"/>
    <w:rsid w:val="7C9BF0C5"/>
    <w:rsid w:val="7CA0D7C7"/>
    <w:rsid w:val="7CA1AF50"/>
    <w:rsid w:val="7CB3363C"/>
    <w:rsid w:val="7CB8A51E"/>
    <w:rsid w:val="7CC91FD6"/>
    <w:rsid w:val="7CE21D27"/>
    <w:rsid w:val="7CE6846A"/>
    <w:rsid w:val="7CEA6575"/>
    <w:rsid w:val="7CEC951B"/>
    <w:rsid w:val="7CF53619"/>
    <w:rsid w:val="7CF5AD89"/>
    <w:rsid w:val="7D295017"/>
    <w:rsid w:val="7D2B6B3F"/>
    <w:rsid w:val="7D3C23CF"/>
    <w:rsid w:val="7D4213CD"/>
    <w:rsid w:val="7D4E9266"/>
    <w:rsid w:val="7D65D20C"/>
    <w:rsid w:val="7D7D5E3E"/>
    <w:rsid w:val="7D7D9DE8"/>
    <w:rsid w:val="7D83A7C2"/>
    <w:rsid w:val="7D87908A"/>
    <w:rsid w:val="7DCE4230"/>
    <w:rsid w:val="7DD85F0C"/>
    <w:rsid w:val="7DD9432C"/>
    <w:rsid w:val="7DE0B290"/>
    <w:rsid w:val="7DE51E4B"/>
    <w:rsid w:val="7DEC573F"/>
    <w:rsid w:val="7DEF91C2"/>
    <w:rsid w:val="7DFB32FF"/>
    <w:rsid w:val="7DFBA912"/>
    <w:rsid w:val="7E0DEB9B"/>
    <w:rsid w:val="7E2464DB"/>
    <w:rsid w:val="7E47015E"/>
    <w:rsid w:val="7E494266"/>
    <w:rsid w:val="7E6BA43F"/>
    <w:rsid w:val="7E700E86"/>
    <w:rsid w:val="7E726BA9"/>
    <w:rsid w:val="7E995AB4"/>
    <w:rsid w:val="7EB5AA47"/>
    <w:rsid w:val="7EBC9A09"/>
    <w:rsid w:val="7ED5CE1B"/>
    <w:rsid w:val="7EEB263C"/>
    <w:rsid w:val="7EFC0B6C"/>
    <w:rsid w:val="7EFDDF9C"/>
    <w:rsid w:val="7F003E14"/>
    <w:rsid w:val="7F0100A6"/>
    <w:rsid w:val="7F241356"/>
    <w:rsid w:val="7F3013AA"/>
    <w:rsid w:val="7F45BF3D"/>
    <w:rsid w:val="7F4AD997"/>
    <w:rsid w:val="7F70F4C6"/>
    <w:rsid w:val="7F82DBC7"/>
    <w:rsid w:val="7F96F367"/>
    <w:rsid w:val="7FA1298C"/>
    <w:rsid w:val="7FB33EBB"/>
    <w:rsid w:val="7FC125D2"/>
    <w:rsid w:val="7FD78344"/>
    <w:rsid w:val="7FE3ADEA"/>
    <w:rsid w:val="7FE60E92"/>
    <w:rsid w:val="7FEA637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F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75526"/>
  </w:style>
  <w:style w:type="paragraph" w:styleId="Ttulo1">
    <w:name w:val="heading 1"/>
    <w:basedOn w:val="Normal"/>
    <w:next w:val="Normal"/>
    <w:link w:val="Ttulo1Char"/>
    <w:uiPriority w:val="9"/>
    <w:qFormat/>
    <w:rsid w:val="00C365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Ttulo1"/>
    <w:next w:val="Normal"/>
    <w:link w:val="Ttulo2Char"/>
    <w:uiPriority w:val="9"/>
    <w:qFormat/>
    <w:rsid w:val="000D17A6"/>
    <w:pPr>
      <w:keepLines w:val="0"/>
      <w:numPr>
        <w:ilvl w:val="1"/>
      </w:numPr>
      <w:spacing w:before="0" w:after="240" w:line="240" w:lineRule="auto"/>
      <w:jc w:val="both"/>
      <w:outlineLvl w:val="1"/>
    </w:pPr>
    <w:rPr>
      <w:rFonts w:ascii="Times New Roman" w:eastAsia="Times New Roman" w:hAnsi="Times New Roman" w:cs="Arial"/>
      <w:b/>
      <w:color w:val="000000"/>
      <w:sz w:val="28"/>
      <w:szCs w:val="20"/>
      <w:lang w:eastAsia="pt-BR"/>
    </w:rPr>
  </w:style>
  <w:style w:type="paragraph" w:styleId="Ttulo3">
    <w:name w:val="heading 3"/>
    <w:basedOn w:val="Normal"/>
    <w:next w:val="Normal"/>
    <w:link w:val="Ttulo3Char"/>
    <w:uiPriority w:val="9"/>
    <w:qFormat/>
    <w:rsid w:val="000D17A6"/>
    <w:pPr>
      <w:keepNext/>
      <w:spacing w:after="0" w:line="240" w:lineRule="auto"/>
      <w:ind w:left="2160" w:hanging="180"/>
      <w:outlineLvl w:val="2"/>
    </w:pPr>
    <w:rPr>
      <w:rFonts w:ascii="Times New Roman" w:eastAsia="Times New Roman" w:hAnsi="Times New Roman" w:cs="Times New Roman"/>
      <w:bCs/>
      <w:smallCaps/>
      <w:sz w:val="24"/>
      <w:szCs w:val="24"/>
      <w:lang w:eastAsia="pt-BR"/>
    </w:rPr>
  </w:style>
  <w:style w:type="paragraph" w:styleId="Ttulo4">
    <w:name w:val="heading 4"/>
    <w:basedOn w:val="Normal"/>
    <w:next w:val="Normal"/>
    <w:link w:val="Ttulo4Char"/>
    <w:uiPriority w:val="9"/>
    <w:qFormat/>
    <w:rsid w:val="000D17A6"/>
    <w:pPr>
      <w:keepNext/>
      <w:spacing w:after="0" w:line="240" w:lineRule="auto"/>
      <w:ind w:left="2880" w:hanging="360"/>
      <w:jc w:val="both"/>
      <w:outlineLvl w:val="3"/>
    </w:pPr>
    <w:rPr>
      <w:rFonts w:ascii="Times New Roman" w:eastAsia="Times New Roman" w:hAnsi="Times New Roman" w:cs="Times New Roman"/>
      <w:bCs/>
      <w:sz w:val="24"/>
      <w:szCs w:val="24"/>
      <w:lang w:eastAsia="pt-BR"/>
    </w:rPr>
  </w:style>
  <w:style w:type="paragraph" w:styleId="Ttulo5">
    <w:name w:val="heading 5"/>
    <w:basedOn w:val="Normal"/>
    <w:next w:val="Normal"/>
    <w:link w:val="Ttulo5Char"/>
    <w:uiPriority w:val="9"/>
    <w:qFormat/>
    <w:rsid w:val="000D17A6"/>
    <w:pPr>
      <w:keepNext/>
      <w:snapToGrid w:val="0"/>
      <w:spacing w:after="0" w:line="276" w:lineRule="auto"/>
      <w:ind w:left="3600" w:hanging="360"/>
      <w:outlineLvl w:val="4"/>
    </w:pPr>
    <w:rPr>
      <w:rFonts w:ascii="Calibri" w:eastAsia="Times New Roman" w:hAnsi="Calibri" w:cs="Times New Roman"/>
      <w:b/>
      <w:sz w:val="18"/>
      <w:szCs w:val="18"/>
      <w:lang w:eastAsia="pt-BR"/>
    </w:rPr>
  </w:style>
  <w:style w:type="paragraph" w:styleId="Ttulo6">
    <w:name w:val="heading 6"/>
    <w:aliases w:val="3.2.6.1"/>
    <w:basedOn w:val="Normal"/>
    <w:next w:val="Normal"/>
    <w:link w:val="Ttulo6Char"/>
    <w:uiPriority w:val="9"/>
    <w:qFormat/>
    <w:rsid w:val="000D17A6"/>
    <w:pPr>
      <w:keepNext/>
      <w:spacing w:after="0" w:line="240" w:lineRule="auto"/>
      <w:ind w:left="4320" w:hanging="180"/>
      <w:jc w:val="both"/>
      <w:outlineLvl w:val="5"/>
    </w:pPr>
    <w:rPr>
      <w:rFonts w:ascii="Times New Roman" w:eastAsia="Times New Roman" w:hAnsi="Times New Roman" w:cs="Times New Roman"/>
      <w:b/>
      <w:bCs/>
      <w:szCs w:val="20"/>
      <w:lang w:eastAsia="pt-BR"/>
    </w:rPr>
  </w:style>
  <w:style w:type="paragraph" w:styleId="Ttulo7">
    <w:name w:val="heading 7"/>
    <w:basedOn w:val="Normal"/>
    <w:next w:val="Normal"/>
    <w:link w:val="Ttulo7Char"/>
    <w:uiPriority w:val="9"/>
    <w:qFormat/>
    <w:rsid w:val="000D17A6"/>
    <w:pPr>
      <w:spacing w:before="240" w:after="60" w:line="240" w:lineRule="auto"/>
      <w:ind w:left="5040" w:hanging="360"/>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uiPriority w:val="9"/>
    <w:qFormat/>
    <w:rsid w:val="000D17A6"/>
    <w:pPr>
      <w:keepNext/>
      <w:suppressAutoHyphens/>
      <w:autoSpaceDE w:val="0"/>
      <w:spacing w:after="0" w:line="100" w:lineRule="atLeast"/>
      <w:ind w:left="5760" w:hanging="360"/>
      <w:jc w:val="center"/>
      <w:outlineLvl w:val="7"/>
    </w:pPr>
    <w:rPr>
      <w:rFonts w:ascii="Garamond" w:eastAsia="Times New Roman" w:hAnsi="Garamond" w:cs="Times New Roman"/>
      <w:b/>
      <w:bCs/>
      <w:sz w:val="26"/>
      <w:szCs w:val="24"/>
      <w:lang w:eastAsia="ar-SA"/>
    </w:rPr>
  </w:style>
  <w:style w:type="paragraph" w:styleId="Ttulo9">
    <w:name w:val="heading 9"/>
    <w:basedOn w:val="Normal"/>
    <w:next w:val="Normal"/>
    <w:link w:val="Ttulo9Char"/>
    <w:uiPriority w:val="9"/>
    <w:qFormat/>
    <w:rsid w:val="000D17A6"/>
    <w:pPr>
      <w:spacing w:before="240" w:after="60" w:line="240" w:lineRule="auto"/>
      <w:ind w:left="6480" w:hanging="180"/>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365E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C365E8"/>
    <w:pPr>
      <w:outlineLvl w:val="9"/>
    </w:pPr>
    <w:rPr>
      <w:lang w:eastAsia="pt-BR"/>
    </w:rPr>
  </w:style>
  <w:style w:type="paragraph" w:styleId="Textodenotaderodap">
    <w:name w:val="footnote text"/>
    <w:basedOn w:val="Normal"/>
    <w:link w:val="TextodenotaderodapChar"/>
    <w:uiPriority w:val="99"/>
    <w:rsid w:val="000D17A6"/>
    <w:pPr>
      <w:spacing w:after="0" w:line="240" w:lineRule="auto"/>
      <w:jc w:val="both"/>
    </w:pPr>
    <w:rPr>
      <w:rFonts w:ascii="Times New Roman" w:eastAsia="Times New Roman" w:hAnsi="Times New Roman" w:cs="Times New Roman"/>
      <w:sz w:val="20"/>
      <w:szCs w:val="24"/>
      <w:lang w:eastAsia="pt-BR"/>
    </w:rPr>
  </w:style>
  <w:style w:type="character" w:customStyle="1" w:styleId="TextodenotaderodapChar">
    <w:name w:val="Texto de nota de rodapé Char"/>
    <w:basedOn w:val="Fontepargpadro"/>
    <w:link w:val="Textodenotaderodap"/>
    <w:uiPriority w:val="99"/>
    <w:rsid w:val="000D17A6"/>
    <w:rPr>
      <w:rFonts w:ascii="Times New Roman" w:eastAsia="Times New Roman" w:hAnsi="Times New Roman" w:cs="Times New Roman"/>
      <w:sz w:val="20"/>
      <w:szCs w:val="24"/>
      <w:lang w:eastAsia="pt-BR"/>
    </w:rPr>
  </w:style>
  <w:style w:type="character" w:styleId="Refdenotaderodap">
    <w:name w:val="footnote reference"/>
    <w:uiPriority w:val="99"/>
    <w:rsid w:val="000D17A6"/>
    <w:rPr>
      <w:vertAlign w:val="superscript"/>
    </w:rPr>
  </w:style>
  <w:style w:type="paragraph" w:styleId="Corpodetexto2">
    <w:name w:val="Body Text 2"/>
    <w:basedOn w:val="Normal"/>
    <w:link w:val="Corpodetexto2Char"/>
    <w:semiHidden/>
    <w:rsid w:val="000D17A6"/>
    <w:pPr>
      <w:spacing w:after="0" w:line="240" w:lineRule="auto"/>
      <w:jc w:val="both"/>
    </w:pPr>
    <w:rPr>
      <w:rFonts w:ascii="Arial" w:eastAsia="Times New Roman" w:hAnsi="Arial" w:cs="Arial"/>
      <w:sz w:val="24"/>
      <w:szCs w:val="24"/>
      <w:lang w:eastAsia="pt-BR"/>
    </w:rPr>
  </w:style>
  <w:style w:type="character" w:customStyle="1" w:styleId="Corpodetexto2Char">
    <w:name w:val="Corpo de texto 2 Char"/>
    <w:basedOn w:val="Fontepargpadro"/>
    <w:link w:val="Corpodetexto2"/>
    <w:semiHidden/>
    <w:rsid w:val="000D17A6"/>
    <w:rPr>
      <w:rFonts w:ascii="Arial" w:eastAsia="Times New Roman" w:hAnsi="Arial" w:cs="Arial"/>
      <w:sz w:val="24"/>
      <w:szCs w:val="24"/>
      <w:lang w:eastAsia="pt-BR"/>
    </w:rPr>
  </w:style>
  <w:style w:type="paragraph" w:customStyle="1" w:styleId="T1">
    <w:name w:val="T1"/>
    <w:basedOn w:val="Normal"/>
    <w:link w:val="T1Char"/>
    <w:rsid w:val="000D17A6"/>
    <w:pPr>
      <w:numPr>
        <w:numId w:val="5"/>
      </w:numPr>
      <w:tabs>
        <w:tab w:val="left" w:pos="567"/>
        <w:tab w:val="left" w:pos="1418"/>
      </w:tabs>
      <w:spacing w:before="120" w:after="120" w:line="288" w:lineRule="auto"/>
      <w:jc w:val="both"/>
      <w:outlineLvl w:val="0"/>
    </w:pPr>
    <w:rPr>
      <w:rFonts w:ascii="Times New Roman" w:eastAsia="Times New Roman" w:hAnsi="Times New Roman" w:cs="Times New Roman"/>
      <w:b/>
      <w:sz w:val="24"/>
      <w:szCs w:val="24"/>
      <w:lang w:eastAsia="pt-BR"/>
    </w:rPr>
  </w:style>
  <w:style w:type="paragraph" w:customStyle="1" w:styleId="T2">
    <w:name w:val="T2"/>
    <w:basedOn w:val="Normal"/>
    <w:next w:val="Normal"/>
    <w:link w:val="T2Char"/>
    <w:rsid w:val="000D17A6"/>
    <w:pPr>
      <w:numPr>
        <w:ilvl w:val="1"/>
        <w:numId w:val="5"/>
      </w:numPr>
      <w:tabs>
        <w:tab w:val="left" w:pos="851"/>
      </w:tabs>
      <w:autoSpaceDE w:val="0"/>
      <w:autoSpaceDN w:val="0"/>
      <w:adjustRightInd w:val="0"/>
      <w:spacing w:before="120" w:after="240" w:line="360" w:lineRule="auto"/>
      <w:jc w:val="both"/>
      <w:outlineLvl w:val="1"/>
    </w:pPr>
    <w:rPr>
      <w:rFonts w:ascii="Times New Roman" w:hAnsi="Times New Roman" w:cs="Times New Roman"/>
      <w:b/>
      <w:color w:val="000000"/>
      <w:sz w:val="24"/>
      <w:szCs w:val="24"/>
    </w:rPr>
  </w:style>
  <w:style w:type="character" w:customStyle="1" w:styleId="T1Char">
    <w:name w:val="T1 Char"/>
    <w:basedOn w:val="Fontepargpadro"/>
    <w:link w:val="T1"/>
    <w:rsid w:val="000D17A6"/>
    <w:rPr>
      <w:rFonts w:ascii="Times New Roman" w:eastAsia="Times New Roman" w:hAnsi="Times New Roman" w:cs="Times New Roman"/>
      <w:b/>
      <w:sz w:val="24"/>
      <w:szCs w:val="24"/>
      <w:lang w:eastAsia="pt-BR"/>
    </w:rPr>
  </w:style>
  <w:style w:type="paragraph" w:customStyle="1" w:styleId="T3">
    <w:name w:val="T3"/>
    <w:basedOn w:val="T2"/>
    <w:next w:val="Normal"/>
    <w:link w:val="T3Char"/>
    <w:rsid w:val="000D17A6"/>
    <w:pPr>
      <w:numPr>
        <w:ilvl w:val="2"/>
      </w:numPr>
      <w:outlineLvl w:val="2"/>
    </w:pPr>
  </w:style>
  <w:style w:type="paragraph" w:styleId="Legenda">
    <w:name w:val="caption"/>
    <w:basedOn w:val="Normal"/>
    <w:next w:val="Normal"/>
    <w:uiPriority w:val="35"/>
    <w:unhideWhenUsed/>
    <w:qFormat/>
    <w:rsid w:val="000D17A6"/>
    <w:pPr>
      <w:spacing w:after="200" w:line="240" w:lineRule="auto"/>
    </w:pPr>
    <w:rPr>
      <w:rFonts w:ascii="Arial" w:eastAsia="Times New Roman" w:hAnsi="Arial" w:cs="Times New Roman"/>
      <w:i/>
      <w:iCs/>
      <w:color w:val="44546A" w:themeColor="text2"/>
      <w:sz w:val="18"/>
      <w:szCs w:val="18"/>
      <w:lang w:eastAsia="pt-BR"/>
    </w:rPr>
  </w:style>
  <w:style w:type="character" w:customStyle="1" w:styleId="Ttulo2Char">
    <w:name w:val="Título 2 Char"/>
    <w:basedOn w:val="Fontepargpadro"/>
    <w:link w:val="Ttulo2"/>
    <w:uiPriority w:val="9"/>
    <w:rsid w:val="000D17A6"/>
    <w:rPr>
      <w:rFonts w:ascii="Times New Roman" w:eastAsia="Times New Roman" w:hAnsi="Times New Roman" w:cs="Arial"/>
      <w:b/>
      <w:color w:val="000000"/>
      <w:sz w:val="28"/>
      <w:szCs w:val="20"/>
      <w:lang w:eastAsia="pt-BR"/>
    </w:rPr>
  </w:style>
  <w:style w:type="character" w:customStyle="1" w:styleId="Ttulo3Char">
    <w:name w:val="Título 3 Char"/>
    <w:basedOn w:val="Fontepargpadro"/>
    <w:link w:val="Ttulo3"/>
    <w:uiPriority w:val="9"/>
    <w:rsid w:val="000D17A6"/>
    <w:rPr>
      <w:rFonts w:ascii="Times New Roman" w:eastAsia="Times New Roman" w:hAnsi="Times New Roman" w:cs="Times New Roman"/>
      <w:bCs/>
      <w:smallCaps/>
      <w:sz w:val="24"/>
      <w:szCs w:val="24"/>
      <w:lang w:eastAsia="pt-BR"/>
    </w:rPr>
  </w:style>
  <w:style w:type="character" w:customStyle="1" w:styleId="Ttulo4Char">
    <w:name w:val="Título 4 Char"/>
    <w:basedOn w:val="Fontepargpadro"/>
    <w:link w:val="Ttulo4"/>
    <w:uiPriority w:val="9"/>
    <w:rsid w:val="000D17A6"/>
    <w:rPr>
      <w:rFonts w:ascii="Times New Roman" w:eastAsia="Times New Roman" w:hAnsi="Times New Roman" w:cs="Times New Roman"/>
      <w:bCs/>
      <w:sz w:val="24"/>
      <w:szCs w:val="24"/>
      <w:lang w:eastAsia="pt-BR"/>
    </w:rPr>
  </w:style>
  <w:style w:type="character" w:customStyle="1" w:styleId="Ttulo5Char">
    <w:name w:val="Título 5 Char"/>
    <w:basedOn w:val="Fontepargpadro"/>
    <w:link w:val="Ttulo5"/>
    <w:uiPriority w:val="9"/>
    <w:rsid w:val="000D17A6"/>
    <w:rPr>
      <w:rFonts w:ascii="Calibri" w:eastAsia="Times New Roman" w:hAnsi="Calibri" w:cs="Times New Roman"/>
      <w:b/>
      <w:sz w:val="18"/>
      <w:szCs w:val="18"/>
      <w:lang w:eastAsia="pt-BR"/>
    </w:rPr>
  </w:style>
  <w:style w:type="character" w:customStyle="1" w:styleId="Ttulo6Char">
    <w:name w:val="Título 6 Char"/>
    <w:aliases w:val="3.2.6.1 Char"/>
    <w:basedOn w:val="Fontepargpadro"/>
    <w:link w:val="Ttulo6"/>
    <w:uiPriority w:val="9"/>
    <w:rsid w:val="000D17A6"/>
    <w:rPr>
      <w:rFonts w:ascii="Times New Roman" w:eastAsia="Times New Roman" w:hAnsi="Times New Roman" w:cs="Times New Roman"/>
      <w:b/>
      <w:bCs/>
      <w:szCs w:val="20"/>
      <w:lang w:eastAsia="pt-BR"/>
    </w:rPr>
  </w:style>
  <w:style w:type="character" w:customStyle="1" w:styleId="Ttulo7Char">
    <w:name w:val="Título 7 Char"/>
    <w:basedOn w:val="Fontepargpadro"/>
    <w:link w:val="Ttulo7"/>
    <w:uiPriority w:val="9"/>
    <w:rsid w:val="000D17A6"/>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
    <w:rsid w:val="000D17A6"/>
    <w:rPr>
      <w:rFonts w:ascii="Garamond" w:eastAsia="Times New Roman" w:hAnsi="Garamond" w:cs="Times New Roman"/>
      <w:b/>
      <w:bCs/>
      <w:sz w:val="26"/>
      <w:szCs w:val="24"/>
      <w:lang w:eastAsia="ar-SA"/>
    </w:rPr>
  </w:style>
  <w:style w:type="character" w:customStyle="1" w:styleId="Ttulo9Char">
    <w:name w:val="Título 9 Char"/>
    <w:basedOn w:val="Fontepargpadro"/>
    <w:link w:val="Ttulo9"/>
    <w:uiPriority w:val="9"/>
    <w:rsid w:val="000D17A6"/>
    <w:rPr>
      <w:rFonts w:ascii="Cambria" w:eastAsia="Times New Roman" w:hAnsi="Cambria" w:cs="Times New Roman"/>
      <w:lang w:eastAsia="pt-BR"/>
    </w:rPr>
  </w:style>
  <w:style w:type="paragraph" w:styleId="PargrafodaLista">
    <w:name w:val="List Paragraph"/>
    <w:basedOn w:val="Normal"/>
    <w:link w:val="PargrafodaListaChar"/>
    <w:uiPriority w:val="34"/>
    <w:qFormat/>
    <w:rsid w:val="000D17A6"/>
    <w:pPr>
      <w:ind w:left="720"/>
      <w:contextualSpacing/>
    </w:pPr>
  </w:style>
  <w:style w:type="table" w:styleId="Tabelacomgrade">
    <w:name w:val="Table Grid"/>
    <w:basedOn w:val="Tabelanormal"/>
    <w:uiPriority w:val="39"/>
    <w:rsid w:val="000D1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unhideWhenUsed/>
    <w:qFormat/>
    <w:rsid w:val="000D17A6"/>
    <w:pPr>
      <w:spacing w:after="120"/>
    </w:pPr>
  </w:style>
  <w:style w:type="character" w:customStyle="1" w:styleId="CorpodetextoChar">
    <w:name w:val="Corpo de texto Char"/>
    <w:basedOn w:val="Fontepargpadro"/>
    <w:link w:val="Corpodetexto"/>
    <w:uiPriority w:val="99"/>
    <w:rsid w:val="000D17A6"/>
  </w:style>
  <w:style w:type="paragraph" w:styleId="Recuodecorpodetexto">
    <w:name w:val="Body Text Indent"/>
    <w:basedOn w:val="Normal"/>
    <w:link w:val="RecuodecorpodetextoChar"/>
    <w:uiPriority w:val="99"/>
    <w:unhideWhenUsed/>
    <w:rsid w:val="000D17A6"/>
    <w:pPr>
      <w:spacing w:after="120"/>
      <w:ind w:left="283"/>
    </w:pPr>
  </w:style>
  <w:style w:type="character" w:customStyle="1" w:styleId="RecuodecorpodetextoChar">
    <w:name w:val="Recuo de corpo de texto Char"/>
    <w:basedOn w:val="Fontepargpadro"/>
    <w:link w:val="Recuodecorpodetexto"/>
    <w:uiPriority w:val="99"/>
    <w:rsid w:val="000D17A6"/>
  </w:style>
  <w:style w:type="character" w:customStyle="1" w:styleId="apple-style-span">
    <w:name w:val="apple-style-span"/>
    <w:rsid w:val="000D17A6"/>
  </w:style>
  <w:style w:type="paragraph" w:customStyle="1" w:styleId="Default">
    <w:name w:val="Default"/>
    <w:rsid w:val="000D17A6"/>
    <w:pPr>
      <w:autoSpaceDE w:val="0"/>
      <w:autoSpaceDN w:val="0"/>
      <w:adjustRightInd w:val="0"/>
      <w:spacing w:after="0" w:line="240" w:lineRule="auto"/>
    </w:pPr>
    <w:rPr>
      <w:rFonts w:ascii="Calibri" w:hAnsi="Calibri" w:cs="Calibri"/>
      <w:color w:val="000000"/>
      <w:sz w:val="24"/>
      <w:szCs w:val="24"/>
    </w:rPr>
  </w:style>
  <w:style w:type="character" w:customStyle="1" w:styleId="ilfuvd">
    <w:name w:val="ilfuvd"/>
    <w:basedOn w:val="Fontepargpadro"/>
    <w:rsid w:val="000D17A6"/>
  </w:style>
  <w:style w:type="character" w:styleId="Hyperlink">
    <w:name w:val="Hyperlink"/>
    <w:basedOn w:val="Fontepargpadro"/>
    <w:uiPriority w:val="99"/>
    <w:unhideWhenUsed/>
    <w:rsid w:val="000D17A6"/>
    <w:rPr>
      <w:color w:val="0080C0"/>
      <w:u w:val="single"/>
    </w:rPr>
  </w:style>
  <w:style w:type="character" w:customStyle="1" w:styleId="T3Char">
    <w:name w:val="T3 Char"/>
    <w:basedOn w:val="Fontepargpadro"/>
    <w:link w:val="T3"/>
    <w:rsid w:val="000D17A6"/>
    <w:rPr>
      <w:rFonts w:ascii="Times New Roman" w:hAnsi="Times New Roman" w:cs="Times New Roman"/>
      <w:b/>
      <w:color w:val="000000"/>
      <w:sz w:val="24"/>
      <w:szCs w:val="24"/>
    </w:rPr>
  </w:style>
  <w:style w:type="character" w:customStyle="1" w:styleId="T2Char">
    <w:name w:val="T2 Char"/>
    <w:basedOn w:val="Fontepargpadro"/>
    <w:link w:val="T2"/>
    <w:rsid w:val="000D17A6"/>
    <w:rPr>
      <w:rFonts w:ascii="Times New Roman" w:hAnsi="Times New Roman" w:cs="Times New Roman"/>
      <w:b/>
      <w:color w:val="000000"/>
      <w:sz w:val="24"/>
      <w:szCs w:val="24"/>
    </w:rPr>
  </w:style>
  <w:style w:type="paragraph" w:customStyle="1" w:styleId="TableParagraph">
    <w:name w:val="Table Paragraph"/>
    <w:basedOn w:val="Normal"/>
    <w:uiPriority w:val="1"/>
    <w:qFormat/>
    <w:rsid w:val="000D17A6"/>
    <w:pPr>
      <w:widowControl w:val="0"/>
      <w:autoSpaceDE w:val="0"/>
      <w:autoSpaceDN w:val="0"/>
      <w:spacing w:before="28" w:after="0" w:line="240" w:lineRule="auto"/>
      <w:ind w:left="38"/>
    </w:pPr>
    <w:rPr>
      <w:rFonts w:ascii="Arial" w:eastAsia="Arial" w:hAnsi="Arial" w:cs="Arial"/>
      <w:lang w:val="en-US"/>
    </w:rPr>
  </w:style>
  <w:style w:type="numbering" w:customStyle="1" w:styleId="Semlista1">
    <w:name w:val="Sem lista1"/>
    <w:next w:val="Semlista"/>
    <w:uiPriority w:val="99"/>
    <w:semiHidden/>
    <w:unhideWhenUsed/>
    <w:rsid w:val="000D17A6"/>
  </w:style>
  <w:style w:type="character" w:styleId="Refdecomentrio">
    <w:name w:val="annotation reference"/>
    <w:basedOn w:val="Fontepargpadro"/>
    <w:uiPriority w:val="99"/>
    <w:unhideWhenUsed/>
    <w:rsid w:val="000D17A6"/>
    <w:rPr>
      <w:sz w:val="16"/>
      <w:szCs w:val="16"/>
    </w:rPr>
  </w:style>
  <w:style w:type="paragraph" w:styleId="Textodecomentrio">
    <w:name w:val="annotation text"/>
    <w:basedOn w:val="Normal"/>
    <w:link w:val="TextodecomentrioChar"/>
    <w:uiPriority w:val="99"/>
    <w:semiHidden/>
    <w:unhideWhenUsed/>
    <w:rsid w:val="000D17A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D17A6"/>
    <w:rPr>
      <w:sz w:val="20"/>
      <w:szCs w:val="20"/>
    </w:rPr>
  </w:style>
  <w:style w:type="paragraph" w:styleId="Assuntodocomentrio">
    <w:name w:val="annotation subject"/>
    <w:basedOn w:val="Textodecomentrio"/>
    <w:next w:val="Textodecomentrio"/>
    <w:link w:val="AssuntodocomentrioChar"/>
    <w:uiPriority w:val="99"/>
    <w:semiHidden/>
    <w:unhideWhenUsed/>
    <w:rsid w:val="000D17A6"/>
    <w:rPr>
      <w:b/>
      <w:bCs/>
    </w:rPr>
  </w:style>
  <w:style w:type="character" w:customStyle="1" w:styleId="AssuntodocomentrioChar">
    <w:name w:val="Assunto do comentário Char"/>
    <w:basedOn w:val="TextodecomentrioChar"/>
    <w:link w:val="Assuntodocomentrio"/>
    <w:uiPriority w:val="99"/>
    <w:semiHidden/>
    <w:rsid w:val="000D17A6"/>
    <w:rPr>
      <w:b/>
      <w:bCs/>
      <w:sz w:val="20"/>
      <w:szCs w:val="20"/>
    </w:rPr>
  </w:style>
  <w:style w:type="paragraph" w:styleId="Textodebalo">
    <w:name w:val="Balloon Text"/>
    <w:basedOn w:val="Normal"/>
    <w:link w:val="TextodebaloChar"/>
    <w:uiPriority w:val="99"/>
    <w:semiHidden/>
    <w:unhideWhenUsed/>
    <w:rsid w:val="000D17A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17A6"/>
    <w:rPr>
      <w:rFonts w:ascii="Segoe UI" w:hAnsi="Segoe UI" w:cs="Segoe UI"/>
      <w:sz w:val="18"/>
      <w:szCs w:val="18"/>
    </w:rPr>
  </w:style>
  <w:style w:type="paragraph" w:styleId="Sumrio2">
    <w:name w:val="toc 2"/>
    <w:basedOn w:val="Normal"/>
    <w:next w:val="Normal"/>
    <w:autoRedefine/>
    <w:uiPriority w:val="39"/>
    <w:unhideWhenUsed/>
    <w:rsid w:val="005E4023"/>
    <w:pPr>
      <w:tabs>
        <w:tab w:val="left" w:pos="880"/>
        <w:tab w:val="right" w:leader="dot" w:pos="9913"/>
      </w:tabs>
      <w:spacing w:after="60" w:line="240" w:lineRule="auto"/>
      <w:ind w:left="221"/>
      <w:jc w:val="both"/>
    </w:pPr>
    <w:rPr>
      <w:sz w:val="24"/>
    </w:rPr>
  </w:style>
  <w:style w:type="paragraph" w:styleId="Sumrio3">
    <w:name w:val="toc 3"/>
    <w:basedOn w:val="Normal"/>
    <w:next w:val="Normal"/>
    <w:autoRedefine/>
    <w:uiPriority w:val="39"/>
    <w:unhideWhenUsed/>
    <w:rsid w:val="005E4023"/>
    <w:pPr>
      <w:tabs>
        <w:tab w:val="left" w:pos="1320"/>
        <w:tab w:val="right" w:leader="dot" w:pos="9913"/>
      </w:tabs>
      <w:spacing w:after="60" w:line="240" w:lineRule="auto"/>
      <w:ind w:left="442"/>
    </w:pPr>
    <w:rPr>
      <w:sz w:val="24"/>
    </w:rPr>
  </w:style>
  <w:style w:type="character" w:customStyle="1" w:styleId="apple-converted-space">
    <w:name w:val="apple-converted-space"/>
    <w:basedOn w:val="Fontepargpadro"/>
    <w:rsid w:val="000D17A6"/>
  </w:style>
  <w:style w:type="paragraph" w:styleId="Cabealho">
    <w:name w:val="header"/>
    <w:basedOn w:val="Normal"/>
    <w:link w:val="CabealhoChar"/>
    <w:uiPriority w:val="99"/>
    <w:unhideWhenUsed/>
    <w:rsid w:val="000D17A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17A6"/>
  </w:style>
  <w:style w:type="paragraph" w:styleId="Rodap">
    <w:name w:val="footer"/>
    <w:basedOn w:val="Normal"/>
    <w:link w:val="RodapChar"/>
    <w:uiPriority w:val="99"/>
    <w:unhideWhenUsed/>
    <w:rsid w:val="000D17A6"/>
    <w:pPr>
      <w:tabs>
        <w:tab w:val="center" w:pos="4252"/>
        <w:tab w:val="right" w:pos="8504"/>
      </w:tabs>
      <w:spacing w:after="0" w:line="240" w:lineRule="auto"/>
    </w:pPr>
  </w:style>
  <w:style w:type="character" w:customStyle="1" w:styleId="RodapChar">
    <w:name w:val="Rodapé Char"/>
    <w:basedOn w:val="Fontepargpadro"/>
    <w:link w:val="Rodap"/>
    <w:uiPriority w:val="99"/>
    <w:rsid w:val="000D17A6"/>
  </w:style>
  <w:style w:type="paragraph" w:customStyle="1" w:styleId="Tabela">
    <w:name w:val="Tabela"/>
    <w:basedOn w:val="Normal"/>
    <w:link w:val="TabelaChar"/>
    <w:qFormat/>
    <w:rsid w:val="000D17A6"/>
    <w:pPr>
      <w:shd w:val="clear" w:color="auto" w:fill="FFFFFF"/>
      <w:tabs>
        <w:tab w:val="left" w:pos="1134"/>
      </w:tabs>
      <w:spacing w:after="0" w:line="240" w:lineRule="auto"/>
      <w:jc w:val="both"/>
    </w:pPr>
    <w:rPr>
      <w:rFonts w:ascii="Arial" w:eastAsia="Times New Roman" w:hAnsi="Arial" w:cs="Arial"/>
      <w:b/>
      <w:sz w:val="20"/>
      <w:szCs w:val="24"/>
      <w:lang w:eastAsia="pt-BR"/>
    </w:rPr>
  </w:style>
  <w:style w:type="character" w:customStyle="1" w:styleId="TabelaChar">
    <w:name w:val="Tabela Char"/>
    <w:link w:val="Tabela"/>
    <w:rsid w:val="000D17A6"/>
    <w:rPr>
      <w:rFonts w:ascii="Arial" w:eastAsia="Times New Roman" w:hAnsi="Arial" w:cs="Arial"/>
      <w:b/>
      <w:sz w:val="20"/>
      <w:szCs w:val="24"/>
      <w:shd w:val="clear" w:color="auto" w:fill="FFFFFF"/>
      <w:lang w:eastAsia="pt-BR"/>
    </w:rPr>
  </w:style>
  <w:style w:type="character" w:customStyle="1" w:styleId="PargrafodaListaChar">
    <w:name w:val="Parágrafo da Lista Char"/>
    <w:link w:val="PargrafodaLista"/>
    <w:uiPriority w:val="34"/>
    <w:locked/>
    <w:rsid w:val="000D17A6"/>
  </w:style>
  <w:style w:type="paragraph" w:styleId="Sumrio1">
    <w:name w:val="toc 1"/>
    <w:basedOn w:val="Normal"/>
    <w:next w:val="Normal"/>
    <w:autoRedefine/>
    <w:uiPriority w:val="39"/>
    <w:unhideWhenUsed/>
    <w:rsid w:val="005E4023"/>
    <w:pPr>
      <w:spacing w:after="60" w:line="240" w:lineRule="auto"/>
    </w:pPr>
    <w:rPr>
      <w:sz w:val="24"/>
    </w:rPr>
  </w:style>
  <w:style w:type="character" w:styleId="Forte">
    <w:name w:val="Strong"/>
    <w:basedOn w:val="Fontepargpadro"/>
    <w:uiPriority w:val="22"/>
    <w:qFormat/>
    <w:rsid w:val="000D17A6"/>
    <w:rPr>
      <w:b/>
      <w:bCs/>
    </w:rPr>
  </w:style>
  <w:style w:type="paragraph" w:styleId="ndicedeilustraes">
    <w:name w:val="table of figures"/>
    <w:basedOn w:val="Normal"/>
    <w:next w:val="Normal"/>
    <w:uiPriority w:val="99"/>
    <w:unhideWhenUsed/>
    <w:rsid w:val="000D17A6"/>
    <w:pPr>
      <w:spacing w:after="0"/>
    </w:pPr>
  </w:style>
  <w:style w:type="paragraph" w:customStyle="1" w:styleId="Titulo1ARF">
    <w:name w:val="Titulo 1 ARF"/>
    <w:basedOn w:val="Ttulo1"/>
    <w:link w:val="Titulo1ARFChar"/>
    <w:autoRedefine/>
    <w:rsid w:val="001A36C9"/>
    <w:pPr>
      <w:numPr>
        <w:ilvl w:val="2"/>
        <w:numId w:val="14"/>
      </w:numPr>
      <w:spacing w:before="120" w:after="240" w:line="240" w:lineRule="auto"/>
    </w:pPr>
    <w:rPr>
      <w:rFonts w:ascii="Calibri" w:hAnsi="Calibri"/>
      <w:b/>
      <w:color w:val="auto"/>
      <w:sz w:val="28"/>
      <w:lang w:val="en-US"/>
    </w:rPr>
  </w:style>
  <w:style w:type="character" w:customStyle="1" w:styleId="Titulo1ARFChar">
    <w:name w:val="Titulo 1 ARF Char"/>
    <w:basedOn w:val="Ttulo1Char"/>
    <w:link w:val="Titulo1ARF"/>
    <w:rsid w:val="001A36C9"/>
    <w:rPr>
      <w:rFonts w:ascii="Calibri" w:eastAsiaTheme="majorEastAsia" w:hAnsi="Calibri" w:cstheme="majorBidi"/>
      <w:b/>
      <w:color w:val="2F5496" w:themeColor="accent1" w:themeShade="BF"/>
      <w:sz w:val="28"/>
      <w:szCs w:val="32"/>
      <w:lang w:val="en-US"/>
    </w:rPr>
  </w:style>
  <w:style w:type="table" w:customStyle="1" w:styleId="TableNormal1">
    <w:name w:val="Table Normal1"/>
    <w:uiPriority w:val="2"/>
    <w:semiHidden/>
    <w:unhideWhenUsed/>
    <w:qFormat/>
    <w:rsid w:val="007575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0">
    <w:name w:val="Table Grid0"/>
    <w:rsid w:val="00C07B68"/>
    <w:pPr>
      <w:spacing w:after="0" w:line="240" w:lineRule="auto"/>
    </w:pPr>
    <w:rPr>
      <w:rFonts w:eastAsiaTheme="minorEastAsia"/>
      <w:lang w:eastAsia="pt-BR"/>
    </w:rPr>
    <w:tblPr>
      <w:tblCellMar>
        <w:top w:w="0" w:type="dxa"/>
        <w:left w:w="0" w:type="dxa"/>
        <w:bottom w:w="0" w:type="dxa"/>
        <w:right w:w="0" w:type="dxa"/>
      </w:tblCellMar>
    </w:tblPr>
  </w:style>
  <w:style w:type="table" w:customStyle="1" w:styleId="PlainTable1">
    <w:name w:val="Plain Table 1"/>
    <w:basedOn w:val="Tabelanormal"/>
    <w:uiPriority w:val="41"/>
    <w:rsid w:val="00F417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9E43F7"/>
    <w:rPr>
      <w:color w:val="808080"/>
    </w:rPr>
  </w:style>
  <w:style w:type="paragraph" w:customStyle="1" w:styleId="paragraph">
    <w:name w:val="paragraph"/>
    <w:basedOn w:val="Normal"/>
    <w:rsid w:val="001A4AD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A4ADE"/>
  </w:style>
  <w:style w:type="character" w:customStyle="1" w:styleId="eop">
    <w:name w:val="eop"/>
    <w:basedOn w:val="Fontepargpadro"/>
    <w:rsid w:val="001A4ADE"/>
  </w:style>
  <w:style w:type="character" w:customStyle="1" w:styleId="spellingerror">
    <w:name w:val="spellingerror"/>
    <w:basedOn w:val="Fontepargpadro"/>
    <w:rsid w:val="001A4ADE"/>
  </w:style>
  <w:style w:type="paragraph" w:styleId="Reviso">
    <w:name w:val="Revision"/>
    <w:hidden/>
    <w:uiPriority w:val="99"/>
    <w:semiHidden/>
    <w:rsid w:val="00D20AD7"/>
    <w:pPr>
      <w:spacing w:after="0" w:line="240" w:lineRule="auto"/>
    </w:pPr>
  </w:style>
  <w:style w:type="character" w:styleId="HiperlinkVisitado">
    <w:name w:val="FollowedHyperlink"/>
    <w:basedOn w:val="Fontepargpadro"/>
    <w:uiPriority w:val="99"/>
    <w:semiHidden/>
    <w:unhideWhenUsed/>
    <w:rsid w:val="009D5982"/>
    <w:rPr>
      <w:color w:val="954F72" w:themeColor="followedHyperlink"/>
      <w:u w:val="single"/>
    </w:rPr>
  </w:style>
  <w:style w:type="paragraph" w:styleId="SemEspaamento">
    <w:name w:val="No Spacing"/>
    <w:uiPriority w:val="1"/>
    <w:qFormat/>
    <w:rsid w:val="00E36552"/>
    <w:pPr>
      <w:spacing w:after="0" w:line="240" w:lineRule="auto"/>
    </w:pPr>
  </w:style>
  <w:style w:type="paragraph" w:customStyle="1" w:styleId="TabelaARF">
    <w:name w:val="Tabela ARF"/>
    <w:basedOn w:val="Tabela"/>
    <w:qFormat/>
    <w:rsid w:val="00263E13"/>
    <w:rPr>
      <w:rFonts w:asciiTheme="minorHAnsi" w:hAnsiTheme="minorHAnsi"/>
      <w:b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75526"/>
  </w:style>
  <w:style w:type="paragraph" w:styleId="Ttulo1">
    <w:name w:val="heading 1"/>
    <w:basedOn w:val="Normal"/>
    <w:next w:val="Normal"/>
    <w:link w:val="Ttulo1Char"/>
    <w:uiPriority w:val="9"/>
    <w:qFormat/>
    <w:rsid w:val="00C365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Ttulo1"/>
    <w:next w:val="Normal"/>
    <w:link w:val="Ttulo2Char"/>
    <w:uiPriority w:val="9"/>
    <w:qFormat/>
    <w:rsid w:val="000D17A6"/>
    <w:pPr>
      <w:keepLines w:val="0"/>
      <w:numPr>
        <w:ilvl w:val="1"/>
      </w:numPr>
      <w:spacing w:before="0" w:after="240" w:line="240" w:lineRule="auto"/>
      <w:jc w:val="both"/>
      <w:outlineLvl w:val="1"/>
    </w:pPr>
    <w:rPr>
      <w:rFonts w:ascii="Times New Roman" w:eastAsia="Times New Roman" w:hAnsi="Times New Roman" w:cs="Arial"/>
      <w:b/>
      <w:color w:val="000000"/>
      <w:sz w:val="28"/>
      <w:szCs w:val="20"/>
      <w:lang w:eastAsia="pt-BR"/>
    </w:rPr>
  </w:style>
  <w:style w:type="paragraph" w:styleId="Ttulo3">
    <w:name w:val="heading 3"/>
    <w:basedOn w:val="Normal"/>
    <w:next w:val="Normal"/>
    <w:link w:val="Ttulo3Char"/>
    <w:uiPriority w:val="9"/>
    <w:qFormat/>
    <w:rsid w:val="000D17A6"/>
    <w:pPr>
      <w:keepNext/>
      <w:spacing w:after="0" w:line="240" w:lineRule="auto"/>
      <w:ind w:left="2160" w:hanging="180"/>
      <w:outlineLvl w:val="2"/>
    </w:pPr>
    <w:rPr>
      <w:rFonts w:ascii="Times New Roman" w:eastAsia="Times New Roman" w:hAnsi="Times New Roman" w:cs="Times New Roman"/>
      <w:bCs/>
      <w:smallCaps/>
      <w:sz w:val="24"/>
      <w:szCs w:val="24"/>
      <w:lang w:eastAsia="pt-BR"/>
    </w:rPr>
  </w:style>
  <w:style w:type="paragraph" w:styleId="Ttulo4">
    <w:name w:val="heading 4"/>
    <w:basedOn w:val="Normal"/>
    <w:next w:val="Normal"/>
    <w:link w:val="Ttulo4Char"/>
    <w:uiPriority w:val="9"/>
    <w:qFormat/>
    <w:rsid w:val="000D17A6"/>
    <w:pPr>
      <w:keepNext/>
      <w:spacing w:after="0" w:line="240" w:lineRule="auto"/>
      <w:ind w:left="2880" w:hanging="360"/>
      <w:jc w:val="both"/>
      <w:outlineLvl w:val="3"/>
    </w:pPr>
    <w:rPr>
      <w:rFonts w:ascii="Times New Roman" w:eastAsia="Times New Roman" w:hAnsi="Times New Roman" w:cs="Times New Roman"/>
      <w:bCs/>
      <w:sz w:val="24"/>
      <w:szCs w:val="24"/>
      <w:lang w:eastAsia="pt-BR"/>
    </w:rPr>
  </w:style>
  <w:style w:type="paragraph" w:styleId="Ttulo5">
    <w:name w:val="heading 5"/>
    <w:basedOn w:val="Normal"/>
    <w:next w:val="Normal"/>
    <w:link w:val="Ttulo5Char"/>
    <w:uiPriority w:val="9"/>
    <w:qFormat/>
    <w:rsid w:val="000D17A6"/>
    <w:pPr>
      <w:keepNext/>
      <w:snapToGrid w:val="0"/>
      <w:spacing w:after="0" w:line="276" w:lineRule="auto"/>
      <w:ind w:left="3600" w:hanging="360"/>
      <w:outlineLvl w:val="4"/>
    </w:pPr>
    <w:rPr>
      <w:rFonts w:ascii="Calibri" w:eastAsia="Times New Roman" w:hAnsi="Calibri" w:cs="Times New Roman"/>
      <w:b/>
      <w:sz w:val="18"/>
      <w:szCs w:val="18"/>
      <w:lang w:eastAsia="pt-BR"/>
    </w:rPr>
  </w:style>
  <w:style w:type="paragraph" w:styleId="Ttulo6">
    <w:name w:val="heading 6"/>
    <w:aliases w:val="3.2.6.1"/>
    <w:basedOn w:val="Normal"/>
    <w:next w:val="Normal"/>
    <w:link w:val="Ttulo6Char"/>
    <w:uiPriority w:val="9"/>
    <w:qFormat/>
    <w:rsid w:val="000D17A6"/>
    <w:pPr>
      <w:keepNext/>
      <w:spacing w:after="0" w:line="240" w:lineRule="auto"/>
      <w:ind w:left="4320" w:hanging="180"/>
      <w:jc w:val="both"/>
      <w:outlineLvl w:val="5"/>
    </w:pPr>
    <w:rPr>
      <w:rFonts w:ascii="Times New Roman" w:eastAsia="Times New Roman" w:hAnsi="Times New Roman" w:cs="Times New Roman"/>
      <w:b/>
      <w:bCs/>
      <w:szCs w:val="20"/>
      <w:lang w:eastAsia="pt-BR"/>
    </w:rPr>
  </w:style>
  <w:style w:type="paragraph" w:styleId="Ttulo7">
    <w:name w:val="heading 7"/>
    <w:basedOn w:val="Normal"/>
    <w:next w:val="Normal"/>
    <w:link w:val="Ttulo7Char"/>
    <w:uiPriority w:val="9"/>
    <w:qFormat/>
    <w:rsid w:val="000D17A6"/>
    <w:pPr>
      <w:spacing w:before="240" w:after="60" w:line="240" w:lineRule="auto"/>
      <w:ind w:left="5040" w:hanging="360"/>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uiPriority w:val="9"/>
    <w:qFormat/>
    <w:rsid w:val="000D17A6"/>
    <w:pPr>
      <w:keepNext/>
      <w:suppressAutoHyphens/>
      <w:autoSpaceDE w:val="0"/>
      <w:spacing w:after="0" w:line="100" w:lineRule="atLeast"/>
      <w:ind w:left="5760" w:hanging="360"/>
      <w:jc w:val="center"/>
      <w:outlineLvl w:val="7"/>
    </w:pPr>
    <w:rPr>
      <w:rFonts w:ascii="Garamond" w:eastAsia="Times New Roman" w:hAnsi="Garamond" w:cs="Times New Roman"/>
      <w:b/>
      <w:bCs/>
      <w:sz w:val="26"/>
      <w:szCs w:val="24"/>
      <w:lang w:eastAsia="ar-SA"/>
    </w:rPr>
  </w:style>
  <w:style w:type="paragraph" w:styleId="Ttulo9">
    <w:name w:val="heading 9"/>
    <w:basedOn w:val="Normal"/>
    <w:next w:val="Normal"/>
    <w:link w:val="Ttulo9Char"/>
    <w:uiPriority w:val="9"/>
    <w:qFormat/>
    <w:rsid w:val="000D17A6"/>
    <w:pPr>
      <w:spacing w:before="240" w:after="60" w:line="240" w:lineRule="auto"/>
      <w:ind w:left="6480" w:hanging="180"/>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365E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C365E8"/>
    <w:pPr>
      <w:outlineLvl w:val="9"/>
    </w:pPr>
    <w:rPr>
      <w:lang w:eastAsia="pt-BR"/>
    </w:rPr>
  </w:style>
  <w:style w:type="paragraph" w:styleId="Textodenotaderodap">
    <w:name w:val="footnote text"/>
    <w:basedOn w:val="Normal"/>
    <w:link w:val="TextodenotaderodapChar"/>
    <w:uiPriority w:val="99"/>
    <w:rsid w:val="000D17A6"/>
    <w:pPr>
      <w:spacing w:after="0" w:line="240" w:lineRule="auto"/>
      <w:jc w:val="both"/>
    </w:pPr>
    <w:rPr>
      <w:rFonts w:ascii="Times New Roman" w:eastAsia="Times New Roman" w:hAnsi="Times New Roman" w:cs="Times New Roman"/>
      <w:sz w:val="20"/>
      <w:szCs w:val="24"/>
      <w:lang w:eastAsia="pt-BR"/>
    </w:rPr>
  </w:style>
  <w:style w:type="character" w:customStyle="1" w:styleId="TextodenotaderodapChar">
    <w:name w:val="Texto de nota de rodapé Char"/>
    <w:basedOn w:val="Fontepargpadro"/>
    <w:link w:val="Textodenotaderodap"/>
    <w:uiPriority w:val="99"/>
    <w:rsid w:val="000D17A6"/>
    <w:rPr>
      <w:rFonts w:ascii="Times New Roman" w:eastAsia="Times New Roman" w:hAnsi="Times New Roman" w:cs="Times New Roman"/>
      <w:sz w:val="20"/>
      <w:szCs w:val="24"/>
      <w:lang w:eastAsia="pt-BR"/>
    </w:rPr>
  </w:style>
  <w:style w:type="character" w:styleId="Refdenotaderodap">
    <w:name w:val="footnote reference"/>
    <w:uiPriority w:val="99"/>
    <w:rsid w:val="000D17A6"/>
    <w:rPr>
      <w:vertAlign w:val="superscript"/>
    </w:rPr>
  </w:style>
  <w:style w:type="paragraph" w:styleId="Corpodetexto2">
    <w:name w:val="Body Text 2"/>
    <w:basedOn w:val="Normal"/>
    <w:link w:val="Corpodetexto2Char"/>
    <w:semiHidden/>
    <w:rsid w:val="000D17A6"/>
    <w:pPr>
      <w:spacing w:after="0" w:line="240" w:lineRule="auto"/>
      <w:jc w:val="both"/>
    </w:pPr>
    <w:rPr>
      <w:rFonts w:ascii="Arial" w:eastAsia="Times New Roman" w:hAnsi="Arial" w:cs="Arial"/>
      <w:sz w:val="24"/>
      <w:szCs w:val="24"/>
      <w:lang w:eastAsia="pt-BR"/>
    </w:rPr>
  </w:style>
  <w:style w:type="character" w:customStyle="1" w:styleId="Corpodetexto2Char">
    <w:name w:val="Corpo de texto 2 Char"/>
    <w:basedOn w:val="Fontepargpadro"/>
    <w:link w:val="Corpodetexto2"/>
    <w:semiHidden/>
    <w:rsid w:val="000D17A6"/>
    <w:rPr>
      <w:rFonts w:ascii="Arial" w:eastAsia="Times New Roman" w:hAnsi="Arial" w:cs="Arial"/>
      <w:sz w:val="24"/>
      <w:szCs w:val="24"/>
      <w:lang w:eastAsia="pt-BR"/>
    </w:rPr>
  </w:style>
  <w:style w:type="paragraph" w:customStyle="1" w:styleId="T1">
    <w:name w:val="T1"/>
    <w:basedOn w:val="Normal"/>
    <w:link w:val="T1Char"/>
    <w:rsid w:val="000D17A6"/>
    <w:pPr>
      <w:numPr>
        <w:numId w:val="5"/>
      </w:numPr>
      <w:tabs>
        <w:tab w:val="left" w:pos="567"/>
        <w:tab w:val="left" w:pos="1418"/>
      </w:tabs>
      <w:spacing w:before="120" w:after="120" w:line="288" w:lineRule="auto"/>
      <w:jc w:val="both"/>
      <w:outlineLvl w:val="0"/>
    </w:pPr>
    <w:rPr>
      <w:rFonts w:ascii="Times New Roman" w:eastAsia="Times New Roman" w:hAnsi="Times New Roman" w:cs="Times New Roman"/>
      <w:b/>
      <w:sz w:val="24"/>
      <w:szCs w:val="24"/>
      <w:lang w:eastAsia="pt-BR"/>
    </w:rPr>
  </w:style>
  <w:style w:type="paragraph" w:customStyle="1" w:styleId="T2">
    <w:name w:val="T2"/>
    <w:basedOn w:val="Normal"/>
    <w:next w:val="Normal"/>
    <w:link w:val="T2Char"/>
    <w:rsid w:val="000D17A6"/>
    <w:pPr>
      <w:numPr>
        <w:ilvl w:val="1"/>
        <w:numId w:val="5"/>
      </w:numPr>
      <w:tabs>
        <w:tab w:val="left" w:pos="851"/>
      </w:tabs>
      <w:autoSpaceDE w:val="0"/>
      <w:autoSpaceDN w:val="0"/>
      <w:adjustRightInd w:val="0"/>
      <w:spacing w:before="120" w:after="240" w:line="360" w:lineRule="auto"/>
      <w:jc w:val="both"/>
      <w:outlineLvl w:val="1"/>
    </w:pPr>
    <w:rPr>
      <w:rFonts w:ascii="Times New Roman" w:hAnsi="Times New Roman" w:cs="Times New Roman"/>
      <w:b/>
      <w:color w:val="000000"/>
      <w:sz w:val="24"/>
      <w:szCs w:val="24"/>
    </w:rPr>
  </w:style>
  <w:style w:type="character" w:customStyle="1" w:styleId="T1Char">
    <w:name w:val="T1 Char"/>
    <w:basedOn w:val="Fontepargpadro"/>
    <w:link w:val="T1"/>
    <w:rsid w:val="000D17A6"/>
    <w:rPr>
      <w:rFonts w:ascii="Times New Roman" w:eastAsia="Times New Roman" w:hAnsi="Times New Roman" w:cs="Times New Roman"/>
      <w:b/>
      <w:sz w:val="24"/>
      <w:szCs w:val="24"/>
      <w:lang w:eastAsia="pt-BR"/>
    </w:rPr>
  </w:style>
  <w:style w:type="paragraph" w:customStyle="1" w:styleId="T3">
    <w:name w:val="T3"/>
    <w:basedOn w:val="T2"/>
    <w:next w:val="Normal"/>
    <w:link w:val="T3Char"/>
    <w:rsid w:val="000D17A6"/>
    <w:pPr>
      <w:numPr>
        <w:ilvl w:val="2"/>
      </w:numPr>
      <w:outlineLvl w:val="2"/>
    </w:pPr>
  </w:style>
  <w:style w:type="paragraph" w:styleId="Legenda">
    <w:name w:val="caption"/>
    <w:basedOn w:val="Normal"/>
    <w:next w:val="Normal"/>
    <w:uiPriority w:val="35"/>
    <w:unhideWhenUsed/>
    <w:qFormat/>
    <w:rsid w:val="000D17A6"/>
    <w:pPr>
      <w:spacing w:after="200" w:line="240" w:lineRule="auto"/>
    </w:pPr>
    <w:rPr>
      <w:rFonts w:ascii="Arial" w:eastAsia="Times New Roman" w:hAnsi="Arial" w:cs="Times New Roman"/>
      <w:i/>
      <w:iCs/>
      <w:color w:val="44546A" w:themeColor="text2"/>
      <w:sz w:val="18"/>
      <w:szCs w:val="18"/>
      <w:lang w:eastAsia="pt-BR"/>
    </w:rPr>
  </w:style>
  <w:style w:type="character" w:customStyle="1" w:styleId="Ttulo2Char">
    <w:name w:val="Título 2 Char"/>
    <w:basedOn w:val="Fontepargpadro"/>
    <w:link w:val="Ttulo2"/>
    <w:uiPriority w:val="9"/>
    <w:rsid w:val="000D17A6"/>
    <w:rPr>
      <w:rFonts w:ascii="Times New Roman" w:eastAsia="Times New Roman" w:hAnsi="Times New Roman" w:cs="Arial"/>
      <w:b/>
      <w:color w:val="000000"/>
      <w:sz w:val="28"/>
      <w:szCs w:val="20"/>
      <w:lang w:eastAsia="pt-BR"/>
    </w:rPr>
  </w:style>
  <w:style w:type="character" w:customStyle="1" w:styleId="Ttulo3Char">
    <w:name w:val="Título 3 Char"/>
    <w:basedOn w:val="Fontepargpadro"/>
    <w:link w:val="Ttulo3"/>
    <w:uiPriority w:val="9"/>
    <w:rsid w:val="000D17A6"/>
    <w:rPr>
      <w:rFonts w:ascii="Times New Roman" w:eastAsia="Times New Roman" w:hAnsi="Times New Roman" w:cs="Times New Roman"/>
      <w:bCs/>
      <w:smallCaps/>
      <w:sz w:val="24"/>
      <w:szCs w:val="24"/>
      <w:lang w:eastAsia="pt-BR"/>
    </w:rPr>
  </w:style>
  <w:style w:type="character" w:customStyle="1" w:styleId="Ttulo4Char">
    <w:name w:val="Título 4 Char"/>
    <w:basedOn w:val="Fontepargpadro"/>
    <w:link w:val="Ttulo4"/>
    <w:uiPriority w:val="9"/>
    <w:rsid w:val="000D17A6"/>
    <w:rPr>
      <w:rFonts w:ascii="Times New Roman" w:eastAsia="Times New Roman" w:hAnsi="Times New Roman" w:cs="Times New Roman"/>
      <w:bCs/>
      <w:sz w:val="24"/>
      <w:szCs w:val="24"/>
      <w:lang w:eastAsia="pt-BR"/>
    </w:rPr>
  </w:style>
  <w:style w:type="character" w:customStyle="1" w:styleId="Ttulo5Char">
    <w:name w:val="Título 5 Char"/>
    <w:basedOn w:val="Fontepargpadro"/>
    <w:link w:val="Ttulo5"/>
    <w:uiPriority w:val="9"/>
    <w:rsid w:val="000D17A6"/>
    <w:rPr>
      <w:rFonts w:ascii="Calibri" w:eastAsia="Times New Roman" w:hAnsi="Calibri" w:cs="Times New Roman"/>
      <w:b/>
      <w:sz w:val="18"/>
      <w:szCs w:val="18"/>
      <w:lang w:eastAsia="pt-BR"/>
    </w:rPr>
  </w:style>
  <w:style w:type="character" w:customStyle="1" w:styleId="Ttulo6Char">
    <w:name w:val="Título 6 Char"/>
    <w:aliases w:val="3.2.6.1 Char"/>
    <w:basedOn w:val="Fontepargpadro"/>
    <w:link w:val="Ttulo6"/>
    <w:uiPriority w:val="9"/>
    <w:rsid w:val="000D17A6"/>
    <w:rPr>
      <w:rFonts w:ascii="Times New Roman" w:eastAsia="Times New Roman" w:hAnsi="Times New Roman" w:cs="Times New Roman"/>
      <w:b/>
      <w:bCs/>
      <w:szCs w:val="20"/>
      <w:lang w:eastAsia="pt-BR"/>
    </w:rPr>
  </w:style>
  <w:style w:type="character" w:customStyle="1" w:styleId="Ttulo7Char">
    <w:name w:val="Título 7 Char"/>
    <w:basedOn w:val="Fontepargpadro"/>
    <w:link w:val="Ttulo7"/>
    <w:uiPriority w:val="9"/>
    <w:rsid w:val="000D17A6"/>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
    <w:rsid w:val="000D17A6"/>
    <w:rPr>
      <w:rFonts w:ascii="Garamond" w:eastAsia="Times New Roman" w:hAnsi="Garamond" w:cs="Times New Roman"/>
      <w:b/>
      <w:bCs/>
      <w:sz w:val="26"/>
      <w:szCs w:val="24"/>
      <w:lang w:eastAsia="ar-SA"/>
    </w:rPr>
  </w:style>
  <w:style w:type="character" w:customStyle="1" w:styleId="Ttulo9Char">
    <w:name w:val="Título 9 Char"/>
    <w:basedOn w:val="Fontepargpadro"/>
    <w:link w:val="Ttulo9"/>
    <w:uiPriority w:val="9"/>
    <w:rsid w:val="000D17A6"/>
    <w:rPr>
      <w:rFonts w:ascii="Cambria" w:eastAsia="Times New Roman" w:hAnsi="Cambria" w:cs="Times New Roman"/>
      <w:lang w:eastAsia="pt-BR"/>
    </w:rPr>
  </w:style>
  <w:style w:type="paragraph" w:styleId="PargrafodaLista">
    <w:name w:val="List Paragraph"/>
    <w:basedOn w:val="Normal"/>
    <w:link w:val="PargrafodaListaChar"/>
    <w:uiPriority w:val="34"/>
    <w:qFormat/>
    <w:rsid w:val="000D17A6"/>
    <w:pPr>
      <w:ind w:left="720"/>
      <w:contextualSpacing/>
    </w:pPr>
  </w:style>
  <w:style w:type="table" w:styleId="Tabelacomgrade">
    <w:name w:val="Table Grid"/>
    <w:basedOn w:val="Tabelanormal"/>
    <w:uiPriority w:val="39"/>
    <w:rsid w:val="000D1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unhideWhenUsed/>
    <w:qFormat/>
    <w:rsid w:val="000D17A6"/>
    <w:pPr>
      <w:spacing w:after="120"/>
    </w:pPr>
  </w:style>
  <w:style w:type="character" w:customStyle="1" w:styleId="CorpodetextoChar">
    <w:name w:val="Corpo de texto Char"/>
    <w:basedOn w:val="Fontepargpadro"/>
    <w:link w:val="Corpodetexto"/>
    <w:uiPriority w:val="99"/>
    <w:rsid w:val="000D17A6"/>
  </w:style>
  <w:style w:type="paragraph" w:styleId="Recuodecorpodetexto">
    <w:name w:val="Body Text Indent"/>
    <w:basedOn w:val="Normal"/>
    <w:link w:val="RecuodecorpodetextoChar"/>
    <w:uiPriority w:val="99"/>
    <w:unhideWhenUsed/>
    <w:rsid w:val="000D17A6"/>
    <w:pPr>
      <w:spacing w:after="120"/>
      <w:ind w:left="283"/>
    </w:pPr>
  </w:style>
  <w:style w:type="character" w:customStyle="1" w:styleId="RecuodecorpodetextoChar">
    <w:name w:val="Recuo de corpo de texto Char"/>
    <w:basedOn w:val="Fontepargpadro"/>
    <w:link w:val="Recuodecorpodetexto"/>
    <w:uiPriority w:val="99"/>
    <w:rsid w:val="000D17A6"/>
  </w:style>
  <w:style w:type="character" w:customStyle="1" w:styleId="apple-style-span">
    <w:name w:val="apple-style-span"/>
    <w:rsid w:val="000D17A6"/>
  </w:style>
  <w:style w:type="paragraph" w:customStyle="1" w:styleId="Default">
    <w:name w:val="Default"/>
    <w:rsid w:val="000D17A6"/>
    <w:pPr>
      <w:autoSpaceDE w:val="0"/>
      <w:autoSpaceDN w:val="0"/>
      <w:adjustRightInd w:val="0"/>
      <w:spacing w:after="0" w:line="240" w:lineRule="auto"/>
    </w:pPr>
    <w:rPr>
      <w:rFonts w:ascii="Calibri" w:hAnsi="Calibri" w:cs="Calibri"/>
      <w:color w:val="000000"/>
      <w:sz w:val="24"/>
      <w:szCs w:val="24"/>
    </w:rPr>
  </w:style>
  <w:style w:type="character" w:customStyle="1" w:styleId="ilfuvd">
    <w:name w:val="ilfuvd"/>
    <w:basedOn w:val="Fontepargpadro"/>
    <w:rsid w:val="000D17A6"/>
  </w:style>
  <w:style w:type="character" w:styleId="Hyperlink">
    <w:name w:val="Hyperlink"/>
    <w:basedOn w:val="Fontepargpadro"/>
    <w:uiPriority w:val="99"/>
    <w:unhideWhenUsed/>
    <w:rsid w:val="000D17A6"/>
    <w:rPr>
      <w:color w:val="0080C0"/>
      <w:u w:val="single"/>
    </w:rPr>
  </w:style>
  <w:style w:type="character" w:customStyle="1" w:styleId="T3Char">
    <w:name w:val="T3 Char"/>
    <w:basedOn w:val="Fontepargpadro"/>
    <w:link w:val="T3"/>
    <w:rsid w:val="000D17A6"/>
    <w:rPr>
      <w:rFonts w:ascii="Times New Roman" w:hAnsi="Times New Roman" w:cs="Times New Roman"/>
      <w:b/>
      <w:color w:val="000000"/>
      <w:sz w:val="24"/>
      <w:szCs w:val="24"/>
    </w:rPr>
  </w:style>
  <w:style w:type="character" w:customStyle="1" w:styleId="T2Char">
    <w:name w:val="T2 Char"/>
    <w:basedOn w:val="Fontepargpadro"/>
    <w:link w:val="T2"/>
    <w:rsid w:val="000D17A6"/>
    <w:rPr>
      <w:rFonts w:ascii="Times New Roman" w:hAnsi="Times New Roman" w:cs="Times New Roman"/>
      <w:b/>
      <w:color w:val="000000"/>
      <w:sz w:val="24"/>
      <w:szCs w:val="24"/>
    </w:rPr>
  </w:style>
  <w:style w:type="paragraph" w:customStyle="1" w:styleId="TableParagraph">
    <w:name w:val="Table Paragraph"/>
    <w:basedOn w:val="Normal"/>
    <w:uiPriority w:val="1"/>
    <w:qFormat/>
    <w:rsid w:val="000D17A6"/>
    <w:pPr>
      <w:widowControl w:val="0"/>
      <w:autoSpaceDE w:val="0"/>
      <w:autoSpaceDN w:val="0"/>
      <w:spacing w:before="28" w:after="0" w:line="240" w:lineRule="auto"/>
      <w:ind w:left="38"/>
    </w:pPr>
    <w:rPr>
      <w:rFonts w:ascii="Arial" w:eastAsia="Arial" w:hAnsi="Arial" w:cs="Arial"/>
      <w:lang w:val="en-US"/>
    </w:rPr>
  </w:style>
  <w:style w:type="numbering" w:customStyle="1" w:styleId="Semlista1">
    <w:name w:val="Sem lista1"/>
    <w:next w:val="Semlista"/>
    <w:uiPriority w:val="99"/>
    <w:semiHidden/>
    <w:unhideWhenUsed/>
    <w:rsid w:val="000D17A6"/>
  </w:style>
  <w:style w:type="character" w:styleId="Refdecomentrio">
    <w:name w:val="annotation reference"/>
    <w:basedOn w:val="Fontepargpadro"/>
    <w:uiPriority w:val="99"/>
    <w:unhideWhenUsed/>
    <w:rsid w:val="000D17A6"/>
    <w:rPr>
      <w:sz w:val="16"/>
      <w:szCs w:val="16"/>
    </w:rPr>
  </w:style>
  <w:style w:type="paragraph" w:styleId="Textodecomentrio">
    <w:name w:val="annotation text"/>
    <w:basedOn w:val="Normal"/>
    <w:link w:val="TextodecomentrioChar"/>
    <w:uiPriority w:val="99"/>
    <w:semiHidden/>
    <w:unhideWhenUsed/>
    <w:rsid w:val="000D17A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D17A6"/>
    <w:rPr>
      <w:sz w:val="20"/>
      <w:szCs w:val="20"/>
    </w:rPr>
  </w:style>
  <w:style w:type="paragraph" w:styleId="Assuntodocomentrio">
    <w:name w:val="annotation subject"/>
    <w:basedOn w:val="Textodecomentrio"/>
    <w:next w:val="Textodecomentrio"/>
    <w:link w:val="AssuntodocomentrioChar"/>
    <w:uiPriority w:val="99"/>
    <w:semiHidden/>
    <w:unhideWhenUsed/>
    <w:rsid w:val="000D17A6"/>
    <w:rPr>
      <w:b/>
      <w:bCs/>
    </w:rPr>
  </w:style>
  <w:style w:type="character" w:customStyle="1" w:styleId="AssuntodocomentrioChar">
    <w:name w:val="Assunto do comentário Char"/>
    <w:basedOn w:val="TextodecomentrioChar"/>
    <w:link w:val="Assuntodocomentrio"/>
    <w:uiPriority w:val="99"/>
    <w:semiHidden/>
    <w:rsid w:val="000D17A6"/>
    <w:rPr>
      <w:b/>
      <w:bCs/>
      <w:sz w:val="20"/>
      <w:szCs w:val="20"/>
    </w:rPr>
  </w:style>
  <w:style w:type="paragraph" w:styleId="Textodebalo">
    <w:name w:val="Balloon Text"/>
    <w:basedOn w:val="Normal"/>
    <w:link w:val="TextodebaloChar"/>
    <w:uiPriority w:val="99"/>
    <w:semiHidden/>
    <w:unhideWhenUsed/>
    <w:rsid w:val="000D17A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17A6"/>
    <w:rPr>
      <w:rFonts w:ascii="Segoe UI" w:hAnsi="Segoe UI" w:cs="Segoe UI"/>
      <w:sz w:val="18"/>
      <w:szCs w:val="18"/>
    </w:rPr>
  </w:style>
  <w:style w:type="paragraph" w:styleId="Sumrio2">
    <w:name w:val="toc 2"/>
    <w:basedOn w:val="Normal"/>
    <w:next w:val="Normal"/>
    <w:autoRedefine/>
    <w:uiPriority w:val="39"/>
    <w:unhideWhenUsed/>
    <w:rsid w:val="005E4023"/>
    <w:pPr>
      <w:tabs>
        <w:tab w:val="left" w:pos="880"/>
        <w:tab w:val="right" w:leader="dot" w:pos="9913"/>
      </w:tabs>
      <w:spacing w:after="60" w:line="240" w:lineRule="auto"/>
      <w:ind w:left="221"/>
      <w:jc w:val="both"/>
    </w:pPr>
    <w:rPr>
      <w:sz w:val="24"/>
    </w:rPr>
  </w:style>
  <w:style w:type="paragraph" w:styleId="Sumrio3">
    <w:name w:val="toc 3"/>
    <w:basedOn w:val="Normal"/>
    <w:next w:val="Normal"/>
    <w:autoRedefine/>
    <w:uiPriority w:val="39"/>
    <w:unhideWhenUsed/>
    <w:rsid w:val="005E4023"/>
    <w:pPr>
      <w:tabs>
        <w:tab w:val="left" w:pos="1320"/>
        <w:tab w:val="right" w:leader="dot" w:pos="9913"/>
      </w:tabs>
      <w:spacing w:after="60" w:line="240" w:lineRule="auto"/>
      <w:ind w:left="442"/>
    </w:pPr>
    <w:rPr>
      <w:sz w:val="24"/>
    </w:rPr>
  </w:style>
  <w:style w:type="character" w:customStyle="1" w:styleId="apple-converted-space">
    <w:name w:val="apple-converted-space"/>
    <w:basedOn w:val="Fontepargpadro"/>
    <w:rsid w:val="000D17A6"/>
  </w:style>
  <w:style w:type="paragraph" w:styleId="Cabealho">
    <w:name w:val="header"/>
    <w:basedOn w:val="Normal"/>
    <w:link w:val="CabealhoChar"/>
    <w:uiPriority w:val="99"/>
    <w:unhideWhenUsed/>
    <w:rsid w:val="000D17A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17A6"/>
  </w:style>
  <w:style w:type="paragraph" w:styleId="Rodap">
    <w:name w:val="footer"/>
    <w:basedOn w:val="Normal"/>
    <w:link w:val="RodapChar"/>
    <w:uiPriority w:val="99"/>
    <w:unhideWhenUsed/>
    <w:rsid w:val="000D17A6"/>
    <w:pPr>
      <w:tabs>
        <w:tab w:val="center" w:pos="4252"/>
        <w:tab w:val="right" w:pos="8504"/>
      </w:tabs>
      <w:spacing w:after="0" w:line="240" w:lineRule="auto"/>
    </w:pPr>
  </w:style>
  <w:style w:type="character" w:customStyle="1" w:styleId="RodapChar">
    <w:name w:val="Rodapé Char"/>
    <w:basedOn w:val="Fontepargpadro"/>
    <w:link w:val="Rodap"/>
    <w:uiPriority w:val="99"/>
    <w:rsid w:val="000D17A6"/>
  </w:style>
  <w:style w:type="paragraph" w:customStyle="1" w:styleId="Tabela">
    <w:name w:val="Tabela"/>
    <w:basedOn w:val="Normal"/>
    <w:link w:val="TabelaChar"/>
    <w:qFormat/>
    <w:rsid w:val="000D17A6"/>
    <w:pPr>
      <w:shd w:val="clear" w:color="auto" w:fill="FFFFFF"/>
      <w:tabs>
        <w:tab w:val="left" w:pos="1134"/>
      </w:tabs>
      <w:spacing w:after="0" w:line="240" w:lineRule="auto"/>
      <w:jc w:val="both"/>
    </w:pPr>
    <w:rPr>
      <w:rFonts w:ascii="Arial" w:eastAsia="Times New Roman" w:hAnsi="Arial" w:cs="Arial"/>
      <w:b/>
      <w:sz w:val="20"/>
      <w:szCs w:val="24"/>
      <w:lang w:eastAsia="pt-BR"/>
    </w:rPr>
  </w:style>
  <w:style w:type="character" w:customStyle="1" w:styleId="TabelaChar">
    <w:name w:val="Tabela Char"/>
    <w:link w:val="Tabela"/>
    <w:rsid w:val="000D17A6"/>
    <w:rPr>
      <w:rFonts w:ascii="Arial" w:eastAsia="Times New Roman" w:hAnsi="Arial" w:cs="Arial"/>
      <w:b/>
      <w:sz w:val="20"/>
      <w:szCs w:val="24"/>
      <w:shd w:val="clear" w:color="auto" w:fill="FFFFFF"/>
      <w:lang w:eastAsia="pt-BR"/>
    </w:rPr>
  </w:style>
  <w:style w:type="character" w:customStyle="1" w:styleId="PargrafodaListaChar">
    <w:name w:val="Parágrafo da Lista Char"/>
    <w:link w:val="PargrafodaLista"/>
    <w:uiPriority w:val="34"/>
    <w:locked/>
    <w:rsid w:val="000D17A6"/>
  </w:style>
  <w:style w:type="paragraph" w:styleId="Sumrio1">
    <w:name w:val="toc 1"/>
    <w:basedOn w:val="Normal"/>
    <w:next w:val="Normal"/>
    <w:autoRedefine/>
    <w:uiPriority w:val="39"/>
    <w:unhideWhenUsed/>
    <w:rsid w:val="005E4023"/>
    <w:pPr>
      <w:spacing w:after="60" w:line="240" w:lineRule="auto"/>
    </w:pPr>
    <w:rPr>
      <w:sz w:val="24"/>
    </w:rPr>
  </w:style>
  <w:style w:type="character" w:styleId="Forte">
    <w:name w:val="Strong"/>
    <w:basedOn w:val="Fontepargpadro"/>
    <w:uiPriority w:val="22"/>
    <w:qFormat/>
    <w:rsid w:val="000D17A6"/>
    <w:rPr>
      <w:b/>
      <w:bCs/>
    </w:rPr>
  </w:style>
  <w:style w:type="paragraph" w:styleId="ndicedeilustraes">
    <w:name w:val="table of figures"/>
    <w:basedOn w:val="Normal"/>
    <w:next w:val="Normal"/>
    <w:uiPriority w:val="99"/>
    <w:unhideWhenUsed/>
    <w:rsid w:val="000D17A6"/>
    <w:pPr>
      <w:spacing w:after="0"/>
    </w:pPr>
  </w:style>
  <w:style w:type="paragraph" w:customStyle="1" w:styleId="Titulo1ARF">
    <w:name w:val="Titulo 1 ARF"/>
    <w:basedOn w:val="Ttulo1"/>
    <w:link w:val="Titulo1ARFChar"/>
    <w:autoRedefine/>
    <w:rsid w:val="001A36C9"/>
    <w:pPr>
      <w:numPr>
        <w:ilvl w:val="2"/>
        <w:numId w:val="14"/>
      </w:numPr>
      <w:spacing w:before="120" w:after="240" w:line="240" w:lineRule="auto"/>
    </w:pPr>
    <w:rPr>
      <w:rFonts w:ascii="Calibri" w:hAnsi="Calibri"/>
      <w:b/>
      <w:color w:val="auto"/>
      <w:sz w:val="28"/>
      <w:lang w:val="en-US"/>
    </w:rPr>
  </w:style>
  <w:style w:type="character" w:customStyle="1" w:styleId="Titulo1ARFChar">
    <w:name w:val="Titulo 1 ARF Char"/>
    <w:basedOn w:val="Ttulo1Char"/>
    <w:link w:val="Titulo1ARF"/>
    <w:rsid w:val="001A36C9"/>
    <w:rPr>
      <w:rFonts w:ascii="Calibri" w:eastAsiaTheme="majorEastAsia" w:hAnsi="Calibri" w:cstheme="majorBidi"/>
      <w:b/>
      <w:color w:val="2F5496" w:themeColor="accent1" w:themeShade="BF"/>
      <w:sz w:val="28"/>
      <w:szCs w:val="32"/>
      <w:lang w:val="en-US"/>
    </w:rPr>
  </w:style>
  <w:style w:type="table" w:customStyle="1" w:styleId="TableNormal1">
    <w:name w:val="Table Normal1"/>
    <w:uiPriority w:val="2"/>
    <w:semiHidden/>
    <w:unhideWhenUsed/>
    <w:qFormat/>
    <w:rsid w:val="007575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0">
    <w:name w:val="Table Grid0"/>
    <w:rsid w:val="00C07B68"/>
    <w:pPr>
      <w:spacing w:after="0" w:line="240" w:lineRule="auto"/>
    </w:pPr>
    <w:rPr>
      <w:rFonts w:eastAsiaTheme="minorEastAsia"/>
      <w:lang w:eastAsia="pt-BR"/>
    </w:rPr>
    <w:tblPr>
      <w:tblCellMar>
        <w:top w:w="0" w:type="dxa"/>
        <w:left w:w="0" w:type="dxa"/>
        <w:bottom w:w="0" w:type="dxa"/>
        <w:right w:w="0" w:type="dxa"/>
      </w:tblCellMar>
    </w:tblPr>
  </w:style>
  <w:style w:type="table" w:customStyle="1" w:styleId="PlainTable1">
    <w:name w:val="Plain Table 1"/>
    <w:basedOn w:val="Tabelanormal"/>
    <w:uiPriority w:val="41"/>
    <w:rsid w:val="00F417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9E43F7"/>
    <w:rPr>
      <w:color w:val="808080"/>
    </w:rPr>
  </w:style>
  <w:style w:type="paragraph" w:customStyle="1" w:styleId="paragraph">
    <w:name w:val="paragraph"/>
    <w:basedOn w:val="Normal"/>
    <w:rsid w:val="001A4AD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A4ADE"/>
  </w:style>
  <w:style w:type="character" w:customStyle="1" w:styleId="eop">
    <w:name w:val="eop"/>
    <w:basedOn w:val="Fontepargpadro"/>
    <w:rsid w:val="001A4ADE"/>
  </w:style>
  <w:style w:type="character" w:customStyle="1" w:styleId="spellingerror">
    <w:name w:val="spellingerror"/>
    <w:basedOn w:val="Fontepargpadro"/>
    <w:rsid w:val="001A4ADE"/>
  </w:style>
  <w:style w:type="paragraph" w:styleId="Reviso">
    <w:name w:val="Revision"/>
    <w:hidden/>
    <w:uiPriority w:val="99"/>
    <w:semiHidden/>
    <w:rsid w:val="00D20AD7"/>
    <w:pPr>
      <w:spacing w:after="0" w:line="240" w:lineRule="auto"/>
    </w:pPr>
  </w:style>
  <w:style w:type="character" w:styleId="HiperlinkVisitado">
    <w:name w:val="FollowedHyperlink"/>
    <w:basedOn w:val="Fontepargpadro"/>
    <w:uiPriority w:val="99"/>
    <w:semiHidden/>
    <w:unhideWhenUsed/>
    <w:rsid w:val="009D5982"/>
    <w:rPr>
      <w:color w:val="954F72" w:themeColor="followedHyperlink"/>
      <w:u w:val="single"/>
    </w:rPr>
  </w:style>
  <w:style w:type="paragraph" w:styleId="SemEspaamento">
    <w:name w:val="No Spacing"/>
    <w:uiPriority w:val="1"/>
    <w:qFormat/>
    <w:rsid w:val="00E36552"/>
    <w:pPr>
      <w:spacing w:after="0" w:line="240" w:lineRule="auto"/>
    </w:pPr>
  </w:style>
  <w:style w:type="paragraph" w:customStyle="1" w:styleId="TabelaARF">
    <w:name w:val="Tabela ARF"/>
    <w:basedOn w:val="Tabela"/>
    <w:qFormat/>
    <w:rsid w:val="00263E13"/>
    <w:rPr>
      <w:rFonts w:asciiTheme="minorHAnsi" w:hAnsiTheme="minorHAnsi"/>
      <w:b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9020">
      <w:bodyDiv w:val="1"/>
      <w:marLeft w:val="0"/>
      <w:marRight w:val="0"/>
      <w:marTop w:val="0"/>
      <w:marBottom w:val="0"/>
      <w:divBdr>
        <w:top w:val="none" w:sz="0" w:space="0" w:color="auto"/>
        <w:left w:val="none" w:sz="0" w:space="0" w:color="auto"/>
        <w:bottom w:val="none" w:sz="0" w:space="0" w:color="auto"/>
        <w:right w:val="none" w:sz="0" w:space="0" w:color="auto"/>
      </w:divBdr>
    </w:div>
    <w:div w:id="83578443">
      <w:bodyDiv w:val="1"/>
      <w:marLeft w:val="0"/>
      <w:marRight w:val="0"/>
      <w:marTop w:val="0"/>
      <w:marBottom w:val="0"/>
      <w:divBdr>
        <w:top w:val="none" w:sz="0" w:space="0" w:color="auto"/>
        <w:left w:val="none" w:sz="0" w:space="0" w:color="auto"/>
        <w:bottom w:val="none" w:sz="0" w:space="0" w:color="auto"/>
        <w:right w:val="none" w:sz="0" w:space="0" w:color="auto"/>
      </w:divBdr>
    </w:div>
    <w:div w:id="84687897">
      <w:bodyDiv w:val="1"/>
      <w:marLeft w:val="0"/>
      <w:marRight w:val="0"/>
      <w:marTop w:val="0"/>
      <w:marBottom w:val="0"/>
      <w:divBdr>
        <w:top w:val="none" w:sz="0" w:space="0" w:color="auto"/>
        <w:left w:val="none" w:sz="0" w:space="0" w:color="auto"/>
        <w:bottom w:val="none" w:sz="0" w:space="0" w:color="auto"/>
        <w:right w:val="none" w:sz="0" w:space="0" w:color="auto"/>
      </w:divBdr>
    </w:div>
    <w:div w:id="138570355">
      <w:bodyDiv w:val="1"/>
      <w:marLeft w:val="0"/>
      <w:marRight w:val="0"/>
      <w:marTop w:val="0"/>
      <w:marBottom w:val="0"/>
      <w:divBdr>
        <w:top w:val="none" w:sz="0" w:space="0" w:color="auto"/>
        <w:left w:val="none" w:sz="0" w:space="0" w:color="auto"/>
        <w:bottom w:val="none" w:sz="0" w:space="0" w:color="auto"/>
        <w:right w:val="none" w:sz="0" w:space="0" w:color="auto"/>
      </w:divBdr>
    </w:div>
    <w:div w:id="155847295">
      <w:bodyDiv w:val="1"/>
      <w:marLeft w:val="0"/>
      <w:marRight w:val="0"/>
      <w:marTop w:val="0"/>
      <w:marBottom w:val="0"/>
      <w:divBdr>
        <w:top w:val="none" w:sz="0" w:space="0" w:color="auto"/>
        <w:left w:val="none" w:sz="0" w:space="0" w:color="auto"/>
        <w:bottom w:val="none" w:sz="0" w:space="0" w:color="auto"/>
        <w:right w:val="none" w:sz="0" w:space="0" w:color="auto"/>
      </w:divBdr>
    </w:div>
    <w:div w:id="175657840">
      <w:bodyDiv w:val="1"/>
      <w:marLeft w:val="0"/>
      <w:marRight w:val="0"/>
      <w:marTop w:val="0"/>
      <w:marBottom w:val="0"/>
      <w:divBdr>
        <w:top w:val="none" w:sz="0" w:space="0" w:color="auto"/>
        <w:left w:val="none" w:sz="0" w:space="0" w:color="auto"/>
        <w:bottom w:val="none" w:sz="0" w:space="0" w:color="auto"/>
        <w:right w:val="none" w:sz="0" w:space="0" w:color="auto"/>
      </w:divBdr>
    </w:div>
    <w:div w:id="236284076">
      <w:bodyDiv w:val="1"/>
      <w:marLeft w:val="0"/>
      <w:marRight w:val="0"/>
      <w:marTop w:val="0"/>
      <w:marBottom w:val="0"/>
      <w:divBdr>
        <w:top w:val="none" w:sz="0" w:space="0" w:color="auto"/>
        <w:left w:val="none" w:sz="0" w:space="0" w:color="auto"/>
        <w:bottom w:val="none" w:sz="0" w:space="0" w:color="auto"/>
        <w:right w:val="none" w:sz="0" w:space="0" w:color="auto"/>
      </w:divBdr>
    </w:div>
    <w:div w:id="281612222">
      <w:bodyDiv w:val="1"/>
      <w:marLeft w:val="0"/>
      <w:marRight w:val="0"/>
      <w:marTop w:val="0"/>
      <w:marBottom w:val="0"/>
      <w:divBdr>
        <w:top w:val="none" w:sz="0" w:space="0" w:color="auto"/>
        <w:left w:val="none" w:sz="0" w:space="0" w:color="auto"/>
        <w:bottom w:val="none" w:sz="0" w:space="0" w:color="auto"/>
        <w:right w:val="none" w:sz="0" w:space="0" w:color="auto"/>
      </w:divBdr>
    </w:div>
    <w:div w:id="332531145">
      <w:bodyDiv w:val="1"/>
      <w:marLeft w:val="0"/>
      <w:marRight w:val="0"/>
      <w:marTop w:val="0"/>
      <w:marBottom w:val="0"/>
      <w:divBdr>
        <w:top w:val="none" w:sz="0" w:space="0" w:color="auto"/>
        <w:left w:val="none" w:sz="0" w:space="0" w:color="auto"/>
        <w:bottom w:val="none" w:sz="0" w:space="0" w:color="auto"/>
        <w:right w:val="none" w:sz="0" w:space="0" w:color="auto"/>
      </w:divBdr>
    </w:div>
    <w:div w:id="399062240">
      <w:bodyDiv w:val="1"/>
      <w:marLeft w:val="0"/>
      <w:marRight w:val="0"/>
      <w:marTop w:val="0"/>
      <w:marBottom w:val="0"/>
      <w:divBdr>
        <w:top w:val="none" w:sz="0" w:space="0" w:color="auto"/>
        <w:left w:val="none" w:sz="0" w:space="0" w:color="auto"/>
        <w:bottom w:val="none" w:sz="0" w:space="0" w:color="auto"/>
        <w:right w:val="none" w:sz="0" w:space="0" w:color="auto"/>
      </w:divBdr>
    </w:div>
    <w:div w:id="401877993">
      <w:bodyDiv w:val="1"/>
      <w:marLeft w:val="0"/>
      <w:marRight w:val="0"/>
      <w:marTop w:val="0"/>
      <w:marBottom w:val="0"/>
      <w:divBdr>
        <w:top w:val="none" w:sz="0" w:space="0" w:color="auto"/>
        <w:left w:val="none" w:sz="0" w:space="0" w:color="auto"/>
        <w:bottom w:val="none" w:sz="0" w:space="0" w:color="auto"/>
        <w:right w:val="none" w:sz="0" w:space="0" w:color="auto"/>
      </w:divBdr>
    </w:div>
    <w:div w:id="414278146">
      <w:bodyDiv w:val="1"/>
      <w:marLeft w:val="0"/>
      <w:marRight w:val="0"/>
      <w:marTop w:val="0"/>
      <w:marBottom w:val="0"/>
      <w:divBdr>
        <w:top w:val="none" w:sz="0" w:space="0" w:color="auto"/>
        <w:left w:val="none" w:sz="0" w:space="0" w:color="auto"/>
        <w:bottom w:val="none" w:sz="0" w:space="0" w:color="auto"/>
        <w:right w:val="none" w:sz="0" w:space="0" w:color="auto"/>
      </w:divBdr>
    </w:div>
    <w:div w:id="426193810">
      <w:bodyDiv w:val="1"/>
      <w:marLeft w:val="0"/>
      <w:marRight w:val="0"/>
      <w:marTop w:val="0"/>
      <w:marBottom w:val="0"/>
      <w:divBdr>
        <w:top w:val="none" w:sz="0" w:space="0" w:color="auto"/>
        <w:left w:val="none" w:sz="0" w:space="0" w:color="auto"/>
        <w:bottom w:val="none" w:sz="0" w:space="0" w:color="auto"/>
        <w:right w:val="none" w:sz="0" w:space="0" w:color="auto"/>
      </w:divBdr>
    </w:div>
    <w:div w:id="463936861">
      <w:bodyDiv w:val="1"/>
      <w:marLeft w:val="0"/>
      <w:marRight w:val="0"/>
      <w:marTop w:val="0"/>
      <w:marBottom w:val="0"/>
      <w:divBdr>
        <w:top w:val="none" w:sz="0" w:space="0" w:color="auto"/>
        <w:left w:val="none" w:sz="0" w:space="0" w:color="auto"/>
        <w:bottom w:val="none" w:sz="0" w:space="0" w:color="auto"/>
        <w:right w:val="none" w:sz="0" w:space="0" w:color="auto"/>
      </w:divBdr>
    </w:div>
    <w:div w:id="509175966">
      <w:bodyDiv w:val="1"/>
      <w:marLeft w:val="0"/>
      <w:marRight w:val="0"/>
      <w:marTop w:val="0"/>
      <w:marBottom w:val="0"/>
      <w:divBdr>
        <w:top w:val="none" w:sz="0" w:space="0" w:color="auto"/>
        <w:left w:val="none" w:sz="0" w:space="0" w:color="auto"/>
        <w:bottom w:val="none" w:sz="0" w:space="0" w:color="auto"/>
        <w:right w:val="none" w:sz="0" w:space="0" w:color="auto"/>
      </w:divBdr>
    </w:div>
    <w:div w:id="575477618">
      <w:bodyDiv w:val="1"/>
      <w:marLeft w:val="0"/>
      <w:marRight w:val="0"/>
      <w:marTop w:val="0"/>
      <w:marBottom w:val="0"/>
      <w:divBdr>
        <w:top w:val="none" w:sz="0" w:space="0" w:color="auto"/>
        <w:left w:val="none" w:sz="0" w:space="0" w:color="auto"/>
        <w:bottom w:val="none" w:sz="0" w:space="0" w:color="auto"/>
        <w:right w:val="none" w:sz="0" w:space="0" w:color="auto"/>
      </w:divBdr>
      <w:divsChild>
        <w:div w:id="1498495278">
          <w:marLeft w:val="0"/>
          <w:marRight w:val="0"/>
          <w:marTop w:val="0"/>
          <w:marBottom w:val="0"/>
          <w:divBdr>
            <w:top w:val="none" w:sz="0" w:space="0" w:color="auto"/>
            <w:left w:val="none" w:sz="0" w:space="0" w:color="auto"/>
            <w:bottom w:val="none" w:sz="0" w:space="0" w:color="auto"/>
            <w:right w:val="none" w:sz="0" w:space="0" w:color="auto"/>
          </w:divBdr>
          <w:divsChild>
            <w:div w:id="1901359394">
              <w:marLeft w:val="0"/>
              <w:marRight w:val="0"/>
              <w:marTop w:val="0"/>
              <w:marBottom w:val="0"/>
              <w:divBdr>
                <w:top w:val="none" w:sz="0" w:space="0" w:color="auto"/>
                <w:left w:val="none" w:sz="0" w:space="0" w:color="auto"/>
                <w:bottom w:val="none" w:sz="0" w:space="0" w:color="auto"/>
                <w:right w:val="none" w:sz="0" w:space="0" w:color="auto"/>
              </w:divBdr>
              <w:divsChild>
                <w:div w:id="1570532155">
                  <w:marLeft w:val="0"/>
                  <w:marRight w:val="0"/>
                  <w:marTop w:val="0"/>
                  <w:marBottom w:val="0"/>
                  <w:divBdr>
                    <w:top w:val="none" w:sz="0" w:space="0" w:color="auto"/>
                    <w:left w:val="none" w:sz="0" w:space="0" w:color="auto"/>
                    <w:bottom w:val="none" w:sz="0" w:space="0" w:color="auto"/>
                    <w:right w:val="none" w:sz="0" w:space="0" w:color="auto"/>
                  </w:divBdr>
                  <w:divsChild>
                    <w:div w:id="1371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21627">
      <w:bodyDiv w:val="1"/>
      <w:marLeft w:val="0"/>
      <w:marRight w:val="0"/>
      <w:marTop w:val="0"/>
      <w:marBottom w:val="0"/>
      <w:divBdr>
        <w:top w:val="none" w:sz="0" w:space="0" w:color="auto"/>
        <w:left w:val="none" w:sz="0" w:space="0" w:color="auto"/>
        <w:bottom w:val="none" w:sz="0" w:space="0" w:color="auto"/>
        <w:right w:val="none" w:sz="0" w:space="0" w:color="auto"/>
      </w:divBdr>
    </w:div>
    <w:div w:id="589509748">
      <w:bodyDiv w:val="1"/>
      <w:marLeft w:val="0"/>
      <w:marRight w:val="0"/>
      <w:marTop w:val="0"/>
      <w:marBottom w:val="0"/>
      <w:divBdr>
        <w:top w:val="none" w:sz="0" w:space="0" w:color="auto"/>
        <w:left w:val="none" w:sz="0" w:space="0" w:color="auto"/>
        <w:bottom w:val="none" w:sz="0" w:space="0" w:color="auto"/>
        <w:right w:val="none" w:sz="0" w:space="0" w:color="auto"/>
      </w:divBdr>
    </w:div>
    <w:div w:id="605162572">
      <w:bodyDiv w:val="1"/>
      <w:marLeft w:val="0"/>
      <w:marRight w:val="0"/>
      <w:marTop w:val="0"/>
      <w:marBottom w:val="0"/>
      <w:divBdr>
        <w:top w:val="none" w:sz="0" w:space="0" w:color="auto"/>
        <w:left w:val="none" w:sz="0" w:space="0" w:color="auto"/>
        <w:bottom w:val="none" w:sz="0" w:space="0" w:color="auto"/>
        <w:right w:val="none" w:sz="0" w:space="0" w:color="auto"/>
      </w:divBdr>
    </w:div>
    <w:div w:id="662047120">
      <w:bodyDiv w:val="1"/>
      <w:marLeft w:val="0"/>
      <w:marRight w:val="0"/>
      <w:marTop w:val="0"/>
      <w:marBottom w:val="0"/>
      <w:divBdr>
        <w:top w:val="none" w:sz="0" w:space="0" w:color="auto"/>
        <w:left w:val="none" w:sz="0" w:space="0" w:color="auto"/>
        <w:bottom w:val="none" w:sz="0" w:space="0" w:color="auto"/>
        <w:right w:val="none" w:sz="0" w:space="0" w:color="auto"/>
      </w:divBdr>
      <w:divsChild>
        <w:div w:id="1353147734">
          <w:marLeft w:val="0"/>
          <w:marRight w:val="0"/>
          <w:marTop w:val="0"/>
          <w:marBottom w:val="0"/>
          <w:divBdr>
            <w:top w:val="none" w:sz="0" w:space="0" w:color="auto"/>
            <w:left w:val="none" w:sz="0" w:space="0" w:color="auto"/>
            <w:bottom w:val="none" w:sz="0" w:space="0" w:color="auto"/>
            <w:right w:val="none" w:sz="0" w:space="0" w:color="auto"/>
          </w:divBdr>
          <w:divsChild>
            <w:div w:id="1177035026">
              <w:marLeft w:val="0"/>
              <w:marRight w:val="0"/>
              <w:marTop w:val="0"/>
              <w:marBottom w:val="0"/>
              <w:divBdr>
                <w:top w:val="none" w:sz="0" w:space="0" w:color="auto"/>
                <w:left w:val="none" w:sz="0" w:space="0" w:color="auto"/>
                <w:bottom w:val="none" w:sz="0" w:space="0" w:color="auto"/>
                <w:right w:val="none" w:sz="0" w:space="0" w:color="auto"/>
              </w:divBdr>
              <w:divsChild>
                <w:div w:id="1826700291">
                  <w:marLeft w:val="0"/>
                  <w:marRight w:val="0"/>
                  <w:marTop w:val="0"/>
                  <w:marBottom w:val="0"/>
                  <w:divBdr>
                    <w:top w:val="none" w:sz="0" w:space="0" w:color="auto"/>
                    <w:left w:val="none" w:sz="0" w:space="0" w:color="auto"/>
                    <w:bottom w:val="none" w:sz="0" w:space="0" w:color="auto"/>
                    <w:right w:val="none" w:sz="0" w:space="0" w:color="auto"/>
                  </w:divBdr>
                  <w:divsChild>
                    <w:div w:id="16623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09739">
      <w:bodyDiv w:val="1"/>
      <w:marLeft w:val="0"/>
      <w:marRight w:val="0"/>
      <w:marTop w:val="0"/>
      <w:marBottom w:val="0"/>
      <w:divBdr>
        <w:top w:val="none" w:sz="0" w:space="0" w:color="auto"/>
        <w:left w:val="none" w:sz="0" w:space="0" w:color="auto"/>
        <w:bottom w:val="none" w:sz="0" w:space="0" w:color="auto"/>
        <w:right w:val="none" w:sz="0" w:space="0" w:color="auto"/>
      </w:divBdr>
    </w:div>
    <w:div w:id="809178436">
      <w:bodyDiv w:val="1"/>
      <w:marLeft w:val="0"/>
      <w:marRight w:val="0"/>
      <w:marTop w:val="0"/>
      <w:marBottom w:val="0"/>
      <w:divBdr>
        <w:top w:val="none" w:sz="0" w:space="0" w:color="auto"/>
        <w:left w:val="none" w:sz="0" w:space="0" w:color="auto"/>
        <w:bottom w:val="none" w:sz="0" w:space="0" w:color="auto"/>
        <w:right w:val="none" w:sz="0" w:space="0" w:color="auto"/>
      </w:divBdr>
      <w:divsChild>
        <w:div w:id="537280329">
          <w:marLeft w:val="0"/>
          <w:marRight w:val="0"/>
          <w:marTop w:val="0"/>
          <w:marBottom w:val="0"/>
          <w:divBdr>
            <w:top w:val="none" w:sz="0" w:space="0" w:color="auto"/>
            <w:left w:val="none" w:sz="0" w:space="0" w:color="auto"/>
            <w:bottom w:val="none" w:sz="0" w:space="0" w:color="auto"/>
            <w:right w:val="none" w:sz="0" w:space="0" w:color="auto"/>
          </w:divBdr>
          <w:divsChild>
            <w:div w:id="751125913">
              <w:marLeft w:val="0"/>
              <w:marRight w:val="0"/>
              <w:marTop w:val="0"/>
              <w:marBottom w:val="0"/>
              <w:divBdr>
                <w:top w:val="none" w:sz="0" w:space="0" w:color="auto"/>
                <w:left w:val="none" w:sz="0" w:space="0" w:color="auto"/>
                <w:bottom w:val="none" w:sz="0" w:space="0" w:color="auto"/>
                <w:right w:val="none" w:sz="0" w:space="0" w:color="auto"/>
              </w:divBdr>
            </w:div>
          </w:divsChild>
        </w:div>
        <w:div w:id="1072654264">
          <w:marLeft w:val="0"/>
          <w:marRight w:val="0"/>
          <w:marTop w:val="0"/>
          <w:marBottom w:val="0"/>
          <w:divBdr>
            <w:top w:val="none" w:sz="0" w:space="0" w:color="auto"/>
            <w:left w:val="none" w:sz="0" w:space="0" w:color="auto"/>
            <w:bottom w:val="none" w:sz="0" w:space="0" w:color="auto"/>
            <w:right w:val="none" w:sz="0" w:space="0" w:color="auto"/>
          </w:divBdr>
          <w:divsChild>
            <w:div w:id="692877218">
              <w:marLeft w:val="0"/>
              <w:marRight w:val="0"/>
              <w:marTop w:val="0"/>
              <w:marBottom w:val="0"/>
              <w:divBdr>
                <w:top w:val="none" w:sz="0" w:space="0" w:color="auto"/>
                <w:left w:val="none" w:sz="0" w:space="0" w:color="auto"/>
                <w:bottom w:val="none" w:sz="0" w:space="0" w:color="auto"/>
                <w:right w:val="none" w:sz="0" w:space="0" w:color="auto"/>
              </w:divBdr>
            </w:div>
          </w:divsChild>
        </w:div>
        <w:div w:id="1188834975">
          <w:marLeft w:val="0"/>
          <w:marRight w:val="0"/>
          <w:marTop w:val="0"/>
          <w:marBottom w:val="0"/>
          <w:divBdr>
            <w:top w:val="none" w:sz="0" w:space="0" w:color="auto"/>
            <w:left w:val="none" w:sz="0" w:space="0" w:color="auto"/>
            <w:bottom w:val="none" w:sz="0" w:space="0" w:color="auto"/>
            <w:right w:val="none" w:sz="0" w:space="0" w:color="auto"/>
          </w:divBdr>
          <w:divsChild>
            <w:div w:id="751894883">
              <w:marLeft w:val="0"/>
              <w:marRight w:val="0"/>
              <w:marTop w:val="0"/>
              <w:marBottom w:val="0"/>
              <w:divBdr>
                <w:top w:val="none" w:sz="0" w:space="0" w:color="auto"/>
                <w:left w:val="none" w:sz="0" w:space="0" w:color="auto"/>
                <w:bottom w:val="none" w:sz="0" w:space="0" w:color="auto"/>
                <w:right w:val="none" w:sz="0" w:space="0" w:color="auto"/>
              </w:divBdr>
            </w:div>
          </w:divsChild>
        </w:div>
        <w:div w:id="1589653489">
          <w:marLeft w:val="0"/>
          <w:marRight w:val="0"/>
          <w:marTop w:val="0"/>
          <w:marBottom w:val="0"/>
          <w:divBdr>
            <w:top w:val="none" w:sz="0" w:space="0" w:color="auto"/>
            <w:left w:val="none" w:sz="0" w:space="0" w:color="auto"/>
            <w:bottom w:val="none" w:sz="0" w:space="0" w:color="auto"/>
            <w:right w:val="none" w:sz="0" w:space="0" w:color="auto"/>
          </w:divBdr>
          <w:divsChild>
            <w:div w:id="1554077438">
              <w:marLeft w:val="0"/>
              <w:marRight w:val="0"/>
              <w:marTop w:val="0"/>
              <w:marBottom w:val="0"/>
              <w:divBdr>
                <w:top w:val="none" w:sz="0" w:space="0" w:color="auto"/>
                <w:left w:val="none" w:sz="0" w:space="0" w:color="auto"/>
                <w:bottom w:val="none" w:sz="0" w:space="0" w:color="auto"/>
                <w:right w:val="none" w:sz="0" w:space="0" w:color="auto"/>
              </w:divBdr>
            </w:div>
          </w:divsChild>
        </w:div>
        <w:div w:id="1616522067">
          <w:marLeft w:val="0"/>
          <w:marRight w:val="0"/>
          <w:marTop w:val="0"/>
          <w:marBottom w:val="0"/>
          <w:divBdr>
            <w:top w:val="none" w:sz="0" w:space="0" w:color="auto"/>
            <w:left w:val="none" w:sz="0" w:space="0" w:color="auto"/>
            <w:bottom w:val="none" w:sz="0" w:space="0" w:color="auto"/>
            <w:right w:val="none" w:sz="0" w:space="0" w:color="auto"/>
          </w:divBdr>
          <w:divsChild>
            <w:div w:id="966668744">
              <w:marLeft w:val="0"/>
              <w:marRight w:val="0"/>
              <w:marTop w:val="0"/>
              <w:marBottom w:val="0"/>
              <w:divBdr>
                <w:top w:val="none" w:sz="0" w:space="0" w:color="auto"/>
                <w:left w:val="none" w:sz="0" w:space="0" w:color="auto"/>
                <w:bottom w:val="none" w:sz="0" w:space="0" w:color="auto"/>
                <w:right w:val="none" w:sz="0" w:space="0" w:color="auto"/>
              </w:divBdr>
            </w:div>
          </w:divsChild>
        </w:div>
        <w:div w:id="1708489370">
          <w:marLeft w:val="0"/>
          <w:marRight w:val="0"/>
          <w:marTop w:val="0"/>
          <w:marBottom w:val="0"/>
          <w:divBdr>
            <w:top w:val="none" w:sz="0" w:space="0" w:color="auto"/>
            <w:left w:val="none" w:sz="0" w:space="0" w:color="auto"/>
            <w:bottom w:val="none" w:sz="0" w:space="0" w:color="auto"/>
            <w:right w:val="none" w:sz="0" w:space="0" w:color="auto"/>
          </w:divBdr>
          <w:divsChild>
            <w:div w:id="1840457747">
              <w:marLeft w:val="0"/>
              <w:marRight w:val="0"/>
              <w:marTop w:val="0"/>
              <w:marBottom w:val="0"/>
              <w:divBdr>
                <w:top w:val="none" w:sz="0" w:space="0" w:color="auto"/>
                <w:left w:val="none" w:sz="0" w:space="0" w:color="auto"/>
                <w:bottom w:val="none" w:sz="0" w:space="0" w:color="auto"/>
                <w:right w:val="none" w:sz="0" w:space="0" w:color="auto"/>
              </w:divBdr>
            </w:div>
          </w:divsChild>
        </w:div>
        <w:div w:id="2127963226">
          <w:marLeft w:val="0"/>
          <w:marRight w:val="0"/>
          <w:marTop w:val="0"/>
          <w:marBottom w:val="0"/>
          <w:divBdr>
            <w:top w:val="none" w:sz="0" w:space="0" w:color="auto"/>
            <w:left w:val="none" w:sz="0" w:space="0" w:color="auto"/>
            <w:bottom w:val="none" w:sz="0" w:space="0" w:color="auto"/>
            <w:right w:val="none" w:sz="0" w:space="0" w:color="auto"/>
          </w:divBdr>
          <w:divsChild>
            <w:div w:id="2755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8889">
      <w:bodyDiv w:val="1"/>
      <w:marLeft w:val="0"/>
      <w:marRight w:val="0"/>
      <w:marTop w:val="0"/>
      <w:marBottom w:val="0"/>
      <w:divBdr>
        <w:top w:val="none" w:sz="0" w:space="0" w:color="auto"/>
        <w:left w:val="none" w:sz="0" w:space="0" w:color="auto"/>
        <w:bottom w:val="none" w:sz="0" w:space="0" w:color="auto"/>
        <w:right w:val="none" w:sz="0" w:space="0" w:color="auto"/>
      </w:divBdr>
    </w:div>
    <w:div w:id="896940795">
      <w:bodyDiv w:val="1"/>
      <w:marLeft w:val="0"/>
      <w:marRight w:val="0"/>
      <w:marTop w:val="0"/>
      <w:marBottom w:val="0"/>
      <w:divBdr>
        <w:top w:val="none" w:sz="0" w:space="0" w:color="auto"/>
        <w:left w:val="none" w:sz="0" w:space="0" w:color="auto"/>
        <w:bottom w:val="none" w:sz="0" w:space="0" w:color="auto"/>
        <w:right w:val="none" w:sz="0" w:space="0" w:color="auto"/>
      </w:divBdr>
    </w:div>
    <w:div w:id="982739625">
      <w:bodyDiv w:val="1"/>
      <w:marLeft w:val="0"/>
      <w:marRight w:val="0"/>
      <w:marTop w:val="0"/>
      <w:marBottom w:val="0"/>
      <w:divBdr>
        <w:top w:val="none" w:sz="0" w:space="0" w:color="auto"/>
        <w:left w:val="none" w:sz="0" w:space="0" w:color="auto"/>
        <w:bottom w:val="none" w:sz="0" w:space="0" w:color="auto"/>
        <w:right w:val="none" w:sz="0" w:space="0" w:color="auto"/>
      </w:divBdr>
    </w:div>
    <w:div w:id="1007826638">
      <w:bodyDiv w:val="1"/>
      <w:marLeft w:val="0"/>
      <w:marRight w:val="0"/>
      <w:marTop w:val="0"/>
      <w:marBottom w:val="0"/>
      <w:divBdr>
        <w:top w:val="none" w:sz="0" w:space="0" w:color="auto"/>
        <w:left w:val="none" w:sz="0" w:space="0" w:color="auto"/>
        <w:bottom w:val="none" w:sz="0" w:space="0" w:color="auto"/>
        <w:right w:val="none" w:sz="0" w:space="0" w:color="auto"/>
      </w:divBdr>
    </w:div>
    <w:div w:id="1132674183">
      <w:bodyDiv w:val="1"/>
      <w:marLeft w:val="0"/>
      <w:marRight w:val="0"/>
      <w:marTop w:val="0"/>
      <w:marBottom w:val="0"/>
      <w:divBdr>
        <w:top w:val="none" w:sz="0" w:space="0" w:color="auto"/>
        <w:left w:val="none" w:sz="0" w:space="0" w:color="auto"/>
        <w:bottom w:val="none" w:sz="0" w:space="0" w:color="auto"/>
        <w:right w:val="none" w:sz="0" w:space="0" w:color="auto"/>
      </w:divBdr>
    </w:div>
    <w:div w:id="1140726233">
      <w:bodyDiv w:val="1"/>
      <w:marLeft w:val="0"/>
      <w:marRight w:val="0"/>
      <w:marTop w:val="0"/>
      <w:marBottom w:val="0"/>
      <w:divBdr>
        <w:top w:val="none" w:sz="0" w:space="0" w:color="auto"/>
        <w:left w:val="none" w:sz="0" w:space="0" w:color="auto"/>
        <w:bottom w:val="none" w:sz="0" w:space="0" w:color="auto"/>
        <w:right w:val="none" w:sz="0" w:space="0" w:color="auto"/>
      </w:divBdr>
    </w:div>
    <w:div w:id="1158156252">
      <w:bodyDiv w:val="1"/>
      <w:marLeft w:val="0"/>
      <w:marRight w:val="0"/>
      <w:marTop w:val="0"/>
      <w:marBottom w:val="0"/>
      <w:divBdr>
        <w:top w:val="none" w:sz="0" w:space="0" w:color="auto"/>
        <w:left w:val="none" w:sz="0" w:space="0" w:color="auto"/>
        <w:bottom w:val="none" w:sz="0" w:space="0" w:color="auto"/>
        <w:right w:val="none" w:sz="0" w:space="0" w:color="auto"/>
      </w:divBdr>
    </w:div>
    <w:div w:id="1159468166">
      <w:bodyDiv w:val="1"/>
      <w:marLeft w:val="0"/>
      <w:marRight w:val="0"/>
      <w:marTop w:val="0"/>
      <w:marBottom w:val="0"/>
      <w:divBdr>
        <w:top w:val="none" w:sz="0" w:space="0" w:color="auto"/>
        <w:left w:val="none" w:sz="0" w:space="0" w:color="auto"/>
        <w:bottom w:val="none" w:sz="0" w:space="0" w:color="auto"/>
        <w:right w:val="none" w:sz="0" w:space="0" w:color="auto"/>
      </w:divBdr>
    </w:div>
    <w:div w:id="1173640635">
      <w:bodyDiv w:val="1"/>
      <w:marLeft w:val="0"/>
      <w:marRight w:val="0"/>
      <w:marTop w:val="0"/>
      <w:marBottom w:val="0"/>
      <w:divBdr>
        <w:top w:val="none" w:sz="0" w:space="0" w:color="auto"/>
        <w:left w:val="none" w:sz="0" w:space="0" w:color="auto"/>
        <w:bottom w:val="none" w:sz="0" w:space="0" w:color="auto"/>
        <w:right w:val="none" w:sz="0" w:space="0" w:color="auto"/>
      </w:divBdr>
    </w:div>
    <w:div w:id="1183284636">
      <w:bodyDiv w:val="1"/>
      <w:marLeft w:val="0"/>
      <w:marRight w:val="0"/>
      <w:marTop w:val="0"/>
      <w:marBottom w:val="0"/>
      <w:divBdr>
        <w:top w:val="none" w:sz="0" w:space="0" w:color="auto"/>
        <w:left w:val="none" w:sz="0" w:space="0" w:color="auto"/>
        <w:bottom w:val="none" w:sz="0" w:space="0" w:color="auto"/>
        <w:right w:val="none" w:sz="0" w:space="0" w:color="auto"/>
      </w:divBdr>
    </w:div>
    <w:div w:id="1194537297">
      <w:bodyDiv w:val="1"/>
      <w:marLeft w:val="0"/>
      <w:marRight w:val="0"/>
      <w:marTop w:val="0"/>
      <w:marBottom w:val="0"/>
      <w:divBdr>
        <w:top w:val="none" w:sz="0" w:space="0" w:color="auto"/>
        <w:left w:val="none" w:sz="0" w:space="0" w:color="auto"/>
        <w:bottom w:val="none" w:sz="0" w:space="0" w:color="auto"/>
        <w:right w:val="none" w:sz="0" w:space="0" w:color="auto"/>
      </w:divBdr>
    </w:div>
    <w:div w:id="1214543718">
      <w:bodyDiv w:val="1"/>
      <w:marLeft w:val="0"/>
      <w:marRight w:val="0"/>
      <w:marTop w:val="0"/>
      <w:marBottom w:val="0"/>
      <w:divBdr>
        <w:top w:val="none" w:sz="0" w:space="0" w:color="auto"/>
        <w:left w:val="none" w:sz="0" w:space="0" w:color="auto"/>
        <w:bottom w:val="none" w:sz="0" w:space="0" w:color="auto"/>
        <w:right w:val="none" w:sz="0" w:space="0" w:color="auto"/>
      </w:divBdr>
    </w:div>
    <w:div w:id="1217930071">
      <w:bodyDiv w:val="1"/>
      <w:marLeft w:val="0"/>
      <w:marRight w:val="0"/>
      <w:marTop w:val="0"/>
      <w:marBottom w:val="0"/>
      <w:divBdr>
        <w:top w:val="none" w:sz="0" w:space="0" w:color="auto"/>
        <w:left w:val="none" w:sz="0" w:space="0" w:color="auto"/>
        <w:bottom w:val="none" w:sz="0" w:space="0" w:color="auto"/>
        <w:right w:val="none" w:sz="0" w:space="0" w:color="auto"/>
      </w:divBdr>
    </w:div>
    <w:div w:id="1253008087">
      <w:bodyDiv w:val="1"/>
      <w:marLeft w:val="0"/>
      <w:marRight w:val="0"/>
      <w:marTop w:val="0"/>
      <w:marBottom w:val="0"/>
      <w:divBdr>
        <w:top w:val="none" w:sz="0" w:space="0" w:color="auto"/>
        <w:left w:val="none" w:sz="0" w:space="0" w:color="auto"/>
        <w:bottom w:val="none" w:sz="0" w:space="0" w:color="auto"/>
        <w:right w:val="none" w:sz="0" w:space="0" w:color="auto"/>
      </w:divBdr>
    </w:div>
    <w:div w:id="1261372181">
      <w:bodyDiv w:val="1"/>
      <w:marLeft w:val="0"/>
      <w:marRight w:val="0"/>
      <w:marTop w:val="0"/>
      <w:marBottom w:val="0"/>
      <w:divBdr>
        <w:top w:val="none" w:sz="0" w:space="0" w:color="auto"/>
        <w:left w:val="none" w:sz="0" w:space="0" w:color="auto"/>
        <w:bottom w:val="none" w:sz="0" w:space="0" w:color="auto"/>
        <w:right w:val="none" w:sz="0" w:space="0" w:color="auto"/>
      </w:divBdr>
    </w:div>
    <w:div w:id="1265377967">
      <w:bodyDiv w:val="1"/>
      <w:marLeft w:val="0"/>
      <w:marRight w:val="0"/>
      <w:marTop w:val="0"/>
      <w:marBottom w:val="0"/>
      <w:divBdr>
        <w:top w:val="none" w:sz="0" w:space="0" w:color="auto"/>
        <w:left w:val="none" w:sz="0" w:space="0" w:color="auto"/>
        <w:bottom w:val="none" w:sz="0" w:space="0" w:color="auto"/>
        <w:right w:val="none" w:sz="0" w:space="0" w:color="auto"/>
      </w:divBdr>
      <w:divsChild>
        <w:div w:id="1308247689">
          <w:marLeft w:val="0"/>
          <w:marRight w:val="0"/>
          <w:marTop w:val="0"/>
          <w:marBottom w:val="0"/>
          <w:divBdr>
            <w:top w:val="none" w:sz="0" w:space="0" w:color="auto"/>
            <w:left w:val="none" w:sz="0" w:space="0" w:color="auto"/>
            <w:bottom w:val="none" w:sz="0" w:space="0" w:color="auto"/>
            <w:right w:val="none" w:sz="0" w:space="0" w:color="auto"/>
          </w:divBdr>
          <w:divsChild>
            <w:div w:id="46341261">
              <w:marLeft w:val="0"/>
              <w:marRight w:val="0"/>
              <w:marTop w:val="0"/>
              <w:marBottom w:val="0"/>
              <w:divBdr>
                <w:top w:val="none" w:sz="0" w:space="0" w:color="auto"/>
                <w:left w:val="none" w:sz="0" w:space="0" w:color="auto"/>
                <w:bottom w:val="none" w:sz="0" w:space="0" w:color="auto"/>
                <w:right w:val="none" w:sz="0" w:space="0" w:color="auto"/>
              </w:divBdr>
            </w:div>
          </w:divsChild>
        </w:div>
        <w:div w:id="1599406270">
          <w:marLeft w:val="0"/>
          <w:marRight w:val="0"/>
          <w:marTop w:val="0"/>
          <w:marBottom w:val="0"/>
          <w:divBdr>
            <w:top w:val="none" w:sz="0" w:space="0" w:color="auto"/>
            <w:left w:val="none" w:sz="0" w:space="0" w:color="auto"/>
            <w:bottom w:val="none" w:sz="0" w:space="0" w:color="auto"/>
            <w:right w:val="none" w:sz="0" w:space="0" w:color="auto"/>
          </w:divBdr>
          <w:divsChild>
            <w:div w:id="1449277666">
              <w:marLeft w:val="0"/>
              <w:marRight w:val="0"/>
              <w:marTop w:val="0"/>
              <w:marBottom w:val="0"/>
              <w:divBdr>
                <w:top w:val="none" w:sz="0" w:space="0" w:color="auto"/>
                <w:left w:val="none" w:sz="0" w:space="0" w:color="auto"/>
                <w:bottom w:val="none" w:sz="0" w:space="0" w:color="auto"/>
                <w:right w:val="none" w:sz="0" w:space="0" w:color="auto"/>
              </w:divBdr>
            </w:div>
          </w:divsChild>
        </w:div>
        <w:div w:id="1619877253">
          <w:marLeft w:val="0"/>
          <w:marRight w:val="0"/>
          <w:marTop w:val="0"/>
          <w:marBottom w:val="0"/>
          <w:divBdr>
            <w:top w:val="none" w:sz="0" w:space="0" w:color="auto"/>
            <w:left w:val="none" w:sz="0" w:space="0" w:color="auto"/>
            <w:bottom w:val="none" w:sz="0" w:space="0" w:color="auto"/>
            <w:right w:val="none" w:sz="0" w:space="0" w:color="auto"/>
          </w:divBdr>
          <w:divsChild>
            <w:div w:id="15974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342">
      <w:bodyDiv w:val="1"/>
      <w:marLeft w:val="0"/>
      <w:marRight w:val="0"/>
      <w:marTop w:val="0"/>
      <w:marBottom w:val="0"/>
      <w:divBdr>
        <w:top w:val="none" w:sz="0" w:space="0" w:color="auto"/>
        <w:left w:val="none" w:sz="0" w:space="0" w:color="auto"/>
        <w:bottom w:val="none" w:sz="0" w:space="0" w:color="auto"/>
        <w:right w:val="none" w:sz="0" w:space="0" w:color="auto"/>
      </w:divBdr>
    </w:div>
    <w:div w:id="1279337189">
      <w:bodyDiv w:val="1"/>
      <w:marLeft w:val="0"/>
      <w:marRight w:val="0"/>
      <w:marTop w:val="0"/>
      <w:marBottom w:val="0"/>
      <w:divBdr>
        <w:top w:val="none" w:sz="0" w:space="0" w:color="auto"/>
        <w:left w:val="none" w:sz="0" w:space="0" w:color="auto"/>
        <w:bottom w:val="none" w:sz="0" w:space="0" w:color="auto"/>
        <w:right w:val="none" w:sz="0" w:space="0" w:color="auto"/>
      </w:divBdr>
    </w:div>
    <w:div w:id="1284383150">
      <w:bodyDiv w:val="1"/>
      <w:marLeft w:val="0"/>
      <w:marRight w:val="0"/>
      <w:marTop w:val="0"/>
      <w:marBottom w:val="0"/>
      <w:divBdr>
        <w:top w:val="none" w:sz="0" w:space="0" w:color="auto"/>
        <w:left w:val="none" w:sz="0" w:space="0" w:color="auto"/>
        <w:bottom w:val="none" w:sz="0" w:space="0" w:color="auto"/>
        <w:right w:val="none" w:sz="0" w:space="0" w:color="auto"/>
      </w:divBdr>
    </w:div>
    <w:div w:id="1310359526">
      <w:bodyDiv w:val="1"/>
      <w:marLeft w:val="0"/>
      <w:marRight w:val="0"/>
      <w:marTop w:val="0"/>
      <w:marBottom w:val="0"/>
      <w:divBdr>
        <w:top w:val="none" w:sz="0" w:space="0" w:color="auto"/>
        <w:left w:val="none" w:sz="0" w:space="0" w:color="auto"/>
        <w:bottom w:val="none" w:sz="0" w:space="0" w:color="auto"/>
        <w:right w:val="none" w:sz="0" w:space="0" w:color="auto"/>
      </w:divBdr>
    </w:div>
    <w:div w:id="1312638307">
      <w:bodyDiv w:val="1"/>
      <w:marLeft w:val="0"/>
      <w:marRight w:val="0"/>
      <w:marTop w:val="0"/>
      <w:marBottom w:val="0"/>
      <w:divBdr>
        <w:top w:val="none" w:sz="0" w:space="0" w:color="auto"/>
        <w:left w:val="none" w:sz="0" w:space="0" w:color="auto"/>
        <w:bottom w:val="none" w:sz="0" w:space="0" w:color="auto"/>
        <w:right w:val="none" w:sz="0" w:space="0" w:color="auto"/>
      </w:divBdr>
    </w:div>
    <w:div w:id="1318873724">
      <w:bodyDiv w:val="1"/>
      <w:marLeft w:val="0"/>
      <w:marRight w:val="0"/>
      <w:marTop w:val="0"/>
      <w:marBottom w:val="0"/>
      <w:divBdr>
        <w:top w:val="none" w:sz="0" w:space="0" w:color="auto"/>
        <w:left w:val="none" w:sz="0" w:space="0" w:color="auto"/>
        <w:bottom w:val="none" w:sz="0" w:space="0" w:color="auto"/>
        <w:right w:val="none" w:sz="0" w:space="0" w:color="auto"/>
      </w:divBdr>
    </w:div>
    <w:div w:id="1324818441">
      <w:bodyDiv w:val="1"/>
      <w:marLeft w:val="0"/>
      <w:marRight w:val="0"/>
      <w:marTop w:val="0"/>
      <w:marBottom w:val="0"/>
      <w:divBdr>
        <w:top w:val="none" w:sz="0" w:space="0" w:color="auto"/>
        <w:left w:val="none" w:sz="0" w:space="0" w:color="auto"/>
        <w:bottom w:val="none" w:sz="0" w:space="0" w:color="auto"/>
        <w:right w:val="none" w:sz="0" w:space="0" w:color="auto"/>
      </w:divBdr>
    </w:div>
    <w:div w:id="1327320129">
      <w:bodyDiv w:val="1"/>
      <w:marLeft w:val="0"/>
      <w:marRight w:val="0"/>
      <w:marTop w:val="0"/>
      <w:marBottom w:val="0"/>
      <w:divBdr>
        <w:top w:val="none" w:sz="0" w:space="0" w:color="auto"/>
        <w:left w:val="none" w:sz="0" w:space="0" w:color="auto"/>
        <w:bottom w:val="none" w:sz="0" w:space="0" w:color="auto"/>
        <w:right w:val="none" w:sz="0" w:space="0" w:color="auto"/>
      </w:divBdr>
    </w:div>
    <w:div w:id="1334453552">
      <w:bodyDiv w:val="1"/>
      <w:marLeft w:val="0"/>
      <w:marRight w:val="0"/>
      <w:marTop w:val="0"/>
      <w:marBottom w:val="0"/>
      <w:divBdr>
        <w:top w:val="none" w:sz="0" w:space="0" w:color="auto"/>
        <w:left w:val="none" w:sz="0" w:space="0" w:color="auto"/>
        <w:bottom w:val="none" w:sz="0" w:space="0" w:color="auto"/>
        <w:right w:val="none" w:sz="0" w:space="0" w:color="auto"/>
      </w:divBdr>
      <w:divsChild>
        <w:div w:id="1974284164">
          <w:marLeft w:val="0"/>
          <w:marRight w:val="0"/>
          <w:marTop w:val="0"/>
          <w:marBottom w:val="0"/>
          <w:divBdr>
            <w:top w:val="none" w:sz="0" w:space="0" w:color="auto"/>
            <w:left w:val="none" w:sz="0" w:space="0" w:color="auto"/>
            <w:bottom w:val="none" w:sz="0" w:space="0" w:color="auto"/>
            <w:right w:val="none" w:sz="0" w:space="0" w:color="auto"/>
          </w:divBdr>
          <w:divsChild>
            <w:div w:id="1144200537">
              <w:marLeft w:val="0"/>
              <w:marRight w:val="0"/>
              <w:marTop w:val="30"/>
              <w:marBottom w:val="30"/>
              <w:divBdr>
                <w:top w:val="none" w:sz="0" w:space="0" w:color="auto"/>
                <w:left w:val="none" w:sz="0" w:space="0" w:color="auto"/>
                <w:bottom w:val="none" w:sz="0" w:space="0" w:color="auto"/>
                <w:right w:val="none" w:sz="0" w:space="0" w:color="auto"/>
              </w:divBdr>
              <w:divsChild>
                <w:div w:id="207953916">
                  <w:marLeft w:val="0"/>
                  <w:marRight w:val="0"/>
                  <w:marTop w:val="0"/>
                  <w:marBottom w:val="0"/>
                  <w:divBdr>
                    <w:top w:val="none" w:sz="0" w:space="0" w:color="auto"/>
                    <w:left w:val="none" w:sz="0" w:space="0" w:color="auto"/>
                    <w:bottom w:val="none" w:sz="0" w:space="0" w:color="auto"/>
                    <w:right w:val="none" w:sz="0" w:space="0" w:color="auto"/>
                  </w:divBdr>
                  <w:divsChild>
                    <w:div w:id="1907841254">
                      <w:marLeft w:val="0"/>
                      <w:marRight w:val="0"/>
                      <w:marTop w:val="0"/>
                      <w:marBottom w:val="0"/>
                      <w:divBdr>
                        <w:top w:val="none" w:sz="0" w:space="0" w:color="auto"/>
                        <w:left w:val="none" w:sz="0" w:space="0" w:color="auto"/>
                        <w:bottom w:val="none" w:sz="0" w:space="0" w:color="auto"/>
                        <w:right w:val="none" w:sz="0" w:space="0" w:color="auto"/>
                      </w:divBdr>
                    </w:div>
                  </w:divsChild>
                </w:div>
                <w:div w:id="242102736">
                  <w:marLeft w:val="0"/>
                  <w:marRight w:val="0"/>
                  <w:marTop w:val="0"/>
                  <w:marBottom w:val="0"/>
                  <w:divBdr>
                    <w:top w:val="none" w:sz="0" w:space="0" w:color="auto"/>
                    <w:left w:val="none" w:sz="0" w:space="0" w:color="auto"/>
                    <w:bottom w:val="none" w:sz="0" w:space="0" w:color="auto"/>
                    <w:right w:val="none" w:sz="0" w:space="0" w:color="auto"/>
                  </w:divBdr>
                  <w:divsChild>
                    <w:div w:id="379399722">
                      <w:marLeft w:val="0"/>
                      <w:marRight w:val="0"/>
                      <w:marTop w:val="0"/>
                      <w:marBottom w:val="0"/>
                      <w:divBdr>
                        <w:top w:val="none" w:sz="0" w:space="0" w:color="auto"/>
                        <w:left w:val="none" w:sz="0" w:space="0" w:color="auto"/>
                        <w:bottom w:val="none" w:sz="0" w:space="0" w:color="auto"/>
                        <w:right w:val="none" w:sz="0" w:space="0" w:color="auto"/>
                      </w:divBdr>
                    </w:div>
                  </w:divsChild>
                </w:div>
                <w:div w:id="405298343">
                  <w:marLeft w:val="0"/>
                  <w:marRight w:val="0"/>
                  <w:marTop w:val="0"/>
                  <w:marBottom w:val="0"/>
                  <w:divBdr>
                    <w:top w:val="none" w:sz="0" w:space="0" w:color="auto"/>
                    <w:left w:val="none" w:sz="0" w:space="0" w:color="auto"/>
                    <w:bottom w:val="none" w:sz="0" w:space="0" w:color="auto"/>
                    <w:right w:val="none" w:sz="0" w:space="0" w:color="auto"/>
                  </w:divBdr>
                  <w:divsChild>
                    <w:div w:id="270666770">
                      <w:marLeft w:val="0"/>
                      <w:marRight w:val="0"/>
                      <w:marTop w:val="0"/>
                      <w:marBottom w:val="0"/>
                      <w:divBdr>
                        <w:top w:val="none" w:sz="0" w:space="0" w:color="auto"/>
                        <w:left w:val="none" w:sz="0" w:space="0" w:color="auto"/>
                        <w:bottom w:val="none" w:sz="0" w:space="0" w:color="auto"/>
                        <w:right w:val="none" w:sz="0" w:space="0" w:color="auto"/>
                      </w:divBdr>
                    </w:div>
                  </w:divsChild>
                </w:div>
                <w:div w:id="437066260">
                  <w:marLeft w:val="0"/>
                  <w:marRight w:val="0"/>
                  <w:marTop w:val="0"/>
                  <w:marBottom w:val="0"/>
                  <w:divBdr>
                    <w:top w:val="none" w:sz="0" w:space="0" w:color="auto"/>
                    <w:left w:val="none" w:sz="0" w:space="0" w:color="auto"/>
                    <w:bottom w:val="none" w:sz="0" w:space="0" w:color="auto"/>
                    <w:right w:val="none" w:sz="0" w:space="0" w:color="auto"/>
                  </w:divBdr>
                  <w:divsChild>
                    <w:div w:id="1656647398">
                      <w:marLeft w:val="0"/>
                      <w:marRight w:val="0"/>
                      <w:marTop w:val="0"/>
                      <w:marBottom w:val="0"/>
                      <w:divBdr>
                        <w:top w:val="none" w:sz="0" w:space="0" w:color="auto"/>
                        <w:left w:val="none" w:sz="0" w:space="0" w:color="auto"/>
                        <w:bottom w:val="none" w:sz="0" w:space="0" w:color="auto"/>
                        <w:right w:val="none" w:sz="0" w:space="0" w:color="auto"/>
                      </w:divBdr>
                    </w:div>
                  </w:divsChild>
                </w:div>
                <w:div w:id="492914399">
                  <w:marLeft w:val="0"/>
                  <w:marRight w:val="0"/>
                  <w:marTop w:val="0"/>
                  <w:marBottom w:val="0"/>
                  <w:divBdr>
                    <w:top w:val="none" w:sz="0" w:space="0" w:color="auto"/>
                    <w:left w:val="none" w:sz="0" w:space="0" w:color="auto"/>
                    <w:bottom w:val="none" w:sz="0" w:space="0" w:color="auto"/>
                    <w:right w:val="none" w:sz="0" w:space="0" w:color="auto"/>
                  </w:divBdr>
                  <w:divsChild>
                    <w:div w:id="1962876757">
                      <w:marLeft w:val="0"/>
                      <w:marRight w:val="0"/>
                      <w:marTop w:val="0"/>
                      <w:marBottom w:val="0"/>
                      <w:divBdr>
                        <w:top w:val="none" w:sz="0" w:space="0" w:color="auto"/>
                        <w:left w:val="none" w:sz="0" w:space="0" w:color="auto"/>
                        <w:bottom w:val="none" w:sz="0" w:space="0" w:color="auto"/>
                        <w:right w:val="none" w:sz="0" w:space="0" w:color="auto"/>
                      </w:divBdr>
                    </w:div>
                  </w:divsChild>
                </w:div>
                <w:div w:id="586426599">
                  <w:marLeft w:val="0"/>
                  <w:marRight w:val="0"/>
                  <w:marTop w:val="0"/>
                  <w:marBottom w:val="0"/>
                  <w:divBdr>
                    <w:top w:val="none" w:sz="0" w:space="0" w:color="auto"/>
                    <w:left w:val="none" w:sz="0" w:space="0" w:color="auto"/>
                    <w:bottom w:val="none" w:sz="0" w:space="0" w:color="auto"/>
                    <w:right w:val="none" w:sz="0" w:space="0" w:color="auto"/>
                  </w:divBdr>
                  <w:divsChild>
                    <w:div w:id="2000964137">
                      <w:marLeft w:val="0"/>
                      <w:marRight w:val="0"/>
                      <w:marTop w:val="0"/>
                      <w:marBottom w:val="0"/>
                      <w:divBdr>
                        <w:top w:val="none" w:sz="0" w:space="0" w:color="auto"/>
                        <w:left w:val="none" w:sz="0" w:space="0" w:color="auto"/>
                        <w:bottom w:val="none" w:sz="0" w:space="0" w:color="auto"/>
                        <w:right w:val="none" w:sz="0" w:space="0" w:color="auto"/>
                      </w:divBdr>
                    </w:div>
                  </w:divsChild>
                </w:div>
                <w:div w:id="589629909">
                  <w:marLeft w:val="0"/>
                  <w:marRight w:val="0"/>
                  <w:marTop w:val="0"/>
                  <w:marBottom w:val="0"/>
                  <w:divBdr>
                    <w:top w:val="none" w:sz="0" w:space="0" w:color="auto"/>
                    <w:left w:val="none" w:sz="0" w:space="0" w:color="auto"/>
                    <w:bottom w:val="none" w:sz="0" w:space="0" w:color="auto"/>
                    <w:right w:val="none" w:sz="0" w:space="0" w:color="auto"/>
                  </w:divBdr>
                  <w:divsChild>
                    <w:div w:id="1729305493">
                      <w:marLeft w:val="0"/>
                      <w:marRight w:val="0"/>
                      <w:marTop w:val="0"/>
                      <w:marBottom w:val="0"/>
                      <w:divBdr>
                        <w:top w:val="none" w:sz="0" w:space="0" w:color="auto"/>
                        <w:left w:val="none" w:sz="0" w:space="0" w:color="auto"/>
                        <w:bottom w:val="none" w:sz="0" w:space="0" w:color="auto"/>
                        <w:right w:val="none" w:sz="0" w:space="0" w:color="auto"/>
                      </w:divBdr>
                    </w:div>
                  </w:divsChild>
                </w:div>
                <w:div w:id="619459481">
                  <w:marLeft w:val="0"/>
                  <w:marRight w:val="0"/>
                  <w:marTop w:val="0"/>
                  <w:marBottom w:val="0"/>
                  <w:divBdr>
                    <w:top w:val="none" w:sz="0" w:space="0" w:color="auto"/>
                    <w:left w:val="none" w:sz="0" w:space="0" w:color="auto"/>
                    <w:bottom w:val="none" w:sz="0" w:space="0" w:color="auto"/>
                    <w:right w:val="none" w:sz="0" w:space="0" w:color="auto"/>
                  </w:divBdr>
                  <w:divsChild>
                    <w:div w:id="2011059564">
                      <w:marLeft w:val="0"/>
                      <w:marRight w:val="0"/>
                      <w:marTop w:val="0"/>
                      <w:marBottom w:val="0"/>
                      <w:divBdr>
                        <w:top w:val="none" w:sz="0" w:space="0" w:color="auto"/>
                        <w:left w:val="none" w:sz="0" w:space="0" w:color="auto"/>
                        <w:bottom w:val="none" w:sz="0" w:space="0" w:color="auto"/>
                        <w:right w:val="none" w:sz="0" w:space="0" w:color="auto"/>
                      </w:divBdr>
                    </w:div>
                  </w:divsChild>
                </w:div>
                <w:div w:id="832062193">
                  <w:marLeft w:val="0"/>
                  <w:marRight w:val="0"/>
                  <w:marTop w:val="0"/>
                  <w:marBottom w:val="0"/>
                  <w:divBdr>
                    <w:top w:val="none" w:sz="0" w:space="0" w:color="auto"/>
                    <w:left w:val="none" w:sz="0" w:space="0" w:color="auto"/>
                    <w:bottom w:val="none" w:sz="0" w:space="0" w:color="auto"/>
                    <w:right w:val="none" w:sz="0" w:space="0" w:color="auto"/>
                  </w:divBdr>
                  <w:divsChild>
                    <w:div w:id="551892450">
                      <w:marLeft w:val="0"/>
                      <w:marRight w:val="0"/>
                      <w:marTop w:val="0"/>
                      <w:marBottom w:val="0"/>
                      <w:divBdr>
                        <w:top w:val="none" w:sz="0" w:space="0" w:color="auto"/>
                        <w:left w:val="none" w:sz="0" w:space="0" w:color="auto"/>
                        <w:bottom w:val="none" w:sz="0" w:space="0" w:color="auto"/>
                        <w:right w:val="none" w:sz="0" w:space="0" w:color="auto"/>
                      </w:divBdr>
                    </w:div>
                  </w:divsChild>
                </w:div>
                <w:div w:id="917715362">
                  <w:marLeft w:val="0"/>
                  <w:marRight w:val="0"/>
                  <w:marTop w:val="0"/>
                  <w:marBottom w:val="0"/>
                  <w:divBdr>
                    <w:top w:val="none" w:sz="0" w:space="0" w:color="auto"/>
                    <w:left w:val="none" w:sz="0" w:space="0" w:color="auto"/>
                    <w:bottom w:val="none" w:sz="0" w:space="0" w:color="auto"/>
                    <w:right w:val="none" w:sz="0" w:space="0" w:color="auto"/>
                  </w:divBdr>
                  <w:divsChild>
                    <w:div w:id="255404536">
                      <w:marLeft w:val="0"/>
                      <w:marRight w:val="0"/>
                      <w:marTop w:val="0"/>
                      <w:marBottom w:val="0"/>
                      <w:divBdr>
                        <w:top w:val="none" w:sz="0" w:space="0" w:color="auto"/>
                        <w:left w:val="none" w:sz="0" w:space="0" w:color="auto"/>
                        <w:bottom w:val="none" w:sz="0" w:space="0" w:color="auto"/>
                        <w:right w:val="none" w:sz="0" w:space="0" w:color="auto"/>
                      </w:divBdr>
                    </w:div>
                  </w:divsChild>
                </w:div>
                <w:div w:id="924455009">
                  <w:marLeft w:val="0"/>
                  <w:marRight w:val="0"/>
                  <w:marTop w:val="0"/>
                  <w:marBottom w:val="0"/>
                  <w:divBdr>
                    <w:top w:val="none" w:sz="0" w:space="0" w:color="auto"/>
                    <w:left w:val="none" w:sz="0" w:space="0" w:color="auto"/>
                    <w:bottom w:val="none" w:sz="0" w:space="0" w:color="auto"/>
                    <w:right w:val="none" w:sz="0" w:space="0" w:color="auto"/>
                  </w:divBdr>
                  <w:divsChild>
                    <w:div w:id="1541624959">
                      <w:marLeft w:val="0"/>
                      <w:marRight w:val="0"/>
                      <w:marTop w:val="0"/>
                      <w:marBottom w:val="0"/>
                      <w:divBdr>
                        <w:top w:val="none" w:sz="0" w:space="0" w:color="auto"/>
                        <w:left w:val="none" w:sz="0" w:space="0" w:color="auto"/>
                        <w:bottom w:val="none" w:sz="0" w:space="0" w:color="auto"/>
                        <w:right w:val="none" w:sz="0" w:space="0" w:color="auto"/>
                      </w:divBdr>
                    </w:div>
                  </w:divsChild>
                </w:div>
                <w:div w:id="961889299">
                  <w:marLeft w:val="0"/>
                  <w:marRight w:val="0"/>
                  <w:marTop w:val="0"/>
                  <w:marBottom w:val="0"/>
                  <w:divBdr>
                    <w:top w:val="none" w:sz="0" w:space="0" w:color="auto"/>
                    <w:left w:val="none" w:sz="0" w:space="0" w:color="auto"/>
                    <w:bottom w:val="none" w:sz="0" w:space="0" w:color="auto"/>
                    <w:right w:val="none" w:sz="0" w:space="0" w:color="auto"/>
                  </w:divBdr>
                  <w:divsChild>
                    <w:div w:id="1372879548">
                      <w:marLeft w:val="0"/>
                      <w:marRight w:val="0"/>
                      <w:marTop w:val="0"/>
                      <w:marBottom w:val="0"/>
                      <w:divBdr>
                        <w:top w:val="none" w:sz="0" w:space="0" w:color="auto"/>
                        <w:left w:val="none" w:sz="0" w:space="0" w:color="auto"/>
                        <w:bottom w:val="none" w:sz="0" w:space="0" w:color="auto"/>
                        <w:right w:val="none" w:sz="0" w:space="0" w:color="auto"/>
                      </w:divBdr>
                    </w:div>
                  </w:divsChild>
                </w:div>
                <w:div w:id="972062218">
                  <w:marLeft w:val="0"/>
                  <w:marRight w:val="0"/>
                  <w:marTop w:val="0"/>
                  <w:marBottom w:val="0"/>
                  <w:divBdr>
                    <w:top w:val="none" w:sz="0" w:space="0" w:color="auto"/>
                    <w:left w:val="none" w:sz="0" w:space="0" w:color="auto"/>
                    <w:bottom w:val="none" w:sz="0" w:space="0" w:color="auto"/>
                    <w:right w:val="none" w:sz="0" w:space="0" w:color="auto"/>
                  </w:divBdr>
                  <w:divsChild>
                    <w:div w:id="2038307917">
                      <w:marLeft w:val="0"/>
                      <w:marRight w:val="0"/>
                      <w:marTop w:val="0"/>
                      <w:marBottom w:val="0"/>
                      <w:divBdr>
                        <w:top w:val="none" w:sz="0" w:space="0" w:color="auto"/>
                        <w:left w:val="none" w:sz="0" w:space="0" w:color="auto"/>
                        <w:bottom w:val="none" w:sz="0" w:space="0" w:color="auto"/>
                        <w:right w:val="none" w:sz="0" w:space="0" w:color="auto"/>
                      </w:divBdr>
                    </w:div>
                  </w:divsChild>
                </w:div>
                <w:div w:id="1030183839">
                  <w:marLeft w:val="0"/>
                  <w:marRight w:val="0"/>
                  <w:marTop w:val="0"/>
                  <w:marBottom w:val="0"/>
                  <w:divBdr>
                    <w:top w:val="none" w:sz="0" w:space="0" w:color="auto"/>
                    <w:left w:val="none" w:sz="0" w:space="0" w:color="auto"/>
                    <w:bottom w:val="none" w:sz="0" w:space="0" w:color="auto"/>
                    <w:right w:val="none" w:sz="0" w:space="0" w:color="auto"/>
                  </w:divBdr>
                  <w:divsChild>
                    <w:div w:id="1170680656">
                      <w:marLeft w:val="0"/>
                      <w:marRight w:val="0"/>
                      <w:marTop w:val="0"/>
                      <w:marBottom w:val="0"/>
                      <w:divBdr>
                        <w:top w:val="none" w:sz="0" w:space="0" w:color="auto"/>
                        <w:left w:val="none" w:sz="0" w:space="0" w:color="auto"/>
                        <w:bottom w:val="none" w:sz="0" w:space="0" w:color="auto"/>
                        <w:right w:val="none" w:sz="0" w:space="0" w:color="auto"/>
                      </w:divBdr>
                    </w:div>
                  </w:divsChild>
                </w:div>
                <w:div w:id="1039166828">
                  <w:marLeft w:val="0"/>
                  <w:marRight w:val="0"/>
                  <w:marTop w:val="0"/>
                  <w:marBottom w:val="0"/>
                  <w:divBdr>
                    <w:top w:val="none" w:sz="0" w:space="0" w:color="auto"/>
                    <w:left w:val="none" w:sz="0" w:space="0" w:color="auto"/>
                    <w:bottom w:val="none" w:sz="0" w:space="0" w:color="auto"/>
                    <w:right w:val="none" w:sz="0" w:space="0" w:color="auto"/>
                  </w:divBdr>
                  <w:divsChild>
                    <w:div w:id="973563676">
                      <w:marLeft w:val="0"/>
                      <w:marRight w:val="0"/>
                      <w:marTop w:val="0"/>
                      <w:marBottom w:val="0"/>
                      <w:divBdr>
                        <w:top w:val="none" w:sz="0" w:space="0" w:color="auto"/>
                        <w:left w:val="none" w:sz="0" w:space="0" w:color="auto"/>
                        <w:bottom w:val="none" w:sz="0" w:space="0" w:color="auto"/>
                        <w:right w:val="none" w:sz="0" w:space="0" w:color="auto"/>
                      </w:divBdr>
                    </w:div>
                  </w:divsChild>
                </w:div>
                <w:div w:id="1292976988">
                  <w:marLeft w:val="0"/>
                  <w:marRight w:val="0"/>
                  <w:marTop w:val="0"/>
                  <w:marBottom w:val="0"/>
                  <w:divBdr>
                    <w:top w:val="none" w:sz="0" w:space="0" w:color="auto"/>
                    <w:left w:val="none" w:sz="0" w:space="0" w:color="auto"/>
                    <w:bottom w:val="none" w:sz="0" w:space="0" w:color="auto"/>
                    <w:right w:val="none" w:sz="0" w:space="0" w:color="auto"/>
                  </w:divBdr>
                  <w:divsChild>
                    <w:div w:id="1794521074">
                      <w:marLeft w:val="0"/>
                      <w:marRight w:val="0"/>
                      <w:marTop w:val="0"/>
                      <w:marBottom w:val="0"/>
                      <w:divBdr>
                        <w:top w:val="none" w:sz="0" w:space="0" w:color="auto"/>
                        <w:left w:val="none" w:sz="0" w:space="0" w:color="auto"/>
                        <w:bottom w:val="none" w:sz="0" w:space="0" w:color="auto"/>
                        <w:right w:val="none" w:sz="0" w:space="0" w:color="auto"/>
                      </w:divBdr>
                    </w:div>
                  </w:divsChild>
                </w:div>
                <w:div w:id="1322001547">
                  <w:marLeft w:val="0"/>
                  <w:marRight w:val="0"/>
                  <w:marTop w:val="0"/>
                  <w:marBottom w:val="0"/>
                  <w:divBdr>
                    <w:top w:val="none" w:sz="0" w:space="0" w:color="auto"/>
                    <w:left w:val="none" w:sz="0" w:space="0" w:color="auto"/>
                    <w:bottom w:val="none" w:sz="0" w:space="0" w:color="auto"/>
                    <w:right w:val="none" w:sz="0" w:space="0" w:color="auto"/>
                  </w:divBdr>
                  <w:divsChild>
                    <w:div w:id="1026367115">
                      <w:marLeft w:val="0"/>
                      <w:marRight w:val="0"/>
                      <w:marTop w:val="0"/>
                      <w:marBottom w:val="0"/>
                      <w:divBdr>
                        <w:top w:val="none" w:sz="0" w:space="0" w:color="auto"/>
                        <w:left w:val="none" w:sz="0" w:space="0" w:color="auto"/>
                        <w:bottom w:val="none" w:sz="0" w:space="0" w:color="auto"/>
                        <w:right w:val="none" w:sz="0" w:space="0" w:color="auto"/>
                      </w:divBdr>
                    </w:div>
                  </w:divsChild>
                </w:div>
                <w:div w:id="1381248341">
                  <w:marLeft w:val="0"/>
                  <w:marRight w:val="0"/>
                  <w:marTop w:val="0"/>
                  <w:marBottom w:val="0"/>
                  <w:divBdr>
                    <w:top w:val="none" w:sz="0" w:space="0" w:color="auto"/>
                    <w:left w:val="none" w:sz="0" w:space="0" w:color="auto"/>
                    <w:bottom w:val="none" w:sz="0" w:space="0" w:color="auto"/>
                    <w:right w:val="none" w:sz="0" w:space="0" w:color="auto"/>
                  </w:divBdr>
                  <w:divsChild>
                    <w:div w:id="63263812">
                      <w:marLeft w:val="0"/>
                      <w:marRight w:val="0"/>
                      <w:marTop w:val="0"/>
                      <w:marBottom w:val="0"/>
                      <w:divBdr>
                        <w:top w:val="none" w:sz="0" w:space="0" w:color="auto"/>
                        <w:left w:val="none" w:sz="0" w:space="0" w:color="auto"/>
                        <w:bottom w:val="none" w:sz="0" w:space="0" w:color="auto"/>
                        <w:right w:val="none" w:sz="0" w:space="0" w:color="auto"/>
                      </w:divBdr>
                    </w:div>
                  </w:divsChild>
                </w:div>
                <w:div w:id="1466698518">
                  <w:marLeft w:val="0"/>
                  <w:marRight w:val="0"/>
                  <w:marTop w:val="0"/>
                  <w:marBottom w:val="0"/>
                  <w:divBdr>
                    <w:top w:val="none" w:sz="0" w:space="0" w:color="auto"/>
                    <w:left w:val="none" w:sz="0" w:space="0" w:color="auto"/>
                    <w:bottom w:val="none" w:sz="0" w:space="0" w:color="auto"/>
                    <w:right w:val="none" w:sz="0" w:space="0" w:color="auto"/>
                  </w:divBdr>
                  <w:divsChild>
                    <w:div w:id="1889150040">
                      <w:marLeft w:val="0"/>
                      <w:marRight w:val="0"/>
                      <w:marTop w:val="0"/>
                      <w:marBottom w:val="0"/>
                      <w:divBdr>
                        <w:top w:val="none" w:sz="0" w:space="0" w:color="auto"/>
                        <w:left w:val="none" w:sz="0" w:space="0" w:color="auto"/>
                        <w:bottom w:val="none" w:sz="0" w:space="0" w:color="auto"/>
                        <w:right w:val="none" w:sz="0" w:space="0" w:color="auto"/>
                      </w:divBdr>
                    </w:div>
                  </w:divsChild>
                </w:div>
                <w:div w:id="1523085255">
                  <w:marLeft w:val="0"/>
                  <w:marRight w:val="0"/>
                  <w:marTop w:val="0"/>
                  <w:marBottom w:val="0"/>
                  <w:divBdr>
                    <w:top w:val="none" w:sz="0" w:space="0" w:color="auto"/>
                    <w:left w:val="none" w:sz="0" w:space="0" w:color="auto"/>
                    <w:bottom w:val="none" w:sz="0" w:space="0" w:color="auto"/>
                    <w:right w:val="none" w:sz="0" w:space="0" w:color="auto"/>
                  </w:divBdr>
                  <w:divsChild>
                    <w:div w:id="639264527">
                      <w:marLeft w:val="0"/>
                      <w:marRight w:val="0"/>
                      <w:marTop w:val="0"/>
                      <w:marBottom w:val="0"/>
                      <w:divBdr>
                        <w:top w:val="none" w:sz="0" w:space="0" w:color="auto"/>
                        <w:left w:val="none" w:sz="0" w:space="0" w:color="auto"/>
                        <w:bottom w:val="none" w:sz="0" w:space="0" w:color="auto"/>
                        <w:right w:val="none" w:sz="0" w:space="0" w:color="auto"/>
                      </w:divBdr>
                    </w:div>
                  </w:divsChild>
                </w:div>
                <w:div w:id="1557281874">
                  <w:marLeft w:val="0"/>
                  <w:marRight w:val="0"/>
                  <w:marTop w:val="0"/>
                  <w:marBottom w:val="0"/>
                  <w:divBdr>
                    <w:top w:val="none" w:sz="0" w:space="0" w:color="auto"/>
                    <w:left w:val="none" w:sz="0" w:space="0" w:color="auto"/>
                    <w:bottom w:val="none" w:sz="0" w:space="0" w:color="auto"/>
                    <w:right w:val="none" w:sz="0" w:space="0" w:color="auto"/>
                  </w:divBdr>
                  <w:divsChild>
                    <w:div w:id="703750300">
                      <w:marLeft w:val="0"/>
                      <w:marRight w:val="0"/>
                      <w:marTop w:val="0"/>
                      <w:marBottom w:val="0"/>
                      <w:divBdr>
                        <w:top w:val="none" w:sz="0" w:space="0" w:color="auto"/>
                        <w:left w:val="none" w:sz="0" w:space="0" w:color="auto"/>
                        <w:bottom w:val="none" w:sz="0" w:space="0" w:color="auto"/>
                        <w:right w:val="none" w:sz="0" w:space="0" w:color="auto"/>
                      </w:divBdr>
                    </w:div>
                  </w:divsChild>
                </w:div>
                <w:div w:id="1585990294">
                  <w:marLeft w:val="0"/>
                  <w:marRight w:val="0"/>
                  <w:marTop w:val="0"/>
                  <w:marBottom w:val="0"/>
                  <w:divBdr>
                    <w:top w:val="none" w:sz="0" w:space="0" w:color="auto"/>
                    <w:left w:val="none" w:sz="0" w:space="0" w:color="auto"/>
                    <w:bottom w:val="none" w:sz="0" w:space="0" w:color="auto"/>
                    <w:right w:val="none" w:sz="0" w:space="0" w:color="auto"/>
                  </w:divBdr>
                  <w:divsChild>
                    <w:div w:id="1480146220">
                      <w:marLeft w:val="0"/>
                      <w:marRight w:val="0"/>
                      <w:marTop w:val="0"/>
                      <w:marBottom w:val="0"/>
                      <w:divBdr>
                        <w:top w:val="none" w:sz="0" w:space="0" w:color="auto"/>
                        <w:left w:val="none" w:sz="0" w:space="0" w:color="auto"/>
                        <w:bottom w:val="none" w:sz="0" w:space="0" w:color="auto"/>
                        <w:right w:val="none" w:sz="0" w:space="0" w:color="auto"/>
                      </w:divBdr>
                    </w:div>
                  </w:divsChild>
                </w:div>
                <w:div w:id="1605722078">
                  <w:marLeft w:val="0"/>
                  <w:marRight w:val="0"/>
                  <w:marTop w:val="0"/>
                  <w:marBottom w:val="0"/>
                  <w:divBdr>
                    <w:top w:val="none" w:sz="0" w:space="0" w:color="auto"/>
                    <w:left w:val="none" w:sz="0" w:space="0" w:color="auto"/>
                    <w:bottom w:val="none" w:sz="0" w:space="0" w:color="auto"/>
                    <w:right w:val="none" w:sz="0" w:space="0" w:color="auto"/>
                  </w:divBdr>
                  <w:divsChild>
                    <w:div w:id="851382909">
                      <w:marLeft w:val="0"/>
                      <w:marRight w:val="0"/>
                      <w:marTop w:val="0"/>
                      <w:marBottom w:val="0"/>
                      <w:divBdr>
                        <w:top w:val="none" w:sz="0" w:space="0" w:color="auto"/>
                        <w:left w:val="none" w:sz="0" w:space="0" w:color="auto"/>
                        <w:bottom w:val="none" w:sz="0" w:space="0" w:color="auto"/>
                        <w:right w:val="none" w:sz="0" w:space="0" w:color="auto"/>
                      </w:divBdr>
                    </w:div>
                  </w:divsChild>
                </w:div>
                <w:div w:id="1690639590">
                  <w:marLeft w:val="0"/>
                  <w:marRight w:val="0"/>
                  <w:marTop w:val="0"/>
                  <w:marBottom w:val="0"/>
                  <w:divBdr>
                    <w:top w:val="none" w:sz="0" w:space="0" w:color="auto"/>
                    <w:left w:val="none" w:sz="0" w:space="0" w:color="auto"/>
                    <w:bottom w:val="none" w:sz="0" w:space="0" w:color="auto"/>
                    <w:right w:val="none" w:sz="0" w:space="0" w:color="auto"/>
                  </w:divBdr>
                  <w:divsChild>
                    <w:div w:id="402533885">
                      <w:marLeft w:val="0"/>
                      <w:marRight w:val="0"/>
                      <w:marTop w:val="0"/>
                      <w:marBottom w:val="0"/>
                      <w:divBdr>
                        <w:top w:val="none" w:sz="0" w:space="0" w:color="auto"/>
                        <w:left w:val="none" w:sz="0" w:space="0" w:color="auto"/>
                        <w:bottom w:val="none" w:sz="0" w:space="0" w:color="auto"/>
                        <w:right w:val="none" w:sz="0" w:space="0" w:color="auto"/>
                      </w:divBdr>
                    </w:div>
                  </w:divsChild>
                </w:div>
                <w:div w:id="1752847475">
                  <w:marLeft w:val="0"/>
                  <w:marRight w:val="0"/>
                  <w:marTop w:val="0"/>
                  <w:marBottom w:val="0"/>
                  <w:divBdr>
                    <w:top w:val="none" w:sz="0" w:space="0" w:color="auto"/>
                    <w:left w:val="none" w:sz="0" w:space="0" w:color="auto"/>
                    <w:bottom w:val="none" w:sz="0" w:space="0" w:color="auto"/>
                    <w:right w:val="none" w:sz="0" w:space="0" w:color="auto"/>
                  </w:divBdr>
                  <w:divsChild>
                    <w:div w:id="193690255">
                      <w:marLeft w:val="0"/>
                      <w:marRight w:val="0"/>
                      <w:marTop w:val="0"/>
                      <w:marBottom w:val="0"/>
                      <w:divBdr>
                        <w:top w:val="none" w:sz="0" w:space="0" w:color="auto"/>
                        <w:left w:val="none" w:sz="0" w:space="0" w:color="auto"/>
                        <w:bottom w:val="none" w:sz="0" w:space="0" w:color="auto"/>
                        <w:right w:val="none" w:sz="0" w:space="0" w:color="auto"/>
                      </w:divBdr>
                    </w:div>
                  </w:divsChild>
                </w:div>
                <w:div w:id="1758358940">
                  <w:marLeft w:val="0"/>
                  <w:marRight w:val="0"/>
                  <w:marTop w:val="0"/>
                  <w:marBottom w:val="0"/>
                  <w:divBdr>
                    <w:top w:val="none" w:sz="0" w:space="0" w:color="auto"/>
                    <w:left w:val="none" w:sz="0" w:space="0" w:color="auto"/>
                    <w:bottom w:val="none" w:sz="0" w:space="0" w:color="auto"/>
                    <w:right w:val="none" w:sz="0" w:space="0" w:color="auto"/>
                  </w:divBdr>
                  <w:divsChild>
                    <w:div w:id="332026221">
                      <w:marLeft w:val="0"/>
                      <w:marRight w:val="0"/>
                      <w:marTop w:val="0"/>
                      <w:marBottom w:val="0"/>
                      <w:divBdr>
                        <w:top w:val="none" w:sz="0" w:space="0" w:color="auto"/>
                        <w:left w:val="none" w:sz="0" w:space="0" w:color="auto"/>
                        <w:bottom w:val="none" w:sz="0" w:space="0" w:color="auto"/>
                        <w:right w:val="none" w:sz="0" w:space="0" w:color="auto"/>
                      </w:divBdr>
                    </w:div>
                  </w:divsChild>
                </w:div>
                <w:div w:id="1803225964">
                  <w:marLeft w:val="0"/>
                  <w:marRight w:val="0"/>
                  <w:marTop w:val="0"/>
                  <w:marBottom w:val="0"/>
                  <w:divBdr>
                    <w:top w:val="none" w:sz="0" w:space="0" w:color="auto"/>
                    <w:left w:val="none" w:sz="0" w:space="0" w:color="auto"/>
                    <w:bottom w:val="none" w:sz="0" w:space="0" w:color="auto"/>
                    <w:right w:val="none" w:sz="0" w:space="0" w:color="auto"/>
                  </w:divBdr>
                  <w:divsChild>
                    <w:div w:id="934897664">
                      <w:marLeft w:val="0"/>
                      <w:marRight w:val="0"/>
                      <w:marTop w:val="0"/>
                      <w:marBottom w:val="0"/>
                      <w:divBdr>
                        <w:top w:val="none" w:sz="0" w:space="0" w:color="auto"/>
                        <w:left w:val="none" w:sz="0" w:space="0" w:color="auto"/>
                        <w:bottom w:val="none" w:sz="0" w:space="0" w:color="auto"/>
                        <w:right w:val="none" w:sz="0" w:space="0" w:color="auto"/>
                      </w:divBdr>
                    </w:div>
                  </w:divsChild>
                </w:div>
                <w:div w:id="1842428659">
                  <w:marLeft w:val="0"/>
                  <w:marRight w:val="0"/>
                  <w:marTop w:val="0"/>
                  <w:marBottom w:val="0"/>
                  <w:divBdr>
                    <w:top w:val="none" w:sz="0" w:space="0" w:color="auto"/>
                    <w:left w:val="none" w:sz="0" w:space="0" w:color="auto"/>
                    <w:bottom w:val="none" w:sz="0" w:space="0" w:color="auto"/>
                    <w:right w:val="none" w:sz="0" w:space="0" w:color="auto"/>
                  </w:divBdr>
                  <w:divsChild>
                    <w:div w:id="522204567">
                      <w:marLeft w:val="0"/>
                      <w:marRight w:val="0"/>
                      <w:marTop w:val="0"/>
                      <w:marBottom w:val="0"/>
                      <w:divBdr>
                        <w:top w:val="none" w:sz="0" w:space="0" w:color="auto"/>
                        <w:left w:val="none" w:sz="0" w:space="0" w:color="auto"/>
                        <w:bottom w:val="none" w:sz="0" w:space="0" w:color="auto"/>
                        <w:right w:val="none" w:sz="0" w:space="0" w:color="auto"/>
                      </w:divBdr>
                    </w:div>
                  </w:divsChild>
                </w:div>
                <w:div w:id="1880389125">
                  <w:marLeft w:val="0"/>
                  <w:marRight w:val="0"/>
                  <w:marTop w:val="0"/>
                  <w:marBottom w:val="0"/>
                  <w:divBdr>
                    <w:top w:val="none" w:sz="0" w:space="0" w:color="auto"/>
                    <w:left w:val="none" w:sz="0" w:space="0" w:color="auto"/>
                    <w:bottom w:val="none" w:sz="0" w:space="0" w:color="auto"/>
                    <w:right w:val="none" w:sz="0" w:space="0" w:color="auto"/>
                  </w:divBdr>
                  <w:divsChild>
                    <w:div w:id="738677495">
                      <w:marLeft w:val="0"/>
                      <w:marRight w:val="0"/>
                      <w:marTop w:val="0"/>
                      <w:marBottom w:val="0"/>
                      <w:divBdr>
                        <w:top w:val="none" w:sz="0" w:space="0" w:color="auto"/>
                        <w:left w:val="none" w:sz="0" w:space="0" w:color="auto"/>
                        <w:bottom w:val="none" w:sz="0" w:space="0" w:color="auto"/>
                        <w:right w:val="none" w:sz="0" w:space="0" w:color="auto"/>
                      </w:divBdr>
                    </w:div>
                  </w:divsChild>
                </w:div>
                <w:div w:id="1914849528">
                  <w:marLeft w:val="0"/>
                  <w:marRight w:val="0"/>
                  <w:marTop w:val="0"/>
                  <w:marBottom w:val="0"/>
                  <w:divBdr>
                    <w:top w:val="none" w:sz="0" w:space="0" w:color="auto"/>
                    <w:left w:val="none" w:sz="0" w:space="0" w:color="auto"/>
                    <w:bottom w:val="none" w:sz="0" w:space="0" w:color="auto"/>
                    <w:right w:val="none" w:sz="0" w:space="0" w:color="auto"/>
                  </w:divBdr>
                  <w:divsChild>
                    <w:div w:id="130025719">
                      <w:marLeft w:val="0"/>
                      <w:marRight w:val="0"/>
                      <w:marTop w:val="0"/>
                      <w:marBottom w:val="0"/>
                      <w:divBdr>
                        <w:top w:val="none" w:sz="0" w:space="0" w:color="auto"/>
                        <w:left w:val="none" w:sz="0" w:space="0" w:color="auto"/>
                        <w:bottom w:val="none" w:sz="0" w:space="0" w:color="auto"/>
                        <w:right w:val="none" w:sz="0" w:space="0" w:color="auto"/>
                      </w:divBdr>
                    </w:div>
                  </w:divsChild>
                </w:div>
                <w:div w:id="1926113794">
                  <w:marLeft w:val="0"/>
                  <w:marRight w:val="0"/>
                  <w:marTop w:val="0"/>
                  <w:marBottom w:val="0"/>
                  <w:divBdr>
                    <w:top w:val="none" w:sz="0" w:space="0" w:color="auto"/>
                    <w:left w:val="none" w:sz="0" w:space="0" w:color="auto"/>
                    <w:bottom w:val="none" w:sz="0" w:space="0" w:color="auto"/>
                    <w:right w:val="none" w:sz="0" w:space="0" w:color="auto"/>
                  </w:divBdr>
                  <w:divsChild>
                    <w:div w:id="465974295">
                      <w:marLeft w:val="0"/>
                      <w:marRight w:val="0"/>
                      <w:marTop w:val="0"/>
                      <w:marBottom w:val="0"/>
                      <w:divBdr>
                        <w:top w:val="none" w:sz="0" w:space="0" w:color="auto"/>
                        <w:left w:val="none" w:sz="0" w:space="0" w:color="auto"/>
                        <w:bottom w:val="none" w:sz="0" w:space="0" w:color="auto"/>
                        <w:right w:val="none" w:sz="0" w:space="0" w:color="auto"/>
                      </w:divBdr>
                    </w:div>
                  </w:divsChild>
                </w:div>
                <w:div w:id="1972400433">
                  <w:marLeft w:val="0"/>
                  <w:marRight w:val="0"/>
                  <w:marTop w:val="0"/>
                  <w:marBottom w:val="0"/>
                  <w:divBdr>
                    <w:top w:val="none" w:sz="0" w:space="0" w:color="auto"/>
                    <w:left w:val="none" w:sz="0" w:space="0" w:color="auto"/>
                    <w:bottom w:val="none" w:sz="0" w:space="0" w:color="auto"/>
                    <w:right w:val="none" w:sz="0" w:space="0" w:color="auto"/>
                  </w:divBdr>
                  <w:divsChild>
                    <w:div w:id="911038947">
                      <w:marLeft w:val="0"/>
                      <w:marRight w:val="0"/>
                      <w:marTop w:val="0"/>
                      <w:marBottom w:val="0"/>
                      <w:divBdr>
                        <w:top w:val="none" w:sz="0" w:space="0" w:color="auto"/>
                        <w:left w:val="none" w:sz="0" w:space="0" w:color="auto"/>
                        <w:bottom w:val="none" w:sz="0" w:space="0" w:color="auto"/>
                        <w:right w:val="none" w:sz="0" w:space="0" w:color="auto"/>
                      </w:divBdr>
                    </w:div>
                  </w:divsChild>
                </w:div>
                <w:div w:id="2024549838">
                  <w:marLeft w:val="0"/>
                  <w:marRight w:val="0"/>
                  <w:marTop w:val="0"/>
                  <w:marBottom w:val="0"/>
                  <w:divBdr>
                    <w:top w:val="none" w:sz="0" w:space="0" w:color="auto"/>
                    <w:left w:val="none" w:sz="0" w:space="0" w:color="auto"/>
                    <w:bottom w:val="none" w:sz="0" w:space="0" w:color="auto"/>
                    <w:right w:val="none" w:sz="0" w:space="0" w:color="auto"/>
                  </w:divBdr>
                  <w:divsChild>
                    <w:div w:id="559560237">
                      <w:marLeft w:val="0"/>
                      <w:marRight w:val="0"/>
                      <w:marTop w:val="0"/>
                      <w:marBottom w:val="0"/>
                      <w:divBdr>
                        <w:top w:val="none" w:sz="0" w:space="0" w:color="auto"/>
                        <w:left w:val="none" w:sz="0" w:space="0" w:color="auto"/>
                        <w:bottom w:val="none" w:sz="0" w:space="0" w:color="auto"/>
                        <w:right w:val="none" w:sz="0" w:space="0" w:color="auto"/>
                      </w:divBdr>
                    </w:div>
                  </w:divsChild>
                </w:div>
                <w:div w:id="2102290619">
                  <w:marLeft w:val="0"/>
                  <w:marRight w:val="0"/>
                  <w:marTop w:val="0"/>
                  <w:marBottom w:val="0"/>
                  <w:divBdr>
                    <w:top w:val="none" w:sz="0" w:space="0" w:color="auto"/>
                    <w:left w:val="none" w:sz="0" w:space="0" w:color="auto"/>
                    <w:bottom w:val="none" w:sz="0" w:space="0" w:color="auto"/>
                    <w:right w:val="none" w:sz="0" w:space="0" w:color="auto"/>
                  </w:divBdr>
                  <w:divsChild>
                    <w:div w:id="11246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7735">
          <w:marLeft w:val="0"/>
          <w:marRight w:val="0"/>
          <w:marTop w:val="0"/>
          <w:marBottom w:val="0"/>
          <w:divBdr>
            <w:top w:val="none" w:sz="0" w:space="0" w:color="auto"/>
            <w:left w:val="none" w:sz="0" w:space="0" w:color="auto"/>
            <w:bottom w:val="none" w:sz="0" w:space="0" w:color="auto"/>
            <w:right w:val="none" w:sz="0" w:space="0" w:color="auto"/>
          </w:divBdr>
          <w:divsChild>
            <w:div w:id="215972485">
              <w:marLeft w:val="0"/>
              <w:marRight w:val="0"/>
              <w:marTop w:val="0"/>
              <w:marBottom w:val="0"/>
              <w:divBdr>
                <w:top w:val="none" w:sz="0" w:space="0" w:color="auto"/>
                <w:left w:val="none" w:sz="0" w:space="0" w:color="auto"/>
                <w:bottom w:val="none" w:sz="0" w:space="0" w:color="auto"/>
                <w:right w:val="none" w:sz="0" w:space="0" w:color="auto"/>
              </w:divBdr>
            </w:div>
            <w:div w:id="1706131134">
              <w:marLeft w:val="0"/>
              <w:marRight w:val="0"/>
              <w:marTop w:val="0"/>
              <w:marBottom w:val="0"/>
              <w:divBdr>
                <w:top w:val="none" w:sz="0" w:space="0" w:color="auto"/>
                <w:left w:val="none" w:sz="0" w:space="0" w:color="auto"/>
                <w:bottom w:val="none" w:sz="0" w:space="0" w:color="auto"/>
                <w:right w:val="none" w:sz="0" w:space="0" w:color="auto"/>
              </w:divBdr>
            </w:div>
            <w:div w:id="20044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1101">
      <w:bodyDiv w:val="1"/>
      <w:marLeft w:val="0"/>
      <w:marRight w:val="0"/>
      <w:marTop w:val="0"/>
      <w:marBottom w:val="0"/>
      <w:divBdr>
        <w:top w:val="none" w:sz="0" w:space="0" w:color="auto"/>
        <w:left w:val="none" w:sz="0" w:space="0" w:color="auto"/>
        <w:bottom w:val="none" w:sz="0" w:space="0" w:color="auto"/>
        <w:right w:val="none" w:sz="0" w:space="0" w:color="auto"/>
      </w:divBdr>
    </w:div>
    <w:div w:id="1461848012">
      <w:bodyDiv w:val="1"/>
      <w:marLeft w:val="0"/>
      <w:marRight w:val="0"/>
      <w:marTop w:val="0"/>
      <w:marBottom w:val="0"/>
      <w:divBdr>
        <w:top w:val="none" w:sz="0" w:space="0" w:color="auto"/>
        <w:left w:val="none" w:sz="0" w:space="0" w:color="auto"/>
        <w:bottom w:val="none" w:sz="0" w:space="0" w:color="auto"/>
        <w:right w:val="none" w:sz="0" w:space="0" w:color="auto"/>
      </w:divBdr>
    </w:div>
    <w:div w:id="1479764742">
      <w:bodyDiv w:val="1"/>
      <w:marLeft w:val="0"/>
      <w:marRight w:val="0"/>
      <w:marTop w:val="0"/>
      <w:marBottom w:val="0"/>
      <w:divBdr>
        <w:top w:val="none" w:sz="0" w:space="0" w:color="auto"/>
        <w:left w:val="none" w:sz="0" w:space="0" w:color="auto"/>
        <w:bottom w:val="none" w:sz="0" w:space="0" w:color="auto"/>
        <w:right w:val="none" w:sz="0" w:space="0" w:color="auto"/>
      </w:divBdr>
    </w:div>
    <w:div w:id="1499882588">
      <w:bodyDiv w:val="1"/>
      <w:marLeft w:val="0"/>
      <w:marRight w:val="0"/>
      <w:marTop w:val="0"/>
      <w:marBottom w:val="0"/>
      <w:divBdr>
        <w:top w:val="none" w:sz="0" w:space="0" w:color="auto"/>
        <w:left w:val="none" w:sz="0" w:space="0" w:color="auto"/>
        <w:bottom w:val="none" w:sz="0" w:space="0" w:color="auto"/>
        <w:right w:val="none" w:sz="0" w:space="0" w:color="auto"/>
      </w:divBdr>
      <w:divsChild>
        <w:div w:id="888566441">
          <w:marLeft w:val="0"/>
          <w:marRight w:val="0"/>
          <w:marTop w:val="0"/>
          <w:marBottom w:val="0"/>
          <w:divBdr>
            <w:top w:val="none" w:sz="0" w:space="0" w:color="auto"/>
            <w:left w:val="none" w:sz="0" w:space="0" w:color="auto"/>
            <w:bottom w:val="none" w:sz="0" w:space="0" w:color="auto"/>
            <w:right w:val="none" w:sz="0" w:space="0" w:color="auto"/>
          </w:divBdr>
        </w:div>
      </w:divsChild>
    </w:div>
    <w:div w:id="1525247768">
      <w:bodyDiv w:val="1"/>
      <w:marLeft w:val="0"/>
      <w:marRight w:val="0"/>
      <w:marTop w:val="0"/>
      <w:marBottom w:val="0"/>
      <w:divBdr>
        <w:top w:val="none" w:sz="0" w:space="0" w:color="auto"/>
        <w:left w:val="none" w:sz="0" w:space="0" w:color="auto"/>
        <w:bottom w:val="none" w:sz="0" w:space="0" w:color="auto"/>
        <w:right w:val="none" w:sz="0" w:space="0" w:color="auto"/>
      </w:divBdr>
    </w:div>
    <w:div w:id="1525902544">
      <w:bodyDiv w:val="1"/>
      <w:marLeft w:val="0"/>
      <w:marRight w:val="0"/>
      <w:marTop w:val="0"/>
      <w:marBottom w:val="0"/>
      <w:divBdr>
        <w:top w:val="none" w:sz="0" w:space="0" w:color="auto"/>
        <w:left w:val="none" w:sz="0" w:space="0" w:color="auto"/>
        <w:bottom w:val="none" w:sz="0" w:space="0" w:color="auto"/>
        <w:right w:val="none" w:sz="0" w:space="0" w:color="auto"/>
      </w:divBdr>
      <w:divsChild>
        <w:div w:id="1368523702">
          <w:marLeft w:val="0"/>
          <w:marRight w:val="0"/>
          <w:marTop w:val="0"/>
          <w:marBottom w:val="0"/>
          <w:divBdr>
            <w:top w:val="none" w:sz="0" w:space="0" w:color="auto"/>
            <w:left w:val="none" w:sz="0" w:space="0" w:color="auto"/>
            <w:bottom w:val="none" w:sz="0" w:space="0" w:color="auto"/>
            <w:right w:val="none" w:sz="0" w:space="0" w:color="auto"/>
          </w:divBdr>
          <w:divsChild>
            <w:div w:id="2047215445">
              <w:marLeft w:val="0"/>
              <w:marRight w:val="0"/>
              <w:marTop w:val="0"/>
              <w:marBottom w:val="0"/>
              <w:divBdr>
                <w:top w:val="none" w:sz="0" w:space="0" w:color="auto"/>
                <w:left w:val="none" w:sz="0" w:space="0" w:color="auto"/>
                <w:bottom w:val="none" w:sz="0" w:space="0" w:color="auto"/>
                <w:right w:val="none" w:sz="0" w:space="0" w:color="auto"/>
              </w:divBdr>
              <w:divsChild>
                <w:div w:id="491020301">
                  <w:marLeft w:val="0"/>
                  <w:marRight w:val="0"/>
                  <w:marTop w:val="0"/>
                  <w:marBottom w:val="0"/>
                  <w:divBdr>
                    <w:top w:val="none" w:sz="0" w:space="0" w:color="auto"/>
                    <w:left w:val="none" w:sz="0" w:space="0" w:color="auto"/>
                    <w:bottom w:val="none" w:sz="0" w:space="0" w:color="auto"/>
                    <w:right w:val="none" w:sz="0" w:space="0" w:color="auto"/>
                  </w:divBdr>
                  <w:divsChild>
                    <w:div w:id="18884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18443">
      <w:bodyDiv w:val="1"/>
      <w:marLeft w:val="0"/>
      <w:marRight w:val="0"/>
      <w:marTop w:val="0"/>
      <w:marBottom w:val="0"/>
      <w:divBdr>
        <w:top w:val="none" w:sz="0" w:space="0" w:color="auto"/>
        <w:left w:val="none" w:sz="0" w:space="0" w:color="auto"/>
        <w:bottom w:val="none" w:sz="0" w:space="0" w:color="auto"/>
        <w:right w:val="none" w:sz="0" w:space="0" w:color="auto"/>
      </w:divBdr>
    </w:div>
    <w:div w:id="1587154680">
      <w:bodyDiv w:val="1"/>
      <w:marLeft w:val="0"/>
      <w:marRight w:val="0"/>
      <w:marTop w:val="0"/>
      <w:marBottom w:val="0"/>
      <w:divBdr>
        <w:top w:val="none" w:sz="0" w:space="0" w:color="auto"/>
        <w:left w:val="none" w:sz="0" w:space="0" w:color="auto"/>
        <w:bottom w:val="none" w:sz="0" w:space="0" w:color="auto"/>
        <w:right w:val="none" w:sz="0" w:space="0" w:color="auto"/>
      </w:divBdr>
      <w:divsChild>
        <w:div w:id="365060238">
          <w:marLeft w:val="0"/>
          <w:marRight w:val="0"/>
          <w:marTop w:val="0"/>
          <w:marBottom w:val="0"/>
          <w:divBdr>
            <w:top w:val="none" w:sz="0" w:space="0" w:color="auto"/>
            <w:left w:val="none" w:sz="0" w:space="0" w:color="auto"/>
            <w:bottom w:val="none" w:sz="0" w:space="0" w:color="auto"/>
            <w:right w:val="none" w:sz="0" w:space="0" w:color="auto"/>
          </w:divBdr>
        </w:div>
      </w:divsChild>
    </w:div>
    <w:div w:id="1603609628">
      <w:bodyDiv w:val="1"/>
      <w:marLeft w:val="0"/>
      <w:marRight w:val="0"/>
      <w:marTop w:val="0"/>
      <w:marBottom w:val="0"/>
      <w:divBdr>
        <w:top w:val="none" w:sz="0" w:space="0" w:color="auto"/>
        <w:left w:val="none" w:sz="0" w:space="0" w:color="auto"/>
        <w:bottom w:val="none" w:sz="0" w:space="0" w:color="auto"/>
        <w:right w:val="none" w:sz="0" w:space="0" w:color="auto"/>
      </w:divBdr>
    </w:div>
    <w:div w:id="1726293390">
      <w:bodyDiv w:val="1"/>
      <w:marLeft w:val="0"/>
      <w:marRight w:val="0"/>
      <w:marTop w:val="0"/>
      <w:marBottom w:val="0"/>
      <w:divBdr>
        <w:top w:val="none" w:sz="0" w:space="0" w:color="auto"/>
        <w:left w:val="none" w:sz="0" w:space="0" w:color="auto"/>
        <w:bottom w:val="none" w:sz="0" w:space="0" w:color="auto"/>
        <w:right w:val="none" w:sz="0" w:space="0" w:color="auto"/>
      </w:divBdr>
    </w:div>
    <w:div w:id="1727756487">
      <w:bodyDiv w:val="1"/>
      <w:marLeft w:val="0"/>
      <w:marRight w:val="0"/>
      <w:marTop w:val="0"/>
      <w:marBottom w:val="0"/>
      <w:divBdr>
        <w:top w:val="none" w:sz="0" w:space="0" w:color="auto"/>
        <w:left w:val="none" w:sz="0" w:space="0" w:color="auto"/>
        <w:bottom w:val="none" w:sz="0" w:space="0" w:color="auto"/>
        <w:right w:val="none" w:sz="0" w:space="0" w:color="auto"/>
      </w:divBdr>
    </w:div>
    <w:div w:id="1750231484">
      <w:bodyDiv w:val="1"/>
      <w:marLeft w:val="0"/>
      <w:marRight w:val="0"/>
      <w:marTop w:val="0"/>
      <w:marBottom w:val="0"/>
      <w:divBdr>
        <w:top w:val="none" w:sz="0" w:space="0" w:color="auto"/>
        <w:left w:val="none" w:sz="0" w:space="0" w:color="auto"/>
        <w:bottom w:val="none" w:sz="0" w:space="0" w:color="auto"/>
        <w:right w:val="none" w:sz="0" w:space="0" w:color="auto"/>
      </w:divBdr>
    </w:div>
    <w:div w:id="1787580095">
      <w:bodyDiv w:val="1"/>
      <w:marLeft w:val="0"/>
      <w:marRight w:val="0"/>
      <w:marTop w:val="0"/>
      <w:marBottom w:val="0"/>
      <w:divBdr>
        <w:top w:val="none" w:sz="0" w:space="0" w:color="auto"/>
        <w:left w:val="none" w:sz="0" w:space="0" w:color="auto"/>
        <w:bottom w:val="none" w:sz="0" w:space="0" w:color="auto"/>
        <w:right w:val="none" w:sz="0" w:space="0" w:color="auto"/>
      </w:divBdr>
    </w:div>
    <w:div w:id="1827478628">
      <w:bodyDiv w:val="1"/>
      <w:marLeft w:val="0"/>
      <w:marRight w:val="0"/>
      <w:marTop w:val="0"/>
      <w:marBottom w:val="0"/>
      <w:divBdr>
        <w:top w:val="none" w:sz="0" w:space="0" w:color="auto"/>
        <w:left w:val="none" w:sz="0" w:space="0" w:color="auto"/>
        <w:bottom w:val="none" w:sz="0" w:space="0" w:color="auto"/>
        <w:right w:val="none" w:sz="0" w:space="0" w:color="auto"/>
      </w:divBdr>
    </w:div>
    <w:div w:id="1838689185">
      <w:bodyDiv w:val="1"/>
      <w:marLeft w:val="0"/>
      <w:marRight w:val="0"/>
      <w:marTop w:val="0"/>
      <w:marBottom w:val="0"/>
      <w:divBdr>
        <w:top w:val="none" w:sz="0" w:space="0" w:color="auto"/>
        <w:left w:val="none" w:sz="0" w:space="0" w:color="auto"/>
        <w:bottom w:val="none" w:sz="0" w:space="0" w:color="auto"/>
        <w:right w:val="none" w:sz="0" w:space="0" w:color="auto"/>
      </w:divBdr>
    </w:div>
    <w:div w:id="1851067297">
      <w:bodyDiv w:val="1"/>
      <w:marLeft w:val="0"/>
      <w:marRight w:val="0"/>
      <w:marTop w:val="0"/>
      <w:marBottom w:val="0"/>
      <w:divBdr>
        <w:top w:val="none" w:sz="0" w:space="0" w:color="auto"/>
        <w:left w:val="none" w:sz="0" w:space="0" w:color="auto"/>
        <w:bottom w:val="none" w:sz="0" w:space="0" w:color="auto"/>
        <w:right w:val="none" w:sz="0" w:space="0" w:color="auto"/>
      </w:divBdr>
      <w:divsChild>
        <w:div w:id="2561720">
          <w:marLeft w:val="0"/>
          <w:marRight w:val="0"/>
          <w:marTop w:val="0"/>
          <w:marBottom w:val="0"/>
          <w:divBdr>
            <w:top w:val="none" w:sz="0" w:space="0" w:color="auto"/>
            <w:left w:val="none" w:sz="0" w:space="0" w:color="auto"/>
            <w:bottom w:val="none" w:sz="0" w:space="0" w:color="auto"/>
            <w:right w:val="none" w:sz="0" w:space="0" w:color="auto"/>
          </w:divBdr>
          <w:divsChild>
            <w:div w:id="1892960224">
              <w:marLeft w:val="0"/>
              <w:marRight w:val="0"/>
              <w:marTop w:val="0"/>
              <w:marBottom w:val="0"/>
              <w:divBdr>
                <w:top w:val="none" w:sz="0" w:space="0" w:color="auto"/>
                <w:left w:val="none" w:sz="0" w:space="0" w:color="auto"/>
                <w:bottom w:val="none" w:sz="0" w:space="0" w:color="auto"/>
                <w:right w:val="none" w:sz="0" w:space="0" w:color="auto"/>
              </w:divBdr>
            </w:div>
          </w:divsChild>
        </w:div>
        <w:div w:id="45374302">
          <w:marLeft w:val="0"/>
          <w:marRight w:val="0"/>
          <w:marTop w:val="0"/>
          <w:marBottom w:val="0"/>
          <w:divBdr>
            <w:top w:val="none" w:sz="0" w:space="0" w:color="auto"/>
            <w:left w:val="none" w:sz="0" w:space="0" w:color="auto"/>
            <w:bottom w:val="none" w:sz="0" w:space="0" w:color="auto"/>
            <w:right w:val="none" w:sz="0" w:space="0" w:color="auto"/>
          </w:divBdr>
          <w:divsChild>
            <w:div w:id="1426268169">
              <w:marLeft w:val="0"/>
              <w:marRight w:val="0"/>
              <w:marTop w:val="0"/>
              <w:marBottom w:val="0"/>
              <w:divBdr>
                <w:top w:val="none" w:sz="0" w:space="0" w:color="auto"/>
                <w:left w:val="none" w:sz="0" w:space="0" w:color="auto"/>
                <w:bottom w:val="none" w:sz="0" w:space="0" w:color="auto"/>
                <w:right w:val="none" w:sz="0" w:space="0" w:color="auto"/>
              </w:divBdr>
            </w:div>
          </w:divsChild>
        </w:div>
        <w:div w:id="72121011">
          <w:marLeft w:val="0"/>
          <w:marRight w:val="0"/>
          <w:marTop w:val="0"/>
          <w:marBottom w:val="0"/>
          <w:divBdr>
            <w:top w:val="none" w:sz="0" w:space="0" w:color="auto"/>
            <w:left w:val="none" w:sz="0" w:space="0" w:color="auto"/>
            <w:bottom w:val="none" w:sz="0" w:space="0" w:color="auto"/>
            <w:right w:val="none" w:sz="0" w:space="0" w:color="auto"/>
          </w:divBdr>
          <w:divsChild>
            <w:div w:id="453408586">
              <w:marLeft w:val="0"/>
              <w:marRight w:val="0"/>
              <w:marTop w:val="0"/>
              <w:marBottom w:val="0"/>
              <w:divBdr>
                <w:top w:val="none" w:sz="0" w:space="0" w:color="auto"/>
                <w:left w:val="none" w:sz="0" w:space="0" w:color="auto"/>
                <w:bottom w:val="none" w:sz="0" w:space="0" w:color="auto"/>
                <w:right w:val="none" w:sz="0" w:space="0" w:color="auto"/>
              </w:divBdr>
            </w:div>
          </w:divsChild>
        </w:div>
        <w:div w:id="83889218">
          <w:marLeft w:val="0"/>
          <w:marRight w:val="0"/>
          <w:marTop w:val="0"/>
          <w:marBottom w:val="0"/>
          <w:divBdr>
            <w:top w:val="none" w:sz="0" w:space="0" w:color="auto"/>
            <w:left w:val="none" w:sz="0" w:space="0" w:color="auto"/>
            <w:bottom w:val="none" w:sz="0" w:space="0" w:color="auto"/>
            <w:right w:val="none" w:sz="0" w:space="0" w:color="auto"/>
          </w:divBdr>
          <w:divsChild>
            <w:div w:id="1170486092">
              <w:marLeft w:val="0"/>
              <w:marRight w:val="0"/>
              <w:marTop w:val="0"/>
              <w:marBottom w:val="0"/>
              <w:divBdr>
                <w:top w:val="none" w:sz="0" w:space="0" w:color="auto"/>
                <w:left w:val="none" w:sz="0" w:space="0" w:color="auto"/>
                <w:bottom w:val="none" w:sz="0" w:space="0" w:color="auto"/>
                <w:right w:val="none" w:sz="0" w:space="0" w:color="auto"/>
              </w:divBdr>
            </w:div>
          </w:divsChild>
        </w:div>
        <w:div w:id="132137760">
          <w:marLeft w:val="0"/>
          <w:marRight w:val="0"/>
          <w:marTop w:val="0"/>
          <w:marBottom w:val="0"/>
          <w:divBdr>
            <w:top w:val="none" w:sz="0" w:space="0" w:color="auto"/>
            <w:left w:val="none" w:sz="0" w:space="0" w:color="auto"/>
            <w:bottom w:val="none" w:sz="0" w:space="0" w:color="auto"/>
            <w:right w:val="none" w:sz="0" w:space="0" w:color="auto"/>
          </w:divBdr>
          <w:divsChild>
            <w:div w:id="1676112934">
              <w:marLeft w:val="0"/>
              <w:marRight w:val="0"/>
              <w:marTop w:val="0"/>
              <w:marBottom w:val="0"/>
              <w:divBdr>
                <w:top w:val="none" w:sz="0" w:space="0" w:color="auto"/>
                <w:left w:val="none" w:sz="0" w:space="0" w:color="auto"/>
                <w:bottom w:val="none" w:sz="0" w:space="0" w:color="auto"/>
                <w:right w:val="none" w:sz="0" w:space="0" w:color="auto"/>
              </w:divBdr>
            </w:div>
          </w:divsChild>
        </w:div>
        <w:div w:id="259148538">
          <w:marLeft w:val="0"/>
          <w:marRight w:val="0"/>
          <w:marTop w:val="0"/>
          <w:marBottom w:val="0"/>
          <w:divBdr>
            <w:top w:val="none" w:sz="0" w:space="0" w:color="auto"/>
            <w:left w:val="none" w:sz="0" w:space="0" w:color="auto"/>
            <w:bottom w:val="none" w:sz="0" w:space="0" w:color="auto"/>
            <w:right w:val="none" w:sz="0" w:space="0" w:color="auto"/>
          </w:divBdr>
          <w:divsChild>
            <w:div w:id="1500540589">
              <w:marLeft w:val="0"/>
              <w:marRight w:val="0"/>
              <w:marTop w:val="0"/>
              <w:marBottom w:val="0"/>
              <w:divBdr>
                <w:top w:val="none" w:sz="0" w:space="0" w:color="auto"/>
                <w:left w:val="none" w:sz="0" w:space="0" w:color="auto"/>
                <w:bottom w:val="none" w:sz="0" w:space="0" w:color="auto"/>
                <w:right w:val="none" w:sz="0" w:space="0" w:color="auto"/>
              </w:divBdr>
            </w:div>
          </w:divsChild>
        </w:div>
        <w:div w:id="292903405">
          <w:marLeft w:val="0"/>
          <w:marRight w:val="0"/>
          <w:marTop w:val="0"/>
          <w:marBottom w:val="0"/>
          <w:divBdr>
            <w:top w:val="none" w:sz="0" w:space="0" w:color="auto"/>
            <w:left w:val="none" w:sz="0" w:space="0" w:color="auto"/>
            <w:bottom w:val="none" w:sz="0" w:space="0" w:color="auto"/>
            <w:right w:val="none" w:sz="0" w:space="0" w:color="auto"/>
          </w:divBdr>
          <w:divsChild>
            <w:div w:id="1814450068">
              <w:marLeft w:val="0"/>
              <w:marRight w:val="0"/>
              <w:marTop w:val="0"/>
              <w:marBottom w:val="0"/>
              <w:divBdr>
                <w:top w:val="none" w:sz="0" w:space="0" w:color="auto"/>
                <w:left w:val="none" w:sz="0" w:space="0" w:color="auto"/>
                <w:bottom w:val="none" w:sz="0" w:space="0" w:color="auto"/>
                <w:right w:val="none" w:sz="0" w:space="0" w:color="auto"/>
              </w:divBdr>
            </w:div>
          </w:divsChild>
        </w:div>
        <w:div w:id="413821943">
          <w:marLeft w:val="0"/>
          <w:marRight w:val="0"/>
          <w:marTop w:val="0"/>
          <w:marBottom w:val="0"/>
          <w:divBdr>
            <w:top w:val="none" w:sz="0" w:space="0" w:color="auto"/>
            <w:left w:val="none" w:sz="0" w:space="0" w:color="auto"/>
            <w:bottom w:val="none" w:sz="0" w:space="0" w:color="auto"/>
            <w:right w:val="none" w:sz="0" w:space="0" w:color="auto"/>
          </w:divBdr>
          <w:divsChild>
            <w:div w:id="207960225">
              <w:marLeft w:val="0"/>
              <w:marRight w:val="0"/>
              <w:marTop w:val="0"/>
              <w:marBottom w:val="0"/>
              <w:divBdr>
                <w:top w:val="none" w:sz="0" w:space="0" w:color="auto"/>
                <w:left w:val="none" w:sz="0" w:space="0" w:color="auto"/>
                <w:bottom w:val="none" w:sz="0" w:space="0" w:color="auto"/>
                <w:right w:val="none" w:sz="0" w:space="0" w:color="auto"/>
              </w:divBdr>
            </w:div>
          </w:divsChild>
        </w:div>
        <w:div w:id="456873433">
          <w:marLeft w:val="0"/>
          <w:marRight w:val="0"/>
          <w:marTop w:val="0"/>
          <w:marBottom w:val="0"/>
          <w:divBdr>
            <w:top w:val="none" w:sz="0" w:space="0" w:color="auto"/>
            <w:left w:val="none" w:sz="0" w:space="0" w:color="auto"/>
            <w:bottom w:val="none" w:sz="0" w:space="0" w:color="auto"/>
            <w:right w:val="none" w:sz="0" w:space="0" w:color="auto"/>
          </w:divBdr>
          <w:divsChild>
            <w:div w:id="426195332">
              <w:marLeft w:val="0"/>
              <w:marRight w:val="0"/>
              <w:marTop w:val="0"/>
              <w:marBottom w:val="0"/>
              <w:divBdr>
                <w:top w:val="none" w:sz="0" w:space="0" w:color="auto"/>
                <w:left w:val="none" w:sz="0" w:space="0" w:color="auto"/>
                <w:bottom w:val="none" w:sz="0" w:space="0" w:color="auto"/>
                <w:right w:val="none" w:sz="0" w:space="0" w:color="auto"/>
              </w:divBdr>
            </w:div>
          </w:divsChild>
        </w:div>
        <w:div w:id="459305673">
          <w:marLeft w:val="0"/>
          <w:marRight w:val="0"/>
          <w:marTop w:val="0"/>
          <w:marBottom w:val="0"/>
          <w:divBdr>
            <w:top w:val="none" w:sz="0" w:space="0" w:color="auto"/>
            <w:left w:val="none" w:sz="0" w:space="0" w:color="auto"/>
            <w:bottom w:val="none" w:sz="0" w:space="0" w:color="auto"/>
            <w:right w:val="none" w:sz="0" w:space="0" w:color="auto"/>
          </w:divBdr>
          <w:divsChild>
            <w:div w:id="2082867955">
              <w:marLeft w:val="0"/>
              <w:marRight w:val="0"/>
              <w:marTop w:val="0"/>
              <w:marBottom w:val="0"/>
              <w:divBdr>
                <w:top w:val="none" w:sz="0" w:space="0" w:color="auto"/>
                <w:left w:val="none" w:sz="0" w:space="0" w:color="auto"/>
                <w:bottom w:val="none" w:sz="0" w:space="0" w:color="auto"/>
                <w:right w:val="none" w:sz="0" w:space="0" w:color="auto"/>
              </w:divBdr>
            </w:div>
          </w:divsChild>
        </w:div>
        <w:div w:id="521285499">
          <w:marLeft w:val="0"/>
          <w:marRight w:val="0"/>
          <w:marTop w:val="0"/>
          <w:marBottom w:val="0"/>
          <w:divBdr>
            <w:top w:val="none" w:sz="0" w:space="0" w:color="auto"/>
            <w:left w:val="none" w:sz="0" w:space="0" w:color="auto"/>
            <w:bottom w:val="none" w:sz="0" w:space="0" w:color="auto"/>
            <w:right w:val="none" w:sz="0" w:space="0" w:color="auto"/>
          </w:divBdr>
          <w:divsChild>
            <w:div w:id="1519347767">
              <w:marLeft w:val="0"/>
              <w:marRight w:val="0"/>
              <w:marTop w:val="0"/>
              <w:marBottom w:val="0"/>
              <w:divBdr>
                <w:top w:val="none" w:sz="0" w:space="0" w:color="auto"/>
                <w:left w:val="none" w:sz="0" w:space="0" w:color="auto"/>
                <w:bottom w:val="none" w:sz="0" w:space="0" w:color="auto"/>
                <w:right w:val="none" w:sz="0" w:space="0" w:color="auto"/>
              </w:divBdr>
            </w:div>
          </w:divsChild>
        </w:div>
        <w:div w:id="536238829">
          <w:marLeft w:val="0"/>
          <w:marRight w:val="0"/>
          <w:marTop w:val="0"/>
          <w:marBottom w:val="0"/>
          <w:divBdr>
            <w:top w:val="none" w:sz="0" w:space="0" w:color="auto"/>
            <w:left w:val="none" w:sz="0" w:space="0" w:color="auto"/>
            <w:bottom w:val="none" w:sz="0" w:space="0" w:color="auto"/>
            <w:right w:val="none" w:sz="0" w:space="0" w:color="auto"/>
          </w:divBdr>
          <w:divsChild>
            <w:div w:id="1969165835">
              <w:marLeft w:val="0"/>
              <w:marRight w:val="0"/>
              <w:marTop w:val="0"/>
              <w:marBottom w:val="0"/>
              <w:divBdr>
                <w:top w:val="none" w:sz="0" w:space="0" w:color="auto"/>
                <w:left w:val="none" w:sz="0" w:space="0" w:color="auto"/>
                <w:bottom w:val="none" w:sz="0" w:space="0" w:color="auto"/>
                <w:right w:val="none" w:sz="0" w:space="0" w:color="auto"/>
              </w:divBdr>
            </w:div>
          </w:divsChild>
        </w:div>
        <w:div w:id="626811438">
          <w:marLeft w:val="0"/>
          <w:marRight w:val="0"/>
          <w:marTop w:val="0"/>
          <w:marBottom w:val="0"/>
          <w:divBdr>
            <w:top w:val="none" w:sz="0" w:space="0" w:color="auto"/>
            <w:left w:val="none" w:sz="0" w:space="0" w:color="auto"/>
            <w:bottom w:val="none" w:sz="0" w:space="0" w:color="auto"/>
            <w:right w:val="none" w:sz="0" w:space="0" w:color="auto"/>
          </w:divBdr>
          <w:divsChild>
            <w:div w:id="1893883641">
              <w:marLeft w:val="0"/>
              <w:marRight w:val="0"/>
              <w:marTop w:val="0"/>
              <w:marBottom w:val="0"/>
              <w:divBdr>
                <w:top w:val="none" w:sz="0" w:space="0" w:color="auto"/>
                <w:left w:val="none" w:sz="0" w:space="0" w:color="auto"/>
                <w:bottom w:val="none" w:sz="0" w:space="0" w:color="auto"/>
                <w:right w:val="none" w:sz="0" w:space="0" w:color="auto"/>
              </w:divBdr>
            </w:div>
          </w:divsChild>
        </w:div>
        <w:div w:id="751119296">
          <w:marLeft w:val="0"/>
          <w:marRight w:val="0"/>
          <w:marTop w:val="0"/>
          <w:marBottom w:val="0"/>
          <w:divBdr>
            <w:top w:val="none" w:sz="0" w:space="0" w:color="auto"/>
            <w:left w:val="none" w:sz="0" w:space="0" w:color="auto"/>
            <w:bottom w:val="none" w:sz="0" w:space="0" w:color="auto"/>
            <w:right w:val="none" w:sz="0" w:space="0" w:color="auto"/>
          </w:divBdr>
          <w:divsChild>
            <w:div w:id="697657469">
              <w:marLeft w:val="0"/>
              <w:marRight w:val="0"/>
              <w:marTop w:val="0"/>
              <w:marBottom w:val="0"/>
              <w:divBdr>
                <w:top w:val="none" w:sz="0" w:space="0" w:color="auto"/>
                <w:left w:val="none" w:sz="0" w:space="0" w:color="auto"/>
                <w:bottom w:val="none" w:sz="0" w:space="0" w:color="auto"/>
                <w:right w:val="none" w:sz="0" w:space="0" w:color="auto"/>
              </w:divBdr>
            </w:div>
          </w:divsChild>
        </w:div>
        <w:div w:id="779380395">
          <w:marLeft w:val="0"/>
          <w:marRight w:val="0"/>
          <w:marTop w:val="0"/>
          <w:marBottom w:val="0"/>
          <w:divBdr>
            <w:top w:val="none" w:sz="0" w:space="0" w:color="auto"/>
            <w:left w:val="none" w:sz="0" w:space="0" w:color="auto"/>
            <w:bottom w:val="none" w:sz="0" w:space="0" w:color="auto"/>
            <w:right w:val="none" w:sz="0" w:space="0" w:color="auto"/>
          </w:divBdr>
          <w:divsChild>
            <w:div w:id="351885169">
              <w:marLeft w:val="0"/>
              <w:marRight w:val="0"/>
              <w:marTop w:val="0"/>
              <w:marBottom w:val="0"/>
              <w:divBdr>
                <w:top w:val="none" w:sz="0" w:space="0" w:color="auto"/>
                <w:left w:val="none" w:sz="0" w:space="0" w:color="auto"/>
                <w:bottom w:val="none" w:sz="0" w:space="0" w:color="auto"/>
                <w:right w:val="none" w:sz="0" w:space="0" w:color="auto"/>
              </w:divBdr>
            </w:div>
          </w:divsChild>
        </w:div>
        <w:div w:id="799617400">
          <w:marLeft w:val="0"/>
          <w:marRight w:val="0"/>
          <w:marTop w:val="0"/>
          <w:marBottom w:val="0"/>
          <w:divBdr>
            <w:top w:val="none" w:sz="0" w:space="0" w:color="auto"/>
            <w:left w:val="none" w:sz="0" w:space="0" w:color="auto"/>
            <w:bottom w:val="none" w:sz="0" w:space="0" w:color="auto"/>
            <w:right w:val="none" w:sz="0" w:space="0" w:color="auto"/>
          </w:divBdr>
          <w:divsChild>
            <w:div w:id="416633069">
              <w:marLeft w:val="0"/>
              <w:marRight w:val="0"/>
              <w:marTop w:val="0"/>
              <w:marBottom w:val="0"/>
              <w:divBdr>
                <w:top w:val="none" w:sz="0" w:space="0" w:color="auto"/>
                <w:left w:val="none" w:sz="0" w:space="0" w:color="auto"/>
                <w:bottom w:val="none" w:sz="0" w:space="0" w:color="auto"/>
                <w:right w:val="none" w:sz="0" w:space="0" w:color="auto"/>
              </w:divBdr>
            </w:div>
          </w:divsChild>
        </w:div>
        <w:div w:id="1308582942">
          <w:marLeft w:val="0"/>
          <w:marRight w:val="0"/>
          <w:marTop w:val="0"/>
          <w:marBottom w:val="0"/>
          <w:divBdr>
            <w:top w:val="none" w:sz="0" w:space="0" w:color="auto"/>
            <w:left w:val="none" w:sz="0" w:space="0" w:color="auto"/>
            <w:bottom w:val="none" w:sz="0" w:space="0" w:color="auto"/>
            <w:right w:val="none" w:sz="0" w:space="0" w:color="auto"/>
          </w:divBdr>
          <w:divsChild>
            <w:div w:id="506136125">
              <w:marLeft w:val="0"/>
              <w:marRight w:val="0"/>
              <w:marTop w:val="0"/>
              <w:marBottom w:val="0"/>
              <w:divBdr>
                <w:top w:val="none" w:sz="0" w:space="0" w:color="auto"/>
                <w:left w:val="none" w:sz="0" w:space="0" w:color="auto"/>
                <w:bottom w:val="none" w:sz="0" w:space="0" w:color="auto"/>
                <w:right w:val="none" w:sz="0" w:space="0" w:color="auto"/>
              </w:divBdr>
            </w:div>
          </w:divsChild>
        </w:div>
        <w:div w:id="1335262380">
          <w:marLeft w:val="0"/>
          <w:marRight w:val="0"/>
          <w:marTop w:val="0"/>
          <w:marBottom w:val="0"/>
          <w:divBdr>
            <w:top w:val="none" w:sz="0" w:space="0" w:color="auto"/>
            <w:left w:val="none" w:sz="0" w:space="0" w:color="auto"/>
            <w:bottom w:val="none" w:sz="0" w:space="0" w:color="auto"/>
            <w:right w:val="none" w:sz="0" w:space="0" w:color="auto"/>
          </w:divBdr>
          <w:divsChild>
            <w:div w:id="823084833">
              <w:marLeft w:val="0"/>
              <w:marRight w:val="0"/>
              <w:marTop w:val="0"/>
              <w:marBottom w:val="0"/>
              <w:divBdr>
                <w:top w:val="none" w:sz="0" w:space="0" w:color="auto"/>
                <w:left w:val="none" w:sz="0" w:space="0" w:color="auto"/>
                <w:bottom w:val="none" w:sz="0" w:space="0" w:color="auto"/>
                <w:right w:val="none" w:sz="0" w:space="0" w:color="auto"/>
              </w:divBdr>
            </w:div>
          </w:divsChild>
        </w:div>
        <w:div w:id="1445074101">
          <w:marLeft w:val="0"/>
          <w:marRight w:val="0"/>
          <w:marTop w:val="0"/>
          <w:marBottom w:val="0"/>
          <w:divBdr>
            <w:top w:val="none" w:sz="0" w:space="0" w:color="auto"/>
            <w:left w:val="none" w:sz="0" w:space="0" w:color="auto"/>
            <w:bottom w:val="none" w:sz="0" w:space="0" w:color="auto"/>
            <w:right w:val="none" w:sz="0" w:space="0" w:color="auto"/>
          </w:divBdr>
          <w:divsChild>
            <w:div w:id="194126692">
              <w:marLeft w:val="0"/>
              <w:marRight w:val="0"/>
              <w:marTop w:val="0"/>
              <w:marBottom w:val="0"/>
              <w:divBdr>
                <w:top w:val="none" w:sz="0" w:space="0" w:color="auto"/>
                <w:left w:val="none" w:sz="0" w:space="0" w:color="auto"/>
                <w:bottom w:val="none" w:sz="0" w:space="0" w:color="auto"/>
                <w:right w:val="none" w:sz="0" w:space="0" w:color="auto"/>
              </w:divBdr>
            </w:div>
          </w:divsChild>
        </w:div>
        <w:div w:id="1472748817">
          <w:marLeft w:val="0"/>
          <w:marRight w:val="0"/>
          <w:marTop w:val="0"/>
          <w:marBottom w:val="0"/>
          <w:divBdr>
            <w:top w:val="none" w:sz="0" w:space="0" w:color="auto"/>
            <w:left w:val="none" w:sz="0" w:space="0" w:color="auto"/>
            <w:bottom w:val="none" w:sz="0" w:space="0" w:color="auto"/>
            <w:right w:val="none" w:sz="0" w:space="0" w:color="auto"/>
          </w:divBdr>
          <w:divsChild>
            <w:div w:id="576324537">
              <w:marLeft w:val="0"/>
              <w:marRight w:val="0"/>
              <w:marTop w:val="0"/>
              <w:marBottom w:val="0"/>
              <w:divBdr>
                <w:top w:val="none" w:sz="0" w:space="0" w:color="auto"/>
                <w:left w:val="none" w:sz="0" w:space="0" w:color="auto"/>
                <w:bottom w:val="none" w:sz="0" w:space="0" w:color="auto"/>
                <w:right w:val="none" w:sz="0" w:space="0" w:color="auto"/>
              </w:divBdr>
            </w:div>
          </w:divsChild>
        </w:div>
        <w:div w:id="1531914132">
          <w:marLeft w:val="0"/>
          <w:marRight w:val="0"/>
          <w:marTop w:val="0"/>
          <w:marBottom w:val="0"/>
          <w:divBdr>
            <w:top w:val="none" w:sz="0" w:space="0" w:color="auto"/>
            <w:left w:val="none" w:sz="0" w:space="0" w:color="auto"/>
            <w:bottom w:val="none" w:sz="0" w:space="0" w:color="auto"/>
            <w:right w:val="none" w:sz="0" w:space="0" w:color="auto"/>
          </w:divBdr>
          <w:divsChild>
            <w:div w:id="195316493">
              <w:marLeft w:val="0"/>
              <w:marRight w:val="0"/>
              <w:marTop w:val="0"/>
              <w:marBottom w:val="0"/>
              <w:divBdr>
                <w:top w:val="none" w:sz="0" w:space="0" w:color="auto"/>
                <w:left w:val="none" w:sz="0" w:space="0" w:color="auto"/>
                <w:bottom w:val="none" w:sz="0" w:space="0" w:color="auto"/>
                <w:right w:val="none" w:sz="0" w:space="0" w:color="auto"/>
              </w:divBdr>
            </w:div>
          </w:divsChild>
        </w:div>
        <w:div w:id="1570261430">
          <w:marLeft w:val="0"/>
          <w:marRight w:val="0"/>
          <w:marTop w:val="0"/>
          <w:marBottom w:val="0"/>
          <w:divBdr>
            <w:top w:val="none" w:sz="0" w:space="0" w:color="auto"/>
            <w:left w:val="none" w:sz="0" w:space="0" w:color="auto"/>
            <w:bottom w:val="none" w:sz="0" w:space="0" w:color="auto"/>
            <w:right w:val="none" w:sz="0" w:space="0" w:color="auto"/>
          </w:divBdr>
          <w:divsChild>
            <w:div w:id="1122306124">
              <w:marLeft w:val="0"/>
              <w:marRight w:val="0"/>
              <w:marTop w:val="0"/>
              <w:marBottom w:val="0"/>
              <w:divBdr>
                <w:top w:val="none" w:sz="0" w:space="0" w:color="auto"/>
                <w:left w:val="none" w:sz="0" w:space="0" w:color="auto"/>
                <w:bottom w:val="none" w:sz="0" w:space="0" w:color="auto"/>
                <w:right w:val="none" w:sz="0" w:space="0" w:color="auto"/>
              </w:divBdr>
            </w:div>
          </w:divsChild>
        </w:div>
        <w:div w:id="1573154868">
          <w:marLeft w:val="0"/>
          <w:marRight w:val="0"/>
          <w:marTop w:val="0"/>
          <w:marBottom w:val="0"/>
          <w:divBdr>
            <w:top w:val="none" w:sz="0" w:space="0" w:color="auto"/>
            <w:left w:val="none" w:sz="0" w:space="0" w:color="auto"/>
            <w:bottom w:val="none" w:sz="0" w:space="0" w:color="auto"/>
            <w:right w:val="none" w:sz="0" w:space="0" w:color="auto"/>
          </w:divBdr>
          <w:divsChild>
            <w:div w:id="1651901556">
              <w:marLeft w:val="0"/>
              <w:marRight w:val="0"/>
              <w:marTop w:val="0"/>
              <w:marBottom w:val="0"/>
              <w:divBdr>
                <w:top w:val="none" w:sz="0" w:space="0" w:color="auto"/>
                <w:left w:val="none" w:sz="0" w:space="0" w:color="auto"/>
                <w:bottom w:val="none" w:sz="0" w:space="0" w:color="auto"/>
                <w:right w:val="none" w:sz="0" w:space="0" w:color="auto"/>
              </w:divBdr>
            </w:div>
          </w:divsChild>
        </w:div>
        <w:div w:id="1617757418">
          <w:marLeft w:val="0"/>
          <w:marRight w:val="0"/>
          <w:marTop w:val="0"/>
          <w:marBottom w:val="0"/>
          <w:divBdr>
            <w:top w:val="none" w:sz="0" w:space="0" w:color="auto"/>
            <w:left w:val="none" w:sz="0" w:space="0" w:color="auto"/>
            <w:bottom w:val="none" w:sz="0" w:space="0" w:color="auto"/>
            <w:right w:val="none" w:sz="0" w:space="0" w:color="auto"/>
          </w:divBdr>
          <w:divsChild>
            <w:div w:id="1123234695">
              <w:marLeft w:val="0"/>
              <w:marRight w:val="0"/>
              <w:marTop w:val="0"/>
              <w:marBottom w:val="0"/>
              <w:divBdr>
                <w:top w:val="none" w:sz="0" w:space="0" w:color="auto"/>
                <w:left w:val="none" w:sz="0" w:space="0" w:color="auto"/>
                <w:bottom w:val="none" w:sz="0" w:space="0" w:color="auto"/>
                <w:right w:val="none" w:sz="0" w:space="0" w:color="auto"/>
              </w:divBdr>
            </w:div>
          </w:divsChild>
        </w:div>
        <w:div w:id="1634628842">
          <w:marLeft w:val="0"/>
          <w:marRight w:val="0"/>
          <w:marTop w:val="0"/>
          <w:marBottom w:val="0"/>
          <w:divBdr>
            <w:top w:val="none" w:sz="0" w:space="0" w:color="auto"/>
            <w:left w:val="none" w:sz="0" w:space="0" w:color="auto"/>
            <w:bottom w:val="none" w:sz="0" w:space="0" w:color="auto"/>
            <w:right w:val="none" w:sz="0" w:space="0" w:color="auto"/>
          </w:divBdr>
          <w:divsChild>
            <w:div w:id="76094001">
              <w:marLeft w:val="0"/>
              <w:marRight w:val="0"/>
              <w:marTop w:val="0"/>
              <w:marBottom w:val="0"/>
              <w:divBdr>
                <w:top w:val="none" w:sz="0" w:space="0" w:color="auto"/>
                <w:left w:val="none" w:sz="0" w:space="0" w:color="auto"/>
                <w:bottom w:val="none" w:sz="0" w:space="0" w:color="auto"/>
                <w:right w:val="none" w:sz="0" w:space="0" w:color="auto"/>
              </w:divBdr>
            </w:div>
          </w:divsChild>
        </w:div>
        <w:div w:id="1732849018">
          <w:marLeft w:val="0"/>
          <w:marRight w:val="0"/>
          <w:marTop w:val="0"/>
          <w:marBottom w:val="0"/>
          <w:divBdr>
            <w:top w:val="none" w:sz="0" w:space="0" w:color="auto"/>
            <w:left w:val="none" w:sz="0" w:space="0" w:color="auto"/>
            <w:bottom w:val="none" w:sz="0" w:space="0" w:color="auto"/>
            <w:right w:val="none" w:sz="0" w:space="0" w:color="auto"/>
          </w:divBdr>
          <w:divsChild>
            <w:div w:id="1113402320">
              <w:marLeft w:val="0"/>
              <w:marRight w:val="0"/>
              <w:marTop w:val="0"/>
              <w:marBottom w:val="0"/>
              <w:divBdr>
                <w:top w:val="none" w:sz="0" w:space="0" w:color="auto"/>
                <w:left w:val="none" w:sz="0" w:space="0" w:color="auto"/>
                <w:bottom w:val="none" w:sz="0" w:space="0" w:color="auto"/>
                <w:right w:val="none" w:sz="0" w:space="0" w:color="auto"/>
              </w:divBdr>
            </w:div>
          </w:divsChild>
        </w:div>
        <w:div w:id="1771507406">
          <w:marLeft w:val="0"/>
          <w:marRight w:val="0"/>
          <w:marTop w:val="0"/>
          <w:marBottom w:val="0"/>
          <w:divBdr>
            <w:top w:val="none" w:sz="0" w:space="0" w:color="auto"/>
            <w:left w:val="none" w:sz="0" w:space="0" w:color="auto"/>
            <w:bottom w:val="none" w:sz="0" w:space="0" w:color="auto"/>
            <w:right w:val="none" w:sz="0" w:space="0" w:color="auto"/>
          </w:divBdr>
          <w:divsChild>
            <w:div w:id="1156191566">
              <w:marLeft w:val="0"/>
              <w:marRight w:val="0"/>
              <w:marTop w:val="0"/>
              <w:marBottom w:val="0"/>
              <w:divBdr>
                <w:top w:val="none" w:sz="0" w:space="0" w:color="auto"/>
                <w:left w:val="none" w:sz="0" w:space="0" w:color="auto"/>
                <w:bottom w:val="none" w:sz="0" w:space="0" w:color="auto"/>
                <w:right w:val="none" w:sz="0" w:space="0" w:color="auto"/>
              </w:divBdr>
            </w:div>
          </w:divsChild>
        </w:div>
        <w:div w:id="1772893539">
          <w:marLeft w:val="0"/>
          <w:marRight w:val="0"/>
          <w:marTop w:val="0"/>
          <w:marBottom w:val="0"/>
          <w:divBdr>
            <w:top w:val="none" w:sz="0" w:space="0" w:color="auto"/>
            <w:left w:val="none" w:sz="0" w:space="0" w:color="auto"/>
            <w:bottom w:val="none" w:sz="0" w:space="0" w:color="auto"/>
            <w:right w:val="none" w:sz="0" w:space="0" w:color="auto"/>
          </w:divBdr>
          <w:divsChild>
            <w:div w:id="637416815">
              <w:marLeft w:val="0"/>
              <w:marRight w:val="0"/>
              <w:marTop w:val="0"/>
              <w:marBottom w:val="0"/>
              <w:divBdr>
                <w:top w:val="none" w:sz="0" w:space="0" w:color="auto"/>
                <w:left w:val="none" w:sz="0" w:space="0" w:color="auto"/>
                <w:bottom w:val="none" w:sz="0" w:space="0" w:color="auto"/>
                <w:right w:val="none" w:sz="0" w:space="0" w:color="auto"/>
              </w:divBdr>
            </w:div>
          </w:divsChild>
        </w:div>
        <w:div w:id="1791388051">
          <w:marLeft w:val="0"/>
          <w:marRight w:val="0"/>
          <w:marTop w:val="0"/>
          <w:marBottom w:val="0"/>
          <w:divBdr>
            <w:top w:val="none" w:sz="0" w:space="0" w:color="auto"/>
            <w:left w:val="none" w:sz="0" w:space="0" w:color="auto"/>
            <w:bottom w:val="none" w:sz="0" w:space="0" w:color="auto"/>
            <w:right w:val="none" w:sz="0" w:space="0" w:color="auto"/>
          </w:divBdr>
          <w:divsChild>
            <w:div w:id="432822851">
              <w:marLeft w:val="0"/>
              <w:marRight w:val="0"/>
              <w:marTop w:val="0"/>
              <w:marBottom w:val="0"/>
              <w:divBdr>
                <w:top w:val="none" w:sz="0" w:space="0" w:color="auto"/>
                <w:left w:val="none" w:sz="0" w:space="0" w:color="auto"/>
                <w:bottom w:val="none" w:sz="0" w:space="0" w:color="auto"/>
                <w:right w:val="none" w:sz="0" w:space="0" w:color="auto"/>
              </w:divBdr>
            </w:div>
          </w:divsChild>
        </w:div>
        <w:div w:id="1870725686">
          <w:marLeft w:val="0"/>
          <w:marRight w:val="0"/>
          <w:marTop w:val="0"/>
          <w:marBottom w:val="0"/>
          <w:divBdr>
            <w:top w:val="none" w:sz="0" w:space="0" w:color="auto"/>
            <w:left w:val="none" w:sz="0" w:space="0" w:color="auto"/>
            <w:bottom w:val="none" w:sz="0" w:space="0" w:color="auto"/>
            <w:right w:val="none" w:sz="0" w:space="0" w:color="auto"/>
          </w:divBdr>
          <w:divsChild>
            <w:div w:id="1940872945">
              <w:marLeft w:val="0"/>
              <w:marRight w:val="0"/>
              <w:marTop w:val="0"/>
              <w:marBottom w:val="0"/>
              <w:divBdr>
                <w:top w:val="none" w:sz="0" w:space="0" w:color="auto"/>
                <w:left w:val="none" w:sz="0" w:space="0" w:color="auto"/>
                <w:bottom w:val="none" w:sz="0" w:space="0" w:color="auto"/>
                <w:right w:val="none" w:sz="0" w:space="0" w:color="auto"/>
              </w:divBdr>
            </w:div>
          </w:divsChild>
        </w:div>
        <w:div w:id="2002391859">
          <w:marLeft w:val="0"/>
          <w:marRight w:val="0"/>
          <w:marTop w:val="0"/>
          <w:marBottom w:val="0"/>
          <w:divBdr>
            <w:top w:val="none" w:sz="0" w:space="0" w:color="auto"/>
            <w:left w:val="none" w:sz="0" w:space="0" w:color="auto"/>
            <w:bottom w:val="none" w:sz="0" w:space="0" w:color="auto"/>
            <w:right w:val="none" w:sz="0" w:space="0" w:color="auto"/>
          </w:divBdr>
          <w:divsChild>
            <w:div w:id="138348354">
              <w:marLeft w:val="0"/>
              <w:marRight w:val="0"/>
              <w:marTop w:val="0"/>
              <w:marBottom w:val="0"/>
              <w:divBdr>
                <w:top w:val="none" w:sz="0" w:space="0" w:color="auto"/>
                <w:left w:val="none" w:sz="0" w:space="0" w:color="auto"/>
                <w:bottom w:val="none" w:sz="0" w:space="0" w:color="auto"/>
                <w:right w:val="none" w:sz="0" w:space="0" w:color="auto"/>
              </w:divBdr>
            </w:div>
          </w:divsChild>
        </w:div>
        <w:div w:id="2143571473">
          <w:marLeft w:val="0"/>
          <w:marRight w:val="0"/>
          <w:marTop w:val="0"/>
          <w:marBottom w:val="0"/>
          <w:divBdr>
            <w:top w:val="none" w:sz="0" w:space="0" w:color="auto"/>
            <w:left w:val="none" w:sz="0" w:space="0" w:color="auto"/>
            <w:bottom w:val="none" w:sz="0" w:space="0" w:color="auto"/>
            <w:right w:val="none" w:sz="0" w:space="0" w:color="auto"/>
          </w:divBdr>
          <w:divsChild>
            <w:div w:id="1629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33644">
      <w:bodyDiv w:val="1"/>
      <w:marLeft w:val="0"/>
      <w:marRight w:val="0"/>
      <w:marTop w:val="0"/>
      <w:marBottom w:val="0"/>
      <w:divBdr>
        <w:top w:val="none" w:sz="0" w:space="0" w:color="auto"/>
        <w:left w:val="none" w:sz="0" w:space="0" w:color="auto"/>
        <w:bottom w:val="none" w:sz="0" w:space="0" w:color="auto"/>
        <w:right w:val="none" w:sz="0" w:space="0" w:color="auto"/>
      </w:divBdr>
    </w:div>
    <w:div w:id="1943948130">
      <w:bodyDiv w:val="1"/>
      <w:marLeft w:val="0"/>
      <w:marRight w:val="0"/>
      <w:marTop w:val="0"/>
      <w:marBottom w:val="0"/>
      <w:divBdr>
        <w:top w:val="none" w:sz="0" w:space="0" w:color="auto"/>
        <w:left w:val="none" w:sz="0" w:space="0" w:color="auto"/>
        <w:bottom w:val="none" w:sz="0" w:space="0" w:color="auto"/>
        <w:right w:val="none" w:sz="0" w:space="0" w:color="auto"/>
      </w:divBdr>
    </w:div>
    <w:div w:id="1963922188">
      <w:bodyDiv w:val="1"/>
      <w:marLeft w:val="0"/>
      <w:marRight w:val="0"/>
      <w:marTop w:val="0"/>
      <w:marBottom w:val="0"/>
      <w:divBdr>
        <w:top w:val="none" w:sz="0" w:space="0" w:color="auto"/>
        <w:left w:val="none" w:sz="0" w:space="0" w:color="auto"/>
        <w:bottom w:val="none" w:sz="0" w:space="0" w:color="auto"/>
        <w:right w:val="none" w:sz="0" w:space="0" w:color="auto"/>
      </w:divBdr>
    </w:div>
    <w:div w:id="2004700981">
      <w:bodyDiv w:val="1"/>
      <w:marLeft w:val="0"/>
      <w:marRight w:val="0"/>
      <w:marTop w:val="0"/>
      <w:marBottom w:val="0"/>
      <w:divBdr>
        <w:top w:val="none" w:sz="0" w:space="0" w:color="auto"/>
        <w:left w:val="none" w:sz="0" w:space="0" w:color="auto"/>
        <w:bottom w:val="none" w:sz="0" w:space="0" w:color="auto"/>
        <w:right w:val="none" w:sz="0" w:space="0" w:color="auto"/>
      </w:divBdr>
    </w:div>
    <w:div w:id="2020037807">
      <w:bodyDiv w:val="1"/>
      <w:marLeft w:val="0"/>
      <w:marRight w:val="0"/>
      <w:marTop w:val="0"/>
      <w:marBottom w:val="0"/>
      <w:divBdr>
        <w:top w:val="none" w:sz="0" w:space="0" w:color="auto"/>
        <w:left w:val="none" w:sz="0" w:space="0" w:color="auto"/>
        <w:bottom w:val="none" w:sz="0" w:space="0" w:color="auto"/>
        <w:right w:val="none" w:sz="0" w:space="0" w:color="auto"/>
      </w:divBdr>
    </w:div>
    <w:div w:id="2061663011">
      <w:bodyDiv w:val="1"/>
      <w:marLeft w:val="0"/>
      <w:marRight w:val="0"/>
      <w:marTop w:val="0"/>
      <w:marBottom w:val="0"/>
      <w:divBdr>
        <w:top w:val="none" w:sz="0" w:space="0" w:color="auto"/>
        <w:left w:val="none" w:sz="0" w:space="0" w:color="auto"/>
        <w:bottom w:val="none" w:sz="0" w:space="0" w:color="auto"/>
        <w:right w:val="none" w:sz="0" w:space="0" w:color="auto"/>
      </w:divBdr>
    </w:div>
    <w:div w:id="2083135158">
      <w:bodyDiv w:val="1"/>
      <w:marLeft w:val="0"/>
      <w:marRight w:val="0"/>
      <w:marTop w:val="0"/>
      <w:marBottom w:val="0"/>
      <w:divBdr>
        <w:top w:val="none" w:sz="0" w:space="0" w:color="auto"/>
        <w:left w:val="none" w:sz="0" w:space="0" w:color="auto"/>
        <w:bottom w:val="none" w:sz="0" w:space="0" w:color="auto"/>
        <w:right w:val="none" w:sz="0" w:space="0" w:color="auto"/>
      </w:divBdr>
    </w:div>
    <w:div w:id="2108378098">
      <w:bodyDiv w:val="1"/>
      <w:marLeft w:val="0"/>
      <w:marRight w:val="0"/>
      <w:marTop w:val="0"/>
      <w:marBottom w:val="0"/>
      <w:divBdr>
        <w:top w:val="none" w:sz="0" w:space="0" w:color="auto"/>
        <w:left w:val="none" w:sz="0" w:space="0" w:color="auto"/>
        <w:bottom w:val="none" w:sz="0" w:space="0" w:color="auto"/>
        <w:right w:val="none" w:sz="0" w:space="0" w:color="auto"/>
      </w:divBdr>
    </w:div>
    <w:div w:id="2119526238">
      <w:bodyDiv w:val="1"/>
      <w:marLeft w:val="0"/>
      <w:marRight w:val="0"/>
      <w:marTop w:val="0"/>
      <w:marBottom w:val="0"/>
      <w:divBdr>
        <w:top w:val="none" w:sz="0" w:space="0" w:color="auto"/>
        <w:left w:val="none" w:sz="0" w:space="0" w:color="auto"/>
        <w:bottom w:val="none" w:sz="0" w:space="0" w:color="auto"/>
        <w:right w:val="none" w:sz="0" w:space="0" w:color="auto"/>
      </w:divBdr>
    </w:div>
    <w:div w:id="2134320844">
      <w:bodyDiv w:val="1"/>
      <w:marLeft w:val="0"/>
      <w:marRight w:val="0"/>
      <w:marTop w:val="0"/>
      <w:marBottom w:val="0"/>
      <w:divBdr>
        <w:top w:val="none" w:sz="0" w:space="0" w:color="auto"/>
        <w:left w:val="none" w:sz="0" w:space="0" w:color="auto"/>
        <w:bottom w:val="none" w:sz="0" w:space="0" w:color="auto"/>
        <w:right w:val="none" w:sz="0" w:space="0" w:color="auto"/>
      </w:divBdr>
      <w:divsChild>
        <w:div w:id="25449792">
          <w:marLeft w:val="0"/>
          <w:marRight w:val="0"/>
          <w:marTop w:val="0"/>
          <w:marBottom w:val="0"/>
          <w:divBdr>
            <w:top w:val="none" w:sz="0" w:space="0" w:color="auto"/>
            <w:left w:val="none" w:sz="0" w:space="0" w:color="auto"/>
            <w:bottom w:val="none" w:sz="0" w:space="0" w:color="auto"/>
            <w:right w:val="none" w:sz="0" w:space="0" w:color="auto"/>
          </w:divBdr>
          <w:divsChild>
            <w:div w:id="840895859">
              <w:marLeft w:val="0"/>
              <w:marRight w:val="0"/>
              <w:marTop w:val="0"/>
              <w:marBottom w:val="0"/>
              <w:divBdr>
                <w:top w:val="none" w:sz="0" w:space="0" w:color="auto"/>
                <w:left w:val="none" w:sz="0" w:space="0" w:color="auto"/>
                <w:bottom w:val="none" w:sz="0" w:space="0" w:color="auto"/>
                <w:right w:val="none" w:sz="0" w:space="0" w:color="auto"/>
              </w:divBdr>
            </w:div>
          </w:divsChild>
        </w:div>
        <w:div w:id="36469457">
          <w:marLeft w:val="0"/>
          <w:marRight w:val="0"/>
          <w:marTop w:val="0"/>
          <w:marBottom w:val="0"/>
          <w:divBdr>
            <w:top w:val="none" w:sz="0" w:space="0" w:color="auto"/>
            <w:left w:val="none" w:sz="0" w:space="0" w:color="auto"/>
            <w:bottom w:val="none" w:sz="0" w:space="0" w:color="auto"/>
            <w:right w:val="none" w:sz="0" w:space="0" w:color="auto"/>
          </w:divBdr>
          <w:divsChild>
            <w:div w:id="1880118214">
              <w:marLeft w:val="0"/>
              <w:marRight w:val="0"/>
              <w:marTop w:val="0"/>
              <w:marBottom w:val="0"/>
              <w:divBdr>
                <w:top w:val="none" w:sz="0" w:space="0" w:color="auto"/>
                <w:left w:val="none" w:sz="0" w:space="0" w:color="auto"/>
                <w:bottom w:val="none" w:sz="0" w:space="0" w:color="auto"/>
                <w:right w:val="none" w:sz="0" w:space="0" w:color="auto"/>
              </w:divBdr>
            </w:div>
          </w:divsChild>
        </w:div>
        <w:div w:id="162356988">
          <w:marLeft w:val="0"/>
          <w:marRight w:val="0"/>
          <w:marTop w:val="0"/>
          <w:marBottom w:val="0"/>
          <w:divBdr>
            <w:top w:val="none" w:sz="0" w:space="0" w:color="auto"/>
            <w:left w:val="none" w:sz="0" w:space="0" w:color="auto"/>
            <w:bottom w:val="none" w:sz="0" w:space="0" w:color="auto"/>
            <w:right w:val="none" w:sz="0" w:space="0" w:color="auto"/>
          </w:divBdr>
          <w:divsChild>
            <w:div w:id="761923555">
              <w:marLeft w:val="0"/>
              <w:marRight w:val="0"/>
              <w:marTop w:val="0"/>
              <w:marBottom w:val="0"/>
              <w:divBdr>
                <w:top w:val="none" w:sz="0" w:space="0" w:color="auto"/>
                <w:left w:val="none" w:sz="0" w:space="0" w:color="auto"/>
                <w:bottom w:val="none" w:sz="0" w:space="0" w:color="auto"/>
                <w:right w:val="none" w:sz="0" w:space="0" w:color="auto"/>
              </w:divBdr>
            </w:div>
          </w:divsChild>
        </w:div>
        <w:div w:id="247807372">
          <w:marLeft w:val="0"/>
          <w:marRight w:val="0"/>
          <w:marTop w:val="0"/>
          <w:marBottom w:val="0"/>
          <w:divBdr>
            <w:top w:val="none" w:sz="0" w:space="0" w:color="auto"/>
            <w:left w:val="none" w:sz="0" w:space="0" w:color="auto"/>
            <w:bottom w:val="none" w:sz="0" w:space="0" w:color="auto"/>
            <w:right w:val="none" w:sz="0" w:space="0" w:color="auto"/>
          </w:divBdr>
          <w:divsChild>
            <w:div w:id="1220364597">
              <w:marLeft w:val="0"/>
              <w:marRight w:val="0"/>
              <w:marTop w:val="0"/>
              <w:marBottom w:val="0"/>
              <w:divBdr>
                <w:top w:val="none" w:sz="0" w:space="0" w:color="auto"/>
                <w:left w:val="none" w:sz="0" w:space="0" w:color="auto"/>
                <w:bottom w:val="none" w:sz="0" w:space="0" w:color="auto"/>
                <w:right w:val="none" w:sz="0" w:space="0" w:color="auto"/>
              </w:divBdr>
            </w:div>
          </w:divsChild>
        </w:div>
        <w:div w:id="296187168">
          <w:marLeft w:val="0"/>
          <w:marRight w:val="0"/>
          <w:marTop w:val="0"/>
          <w:marBottom w:val="0"/>
          <w:divBdr>
            <w:top w:val="none" w:sz="0" w:space="0" w:color="auto"/>
            <w:left w:val="none" w:sz="0" w:space="0" w:color="auto"/>
            <w:bottom w:val="none" w:sz="0" w:space="0" w:color="auto"/>
            <w:right w:val="none" w:sz="0" w:space="0" w:color="auto"/>
          </w:divBdr>
          <w:divsChild>
            <w:div w:id="1991208715">
              <w:marLeft w:val="0"/>
              <w:marRight w:val="0"/>
              <w:marTop w:val="0"/>
              <w:marBottom w:val="0"/>
              <w:divBdr>
                <w:top w:val="none" w:sz="0" w:space="0" w:color="auto"/>
                <w:left w:val="none" w:sz="0" w:space="0" w:color="auto"/>
                <w:bottom w:val="none" w:sz="0" w:space="0" w:color="auto"/>
                <w:right w:val="none" w:sz="0" w:space="0" w:color="auto"/>
              </w:divBdr>
            </w:div>
          </w:divsChild>
        </w:div>
        <w:div w:id="328145705">
          <w:marLeft w:val="0"/>
          <w:marRight w:val="0"/>
          <w:marTop w:val="0"/>
          <w:marBottom w:val="0"/>
          <w:divBdr>
            <w:top w:val="none" w:sz="0" w:space="0" w:color="auto"/>
            <w:left w:val="none" w:sz="0" w:space="0" w:color="auto"/>
            <w:bottom w:val="none" w:sz="0" w:space="0" w:color="auto"/>
            <w:right w:val="none" w:sz="0" w:space="0" w:color="auto"/>
          </w:divBdr>
          <w:divsChild>
            <w:div w:id="1186022869">
              <w:marLeft w:val="0"/>
              <w:marRight w:val="0"/>
              <w:marTop w:val="0"/>
              <w:marBottom w:val="0"/>
              <w:divBdr>
                <w:top w:val="none" w:sz="0" w:space="0" w:color="auto"/>
                <w:left w:val="none" w:sz="0" w:space="0" w:color="auto"/>
                <w:bottom w:val="none" w:sz="0" w:space="0" w:color="auto"/>
                <w:right w:val="none" w:sz="0" w:space="0" w:color="auto"/>
              </w:divBdr>
            </w:div>
          </w:divsChild>
        </w:div>
        <w:div w:id="771555483">
          <w:marLeft w:val="0"/>
          <w:marRight w:val="0"/>
          <w:marTop w:val="0"/>
          <w:marBottom w:val="0"/>
          <w:divBdr>
            <w:top w:val="none" w:sz="0" w:space="0" w:color="auto"/>
            <w:left w:val="none" w:sz="0" w:space="0" w:color="auto"/>
            <w:bottom w:val="none" w:sz="0" w:space="0" w:color="auto"/>
            <w:right w:val="none" w:sz="0" w:space="0" w:color="auto"/>
          </w:divBdr>
          <w:divsChild>
            <w:div w:id="823818573">
              <w:marLeft w:val="0"/>
              <w:marRight w:val="0"/>
              <w:marTop w:val="0"/>
              <w:marBottom w:val="0"/>
              <w:divBdr>
                <w:top w:val="none" w:sz="0" w:space="0" w:color="auto"/>
                <w:left w:val="none" w:sz="0" w:space="0" w:color="auto"/>
                <w:bottom w:val="none" w:sz="0" w:space="0" w:color="auto"/>
                <w:right w:val="none" w:sz="0" w:space="0" w:color="auto"/>
              </w:divBdr>
            </w:div>
          </w:divsChild>
        </w:div>
        <w:div w:id="829708662">
          <w:marLeft w:val="0"/>
          <w:marRight w:val="0"/>
          <w:marTop w:val="0"/>
          <w:marBottom w:val="0"/>
          <w:divBdr>
            <w:top w:val="none" w:sz="0" w:space="0" w:color="auto"/>
            <w:left w:val="none" w:sz="0" w:space="0" w:color="auto"/>
            <w:bottom w:val="none" w:sz="0" w:space="0" w:color="auto"/>
            <w:right w:val="none" w:sz="0" w:space="0" w:color="auto"/>
          </w:divBdr>
          <w:divsChild>
            <w:div w:id="1023287289">
              <w:marLeft w:val="0"/>
              <w:marRight w:val="0"/>
              <w:marTop w:val="0"/>
              <w:marBottom w:val="0"/>
              <w:divBdr>
                <w:top w:val="none" w:sz="0" w:space="0" w:color="auto"/>
                <w:left w:val="none" w:sz="0" w:space="0" w:color="auto"/>
                <w:bottom w:val="none" w:sz="0" w:space="0" w:color="auto"/>
                <w:right w:val="none" w:sz="0" w:space="0" w:color="auto"/>
              </w:divBdr>
            </w:div>
          </w:divsChild>
        </w:div>
        <w:div w:id="848372960">
          <w:marLeft w:val="0"/>
          <w:marRight w:val="0"/>
          <w:marTop w:val="0"/>
          <w:marBottom w:val="0"/>
          <w:divBdr>
            <w:top w:val="none" w:sz="0" w:space="0" w:color="auto"/>
            <w:left w:val="none" w:sz="0" w:space="0" w:color="auto"/>
            <w:bottom w:val="none" w:sz="0" w:space="0" w:color="auto"/>
            <w:right w:val="none" w:sz="0" w:space="0" w:color="auto"/>
          </w:divBdr>
          <w:divsChild>
            <w:div w:id="695928226">
              <w:marLeft w:val="0"/>
              <w:marRight w:val="0"/>
              <w:marTop w:val="0"/>
              <w:marBottom w:val="0"/>
              <w:divBdr>
                <w:top w:val="none" w:sz="0" w:space="0" w:color="auto"/>
                <w:left w:val="none" w:sz="0" w:space="0" w:color="auto"/>
                <w:bottom w:val="none" w:sz="0" w:space="0" w:color="auto"/>
                <w:right w:val="none" w:sz="0" w:space="0" w:color="auto"/>
              </w:divBdr>
            </w:div>
          </w:divsChild>
        </w:div>
        <w:div w:id="1054740489">
          <w:marLeft w:val="0"/>
          <w:marRight w:val="0"/>
          <w:marTop w:val="0"/>
          <w:marBottom w:val="0"/>
          <w:divBdr>
            <w:top w:val="none" w:sz="0" w:space="0" w:color="auto"/>
            <w:left w:val="none" w:sz="0" w:space="0" w:color="auto"/>
            <w:bottom w:val="none" w:sz="0" w:space="0" w:color="auto"/>
            <w:right w:val="none" w:sz="0" w:space="0" w:color="auto"/>
          </w:divBdr>
          <w:divsChild>
            <w:div w:id="152265049">
              <w:marLeft w:val="0"/>
              <w:marRight w:val="0"/>
              <w:marTop w:val="0"/>
              <w:marBottom w:val="0"/>
              <w:divBdr>
                <w:top w:val="none" w:sz="0" w:space="0" w:color="auto"/>
                <w:left w:val="none" w:sz="0" w:space="0" w:color="auto"/>
                <w:bottom w:val="none" w:sz="0" w:space="0" w:color="auto"/>
                <w:right w:val="none" w:sz="0" w:space="0" w:color="auto"/>
              </w:divBdr>
            </w:div>
          </w:divsChild>
        </w:div>
        <w:div w:id="1238202324">
          <w:marLeft w:val="0"/>
          <w:marRight w:val="0"/>
          <w:marTop w:val="0"/>
          <w:marBottom w:val="0"/>
          <w:divBdr>
            <w:top w:val="none" w:sz="0" w:space="0" w:color="auto"/>
            <w:left w:val="none" w:sz="0" w:space="0" w:color="auto"/>
            <w:bottom w:val="none" w:sz="0" w:space="0" w:color="auto"/>
            <w:right w:val="none" w:sz="0" w:space="0" w:color="auto"/>
          </w:divBdr>
          <w:divsChild>
            <w:div w:id="23292323">
              <w:marLeft w:val="0"/>
              <w:marRight w:val="0"/>
              <w:marTop w:val="0"/>
              <w:marBottom w:val="0"/>
              <w:divBdr>
                <w:top w:val="none" w:sz="0" w:space="0" w:color="auto"/>
                <w:left w:val="none" w:sz="0" w:space="0" w:color="auto"/>
                <w:bottom w:val="none" w:sz="0" w:space="0" w:color="auto"/>
                <w:right w:val="none" w:sz="0" w:space="0" w:color="auto"/>
              </w:divBdr>
            </w:div>
          </w:divsChild>
        </w:div>
        <w:div w:id="1546258464">
          <w:marLeft w:val="0"/>
          <w:marRight w:val="0"/>
          <w:marTop w:val="0"/>
          <w:marBottom w:val="0"/>
          <w:divBdr>
            <w:top w:val="none" w:sz="0" w:space="0" w:color="auto"/>
            <w:left w:val="none" w:sz="0" w:space="0" w:color="auto"/>
            <w:bottom w:val="none" w:sz="0" w:space="0" w:color="auto"/>
            <w:right w:val="none" w:sz="0" w:space="0" w:color="auto"/>
          </w:divBdr>
          <w:divsChild>
            <w:div w:id="1264418393">
              <w:marLeft w:val="0"/>
              <w:marRight w:val="0"/>
              <w:marTop w:val="0"/>
              <w:marBottom w:val="0"/>
              <w:divBdr>
                <w:top w:val="none" w:sz="0" w:space="0" w:color="auto"/>
                <w:left w:val="none" w:sz="0" w:space="0" w:color="auto"/>
                <w:bottom w:val="none" w:sz="0" w:space="0" w:color="auto"/>
                <w:right w:val="none" w:sz="0" w:space="0" w:color="auto"/>
              </w:divBdr>
            </w:div>
          </w:divsChild>
        </w:div>
        <w:div w:id="1631789407">
          <w:marLeft w:val="0"/>
          <w:marRight w:val="0"/>
          <w:marTop w:val="0"/>
          <w:marBottom w:val="0"/>
          <w:divBdr>
            <w:top w:val="none" w:sz="0" w:space="0" w:color="auto"/>
            <w:left w:val="none" w:sz="0" w:space="0" w:color="auto"/>
            <w:bottom w:val="none" w:sz="0" w:space="0" w:color="auto"/>
            <w:right w:val="none" w:sz="0" w:space="0" w:color="auto"/>
          </w:divBdr>
          <w:divsChild>
            <w:div w:id="2000763707">
              <w:marLeft w:val="0"/>
              <w:marRight w:val="0"/>
              <w:marTop w:val="0"/>
              <w:marBottom w:val="0"/>
              <w:divBdr>
                <w:top w:val="none" w:sz="0" w:space="0" w:color="auto"/>
                <w:left w:val="none" w:sz="0" w:space="0" w:color="auto"/>
                <w:bottom w:val="none" w:sz="0" w:space="0" w:color="auto"/>
                <w:right w:val="none" w:sz="0" w:space="0" w:color="auto"/>
              </w:divBdr>
            </w:div>
          </w:divsChild>
        </w:div>
        <w:div w:id="1649937162">
          <w:marLeft w:val="0"/>
          <w:marRight w:val="0"/>
          <w:marTop w:val="0"/>
          <w:marBottom w:val="0"/>
          <w:divBdr>
            <w:top w:val="none" w:sz="0" w:space="0" w:color="auto"/>
            <w:left w:val="none" w:sz="0" w:space="0" w:color="auto"/>
            <w:bottom w:val="none" w:sz="0" w:space="0" w:color="auto"/>
            <w:right w:val="none" w:sz="0" w:space="0" w:color="auto"/>
          </w:divBdr>
          <w:divsChild>
            <w:div w:id="1278756231">
              <w:marLeft w:val="0"/>
              <w:marRight w:val="0"/>
              <w:marTop w:val="0"/>
              <w:marBottom w:val="0"/>
              <w:divBdr>
                <w:top w:val="none" w:sz="0" w:space="0" w:color="auto"/>
                <w:left w:val="none" w:sz="0" w:space="0" w:color="auto"/>
                <w:bottom w:val="none" w:sz="0" w:space="0" w:color="auto"/>
                <w:right w:val="none" w:sz="0" w:space="0" w:color="auto"/>
              </w:divBdr>
            </w:div>
          </w:divsChild>
        </w:div>
        <w:div w:id="1897087766">
          <w:marLeft w:val="0"/>
          <w:marRight w:val="0"/>
          <w:marTop w:val="0"/>
          <w:marBottom w:val="0"/>
          <w:divBdr>
            <w:top w:val="none" w:sz="0" w:space="0" w:color="auto"/>
            <w:left w:val="none" w:sz="0" w:space="0" w:color="auto"/>
            <w:bottom w:val="none" w:sz="0" w:space="0" w:color="auto"/>
            <w:right w:val="none" w:sz="0" w:space="0" w:color="auto"/>
          </w:divBdr>
          <w:divsChild>
            <w:div w:id="1200586293">
              <w:marLeft w:val="0"/>
              <w:marRight w:val="0"/>
              <w:marTop w:val="0"/>
              <w:marBottom w:val="0"/>
              <w:divBdr>
                <w:top w:val="none" w:sz="0" w:space="0" w:color="auto"/>
                <w:left w:val="none" w:sz="0" w:space="0" w:color="auto"/>
                <w:bottom w:val="none" w:sz="0" w:space="0" w:color="auto"/>
                <w:right w:val="none" w:sz="0" w:space="0" w:color="auto"/>
              </w:divBdr>
            </w:div>
          </w:divsChild>
        </w:div>
        <w:div w:id="2017339755">
          <w:marLeft w:val="0"/>
          <w:marRight w:val="0"/>
          <w:marTop w:val="0"/>
          <w:marBottom w:val="0"/>
          <w:divBdr>
            <w:top w:val="none" w:sz="0" w:space="0" w:color="auto"/>
            <w:left w:val="none" w:sz="0" w:space="0" w:color="auto"/>
            <w:bottom w:val="none" w:sz="0" w:space="0" w:color="auto"/>
            <w:right w:val="none" w:sz="0" w:space="0" w:color="auto"/>
          </w:divBdr>
          <w:divsChild>
            <w:div w:id="6158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s://www.tesourotransparente.gov.br/publicacoes/relatorio/plano-anual-de-financiamento-paf/publicacao-2019-02-20-7973347627"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5336832895887"/>
          <c:y val="5.0925925925925923E-2"/>
          <c:w val="0.83289107611548552"/>
          <c:h val="0.77835593467483233"/>
        </c:manualLayout>
      </c:layout>
      <c:barChart>
        <c:barDir val="col"/>
        <c:grouping val="clustered"/>
        <c:varyColors val="0"/>
        <c:ser>
          <c:idx val="0"/>
          <c:order val="0"/>
          <c:tx>
            <c:strRef>
              <c:f>Demografia!$A$24</c:f>
              <c:strCache>
                <c:ptCount val="1"/>
                <c:pt idx="0">
                  <c:v>Educação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Demografia!$E$23:$N$23</c:f>
              <c:strCache>
                <c:ptCount val="10"/>
                <c:pt idx="0">
                  <c:v>2021</c:v>
                </c:pt>
                <c:pt idx="1">
                  <c:v>2022</c:v>
                </c:pt>
                <c:pt idx="2">
                  <c:v>2023</c:v>
                </c:pt>
                <c:pt idx="3">
                  <c:v>2024</c:v>
                </c:pt>
                <c:pt idx="4">
                  <c:v>2025</c:v>
                </c:pt>
                <c:pt idx="5">
                  <c:v>2026</c:v>
                </c:pt>
                <c:pt idx="6">
                  <c:v>2027</c:v>
                </c:pt>
                <c:pt idx="7">
                  <c:v>2028</c:v>
                </c:pt>
                <c:pt idx="8">
                  <c:v>2029</c:v>
                </c:pt>
                <c:pt idx="9">
                  <c:v>2030</c:v>
                </c:pt>
              </c:strCache>
              <c:extLst xmlns:c16r2="http://schemas.microsoft.com/office/drawing/2015/06/chart"/>
            </c:strRef>
          </c:cat>
          <c:val>
            <c:numRef>
              <c:f>Demografia!$E$24:$N$24</c:f>
              <c:numCache>
                <c:formatCode>#,##0.0_ ;\-#,##0.0\ </c:formatCode>
                <c:ptCount val="10"/>
                <c:pt idx="0">
                  <c:v>-0.13369370084010007</c:v>
                </c:pt>
                <c:pt idx="1">
                  <c:v>-0.30386980017245879</c:v>
                </c:pt>
                <c:pt idx="2">
                  <c:v>-0.4833409111382716</c:v>
                </c:pt>
                <c:pt idx="3">
                  <c:v>-0.66241108604853793</c:v>
                </c:pt>
                <c:pt idx="4">
                  <c:v>-0.80423330927315329</c:v>
                </c:pt>
                <c:pt idx="5">
                  <c:v>-0.94969096454608737</c:v>
                </c:pt>
                <c:pt idx="6">
                  <c:v>-1.0631114088333671</c:v>
                </c:pt>
                <c:pt idx="7">
                  <c:v>-1.175301236991436</c:v>
                </c:pt>
                <c:pt idx="8">
                  <c:v>-1.2744033825876031</c:v>
                </c:pt>
                <c:pt idx="9">
                  <c:v>-1.3603143627965837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3FBF-4F07-93A6-D4D445F6E23B}"/>
            </c:ext>
          </c:extLst>
        </c:ser>
        <c:ser>
          <c:idx val="1"/>
          <c:order val="1"/>
          <c:tx>
            <c:strRef>
              <c:f>Demografia!$A$25</c:f>
              <c:strCache>
                <c:ptCount val="1"/>
                <c:pt idx="0">
                  <c:v>Saúde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Demografia!$E$23:$N$23</c:f>
              <c:strCache>
                <c:ptCount val="10"/>
                <c:pt idx="0">
                  <c:v>2021</c:v>
                </c:pt>
                <c:pt idx="1">
                  <c:v>2022</c:v>
                </c:pt>
                <c:pt idx="2">
                  <c:v>2023</c:v>
                </c:pt>
                <c:pt idx="3">
                  <c:v>2024</c:v>
                </c:pt>
                <c:pt idx="4">
                  <c:v>2025</c:v>
                </c:pt>
                <c:pt idx="5">
                  <c:v>2026</c:v>
                </c:pt>
                <c:pt idx="6">
                  <c:v>2027</c:v>
                </c:pt>
                <c:pt idx="7">
                  <c:v>2028</c:v>
                </c:pt>
                <c:pt idx="8">
                  <c:v>2029</c:v>
                </c:pt>
                <c:pt idx="9">
                  <c:v>2030</c:v>
                </c:pt>
              </c:strCache>
              <c:extLst xmlns:c16r2="http://schemas.microsoft.com/office/drawing/2015/06/chart"/>
            </c:strRef>
          </c:cat>
          <c:val>
            <c:numRef>
              <c:f>Demografia!$E$25:$N$25</c:f>
              <c:numCache>
                <c:formatCode>#,##0.0_ ;\-#,##0.0\ </c:formatCode>
                <c:ptCount val="10"/>
                <c:pt idx="0">
                  <c:v>2.0744705106398831</c:v>
                </c:pt>
                <c:pt idx="1">
                  <c:v>3.2696532587852709</c:v>
                </c:pt>
                <c:pt idx="2">
                  <c:v>4.4859474539430444</c:v>
                </c:pt>
                <c:pt idx="3">
                  <c:v>5.7218136583482995</c:v>
                </c:pt>
                <c:pt idx="4">
                  <c:v>6.9773584512216908</c:v>
                </c:pt>
                <c:pt idx="5">
                  <c:v>8.3467774309481761</c:v>
                </c:pt>
                <c:pt idx="6">
                  <c:v>9.6528210684259097</c:v>
                </c:pt>
                <c:pt idx="7">
                  <c:v>10.983317377417698</c:v>
                </c:pt>
                <c:pt idx="8">
                  <c:v>12.337971399321992</c:v>
                </c:pt>
                <c:pt idx="9">
                  <c:v>13.71624553230955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3FBF-4F07-93A6-D4D445F6E23B}"/>
            </c:ext>
          </c:extLst>
        </c:ser>
        <c:dLbls>
          <c:showLegendKey val="0"/>
          <c:showVal val="0"/>
          <c:showCatName val="0"/>
          <c:showSerName val="0"/>
          <c:showPercent val="0"/>
          <c:showBubbleSize val="0"/>
        </c:dLbls>
        <c:gapWidth val="131"/>
        <c:overlap val="-27"/>
        <c:axId val="138065792"/>
        <c:axId val="138067328"/>
      </c:barChart>
      <c:catAx>
        <c:axId val="138065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8067328"/>
        <c:crosses val="autoZero"/>
        <c:auto val="1"/>
        <c:lblAlgn val="ctr"/>
        <c:lblOffset val="5"/>
        <c:noMultiLvlLbl val="0"/>
      </c:catAx>
      <c:valAx>
        <c:axId val="138067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R$ bilhões a preços</a:t>
                </a:r>
                <a:r>
                  <a:rPr lang="pt-BR" baseline="0"/>
                  <a:t> de 2020</a:t>
                </a:r>
                <a:endParaRPr lang="pt-BR"/>
              </a:p>
            </c:rich>
          </c:tx>
          <c:layout>
            <c:manualLayout>
              <c:xMode val="edge"/>
              <c:yMode val="edge"/>
              <c:x val="2.7631950509939385E-2"/>
              <c:y val="0.12322986800562973"/>
            </c:manualLayout>
          </c:layout>
          <c:overlay val="0"/>
          <c:spPr>
            <a:noFill/>
            <a:ln>
              <a:noFill/>
            </a:ln>
            <a:effectLst/>
          </c:spPr>
        </c:title>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8065792"/>
        <c:crosses val="autoZero"/>
        <c:crossBetween val="between"/>
      </c:valAx>
      <c:spPr>
        <a:noFill/>
        <a:ln>
          <a:noFill/>
        </a:ln>
        <a:effectLst/>
      </c:spPr>
    </c:plotArea>
    <c:legend>
      <c:legendPos val="b"/>
      <c:layout>
        <c:manualLayout>
          <c:xMode val="edge"/>
          <c:yMode val="edge"/>
          <c:x val="0.36783120993995921"/>
          <c:y val="0.90798556430446198"/>
          <c:w val="0.2643373548263548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3028A2AFCBCA74A82B6A95CCC6EF00B" ma:contentTypeVersion="12" ma:contentTypeDescription="Crie um novo documento." ma:contentTypeScope="" ma:versionID="29b00730d144e57346ff2cbb5b771281">
  <xsd:schema xmlns:xsd="http://www.w3.org/2001/XMLSchema" xmlns:xs="http://www.w3.org/2001/XMLSchema" xmlns:p="http://schemas.microsoft.com/office/2006/metadata/properties" xmlns:ns2="7493bf09-224c-49f2-ba2a-b1f9b45c647a" xmlns:ns3="b31e391b-db55-4a39-9536-57185c8e27f3" targetNamespace="http://schemas.microsoft.com/office/2006/metadata/properties" ma:root="true" ma:fieldsID="090fb0cf84b87fbb6cc59c3d98aff8b4" ns2:_="" ns3:_="">
    <xsd:import namespace="7493bf09-224c-49f2-ba2a-b1f9b45c647a"/>
    <xsd:import namespace="b31e391b-db55-4a39-9536-57185c8e27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3bf09-224c-49f2-ba2a-b1f9b45c6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e391b-db55-4a39-9536-57185c8e27f3"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028AD-FED5-4175-86F8-7A198D293C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0C8C21-6857-4982-8194-67C485099AE1}">
  <ds:schemaRefs>
    <ds:schemaRef ds:uri="http://schemas.microsoft.com/sharepoint/v3/contenttype/forms"/>
  </ds:schemaRefs>
</ds:datastoreItem>
</file>

<file path=customXml/itemProps3.xml><?xml version="1.0" encoding="utf-8"?>
<ds:datastoreItem xmlns:ds="http://schemas.openxmlformats.org/officeDocument/2006/customXml" ds:itemID="{63F3AA38-5EC6-4A7B-881A-AEC7319C31D6}"/>
</file>

<file path=customXml/itemProps4.xml><?xml version="1.0" encoding="utf-8"?>
<ds:datastoreItem xmlns:ds="http://schemas.openxmlformats.org/officeDocument/2006/customXml" ds:itemID="{BA84C803-5939-4FB3-B234-33BC902E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2285</TotalTime>
  <Pages>121</Pages>
  <Words>51730</Words>
  <Characters>279343</Characters>
  <Application>Microsoft Office Word</Application>
  <DocSecurity>0</DocSecurity>
  <Lines>2327</Lines>
  <Paragraphs>660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330413</CharactersWithSpaces>
  <SharedDoc>false</SharedDoc>
  <HLinks>
    <vt:vector size="804" baseType="variant">
      <vt:variant>
        <vt:i4>3604531</vt:i4>
      </vt:variant>
      <vt:variant>
        <vt:i4>930</vt:i4>
      </vt:variant>
      <vt:variant>
        <vt:i4>0</vt:i4>
      </vt:variant>
      <vt:variant>
        <vt:i4>5</vt:i4>
      </vt:variant>
      <vt:variant>
        <vt:lpwstr>https://www.tesourotransparente.gov.br/publicacoes/relatorio/plano-anual-de-financiamento-paf/publicacao-2019-02-20-7973347627</vt:lpwstr>
      </vt:variant>
      <vt:variant>
        <vt:lpwstr/>
      </vt:variant>
      <vt:variant>
        <vt:i4>1310780</vt:i4>
      </vt:variant>
      <vt:variant>
        <vt:i4>800</vt:i4>
      </vt:variant>
      <vt:variant>
        <vt:i4>0</vt:i4>
      </vt:variant>
      <vt:variant>
        <vt:i4>5</vt:i4>
      </vt:variant>
      <vt:variant>
        <vt:lpwstr/>
      </vt:variant>
      <vt:variant>
        <vt:lpwstr>_Toc68873519</vt:lpwstr>
      </vt:variant>
      <vt:variant>
        <vt:i4>1376316</vt:i4>
      </vt:variant>
      <vt:variant>
        <vt:i4>794</vt:i4>
      </vt:variant>
      <vt:variant>
        <vt:i4>0</vt:i4>
      </vt:variant>
      <vt:variant>
        <vt:i4>5</vt:i4>
      </vt:variant>
      <vt:variant>
        <vt:lpwstr/>
      </vt:variant>
      <vt:variant>
        <vt:lpwstr>_Toc68873518</vt:lpwstr>
      </vt:variant>
      <vt:variant>
        <vt:i4>1703996</vt:i4>
      </vt:variant>
      <vt:variant>
        <vt:i4>788</vt:i4>
      </vt:variant>
      <vt:variant>
        <vt:i4>0</vt:i4>
      </vt:variant>
      <vt:variant>
        <vt:i4>5</vt:i4>
      </vt:variant>
      <vt:variant>
        <vt:lpwstr/>
      </vt:variant>
      <vt:variant>
        <vt:lpwstr>_Toc68873517</vt:lpwstr>
      </vt:variant>
      <vt:variant>
        <vt:i4>1769532</vt:i4>
      </vt:variant>
      <vt:variant>
        <vt:i4>782</vt:i4>
      </vt:variant>
      <vt:variant>
        <vt:i4>0</vt:i4>
      </vt:variant>
      <vt:variant>
        <vt:i4>5</vt:i4>
      </vt:variant>
      <vt:variant>
        <vt:lpwstr/>
      </vt:variant>
      <vt:variant>
        <vt:lpwstr>_Toc68873516</vt:lpwstr>
      </vt:variant>
      <vt:variant>
        <vt:i4>1572924</vt:i4>
      </vt:variant>
      <vt:variant>
        <vt:i4>776</vt:i4>
      </vt:variant>
      <vt:variant>
        <vt:i4>0</vt:i4>
      </vt:variant>
      <vt:variant>
        <vt:i4>5</vt:i4>
      </vt:variant>
      <vt:variant>
        <vt:lpwstr/>
      </vt:variant>
      <vt:variant>
        <vt:lpwstr>_Toc68873515</vt:lpwstr>
      </vt:variant>
      <vt:variant>
        <vt:i4>1638460</vt:i4>
      </vt:variant>
      <vt:variant>
        <vt:i4>770</vt:i4>
      </vt:variant>
      <vt:variant>
        <vt:i4>0</vt:i4>
      </vt:variant>
      <vt:variant>
        <vt:i4>5</vt:i4>
      </vt:variant>
      <vt:variant>
        <vt:lpwstr/>
      </vt:variant>
      <vt:variant>
        <vt:lpwstr>_Toc68873514</vt:lpwstr>
      </vt:variant>
      <vt:variant>
        <vt:i4>1966140</vt:i4>
      </vt:variant>
      <vt:variant>
        <vt:i4>764</vt:i4>
      </vt:variant>
      <vt:variant>
        <vt:i4>0</vt:i4>
      </vt:variant>
      <vt:variant>
        <vt:i4>5</vt:i4>
      </vt:variant>
      <vt:variant>
        <vt:lpwstr/>
      </vt:variant>
      <vt:variant>
        <vt:lpwstr>_Toc68873513</vt:lpwstr>
      </vt:variant>
      <vt:variant>
        <vt:i4>2031676</vt:i4>
      </vt:variant>
      <vt:variant>
        <vt:i4>758</vt:i4>
      </vt:variant>
      <vt:variant>
        <vt:i4>0</vt:i4>
      </vt:variant>
      <vt:variant>
        <vt:i4>5</vt:i4>
      </vt:variant>
      <vt:variant>
        <vt:lpwstr/>
      </vt:variant>
      <vt:variant>
        <vt:lpwstr>_Toc68873512</vt:lpwstr>
      </vt:variant>
      <vt:variant>
        <vt:i4>1835068</vt:i4>
      </vt:variant>
      <vt:variant>
        <vt:i4>752</vt:i4>
      </vt:variant>
      <vt:variant>
        <vt:i4>0</vt:i4>
      </vt:variant>
      <vt:variant>
        <vt:i4>5</vt:i4>
      </vt:variant>
      <vt:variant>
        <vt:lpwstr/>
      </vt:variant>
      <vt:variant>
        <vt:lpwstr>_Toc68873511</vt:lpwstr>
      </vt:variant>
      <vt:variant>
        <vt:i4>1900604</vt:i4>
      </vt:variant>
      <vt:variant>
        <vt:i4>746</vt:i4>
      </vt:variant>
      <vt:variant>
        <vt:i4>0</vt:i4>
      </vt:variant>
      <vt:variant>
        <vt:i4>5</vt:i4>
      </vt:variant>
      <vt:variant>
        <vt:lpwstr/>
      </vt:variant>
      <vt:variant>
        <vt:lpwstr>_Toc68873510</vt:lpwstr>
      </vt:variant>
      <vt:variant>
        <vt:i4>1310781</vt:i4>
      </vt:variant>
      <vt:variant>
        <vt:i4>740</vt:i4>
      </vt:variant>
      <vt:variant>
        <vt:i4>0</vt:i4>
      </vt:variant>
      <vt:variant>
        <vt:i4>5</vt:i4>
      </vt:variant>
      <vt:variant>
        <vt:lpwstr/>
      </vt:variant>
      <vt:variant>
        <vt:lpwstr>_Toc68873509</vt:lpwstr>
      </vt:variant>
      <vt:variant>
        <vt:i4>1376317</vt:i4>
      </vt:variant>
      <vt:variant>
        <vt:i4>734</vt:i4>
      </vt:variant>
      <vt:variant>
        <vt:i4>0</vt:i4>
      </vt:variant>
      <vt:variant>
        <vt:i4>5</vt:i4>
      </vt:variant>
      <vt:variant>
        <vt:lpwstr/>
      </vt:variant>
      <vt:variant>
        <vt:lpwstr>_Toc68873508</vt:lpwstr>
      </vt:variant>
      <vt:variant>
        <vt:i4>1703997</vt:i4>
      </vt:variant>
      <vt:variant>
        <vt:i4>728</vt:i4>
      </vt:variant>
      <vt:variant>
        <vt:i4>0</vt:i4>
      </vt:variant>
      <vt:variant>
        <vt:i4>5</vt:i4>
      </vt:variant>
      <vt:variant>
        <vt:lpwstr/>
      </vt:variant>
      <vt:variant>
        <vt:lpwstr>_Toc68873507</vt:lpwstr>
      </vt:variant>
      <vt:variant>
        <vt:i4>1769533</vt:i4>
      </vt:variant>
      <vt:variant>
        <vt:i4>722</vt:i4>
      </vt:variant>
      <vt:variant>
        <vt:i4>0</vt:i4>
      </vt:variant>
      <vt:variant>
        <vt:i4>5</vt:i4>
      </vt:variant>
      <vt:variant>
        <vt:lpwstr/>
      </vt:variant>
      <vt:variant>
        <vt:lpwstr>_Toc68873506</vt:lpwstr>
      </vt:variant>
      <vt:variant>
        <vt:i4>1572925</vt:i4>
      </vt:variant>
      <vt:variant>
        <vt:i4>713</vt:i4>
      </vt:variant>
      <vt:variant>
        <vt:i4>0</vt:i4>
      </vt:variant>
      <vt:variant>
        <vt:i4>5</vt:i4>
      </vt:variant>
      <vt:variant>
        <vt:lpwstr/>
      </vt:variant>
      <vt:variant>
        <vt:lpwstr>_Toc68873505</vt:lpwstr>
      </vt:variant>
      <vt:variant>
        <vt:i4>1638461</vt:i4>
      </vt:variant>
      <vt:variant>
        <vt:i4>707</vt:i4>
      </vt:variant>
      <vt:variant>
        <vt:i4>0</vt:i4>
      </vt:variant>
      <vt:variant>
        <vt:i4>5</vt:i4>
      </vt:variant>
      <vt:variant>
        <vt:lpwstr/>
      </vt:variant>
      <vt:variant>
        <vt:lpwstr>_Toc68873504</vt:lpwstr>
      </vt:variant>
      <vt:variant>
        <vt:i4>1966141</vt:i4>
      </vt:variant>
      <vt:variant>
        <vt:i4>701</vt:i4>
      </vt:variant>
      <vt:variant>
        <vt:i4>0</vt:i4>
      </vt:variant>
      <vt:variant>
        <vt:i4>5</vt:i4>
      </vt:variant>
      <vt:variant>
        <vt:lpwstr/>
      </vt:variant>
      <vt:variant>
        <vt:lpwstr>_Toc68873503</vt:lpwstr>
      </vt:variant>
      <vt:variant>
        <vt:i4>2031677</vt:i4>
      </vt:variant>
      <vt:variant>
        <vt:i4>695</vt:i4>
      </vt:variant>
      <vt:variant>
        <vt:i4>0</vt:i4>
      </vt:variant>
      <vt:variant>
        <vt:i4>5</vt:i4>
      </vt:variant>
      <vt:variant>
        <vt:lpwstr/>
      </vt:variant>
      <vt:variant>
        <vt:lpwstr>_Toc68873502</vt:lpwstr>
      </vt:variant>
      <vt:variant>
        <vt:i4>1835069</vt:i4>
      </vt:variant>
      <vt:variant>
        <vt:i4>689</vt:i4>
      </vt:variant>
      <vt:variant>
        <vt:i4>0</vt:i4>
      </vt:variant>
      <vt:variant>
        <vt:i4>5</vt:i4>
      </vt:variant>
      <vt:variant>
        <vt:lpwstr/>
      </vt:variant>
      <vt:variant>
        <vt:lpwstr>_Toc68873501</vt:lpwstr>
      </vt:variant>
      <vt:variant>
        <vt:i4>1900605</vt:i4>
      </vt:variant>
      <vt:variant>
        <vt:i4>683</vt:i4>
      </vt:variant>
      <vt:variant>
        <vt:i4>0</vt:i4>
      </vt:variant>
      <vt:variant>
        <vt:i4>5</vt:i4>
      </vt:variant>
      <vt:variant>
        <vt:lpwstr/>
      </vt:variant>
      <vt:variant>
        <vt:lpwstr>_Toc68873500</vt:lpwstr>
      </vt:variant>
      <vt:variant>
        <vt:i4>1376308</vt:i4>
      </vt:variant>
      <vt:variant>
        <vt:i4>677</vt:i4>
      </vt:variant>
      <vt:variant>
        <vt:i4>0</vt:i4>
      </vt:variant>
      <vt:variant>
        <vt:i4>5</vt:i4>
      </vt:variant>
      <vt:variant>
        <vt:lpwstr/>
      </vt:variant>
      <vt:variant>
        <vt:lpwstr>_Toc68873499</vt:lpwstr>
      </vt:variant>
      <vt:variant>
        <vt:i4>1310772</vt:i4>
      </vt:variant>
      <vt:variant>
        <vt:i4>671</vt:i4>
      </vt:variant>
      <vt:variant>
        <vt:i4>0</vt:i4>
      </vt:variant>
      <vt:variant>
        <vt:i4>5</vt:i4>
      </vt:variant>
      <vt:variant>
        <vt:lpwstr/>
      </vt:variant>
      <vt:variant>
        <vt:lpwstr>_Toc68873498</vt:lpwstr>
      </vt:variant>
      <vt:variant>
        <vt:i4>1769524</vt:i4>
      </vt:variant>
      <vt:variant>
        <vt:i4>665</vt:i4>
      </vt:variant>
      <vt:variant>
        <vt:i4>0</vt:i4>
      </vt:variant>
      <vt:variant>
        <vt:i4>5</vt:i4>
      </vt:variant>
      <vt:variant>
        <vt:lpwstr/>
      </vt:variant>
      <vt:variant>
        <vt:lpwstr>_Toc68873497</vt:lpwstr>
      </vt:variant>
      <vt:variant>
        <vt:i4>1703988</vt:i4>
      </vt:variant>
      <vt:variant>
        <vt:i4>659</vt:i4>
      </vt:variant>
      <vt:variant>
        <vt:i4>0</vt:i4>
      </vt:variant>
      <vt:variant>
        <vt:i4>5</vt:i4>
      </vt:variant>
      <vt:variant>
        <vt:lpwstr/>
      </vt:variant>
      <vt:variant>
        <vt:lpwstr>_Toc68873496</vt:lpwstr>
      </vt:variant>
      <vt:variant>
        <vt:i4>1638452</vt:i4>
      </vt:variant>
      <vt:variant>
        <vt:i4>653</vt:i4>
      </vt:variant>
      <vt:variant>
        <vt:i4>0</vt:i4>
      </vt:variant>
      <vt:variant>
        <vt:i4>5</vt:i4>
      </vt:variant>
      <vt:variant>
        <vt:lpwstr/>
      </vt:variant>
      <vt:variant>
        <vt:lpwstr>_Toc68873495</vt:lpwstr>
      </vt:variant>
      <vt:variant>
        <vt:i4>1572916</vt:i4>
      </vt:variant>
      <vt:variant>
        <vt:i4>647</vt:i4>
      </vt:variant>
      <vt:variant>
        <vt:i4>0</vt:i4>
      </vt:variant>
      <vt:variant>
        <vt:i4>5</vt:i4>
      </vt:variant>
      <vt:variant>
        <vt:lpwstr/>
      </vt:variant>
      <vt:variant>
        <vt:lpwstr>_Toc68873494</vt:lpwstr>
      </vt:variant>
      <vt:variant>
        <vt:i4>2031668</vt:i4>
      </vt:variant>
      <vt:variant>
        <vt:i4>641</vt:i4>
      </vt:variant>
      <vt:variant>
        <vt:i4>0</vt:i4>
      </vt:variant>
      <vt:variant>
        <vt:i4>5</vt:i4>
      </vt:variant>
      <vt:variant>
        <vt:lpwstr/>
      </vt:variant>
      <vt:variant>
        <vt:lpwstr>_Toc68873493</vt:lpwstr>
      </vt:variant>
      <vt:variant>
        <vt:i4>1966132</vt:i4>
      </vt:variant>
      <vt:variant>
        <vt:i4>635</vt:i4>
      </vt:variant>
      <vt:variant>
        <vt:i4>0</vt:i4>
      </vt:variant>
      <vt:variant>
        <vt:i4>5</vt:i4>
      </vt:variant>
      <vt:variant>
        <vt:lpwstr/>
      </vt:variant>
      <vt:variant>
        <vt:lpwstr>_Toc68873492</vt:lpwstr>
      </vt:variant>
      <vt:variant>
        <vt:i4>1900596</vt:i4>
      </vt:variant>
      <vt:variant>
        <vt:i4>629</vt:i4>
      </vt:variant>
      <vt:variant>
        <vt:i4>0</vt:i4>
      </vt:variant>
      <vt:variant>
        <vt:i4>5</vt:i4>
      </vt:variant>
      <vt:variant>
        <vt:lpwstr/>
      </vt:variant>
      <vt:variant>
        <vt:lpwstr>_Toc68873491</vt:lpwstr>
      </vt:variant>
      <vt:variant>
        <vt:i4>1835060</vt:i4>
      </vt:variant>
      <vt:variant>
        <vt:i4>623</vt:i4>
      </vt:variant>
      <vt:variant>
        <vt:i4>0</vt:i4>
      </vt:variant>
      <vt:variant>
        <vt:i4>5</vt:i4>
      </vt:variant>
      <vt:variant>
        <vt:lpwstr/>
      </vt:variant>
      <vt:variant>
        <vt:lpwstr>_Toc68873490</vt:lpwstr>
      </vt:variant>
      <vt:variant>
        <vt:i4>1376309</vt:i4>
      </vt:variant>
      <vt:variant>
        <vt:i4>617</vt:i4>
      </vt:variant>
      <vt:variant>
        <vt:i4>0</vt:i4>
      </vt:variant>
      <vt:variant>
        <vt:i4>5</vt:i4>
      </vt:variant>
      <vt:variant>
        <vt:lpwstr/>
      </vt:variant>
      <vt:variant>
        <vt:lpwstr>_Toc68873489</vt:lpwstr>
      </vt:variant>
      <vt:variant>
        <vt:i4>1310773</vt:i4>
      </vt:variant>
      <vt:variant>
        <vt:i4>611</vt:i4>
      </vt:variant>
      <vt:variant>
        <vt:i4>0</vt:i4>
      </vt:variant>
      <vt:variant>
        <vt:i4>5</vt:i4>
      </vt:variant>
      <vt:variant>
        <vt:lpwstr/>
      </vt:variant>
      <vt:variant>
        <vt:lpwstr>_Toc68873488</vt:lpwstr>
      </vt:variant>
      <vt:variant>
        <vt:i4>1769525</vt:i4>
      </vt:variant>
      <vt:variant>
        <vt:i4>605</vt:i4>
      </vt:variant>
      <vt:variant>
        <vt:i4>0</vt:i4>
      </vt:variant>
      <vt:variant>
        <vt:i4>5</vt:i4>
      </vt:variant>
      <vt:variant>
        <vt:lpwstr/>
      </vt:variant>
      <vt:variant>
        <vt:lpwstr>_Toc68873487</vt:lpwstr>
      </vt:variant>
      <vt:variant>
        <vt:i4>1703989</vt:i4>
      </vt:variant>
      <vt:variant>
        <vt:i4>599</vt:i4>
      </vt:variant>
      <vt:variant>
        <vt:i4>0</vt:i4>
      </vt:variant>
      <vt:variant>
        <vt:i4>5</vt:i4>
      </vt:variant>
      <vt:variant>
        <vt:lpwstr/>
      </vt:variant>
      <vt:variant>
        <vt:lpwstr>_Toc68873486</vt:lpwstr>
      </vt:variant>
      <vt:variant>
        <vt:i4>1638453</vt:i4>
      </vt:variant>
      <vt:variant>
        <vt:i4>593</vt:i4>
      </vt:variant>
      <vt:variant>
        <vt:i4>0</vt:i4>
      </vt:variant>
      <vt:variant>
        <vt:i4>5</vt:i4>
      </vt:variant>
      <vt:variant>
        <vt:lpwstr/>
      </vt:variant>
      <vt:variant>
        <vt:lpwstr>_Toc68873485</vt:lpwstr>
      </vt:variant>
      <vt:variant>
        <vt:i4>1572917</vt:i4>
      </vt:variant>
      <vt:variant>
        <vt:i4>587</vt:i4>
      </vt:variant>
      <vt:variant>
        <vt:i4>0</vt:i4>
      </vt:variant>
      <vt:variant>
        <vt:i4>5</vt:i4>
      </vt:variant>
      <vt:variant>
        <vt:lpwstr/>
      </vt:variant>
      <vt:variant>
        <vt:lpwstr>_Toc68873484</vt:lpwstr>
      </vt:variant>
      <vt:variant>
        <vt:i4>2031669</vt:i4>
      </vt:variant>
      <vt:variant>
        <vt:i4>581</vt:i4>
      </vt:variant>
      <vt:variant>
        <vt:i4>0</vt:i4>
      </vt:variant>
      <vt:variant>
        <vt:i4>5</vt:i4>
      </vt:variant>
      <vt:variant>
        <vt:lpwstr/>
      </vt:variant>
      <vt:variant>
        <vt:lpwstr>_Toc68873483</vt:lpwstr>
      </vt:variant>
      <vt:variant>
        <vt:i4>1966133</vt:i4>
      </vt:variant>
      <vt:variant>
        <vt:i4>575</vt:i4>
      </vt:variant>
      <vt:variant>
        <vt:i4>0</vt:i4>
      </vt:variant>
      <vt:variant>
        <vt:i4>5</vt:i4>
      </vt:variant>
      <vt:variant>
        <vt:lpwstr/>
      </vt:variant>
      <vt:variant>
        <vt:lpwstr>_Toc68873482</vt:lpwstr>
      </vt:variant>
      <vt:variant>
        <vt:i4>1900597</vt:i4>
      </vt:variant>
      <vt:variant>
        <vt:i4>569</vt:i4>
      </vt:variant>
      <vt:variant>
        <vt:i4>0</vt:i4>
      </vt:variant>
      <vt:variant>
        <vt:i4>5</vt:i4>
      </vt:variant>
      <vt:variant>
        <vt:lpwstr/>
      </vt:variant>
      <vt:variant>
        <vt:lpwstr>_Toc68873481</vt:lpwstr>
      </vt:variant>
      <vt:variant>
        <vt:i4>1835061</vt:i4>
      </vt:variant>
      <vt:variant>
        <vt:i4>563</vt:i4>
      </vt:variant>
      <vt:variant>
        <vt:i4>0</vt:i4>
      </vt:variant>
      <vt:variant>
        <vt:i4>5</vt:i4>
      </vt:variant>
      <vt:variant>
        <vt:lpwstr/>
      </vt:variant>
      <vt:variant>
        <vt:lpwstr>_Toc68873480</vt:lpwstr>
      </vt:variant>
      <vt:variant>
        <vt:i4>1376314</vt:i4>
      </vt:variant>
      <vt:variant>
        <vt:i4>557</vt:i4>
      </vt:variant>
      <vt:variant>
        <vt:i4>0</vt:i4>
      </vt:variant>
      <vt:variant>
        <vt:i4>5</vt:i4>
      </vt:variant>
      <vt:variant>
        <vt:lpwstr/>
      </vt:variant>
      <vt:variant>
        <vt:lpwstr>_Toc68873479</vt:lpwstr>
      </vt:variant>
      <vt:variant>
        <vt:i4>1310778</vt:i4>
      </vt:variant>
      <vt:variant>
        <vt:i4>551</vt:i4>
      </vt:variant>
      <vt:variant>
        <vt:i4>0</vt:i4>
      </vt:variant>
      <vt:variant>
        <vt:i4>5</vt:i4>
      </vt:variant>
      <vt:variant>
        <vt:lpwstr/>
      </vt:variant>
      <vt:variant>
        <vt:lpwstr>_Toc68873478</vt:lpwstr>
      </vt:variant>
      <vt:variant>
        <vt:i4>1769530</vt:i4>
      </vt:variant>
      <vt:variant>
        <vt:i4>545</vt:i4>
      </vt:variant>
      <vt:variant>
        <vt:i4>0</vt:i4>
      </vt:variant>
      <vt:variant>
        <vt:i4>5</vt:i4>
      </vt:variant>
      <vt:variant>
        <vt:lpwstr/>
      </vt:variant>
      <vt:variant>
        <vt:lpwstr>_Toc68873477</vt:lpwstr>
      </vt:variant>
      <vt:variant>
        <vt:i4>1703994</vt:i4>
      </vt:variant>
      <vt:variant>
        <vt:i4>539</vt:i4>
      </vt:variant>
      <vt:variant>
        <vt:i4>0</vt:i4>
      </vt:variant>
      <vt:variant>
        <vt:i4>5</vt:i4>
      </vt:variant>
      <vt:variant>
        <vt:lpwstr/>
      </vt:variant>
      <vt:variant>
        <vt:lpwstr>_Toc68873476</vt:lpwstr>
      </vt:variant>
      <vt:variant>
        <vt:i4>1638458</vt:i4>
      </vt:variant>
      <vt:variant>
        <vt:i4>533</vt:i4>
      </vt:variant>
      <vt:variant>
        <vt:i4>0</vt:i4>
      </vt:variant>
      <vt:variant>
        <vt:i4>5</vt:i4>
      </vt:variant>
      <vt:variant>
        <vt:lpwstr/>
      </vt:variant>
      <vt:variant>
        <vt:lpwstr>_Toc68873475</vt:lpwstr>
      </vt:variant>
      <vt:variant>
        <vt:i4>1572922</vt:i4>
      </vt:variant>
      <vt:variant>
        <vt:i4>527</vt:i4>
      </vt:variant>
      <vt:variant>
        <vt:i4>0</vt:i4>
      </vt:variant>
      <vt:variant>
        <vt:i4>5</vt:i4>
      </vt:variant>
      <vt:variant>
        <vt:lpwstr/>
      </vt:variant>
      <vt:variant>
        <vt:lpwstr>_Toc68873474</vt:lpwstr>
      </vt:variant>
      <vt:variant>
        <vt:i4>2031674</vt:i4>
      </vt:variant>
      <vt:variant>
        <vt:i4>521</vt:i4>
      </vt:variant>
      <vt:variant>
        <vt:i4>0</vt:i4>
      </vt:variant>
      <vt:variant>
        <vt:i4>5</vt:i4>
      </vt:variant>
      <vt:variant>
        <vt:lpwstr/>
      </vt:variant>
      <vt:variant>
        <vt:lpwstr>_Toc68873473</vt:lpwstr>
      </vt:variant>
      <vt:variant>
        <vt:i4>1966138</vt:i4>
      </vt:variant>
      <vt:variant>
        <vt:i4>515</vt:i4>
      </vt:variant>
      <vt:variant>
        <vt:i4>0</vt:i4>
      </vt:variant>
      <vt:variant>
        <vt:i4>5</vt:i4>
      </vt:variant>
      <vt:variant>
        <vt:lpwstr/>
      </vt:variant>
      <vt:variant>
        <vt:lpwstr>_Toc68873472</vt:lpwstr>
      </vt:variant>
      <vt:variant>
        <vt:i4>1900602</vt:i4>
      </vt:variant>
      <vt:variant>
        <vt:i4>509</vt:i4>
      </vt:variant>
      <vt:variant>
        <vt:i4>0</vt:i4>
      </vt:variant>
      <vt:variant>
        <vt:i4>5</vt:i4>
      </vt:variant>
      <vt:variant>
        <vt:lpwstr/>
      </vt:variant>
      <vt:variant>
        <vt:lpwstr>_Toc68873471</vt:lpwstr>
      </vt:variant>
      <vt:variant>
        <vt:i4>1835066</vt:i4>
      </vt:variant>
      <vt:variant>
        <vt:i4>503</vt:i4>
      </vt:variant>
      <vt:variant>
        <vt:i4>0</vt:i4>
      </vt:variant>
      <vt:variant>
        <vt:i4>5</vt:i4>
      </vt:variant>
      <vt:variant>
        <vt:lpwstr/>
      </vt:variant>
      <vt:variant>
        <vt:lpwstr>_Toc68873470</vt:lpwstr>
      </vt:variant>
      <vt:variant>
        <vt:i4>1376315</vt:i4>
      </vt:variant>
      <vt:variant>
        <vt:i4>497</vt:i4>
      </vt:variant>
      <vt:variant>
        <vt:i4>0</vt:i4>
      </vt:variant>
      <vt:variant>
        <vt:i4>5</vt:i4>
      </vt:variant>
      <vt:variant>
        <vt:lpwstr/>
      </vt:variant>
      <vt:variant>
        <vt:lpwstr>_Toc68873469</vt:lpwstr>
      </vt:variant>
      <vt:variant>
        <vt:i4>1310779</vt:i4>
      </vt:variant>
      <vt:variant>
        <vt:i4>491</vt:i4>
      </vt:variant>
      <vt:variant>
        <vt:i4>0</vt:i4>
      </vt:variant>
      <vt:variant>
        <vt:i4>5</vt:i4>
      </vt:variant>
      <vt:variant>
        <vt:lpwstr/>
      </vt:variant>
      <vt:variant>
        <vt:lpwstr>_Toc68873468</vt:lpwstr>
      </vt:variant>
      <vt:variant>
        <vt:i4>1769531</vt:i4>
      </vt:variant>
      <vt:variant>
        <vt:i4>485</vt:i4>
      </vt:variant>
      <vt:variant>
        <vt:i4>0</vt:i4>
      </vt:variant>
      <vt:variant>
        <vt:i4>5</vt:i4>
      </vt:variant>
      <vt:variant>
        <vt:lpwstr/>
      </vt:variant>
      <vt:variant>
        <vt:lpwstr>_Toc68873467</vt:lpwstr>
      </vt:variant>
      <vt:variant>
        <vt:i4>1703995</vt:i4>
      </vt:variant>
      <vt:variant>
        <vt:i4>479</vt:i4>
      </vt:variant>
      <vt:variant>
        <vt:i4>0</vt:i4>
      </vt:variant>
      <vt:variant>
        <vt:i4>5</vt:i4>
      </vt:variant>
      <vt:variant>
        <vt:lpwstr/>
      </vt:variant>
      <vt:variant>
        <vt:lpwstr>_Toc68873466</vt:lpwstr>
      </vt:variant>
      <vt:variant>
        <vt:i4>1638459</vt:i4>
      </vt:variant>
      <vt:variant>
        <vt:i4>473</vt:i4>
      </vt:variant>
      <vt:variant>
        <vt:i4>0</vt:i4>
      </vt:variant>
      <vt:variant>
        <vt:i4>5</vt:i4>
      </vt:variant>
      <vt:variant>
        <vt:lpwstr/>
      </vt:variant>
      <vt:variant>
        <vt:lpwstr>_Toc68873465</vt:lpwstr>
      </vt:variant>
      <vt:variant>
        <vt:i4>1572923</vt:i4>
      </vt:variant>
      <vt:variant>
        <vt:i4>467</vt:i4>
      </vt:variant>
      <vt:variant>
        <vt:i4>0</vt:i4>
      </vt:variant>
      <vt:variant>
        <vt:i4>5</vt:i4>
      </vt:variant>
      <vt:variant>
        <vt:lpwstr/>
      </vt:variant>
      <vt:variant>
        <vt:lpwstr>_Toc68873464</vt:lpwstr>
      </vt:variant>
      <vt:variant>
        <vt:i4>2031675</vt:i4>
      </vt:variant>
      <vt:variant>
        <vt:i4>461</vt:i4>
      </vt:variant>
      <vt:variant>
        <vt:i4>0</vt:i4>
      </vt:variant>
      <vt:variant>
        <vt:i4>5</vt:i4>
      </vt:variant>
      <vt:variant>
        <vt:lpwstr/>
      </vt:variant>
      <vt:variant>
        <vt:lpwstr>_Toc68873463</vt:lpwstr>
      </vt:variant>
      <vt:variant>
        <vt:i4>1966139</vt:i4>
      </vt:variant>
      <vt:variant>
        <vt:i4>455</vt:i4>
      </vt:variant>
      <vt:variant>
        <vt:i4>0</vt:i4>
      </vt:variant>
      <vt:variant>
        <vt:i4>5</vt:i4>
      </vt:variant>
      <vt:variant>
        <vt:lpwstr/>
      </vt:variant>
      <vt:variant>
        <vt:lpwstr>_Toc68873462</vt:lpwstr>
      </vt:variant>
      <vt:variant>
        <vt:i4>1900603</vt:i4>
      </vt:variant>
      <vt:variant>
        <vt:i4>449</vt:i4>
      </vt:variant>
      <vt:variant>
        <vt:i4>0</vt:i4>
      </vt:variant>
      <vt:variant>
        <vt:i4>5</vt:i4>
      </vt:variant>
      <vt:variant>
        <vt:lpwstr/>
      </vt:variant>
      <vt:variant>
        <vt:lpwstr>_Toc68873461</vt:lpwstr>
      </vt:variant>
      <vt:variant>
        <vt:i4>1835067</vt:i4>
      </vt:variant>
      <vt:variant>
        <vt:i4>443</vt:i4>
      </vt:variant>
      <vt:variant>
        <vt:i4>0</vt:i4>
      </vt:variant>
      <vt:variant>
        <vt:i4>5</vt:i4>
      </vt:variant>
      <vt:variant>
        <vt:lpwstr/>
      </vt:variant>
      <vt:variant>
        <vt:lpwstr>_Toc68873460</vt:lpwstr>
      </vt:variant>
      <vt:variant>
        <vt:i4>1376312</vt:i4>
      </vt:variant>
      <vt:variant>
        <vt:i4>437</vt:i4>
      </vt:variant>
      <vt:variant>
        <vt:i4>0</vt:i4>
      </vt:variant>
      <vt:variant>
        <vt:i4>5</vt:i4>
      </vt:variant>
      <vt:variant>
        <vt:lpwstr/>
      </vt:variant>
      <vt:variant>
        <vt:lpwstr>_Toc68873459</vt:lpwstr>
      </vt:variant>
      <vt:variant>
        <vt:i4>1310776</vt:i4>
      </vt:variant>
      <vt:variant>
        <vt:i4>431</vt:i4>
      </vt:variant>
      <vt:variant>
        <vt:i4>0</vt:i4>
      </vt:variant>
      <vt:variant>
        <vt:i4>5</vt:i4>
      </vt:variant>
      <vt:variant>
        <vt:lpwstr/>
      </vt:variant>
      <vt:variant>
        <vt:lpwstr>_Toc68873458</vt:lpwstr>
      </vt:variant>
      <vt:variant>
        <vt:i4>1769528</vt:i4>
      </vt:variant>
      <vt:variant>
        <vt:i4>425</vt:i4>
      </vt:variant>
      <vt:variant>
        <vt:i4>0</vt:i4>
      </vt:variant>
      <vt:variant>
        <vt:i4>5</vt:i4>
      </vt:variant>
      <vt:variant>
        <vt:lpwstr/>
      </vt:variant>
      <vt:variant>
        <vt:lpwstr>_Toc68873457</vt:lpwstr>
      </vt:variant>
      <vt:variant>
        <vt:i4>1703992</vt:i4>
      </vt:variant>
      <vt:variant>
        <vt:i4>419</vt:i4>
      </vt:variant>
      <vt:variant>
        <vt:i4>0</vt:i4>
      </vt:variant>
      <vt:variant>
        <vt:i4>5</vt:i4>
      </vt:variant>
      <vt:variant>
        <vt:lpwstr/>
      </vt:variant>
      <vt:variant>
        <vt:lpwstr>_Toc68873456</vt:lpwstr>
      </vt:variant>
      <vt:variant>
        <vt:i4>1638456</vt:i4>
      </vt:variant>
      <vt:variant>
        <vt:i4>413</vt:i4>
      </vt:variant>
      <vt:variant>
        <vt:i4>0</vt:i4>
      </vt:variant>
      <vt:variant>
        <vt:i4>5</vt:i4>
      </vt:variant>
      <vt:variant>
        <vt:lpwstr/>
      </vt:variant>
      <vt:variant>
        <vt:lpwstr>_Toc68873455</vt:lpwstr>
      </vt:variant>
      <vt:variant>
        <vt:i4>1572920</vt:i4>
      </vt:variant>
      <vt:variant>
        <vt:i4>407</vt:i4>
      </vt:variant>
      <vt:variant>
        <vt:i4>0</vt:i4>
      </vt:variant>
      <vt:variant>
        <vt:i4>5</vt:i4>
      </vt:variant>
      <vt:variant>
        <vt:lpwstr/>
      </vt:variant>
      <vt:variant>
        <vt:lpwstr>_Toc68873454</vt:lpwstr>
      </vt:variant>
      <vt:variant>
        <vt:i4>2031672</vt:i4>
      </vt:variant>
      <vt:variant>
        <vt:i4>401</vt:i4>
      </vt:variant>
      <vt:variant>
        <vt:i4>0</vt:i4>
      </vt:variant>
      <vt:variant>
        <vt:i4>5</vt:i4>
      </vt:variant>
      <vt:variant>
        <vt:lpwstr/>
      </vt:variant>
      <vt:variant>
        <vt:lpwstr>_Toc68873453</vt:lpwstr>
      </vt:variant>
      <vt:variant>
        <vt:i4>1966136</vt:i4>
      </vt:variant>
      <vt:variant>
        <vt:i4>395</vt:i4>
      </vt:variant>
      <vt:variant>
        <vt:i4>0</vt:i4>
      </vt:variant>
      <vt:variant>
        <vt:i4>5</vt:i4>
      </vt:variant>
      <vt:variant>
        <vt:lpwstr/>
      </vt:variant>
      <vt:variant>
        <vt:lpwstr>_Toc68873452</vt:lpwstr>
      </vt:variant>
      <vt:variant>
        <vt:i4>1900600</vt:i4>
      </vt:variant>
      <vt:variant>
        <vt:i4>389</vt:i4>
      </vt:variant>
      <vt:variant>
        <vt:i4>0</vt:i4>
      </vt:variant>
      <vt:variant>
        <vt:i4>5</vt:i4>
      </vt:variant>
      <vt:variant>
        <vt:lpwstr/>
      </vt:variant>
      <vt:variant>
        <vt:lpwstr>_Toc68873451</vt:lpwstr>
      </vt:variant>
      <vt:variant>
        <vt:i4>1835064</vt:i4>
      </vt:variant>
      <vt:variant>
        <vt:i4>383</vt:i4>
      </vt:variant>
      <vt:variant>
        <vt:i4>0</vt:i4>
      </vt:variant>
      <vt:variant>
        <vt:i4>5</vt:i4>
      </vt:variant>
      <vt:variant>
        <vt:lpwstr/>
      </vt:variant>
      <vt:variant>
        <vt:lpwstr>_Toc68873450</vt:lpwstr>
      </vt:variant>
      <vt:variant>
        <vt:i4>1376313</vt:i4>
      </vt:variant>
      <vt:variant>
        <vt:i4>377</vt:i4>
      </vt:variant>
      <vt:variant>
        <vt:i4>0</vt:i4>
      </vt:variant>
      <vt:variant>
        <vt:i4>5</vt:i4>
      </vt:variant>
      <vt:variant>
        <vt:lpwstr/>
      </vt:variant>
      <vt:variant>
        <vt:lpwstr>_Toc68873449</vt:lpwstr>
      </vt:variant>
      <vt:variant>
        <vt:i4>1310777</vt:i4>
      </vt:variant>
      <vt:variant>
        <vt:i4>371</vt:i4>
      </vt:variant>
      <vt:variant>
        <vt:i4>0</vt:i4>
      </vt:variant>
      <vt:variant>
        <vt:i4>5</vt:i4>
      </vt:variant>
      <vt:variant>
        <vt:lpwstr/>
      </vt:variant>
      <vt:variant>
        <vt:lpwstr>_Toc68873448</vt:lpwstr>
      </vt:variant>
      <vt:variant>
        <vt:i4>1769529</vt:i4>
      </vt:variant>
      <vt:variant>
        <vt:i4>365</vt:i4>
      </vt:variant>
      <vt:variant>
        <vt:i4>0</vt:i4>
      </vt:variant>
      <vt:variant>
        <vt:i4>5</vt:i4>
      </vt:variant>
      <vt:variant>
        <vt:lpwstr/>
      </vt:variant>
      <vt:variant>
        <vt:lpwstr>_Toc68873447</vt:lpwstr>
      </vt:variant>
      <vt:variant>
        <vt:i4>1703993</vt:i4>
      </vt:variant>
      <vt:variant>
        <vt:i4>359</vt:i4>
      </vt:variant>
      <vt:variant>
        <vt:i4>0</vt:i4>
      </vt:variant>
      <vt:variant>
        <vt:i4>5</vt:i4>
      </vt:variant>
      <vt:variant>
        <vt:lpwstr/>
      </vt:variant>
      <vt:variant>
        <vt:lpwstr>_Toc68873446</vt:lpwstr>
      </vt:variant>
      <vt:variant>
        <vt:i4>1638457</vt:i4>
      </vt:variant>
      <vt:variant>
        <vt:i4>353</vt:i4>
      </vt:variant>
      <vt:variant>
        <vt:i4>0</vt:i4>
      </vt:variant>
      <vt:variant>
        <vt:i4>5</vt:i4>
      </vt:variant>
      <vt:variant>
        <vt:lpwstr/>
      </vt:variant>
      <vt:variant>
        <vt:lpwstr>_Toc68873445</vt:lpwstr>
      </vt:variant>
      <vt:variant>
        <vt:i4>1572921</vt:i4>
      </vt:variant>
      <vt:variant>
        <vt:i4>347</vt:i4>
      </vt:variant>
      <vt:variant>
        <vt:i4>0</vt:i4>
      </vt:variant>
      <vt:variant>
        <vt:i4>5</vt:i4>
      </vt:variant>
      <vt:variant>
        <vt:lpwstr/>
      </vt:variant>
      <vt:variant>
        <vt:lpwstr>_Toc68873444</vt:lpwstr>
      </vt:variant>
      <vt:variant>
        <vt:i4>2031673</vt:i4>
      </vt:variant>
      <vt:variant>
        <vt:i4>341</vt:i4>
      </vt:variant>
      <vt:variant>
        <vt:i4>0</vt:i4>
      </vt:variant>
      <vt:variant>
        <vt:i4>5</vt:i4>
      </vt:variant>
      <vt:variant>
        <vt:lpwstr/>
      </vt:variant>
      <vt:variant>
        <vt:lpwstr>_Toc68873443</vt:lpwstr>
      </vt:variant>
      <vt:variant>
        <vt:i4>1966137</vt:i4>
      </vt:variant>
      <vt:variant>
        <vt:i4>335</vt:i4>
      </vt:variant>
      <vt:variant>
        <vt:i4>0</vt:i4>
      </vt:variant>
      <vt:variant>
        <vt:i4>5</vt:i4>
      </vt:variant>
      <vt:variant>
        <vt:lpwstr/>
      </vt:variant>
      <vt:variant>
        <vt:lpwstr>_Toc68873442</vt:lpwstr>
      </vt:variant>
      <vt:variant>
        <vt:i4>1900601</vt:i4>
      </vt:variant>
      <vt:variant>
        <vt:i4>329</vt:i4>
      </vt:variant>
      <vt:variant>
        <vt:i4>0</vt:i4>
      </vt:variant>
      <vt:variant>
        <vt:i4>5</vt:i4>
      </vt:variant>
      <vt:variant>
        <vt:lpwstr/>
      </vt:variant>
      <vt:variant>
        <vt:lpwstr>_Toc68873441</vt:lpwstr>
      </vt:variant>
      <vt:variant>
        <vt:i4>1835065</vt:i4>
      </vt:variant>
      <vt:variant>
        <vt:i4>323</vt:i4>
      </vt:variant>
      <vt:variant>
        <vt:i4>0</vt:i4>
      </vt:variant>
      <vt:variant>
        <vt:i4>5</vt:i4>
      </vt:variant>
      <vt:variant>
        <vt:lpwstr/>
      </vt:variant>
      <vt:variant>
        <vt:lpwstr>_Toc68873440</vt:lpwstr>
      </vt:variant>
      <vt:variant>
        <vt:i4>1376318</vt:i4>
      </vt:variant>
      <vt:variant>
        <vt:i4>317</vt:i4>
      </vt:variant>
      <vt:variant>
        <vt:i4>0</vt:i4>
      </vt:variant>
      <vt:variant>
        <vt:i4>5</vt:i4>
      </vt:variant>
      <vt:variant>
        <vt:lpwstr/>
      </vt:variant>
      <vt:variant>
        <vt:lpwstr>_Toc68873439</vt:lpwstr>
      </vt:variant>
      <vt:variant>
        <vt:i4>1310782</vt:i4>
      </vt:variant>
      <vt:variant>
        <vt:i4>311</vt:i4>
      </vt:variant>
      <vt:variant>
        <vt:i4>0</vt:i4>
      </vt:variant>
      <vt:variant>
        <vt:i4>5</vt:i4>
      </vt:variant>
      <vt:variant>
        <vt:lpwstr/>
      </vt:variant>
      <vt:variant>
        <vt:lpwstr>_Toc68873438</vt:lpwstr>
      </vt:variant>
      <vt:variant>
        <vt:i4>1769534</vt:i4>
      </vt:variant>
      <vt:variant>
        <vt:i4>305</vt:i4>
      </vt:variant>
      <vt:variant>
        <vt:i4>0</vt:i4>
      </vt:variant>
      <vt:variant>
        <vt:i4>5</vt:i4>
      </vt:variant>
      <vt:variant>
        <vt:lpwstr/>
      </vt:variant>
      <vt:variant>
        <vt:lpwstr>_Toc68873437</vt:lpwstr>
      </vt:variant>
      <vt:variant>
        <vt:i4>1703998</vt:i4>
      </vt:variant>
      <vt:variant>
        <vt:i4>299</vt:i4>
      </vt:variant>
      <vt:variant>
        <vt:i4>0</vt:i4>
      </vt:variant>
      <vt:variant>
        <vt:i4>5</vt:i4>
      </vt:variant>
      <vt:variant>
        <vt:lpwstr/>
      </vt:variant>
      <vt:variant>
        <vt:lpwstr>_Toc68873436</vt:lpwstr>
      </vt:variant>
      <vt:variant>
        <vt:i4>1638462</vt:i4>
      </vt:variant>
      <vt:variant>
        <vt:i4>293</vt:i4>
      </vt:variant>
      <vt:variant>
        <vt:i4>0</vt:i4>
      </vt:variant>
      <vt:variant>
        <vt:i4>5</vt:i4>
      </vt:variant>
      <vt:variant>
        <vt:lpwstr/>
      </vt:variant>
      <vt:variant>
        <vt:lpwstr>_Toc68873435</vt:lpwstr>
      </vt:variant>
      <vt:variant>
        <vt:i4>1572926</vt:i4>
      </vt:variant>
      <vt:variant>
        <vt:i4>287</vt:i4>
      </vt:variant>
      <vt:variant>
        <vt:i4>0</vt:i4>
      </vt:variant>
      <vt:variant>
        <vt:i4>5</vt:i4>
      </vt:variant>
      <vt:variant>
        <vt:lpwstr/>
      </vt:variant>
      <vt:variant>
        <vt:lpwstr>_Toc68873434</vt:lpwstr>
      </vt:variant>
      <vt:variant>
        <vt:i4>2031678</vt:i4>
      </vt:variant>
      <vt:variant>
        <vt:i4>281</vt:i4>
      </vt:variant>
      <vt:variant>
        <vt:i4>0</vt:i4>
      </vt:variant>
      <vt:variant>
        <vt:i4>5</vt:i4>
      </vt:variant>
      <vt:variant>
        <vt:lpwstr/>
      </vt:variant>
      <vt:variant>
        <vt:lpwstr>_Toc68873433</vt:lpwstr>
      </vt:variant>
      <vt:variant>
        <vt:i4>1966142</vt:i4>
      </vt:variant>
      <vt:variant>
        <vt:i4>275</vt:i4>
      </vt:variant>
      <vt:variant>
        <vt:i4>0</vt:i4>
      </vt:variant>
      <vt:variant>
        <vt:i4>5</vt:i4>
      </vt:variant>
      <vt:variant>
        <vt:lpwstr/>
      </vt:variant>
      <vt:variant>
        <vt:lpwstr>_Toc68873432</vt:lpwstr>
      </vt:variant>
      <vt:variant>
        <vt:i4>1900606</vt:i4>
      </vt:variant>
      <vt:variant>
        <vt:i4>269</vt:i4>
      </vt:variant>
      <vt:variant>
        <vt:i4>0</vt:i4>
      </vt:variant>
      <vt:variant>
        <vt:i4>5</vt:i4>
      </vt:variant>
      <vt:variant>
        <vt:lpwstr/>
      </vt:variant>
      <vt:variant>
        <vt:lpwstr>_Toc68873431</vt:lpwstr>
      </vt:variant>
      <vt:variant>
        <vt:i4>1835070</vt:i4>
      </vt:variant>
      <vt:variant>
        <vt:i4>263</vt:i4>
      </vt:variant>
      <vt:variant>
        <vt:i4>0</vt:i4>
      </vt:variant>
      <vt:variant>
        <vt:i4>5</vt:i4>
      </vt:variant>
      <vt:variant>
        <vt:lpwstr/>
      </vt:variant>
      <vt:variant>
        <vt:lpwstr>_Toc68873430</vt:lpwstr>
      </vt:variant>
      <vt:variant>
        <vt:i4>1376319</vt:i4>
      </vt:variant>
      <vt:variant>
        <vt:i4>257</vt:i4>
      </vt:variant>
      <vt:variant>
        <vt:i4>0</vt:i4>
      </vt:variant>
      <vt:variant>
        <vt:i4>5</vt:i4>
      </vt:variant>
      <vt:variant>
        <vt:lpwstr/>
      </vt:variant>
      <vt:variant>
        <vt:lpwstr>_Toc68873429</vt:lpwstr>
      </vt:variant>
      <vt:variant>
        <vt:i4>1310783</vt:i4>
      </vt:variant>
      <vt:variant>
        <vt:i4>251</vt:i4>
      </vt:variant>
      <vt:variant>
        <vt:i4>0</vt:i4>
      </vt:variant>
      <vt:variant>
        <vt:i4>5</vt:i4>
      </vt:variant>
      <vt:variant>
        <vt:lpwstr/>
      </vt:variant>
      <vt:variant>
        <vt:lpwstr>_Toc68873428</vt:lpwstr>
      </vt:variant>
      <vt:variant>
        <vt:i4>1769535</vt:i4>
      </vt:variant>
      <vt:variant>
        <vt:i4>245</vt:i4>
      </vt:variant>
      <vt:variant>
        <vt:i4>0</vt:i4>
      </vt:variant>
      <vt:variant>
        <vt:i4>5</vt:i4>
      </vt:variant>
      <vt:variant>
        <vt:lpwstr/>
      </vt:variant>
      <vt:variant>
        <vt:lpwstr>_Toc68873427</vt:lpwstr>
      </vt:variant>
      <vt:variant>
        <vt:i4>1703999</vt:i4>
      </vt:variant>
      <vt:variant>
        <vt:i4>236</vt:i4>
      </vt:variant>
      <vt:variant>
        <vt:i4>0</vt:i4>
      </vt:variant>
      <vt:variant>
        <vt:i4>5</vt:i4>
      </vt:variant>
      <vt:variant>
        <vt:lpwstr/>
      </vt:variant>
      <vt:variant>
        <vt:lpwstr>_Toc68873426</vt:lpwstr>
      </vt:variant>
      <vt:variant>
        <vt:i4>1638463</vt:i4>
      </vt:variant>
      <vt:variant>
        <vt:i4>230</vt:i4>
      </vt:variant>
      <vt:variant>
        <vt:i4>0</vt:i4>
      </vt:variant>
      <vt:variant>
        <vt:i4>5</vt:i4>
      </vt:variant>
      <vt:variant>
        <vt:lpwstr/>
      </vt:variant>
      <vt:variant>
        <vt:lpwstr>_Toc68873425</vt:lpwstr>
      </vt:variant>
      <vt:variant>
        <vt:i4>1572927</vt:i4>
      </vt:variant>
      <vt:variant>
        <vt:i4>224</vt:i4>
      </vt:variant>
      <vt:variant>
        <vt:i4>0</vt:i4>
      </vt:variant>
      <vt:variant>
        <vt:i4>5</vt:i4>
      </vt:variant>
      <vt:variant>
        <vt:lpwstr/>
      </vt:variant>
      <vt:variant>
        <vt:lpwstr>_Toc68873424</vt:lpwstr>
      </vt:variant>
      <vt:variant>
        <vt:i4>2031679</vt:i4>
      </vt:variant>
      <vt:variant>
        <vt:i4>218</vt:i4>
      </vt:variant>
      <vt:variant>
        <vt:i4>0</vt:i4>
      </vt:variant>
      <vt:variant>
        <vt:i4>5</vt:i4>
      </vt:variant>
      <vt:variant>
        <vt:lpwstr/>
      </vt:variant>
      <vt:variant>
        <vt:lpwstr>_Toc68873423</vt:lpwstr>
      </vt:variant>
      <vt:variant>
        <vt:i4>1966143</vt:i4>
      </vt:variant>
      <vt:variant>
        <vt:i4>212</vt:i4>
      </vt:variant>
      <vt:variant>
        <vt:i4>0</vt:i4>
      </vt:variant>
      <vt:variant>
        <vt:i4>5</vt:i4>
      </vt:variant>
      <vt:variant>
        <vt:lpwstr/>
      </vt:variant>
      <vt:variant>
        <vt:lpwstr>_Toc68873422</vt:lpwstr>
      </vt:variant>
      <vt:variant>
        <vt:i4>1900607</vt:i4>
      </vt:variant>
      <vt:variant>
        <vt:i4>206</vt:i4>
      </vt:variant>
      <vt:variant>
        <vt:i4>0</vt:i4>
      </vt:variant>
      <vt:variant>
        <vt:i4>5</vt:i4>
      </vt:variant>
      <vt:variant>
        <vt:lpwstr/>
      </vt:variant>
      <vt:variant>
        <vt:lpwstr>_Toc68873421</vt:lpwstr>
      </vt:variant>
      <vt:variant>
        <vt:i4>1835071</vt:i4>
      </vt:variant>
      <vt:variant>
        <vt:i4>200</vt:i4>
      </vt:variant>
      <vt:variant>
        <vt:i4>0</vt:i4>
      </vt:variant>
      <vt:variant>
        <vt:i4>5</vt:i4>
      </vt:variant>
      <vt:variant>
        <vt:lpwstr/>
      </vt:variant>
      <vt:variant>
        <vt:lpwstr>_Toc68873420</vt:lpwstr>
      </vt:variant>
      <vt:variant>
        <vt:i4>1376316</vt:i4>
      </vt:variant>
      <vt:variant>
        <vt:i4>194</vt:i4>
      </vt:variant>
      <vt:variant>
        <vt:i4>0</vt:i4>
      </vt:variant>
      <vt:variant>
        <vt:i4>5</vt:i4>
      </vt:variant>
      <vt:variant>
        <vt:lpwstr/>
      </vt:variant>
      <vt:variant>
        <vt:lpwstr>_Toc68873419</vt:lpwstr>
      </vt:variant>
      <vt:variant>
        <vt:i4>1310780</vt:i4>
      </vt:variant>
      <vt:variant>
        <vt:i4>188</vt:i4>
      </vt:variant>
      <vt:variant>
        <vt:i4>0</vt:i4>
      </vt:variant>
      <vt:variant>
        <vt:i4>5</vt:i4>
      </vt:variant>
      <vt:variant>
        <vt:lpwstr/>
      </vt:variant>
      <vt:variant>
        <vt:lpwstr>_Toc68873418</vt:lpwstr>
      </vt:variant>
      <vt:variant>
        <vt:i4>1769532</vt:i4>
      </vt:variant>
      <vt:variant>
        <vt:i4>182</vt:i4>
      </vt:variant>
      <vt:variant>
        <vt:i4>0</vt:i4>
      </vt:variant>
      <vt:variant>
        <vt:i4>5</vt:i4>
      </vt:variant>
      <vt:variant>
        <vt:lpwstr/>
      </vt:variant>
      <vt:variant>
        <vt:lpwstr>_Toc68873417</vt:lpwstr>
      </vt:variant>
      <vt:variant>
        <vt:i4>1703996</vt:i4>
      </vt:variant>
      <vt:variant>
        <vt:i4>176</vt:i4>
      </vt:variant>
      <vt:variant>
        <vt:i4>0</vt:i4>
      </vt:variant>
      <vt:variant>
        <vt:i4>5</vt:i4>
      </vt:variant>
      <vt:variant>
        <vt:lpwstr/>
      </vt:variant>
      <vt:variant>
        <vt:lpwstr>_Toc68873416</vt:lpwstr>
      </vt:variant>
      <vt:variant>
        <vt:i4>1638460</vt:i4>
      </vt:variant>
      <vt:variant>
        <vt:i4>170</vt:i4>
      </vt:variant>
      <vt:variant>
        <vt:i4>0</vt:i4>
      </vt:variant>
      <vt:variant>
        <vt:i4>5</vt:i4>
      </vt:variant>
      <vt:variant>
        <vt:lpwstr/>
      </vt:variant>
      <vt:variant>
        <vt:lpwstr>_Toc68873415</vt:lpwstr>
      </vt:variant>
      <vt:variant>
        <vt:i4>1572924</vt:i4>
      </vt:variant>
      <vt:variant>
        <vt:i4>164</vt:i4>
      </vt:variant>
      <vt:variant>
        <vt:i4>0</vt:i4>
      </vt:variant>
      <vt:variant>
        <vt:i4>5</vt:i4>
      </vt:variant>
      <vt:variant>
        <vt:lpwstr/>
      </vt:variant>
      <vt:variant>
        <vt:lpwstr>_Toc68873414</vt:lpwstr>
      </vt:variant>
      <vt:variant>
        <vt:i4>2031676</vt:i4>
      </vt:variant>
      <vt:variant>
        <vt:i4>158</vt:i4>
      </vt:variant>
      <vt:variant>
        <vt:i4>0</vt:i4>
      </vt:variant>
      <vt:variant>
        <vt:i4>5</vt:i4>
      </vt:variant>
      <vt:variant>
        <vt:lpwstr/>
      </vt:variant>
      <vt:variant>
        <vt:lpwstr>_Toc68873413</vt:lpwstr>
      </vt:variant>
      <vt:variant>
        <vt:i4>1966140</vt:i4>
      </vt:variant>
      <vt:variant>
        <vt:i4>152</vt:i4>
      </vt:variant>
      <vt:variant>
        <vt:i4>0</vt:i4>
      </vt:variant>
      <vt:variant>
        <vt:i4>5</vt:i4>
      </vt:variant>
      <vt:variant>
        <vt:lpwstr/>
      </vt:variant>
      <vt:variant>
        <vt:lpwstr>_Toc68873412</vt:lpwstr>
      </vt:variant>
      <vt:variant>
        <vt:i4>1900604</vt:i4>
      </vt:variant>
      <vt:variant>
        <vt:i4>146</vt:i4>
      </vt:variant>
      <vt:variant>
        <vt:i4>0</vt:i4>
      </vt:variant>
      <vt:variant>
        <vt:i4>5</vt:i4>
      </vt:variant>
      <vt:variant>
        <vt:lpwstr/>
      </vt:variant>
      <vt:variant>
        <vt:lpwstr>_Toc68873411</vt:lpwstr>
      </vt:variant>
      <vt:variant>
        <vt:i4>1835068</vt:i4>
      </vt:variant>
      <vt:variant>
        <vt:i4>140</vt:i4>
      </vt:variant>
      <vt:variant>
        <vt:i4>0</vt:i4>
      </vt:variant>
      <vt:variant>
        <vt:i4>5</vt:i4>
      </vt:variant>
      <vt:variant>
        <vt:lpwstr/>
      </vt:variant>
      <vt:variant>
        <vt:lpwstr>_Toc68873410</vt:lpwstr>
      </vt:variant>
      <vt:variant>
        <vt:i4>1376317</vt:i4>
      </vt:variant>
      <vt:variant>
        <vt:i4>134</vt:i4>
      </vt:variant>
      <vt:variant>
        <vt:i4>0</vt:i4>
      </vt:variant>
      <vt:variant>
        <vt:i4>5</vt:i4>
      </vt:variant>
      <vt:variant>
        <vt:lpwstr/>
      </vt:variant>
      <vt:variant>
        <vt:lpwstr>_Toc68873409</vt:lpwstr>
      </vt:variant>
      <vt:variant>
        <vt:i4>1310781</vt:i4>
      </vt:variant>
      <vt:variant>
        <vt:i4>128</vt:i4>
      </vt:variant>
      <vt:variant>
        <vt:i4>0</vt:i4>
      </vt:variant>
      <vt:variant>
        <vt:i4>5</vt:i4>
      </vt:variant>
      <vt:variant>
        <vt:lpwstr/>
      </vt:variant>
      <vt:variant>
        <vt:lpwstr>_Toc68873408</vt:lpwstr>
      </vt:variant>
      <vt:variant>
        <vt:i4>1769533</vt:i4>
      </vt:variant>
      <vt:variant>
        <vt:i4>122</vt:i4>
      </vt:variant>
      <vt:variant>
        <vt:i4>0</vt:i4>
      </vt:variant>
      <vt:variant>
        <vt:i4>5</vt:i4>
      </vt:variant>
      <vt:variant>
        <vt:lpwstr/>
      </vt:variant>
      <vt:variant>
        <vt:lpwstr>_Toc68873407</vt:lpwstr>
      </vt:variant>
      <vt:variant>
        <vt:i4>1703997</vt:i4>
      </vt:variant>
      <vt:variant>
        <vt:i4>116</vt:i4>
      </vt:variant>
      <vt:variant>
        <vt:i4>0</vt:i4>
      </vt:variant>
      <vt:variant>
        <vt:i4>5</vt:i4>
      </vt:variant>
      <vt:variant>
        <vt:lpwstr/>
      </vt:variant>
      <vt:variant>
        <vt:lpwstr>_Toc68873406</vt:lpwstr>
      </vt:variant>
      <vt:variant>
        <vt:i4>1638461</vt:i4>
      </vt:variant>
      <vt:variant>
        <vt:i4>110</vt:i4>
      </vt:variant>
      <vt:variant>
        <vt:i4>0</vt:i4>
      </vt:variant>
      <vt:variant>
        <vt:i4>5</vt:i4>
      </vt:variant>
      <vt:variant>
        <vt:lpwstr/>
      </vt:variant>
      <vt:variant>
        <vt:lpwstr>_Toc68873405</vt:lpwstr>
      </vt:variant>
      <vt:variant>
        <vt:i4>1572925</vt:i4>
      </vt:variant>
      <vt:variant>
        <vt:i4>104</vt:i4>
      </vt:variant>
      <vt:variant>
        <vt:i4>0</vt:i4>
      </vt:variant>
      <vt:variant>
        <vt:i4>5</vt:i4>
      </vt:variant>
      <vt:variant>
        <vt:lpwstr/>
      </vt:variant>
      <vt:variant>
        <vt:lpwstr>_Toc68873404</vt:lpwstr>
      </vt:variant>
      <vt:variant>
        <vt:i4>2031677</vt:i4>
      </vt:variant>
      <vt:variant>
        <vt:i4>98</vt:i4>
      </vt:variant>
      <vt:variant>
        <vt:i4>0</vt:i4>
      </vt:variant>
      <vt:variant>
        <vt:i4>5</vt:i4>
      </vt:variant>
      <vt:variant>
        <vt:lpwstr/>
      </vt:variant>
      <vt:variant>
        <vt:lpwstr>_Toc68873403</vt:lpwstr>
      </vt:variant>
      <vt:variant>
        <vt:i4>1966141</vt:i4>
      </vt:variant>
      <vt:variant>
        <vt:i4>92</vt:i4>
      </vt:variant>
      <vt:variant>
        <vt:i4>0</vt:i4>
      </vt:variant>
      <vt:variant>
        <vt:i4>5</vt:i4>
      </vt:variant>
      <vt:variant>
        <vt:lpwstr/>
      </vt:variant>
      <vt:variant>
        <vt:lpwstr>_Toc68873402</vt:lpwstr>
      </vt:variant>
      <vt:variant>
        <vt:i4>1900605</vt:i4>
      </vt:variant>
      <vt:variant>
        <vt:i4>86</vt:i4>
      </vt:variant>
      <vt:variant>
        <vt:i4>0</vt:i4>
      </vt:variant>
      <vt:variant>
        <vt:i4>5</vt:i4>
      </vt:variant>
      <vt:variant>
        <vt:lpwstr/>
      </vt:variant>
      <vt:variant>
        <vt:lpwstr>_Toc68873401</vt:lpwstr>
      </vt:variant>
      <vt:variant>
        <vt:i4>1835069</vt:i4>
      </vt:variant>
      <vt:variant>
        <vt:i4>80</vt:i4>
      </vt:variant>
      <vt:variant>
        <vt:i4>0</vt:i4>
      </vt:variant>
      <vt:variant>
        <vt:i4>5</vt:i4>
      </vt:variant>
      <vt:variant>
        <vt:lpwstr/>
      </vt:variant>
      <vt:variant>
        <vt:lpwstr>_Toc68873400</vt:lpwstr>
      </vt:variant>
      <vt:variant>
        <vt:i4>1179700</vt:i4>
      </vt:variant>
      <vt:variant>
        <vt:i4>74</vt:i4>
      </vt:variant>
      <vt:variant>
        <vt:i4>0</vt:i4>
      </vt:variant>
      <vt:variant>
        <vt:i4>5</vt:i4>
      </vt:variant>
      <vt:variant>
        <vt:lpwstr/>
      </vt:variant>
      <vt:variant>
        <vt:lpwstr>_Toc68873399</vt:lpwstr>
      </vt:variant>
      <vt:variant>
        <vt:i4>1245236</vt:i4>
      </vt:variant>
      <vt:variant>
        <vt:i4>68</vt:i4>
      </vt:variant>
      <vt:variant>
        <vt:i4>0</vt:i4>
      </vt:variant>
      <vt:variant>
        <vt:i4>5</vt:i4>
      </vt:variant>
      <vt:variant>
        <vt:lpwstr/>
      </vt:variant>
      <vt:variant>
        <vt:lpwstr>_Toc68873398</vt:lpwstr>
      </vt:variant>
      <vt:variant>
        <vt:i4>1835060</vt:i4>
      </vt:variant>
      <vt:variant>
        <vt:i4>62</vt:i4>
      </vt:variant>
      <vt:variant>
        <vt:i4>0</vt:i4>
      </vt:variant>
      <vt:variant>
        <vt:i4>5</vt:i4>
      </vt:variant>
      <vt:variant>
        <vt:lpwstr/>
      </vt:variant>
      <vt:variant>
        <vt:lpwstr>_Toc68873397</vt:lpwstr>
      </vt:variant>
      <vt:variant>
        <vt:i4>1900596</vt:i4>
      </vt:variant>
      <vt:variant>
        <vt:i4>56</vt:i4>
      </vt:variant>
      <vt:variant>
        <vt:i4>0</vt:i4>
      </vt:variant>
      <vt:variant>
        <vt:i4>5</vt:i4>
      </vt:variant>
      <vt:variant>
        <vt:lpwstr/>
      </vt:variant>
      <vt:variant>
        <vt:lpwstr>_Toc68873396</vt:lpwstr>
      </vt:variant>
      <vt:variant>
        <vt:i4>1966132</vt:i4>
      </vt:variant>
      <vt:variant>
        <vt:i4>50</vt:i4>
      </vt:variant>
      <vt:variant>
        <vt:i4>0</vt:i4>
      </vt:variant>
      <vt:variant>
        <vt:i4>5</vt:i4>
      </vt:variant>
      <vt:variant>
        <vt:lpwstr/>
      </vt:variant>
      <vt:variant>
        <vt:lpwstr>_Toc68873395</vt:lpwstr>
      </vt:variant>
      <vt:variant>
        <vt:i4>2031668</vt:i4>
      </vt:variant>
      <vt:variant>
        <vt:i4>44</vt:i4>
      </vt:variant>
      <vt:variant>
        <vt:i4>0</vt:i4>
      </vt:variant>
      <vt:variant>
        <vt:i4>5</vt:i4>
      </vt:variant>
      <vt:variant>
        <vt:lpwstr/>
      </vt:variant>
      <vt:variant>
        <vt:lpwstr>_Toc68873394</vt:lpwstr>
      </vt:variant>
      <vt:variant>
        <vt:i4>1572916</vt:i4>
      </vt:variant>
      <vt:variant>
        <vt:i4>38</vt:i4>
      </vt:variant>
      <vt:variant>
        <vt:i4>0</vt:i4>
      </vt:variant>
      <vt:variant>
        <vt:i4>5</vt:i4>
      </vt:variant>
      <vt:variant>
        <vt:lpwstr/>
      </vt:variant>
      <vt:variant>
        <vt:lpwstr>_Toc68873393</vt:lpwstr>
      </vt:variant>
      <vt:variant>
        <vt:i4>1638452</vt:i4>
      </vt:variant>
      <vt:variant>
        <vt:i4>32</vt:i4>
      </vt:variant>
      <vt:variant>
        <vt:i4>0</vt:i4>
      </vt:variant>
      <vt:variant>
        <vt:i4>5</vt:i4>
      </vt:variant>
      <vt:variant>
        <vt:lpwstr/>
      </vt:variant>
      <vt:variant>
        <vt:lpwstr>_Toc68873392</vt:lpwstr>
      </vt:variant>
      <vt:variant>
        <vt:i4>1703988</vt:i4>
      </vt:variant>
      <vt:variant>
        <vt:i4>26</vt:i4>
      </vt:variant>
      <vt:variant>
        <vt:i4>0</vt:i4>
      </vt:variant>
      <vt:variant>
        <vt:i4>5</vt:i4>
      </vt:variant>
      <vt:variant>
        <vt:lpwstr/>
      </vt:variant>
      <vt:variant>
        <vt:lpwstr>_Toc68873391</vt:lpwstr>
      </vt:variant>
      <vt:variant>
        <vt:i4>1769524</vt:i4>
      </vt:variant>
      <vt:variant>
        <vt:i4>20</vt:i4>
      </vt:variant>
      <vt:variant>
        <vt:i4>0</vt:i4>
      </vt:variant>
      <vt:variant>
        <vt:i4>5</vt:i4>
      </vt:variant>
      <vt:variant>
        <vt:lpwstr/>
      </vt:variant>
      <vt:variant>
        <vt:lpwstr>_Toc68873390</vt:lpwstr>
      </vt:variant>
      <vt:variant>
        <vt:i4>1179701</vt:i4>
      </vt:variant>
      <vt:variant>
        <vt:i4>14</vt:i4>
      </vt:variant>
      <vt:variant>
        <vt:i4>0</vt:i4>
      </vt:variant>
      <vt:variant>
        <vt:i4>5</vt:i4>
      </vt:variant>
      <vt:variant>
        <vt:lpwstr/>
      </vt:variant>
      <vt:variant>
        <vt:lpwstr>_Toc68873389</vt:lpwstr>
      </vt:variant>
      <vt:variant>
        <vt:i4>1245237</vt:i4>
      </vt:variant>
      <vt:variant>
        <vt:i4>8</vt:i4>
      </vt:variant>
      <vt:variant>
        <vt:i4>0</vt:i4>
      </vt:variant>
      <vt:variant>
        <vt:i4>5</vt:i4>
      </vt:variant>
      <vt:variant>
        <vt:lpwstr/>
      </vt:variant>
      <vt:variant>
        <vt:lpwstr>_Toc68873388</vt:lpwstr>
      </vt:variant>
      <vt:variant>
        <vt:i4>1835061</vt:i4>
      </vt:variant>
      <vt:variant>
        <vt:i4>2</vt:i4>
      </vt:variant>
      <vt:variant>
        <vt:i4>0</vt:i4>
      </vt:variant>
      <vt:variant>
        <vt:i4>5</vt:i4>
      </vt:variant>
      <vt:variant>
        <vt:lpwstr/>
      </vt:variant>
      <vt:variant>
        <vt:lpwstr>_Toc68873387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Avelino Carvalho</dc:creator>
  <cp:keywords/>
  <dc:description/>
  <cp:lastModifiedBy>Pedro Souza</cp:lastModifiedBy>
  <cp:revision>1219</cp:revision>
  <cp:lastPrinted>2020-04-12T18:57:00Z</cp:lastPrinted>
  <dcterms:created xsi:type="dcterms:W3CDTF">2020-04-12T18:11:00Z</dcterms:created>
  <dcterms:modified xsi:type="dcterms:W3CDTF">2021-04-12T15:24:00Z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0x01010093028A2AFCBCA74A82B6A95CCC6EF00B</vt:lpwstr>
  </property>
</Properties>
</file>