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E452" w14:textId="67C4E453" w:rsidR="00E95E74" w:rsidRPr="001E42D4" w:rsidRDefault="00ED5D78" w:rsidP="00ED5D78">
      <w:pPr>
        <w:spacing w:after="180" w:line="288" w:lineRule="auto"/>
        <w:jc w:val="both"/>
        <w:rPr>
          <w:rFonts w:cstheme="minorHAnsi"/>
          <w:b/>
          <w:bCs/>
          <w:color w:val="000000" w:themeColor="text1"/>
        </w:rPr>
      </w:pPr>
      <w:r w:rsidRPr="001E42D4">
        <w:rPr>
          <w:rFonts w:cstheme="minorHAnsi"/>
          <w:b/>
          <w:bCs/>
          <w:color w:val="000000" w:themeColor="text1"/>
        </w:rPr>
        <w:t>PÁGINA</w:t>
      </w:r>
      <w:r w:rsidR="00E95E74" w:rsidRPr="001E42D4">
        <w:rPr>
          <w:rFonts w:cstheme="minorHAnsi"/>
          <w:b/>
          <w:bCs/>
          <w:color w:val="000000" w:themeColor="text1"/>
        </w:rPr>
        <w:t xml:space="preserve"> SIOP</w:t>
      </w:r>
      <w:r w:rsidR="001E42D4" w:rsidRPr="001E42D4">
        <w:rPr>
          <w:rFonts w:cstheme="minorHAnsi"/>
          <w:b/>
          <w:bCs/>
          <w:color w:val="000000" w:themeColor="text1"/>
        </w:rPr>
        <w:t xml:space="preserve"> DOC</w:t>
      </w:r>
    </w:p>
    <w:p w14:paraId="6BD4D0FC" w14:textId="66367E25" w:rsidR="00D659EF" w:rsidRDefault="00D659EF" w:rsidP="009B3D03">
      <w:pPr>
        <w:pStyle w:val="Ttulo2"/>
        <w:rPr>
          <w:b/>
          <w:bCs/>
          <w:color w:val="000000" w:themeColor="text1"/>
        </w:rPr>
      </w:pPr>
      <w:r w:rsidRPr="009B3D03">
        <w:rPr>
          <w:color w:val="2B579A"/>
          <w:shd w:val="clear" w:color="auto" w:fill="E6E6E6"/>
        </w:rPr>
        <w:t>Agendas Transversais e Multissetoriais</w:t>
      </w:r>
    </w:p>
    <w:p w14:paraId="23F3163E" w14:textId="4EC3B54A" w:rsidR="00A35FD7" w:rsidRDefault="00C93DFE" w:rsidP="00A35FD7">
      <w:pPr>
        <w:spacing w:after="180" w:line="288" w:lineRule="auto"/>
        <w:jc w:val="both"/>
        <w:rPr>
          <w:color w:val="000000" w:themeColor="text1"/>
        </w:rPr>
      </w:pPr>
      <w:r w:rsidRPr="25B3180E">
        <w:rPr>
          <w:color w:val="000000" w:themeColor="text1"/>
        </w:rPr>
        <w:t xml:space="preserve">As Agendas Transversais e Multissetoriais surgem como alternativa para tratar, no processo orçamentário, de problemas públicos de natureza complexa cuja resolução depende da atuação conjunta de vários órgãos setoriais. Em outras palavras, para enfrentá-los de forma eficaz e efetiva é necessária uma </w:t>
      </w:r>
      <w:r w:rsidRPr="25B3180E">
        <w:rPr>
          <w:b/>
          <w:bCs/>
          <w:color w:val="000000" w:themeColor="text1"/>
        </w:rPr>
        <w:t>abordagem multidimensional e integrada</w:t>
      </w:r>
      <w:r w:rsidRPr="25B3180E">
        <w:rPr>
          <w:color w:val="000000" w:themeColor="text1"/>
        </w:rPr>
        <w:t xml:space="preserve"> por parte do Estado.</w:t>
      </w:r>
      <w:r w:rsidR="00A35FD7">
        <w:rPr>
          <w:color w:val="000000" w:themeColor="text1"/>
        </w:rPr>
        <w:t xml:space="preserve"> </w:t>
      </w:r>
    </w:p>
    <w:p w14:paraId="24E390EB" w14:textId="46E0A858" w:rsidR="002A0870" w:rsidRDefault="00C93DFE" w:rsidP="25B3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88" w:lineRule="auto"/>
        <w:jc w:val="both"/>
        <w:rPr>
          <w:color w:val="000000" w:themeColor="text1"/>
        </w:rPr>
      </w:pPr>
      <w:r w:rsidRPr="00B830DF">
        <w:rPr>
          <w:rFonts w:cstheme="minorHAnsi"/>
          <w:b/>
          <w:bCs/>
          <w:color w:val="000000" w:themeColor="text1"/>
        </w:rPr>
        <w:t>Transversalidade</w:t>
      </w:r>
      <w:r>
        <w:rPr>
          <w:rFonts w:cstheme="minorHAnsi"/>
          <w:color w:val="000000" w:themeColor="text1"/>
        </w:rPr>
        <w:t xml:space="preserve">. </w:t>
      </w:r>
      <w:r w:rsidR="002A0870">
        <w:rPr>
          <w:color w:val="000000" w:themeColor="text1"/>
        </w:rPr>
        <w:t xml:space="preserve"> </w:t>
      </w:r>
    </w:p>
    <w:p w14:paraId="48754EE5" w14:textId="3B3EF532" w:rsidR="00857E9D" w:rsidRDefault="00C93DFE" w:rsidP="00C9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88" w:lineRule="auto"/>
        <w:jc w:val="both"/>
        <w:rPr>
          <w:rFonts w:cstheme="minorHAnsi"/>
          <w:color w:val="000000" w:themeColor="text1"/>
        </w:rPr>
      </w:pPr>
      <w:r w:rsidRPr="25B3180E">
        <w:rPr>
          <w:color w:val="000000" w:themeColor="text1"/>
        </w:rPr>
        <w:t xml:space="preserve">A ação transversal acontece quando </w:t>
      </w:r>
      <w:r w:rsidR="004A22FC">
        <w:rPr>
          <w:color w:val="000000" w:themeColor="text1"/>
        </w:rPr>
        <w:t xml:space="preserve">uma questão </w:t>
      </w:r>
      <w:r w:rsidR="0030111C">
        <w:rPr>
          <w:color w:val="000000" w:themeColor="text1"/>
        </w:rPr>
        <w:t>multicausal</w:t>
      </w:r>
      <w:r w:rsidRPr="25B3180E">
        <w:rPr>
          <w:color w:val="000000" w:themeColor="text1"/>
        </w:rPr>
        <w:t xml:space="preserve"> é considerad</w:t>
      </w:r>
      <w:r w:rsidR="00165A4B">
        <w:rPr>
          <w:color w:val="000000" w:themeColor="text1"/>
        </w:rPr>
        <w:t>a</w:t>
      </w:r>
      <w:r w:rsidRPr="25B3180E">
        <w:rPr>
          <w:color w:val="000000" w:themeColor="text1"/>
        </w:rPr>
        <w:t xml:space="preserve"> por diferentes áreas setoriais na formulação e implementação de soluções de políticas públicas. Isso ocorre</w:t>
      </w:r>
      <w:r w:rsidR="00170ABF" w:rsidRPr="25B3180E">
        <w:rPr>
          <w:color w:val="000000" w:themeColor="text1"/>
        </w:rPr>
        <w:t>, por exemplo,</w:t>
      </w:r>
      <w:r w:rsidRPr="25B3180E">
        <w:rPr>
          <w:color w:val="000000" w:themeColor="text1"/>
        </w:rPr>
        <w:t xml:space="preserve"> quando</w:t>
      </w:r>
      <w:r w:rsidR="000B2F57">
        <w:rPr>
          <w:color w:val="000000" w:themeColor="text1"/>
        </w:rPr>
        <w:t xml:space="preserve"> </w:t>
      </w:r>
      <w:r w:rsidR="00EC77BF">
        <w:rPr>
          <w:color w:val="000000" w:themeColor="text1"/>
        </w:rPr>
        <w:t>na promoção d</w:t>
      </w:r>
      <w:r w:rsidR="003E50F1">
        <w:rPr>
          <w:color w:val="000000" w:themeColor="text1"/>
        </w:rPr>
        <w:t>a equidade de gênero, as necessidades específicas das mulheres são consideradas</w:t>
      </w:r>
      <w:r w:rsidR="001467F0">
        <w:rPr>
          <w:color w:val="000000" w:themeColor="text1"/>
        </w:rPr>
        <w:t xml:space="preserve">. Ao </w:t>
      </w:r>
      <w:r w:rsidR="00155D63">
        <w:rPr>
          <w:color w:val="000000" w:themeColor="text1"/>
        </w:rPr>
        <w:t>absorver a transversalidade</w:t>
      </w:r>
      <w:r w:rsidR="0022538A">
        <w:rPr>
          <w:color w:val="000000" w:themeColor="text1"/>
        </w:rPr>
        <w:t xml:space="preserve">, por exemplo, </w:t>
      </w:r>
      <w:r w:rsidR="00DD6260" w:rsidRPr="00DD6260">
        <w:rPr>
          <w:color w:val="000000" w:themeColor="text1"/>
        </w:rPr>
        <w:t xml:space="preserve">a política de mobilidade urbana planeja o transporte coletivo levando em conta </w:t>
      </w:r>
      <w:r w:rsidR="00E632DB">
        <w:rPr>
          <w:color w:val="000000" w:themeColor="text1"/>
        </w:rPr>
        <w:t xml:space="preserve">que </w:t>
      </w:r>
      <w:r w:rsidR="00DD6260" w:rsidRPr="00DD6260">
        <w:rPr>
          <w:color w:val="000000" w:themeColor="text1"/>
        </w:rPr>
        <w:t>os deslocamentos</w:t>
      </w:r>
      <w:r w:rsidR="001D1BA3">
        <w:rPr>
          <w:color w:val="000000" w:themeColor="text1"/>
        </w:rPr>
        <w:t xml:space="preserve"> feitos pelas mulheres são</w:t>
      </w:r>
      <w:r w:rsidR="00DD6260" w:rsidRPr="00DD6260">
        <w:rPr>
          <w:color w:val="000000" w:themeColor="text1"/>
        </w:rPr>
        <w:t xml:space="preserve"> mais curtos e frequentes quando comparados aos </w:t>
      </w:r>
      <w:r w:rsidR="001D1BA3">
        <w:rPr>
          <w:color w:val="000000" w:themeColor="text1"/>
        </w:rPr>
        <w:t>dos</w:t>
      </w:r>
      <w:r w:rsidR="00DD6260" w:rsidRPr="00DD6260">
        <w:rPr>
          <w:color w:val="000000" w:themeColor="text1"/>
        </w:rPr>
        <w:t xml:space="preserve"> homens.</w:t>
      </w:r>
    </w:p>
    <w:p w14:paraId="19F934C1" w14:textId="58DF1C44" w:rsidR="00C80402" w:rsidRDefault="004A36EE" w:rsidP="00C80402">
      <w:pPr>
        <w:tabs>
          <w:tab w:val="left" w:pos="765"/>
          <w:tab w:val="left" w:pos="1305"/>
          <w:tab w:val="left" w:pos="7560"/>
        </w:tabs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0D6F03">
        <w:rPr>
          <w:rFonts w:cstheme="minorHAnsi"/>
          <w:color w:val="000000" w:themeColor="text1"/>
        </w:rPr>
        <w:tab/>
      </w:r>
    </w:p>
    <w:p w14:paraId="3776932A" w14:textId="32219D60" w:rsidR="00556E4A" w:rsidRDefault="00C91886" w:rsidP="00C80402">
      <w:pPr>
        <w:tabs>
          <w:tab w:val="left" w:pos="705"/>
          <w:tab w:val="left" w:pos="765"/>
          <w:tab w:val="left" w:pos="1305"/>
          <w:tab w:val="left" w:pos="7560"/>
        </w:tabs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8241" behindDoc="1" locked="0" layoutInCell="1" allowOverlap="1" wp14:anchorId="76941CE8" wp14:editId="50292C6B">
            <wp:simplePos x="0" y="0"/>
            <wp:positionH relativeFrom="column">
              <wp:posOffset>-127000</wp:posOffset>
            </wp:positionH>
            <wp:positionV relativeFrom="paragraph">
              <wp:posOffset>274955</wp:posOffset>
            </wp:positionV>
            <wp:extent cx="5657850" cy="2506840"/>
            <wp:effectExtent l="0" t="0" r="0" b="8255"/>
            <wp:wrapNone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50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402" w:rsidRPr="006B5FCB">
        <w:rPr>
          <w:rFonts w:cstheme="minorHAnsi"/>
          <w:b/>
          <w:bCs/>
          <w:color w:val="000000" w:themeColor="text1"/>
        </w:rPr>
        <w:t>Figura 1. Representação visual da transversalidade.</w:t>
      </w:r>
    </w:p>
    <w:p w14:paraId="4A9B19F2" w14:textId="0F25A46D" w:rsidR="00CC3971" w:rsidRPr="006B5FCB" w:rsidRDefault="00CC3971" w:rsidP="00C80402">
      <w:pPr>
        <w:tabs>
          <w:tab w:val="left" w:pos="705"/>
          <w:tab w:val="left" w:pos="765"/>
          <w:tab w:val="left" w:pos="1305"/>
          <w:tab w:val="left" w:pos="7560"/>
        </w:tabs>
        <w:jc w:val="both"/>
        <w:rPr>
          <w:rFonts w:cstheme="minorHAnsi"/>
          <w:b/>
          <w:bCs/>
          <w:color w:val="000000" w:themeColor="text1"/>
        </w:rPr>
      </w:pPr>
    </w:p>
    <w:p w14:paraId="6796734E" w14:textId="09DF59FD" w:rsidR="004A36EE" w:rsidRDefault="004A36EE" w:rsidP="000C75AD">
      <w:pPr>
        <w:tabs>
          <w:tab w:val="left" w:pos="765"/>
        </w:tabs>
        <w:jc w:val="right"/>
        <w:rPr>
          <w:rFonts w:cstheme="minorHAnsi"/>
          <w:color w:val="000000" w:themeColor="text1"/>
        </w:rPr>
      </w:pPr>
    </w:p>
    <w:p w14:paraId="51830357" w14:textId="3385C1B3" w:rsidR="004A36EE" w:rsidRDefault="004A36EE" w:rsidP="004A36EE">
      <w:pPr>
        <w:tabs>
          <w:tab w:val="left" w:pos="765"/>
        </w:tabs>
        <w:jc w:val="both"/>
        <w:rPr>
          <w:rFonts w:cstheme="minorHAnsi"/>
          <w:color w:val="000000" w:themeColor="text1"/>
        </w:rPr>
      </w:pPr>
    </w:p>
    <w:p w14:paraId="41BEB3EA" w14:textId="77777777" w:rsidR="004A36EE" w:rsidRDefault="004A36EE" w:rsidP="004A36EE">
      <w:pPr>
        <w:tabs>
          <w:tab w:val="left" w:pos="765"/>
        </w:tabs>
        <w:jc w:val="right"/>
        <w:rPr>
          <w:rFonts w:cstheme="minorHAnsi"/>
          <w:color w:val="000000" w:themeColor="text1"/>
        </w:rPr>
      </w:pPr>
    </w:p>
    <w:p w14:paraId="0C6CB7F1" w14:textId="116F6C3D" w:rsidR="004A36EE" w:rsidRDefault="004A36EE" w:rsidP="000D6F03">
      <w:pPr>
        <w:tabs>
          <w:tab w:val="left" w:pos="7335"/>
          <w:tab w:val="right" w:pos="8504"/>
        </w:tabs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0D6F03">
        <w:rPr>
          <w:rFonts w:cstheme="minorHAnsi"/>
          <w:color w:val="000000" w:themeColor="text1"/>
        </w:rPr>
        <w:tab/>
      </w:r>
    </w:p>
    <w:p w14:paraId="480CFCCD" w14:textId="77777777" w:rsidR="004A36EE" w:rsidRDefault="004A36EE" w:rsidP="004A36EE">
      <w:pPr>
        <w:tabs>
          <w:tab w:val="left" w:pos="765"/>
        </w:tabs>
        <w:jc w:val="both"/>
        <w:rPr>
          <w:rFonts w:cstheme="minorHAnsi"/>
          <w:color w:val="000000" w:themeColor="text1"/>
        </w:rPr>
      </w:pPr>
    </w:p>
    <w:p w14:paraId="1E9FEBAF" w14:textId="7A980B77" w:rsidR="004A36EE" w:rsidRDefault="000D6F03" w:rsidP="000D6F03">
      <w:pPr>
        <w:tabs>
          <w:tab w:val="left" w:pos="7425"/>
        </w:tabs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3321415B" w14:textId="77777777" w:rsidR="004A36EE" w:rsidRDefault="004A36EE" w:rsidP="000C75AD">
      <w:pPr>
        <w:tabs>
          <w:tab w:val="left" w:pos="765"/>
        </w:tabs>
        <w:jc w:val="right"/>
        <w:rPr>
          <w:rFonts w:cstheme="minorHAnsi"/>
          <w:color w:val="000000" w:themeColor="text1"/>
        </w:rPr>
      </w:pPr>
    </w:p>
    <w:p w14:paraId="1485D043" w14:textId="77777777" w:rsidR="004A36EE" w:rsidRDefault="004A36EE" w:rsidP="004A36EE">
      <w:pPr>
        <w:tabs>
          <w:tab w:val="left" w:pos="765"/>
        </w:tabs>
        <w:jc w:val="both"/>
        <w:rPr>
          <w:rFonts w:cstheme="minorHAnsi"/>
          <w:color w:val="000000" w:themeColor="text1"/>
        </w:rPr>
      </w:pPr>
    </w:p>
    <w:p w14:paraId="2C25DCE8" w14:textId="77777777" w:rsidR="000C75AD" w:rsidRDefault="000C75AD" w:rsidP="004A36EE">
      <w:pPr>
        <w:tabs>
          <w:tab w:val="left" w:pos="765"/>
        </w:tabs>
        <w:jc w:val="both"/>
        <w:rPr>
          <w:rFonts w:cstheme="minorHAnsi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6E4A" w14:paraId="611D8C03" w14:textId="77777777" w:rsidTr="6A41E360">
        <w:tc>
          <w:tcPr>
            <w:tcW w:w="8494" w:type="dxa"/>
          </w:tcPr>
          <w:p w14:paraId="0CC14FFB" w14:textId="55A370BA" w:rsidR="004702D2" w:rsidRPr="004702D2" w:rsidRDefault="004702D2" w:rsidP="004702D2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4702D2">
              <w:rPr>
                <w:rFonts w:cstheme="minorHAnsi"/>
                <w:b/>
                <w:bCs/>
                <w:color w:val="000000" w:themeColor="text1"/>
              </w:rPr>
              <w:t>Multissetorialidade</w:t>
            </w:r>
            <w:proofErr w:type="spellEnd"/>
            <w:r w:rsidRPr="004702D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3C248C0C" w14:textId="6E2E18E4" w:rsidR="00556E4A" w:rsidRDefault="004702D2" w:rsidP="6A41E360">
            <w:pPr>
              <w:jc w:val="both"/>
              <w:rPr>
                <w:color w:val="000000" w:themeColor="text1"/>
              </w:rPr>
            </w:pPr>
            <w:r w:rsidRPr="6A41E360">
              <w:rPr>
                <w:color w:val="000000" w:themeColor="text1"/>
              </w:rPr>
              <w:t>Um programa multissetorial acontece quando órgãos setoriais diferentes trabalham de forma coordenada para a resolução de desafios, por exemplo, no atendimento a populações quilombolas : é preciso reconhecer e garantir a propriedade coletiva da terra; assistência técnica para a realização de atividades econômicas coletivas ou individuais a partir do território; e a provisão de serviços públicos, como saúde e educação, considerando suas especificidades culturais (como foi o Programa Brasil Quilombola).</w:t>
            </w:r>
          </w:p>
        </w:tc>
      </w:tr>
    </w:tbl>
    <w:p w14:paraId="69662E81" w14:textId="11DD31DF" w:rsidR="009B3D03" w:rsidRDefault="009B3D03" w:rsidP="00C55D8D">
      <w:pPr>
        <w:jc w:val="both"/>
        <w:rPr>
          <w:rFonts w:cstheme="minorHAnsi"/>
          <w:color w:val="000000" w:themeColor="text1"/>
        </w:rPr>
      </w:pPr>
    </w:p>
    <w:p w14:paraId="0CE5B6C5" w14:textId="438588CC" w:rsidR="00A25443" w:rsidRPr="00C91886" w:rsidRDefault="00A25443" w:rsidP="00C55D8D">
      <w:pPr>
        <w:jc w:val="both"/>
        <w:rPr>
          <w:rFonts w:cstheme="minorHAnsi"/>
          <w:b/>
          <w:bCs/>
          <w:color w:val="000000" w:themeColor="text1"/>
        </w:rPr>
      </w:pPr>
      <w:r w:rsidRPr="00C91886">
        <w:rPr>
          <w:rFonts w:cstheme="minorHAnsi"/>
          <w:b/>
          <w:bCs/>
          <w:color w:val="000000" w:themeColor="text1"/>
        </w:rPr>
        <w:t xml:space="preserve">Figura 2. Representação visual da </w:t>
      </w:r>
      <w:proofErr w:type="spellStart"/>
      <w:r w:rsidRPr="00C91886">
        <w:rPr>
          <w:rFonts w:cstheme="minorHAnsi"/>
          <w:b/>
          <w:bCs/>
          <w:color w:val="000000" w:themeColor="text1"/>
        </w:rPr>
        <w:t>multissetorialidade</w:t>
      </w:r>
      <w:proofErr w:type="spellEnd"/>
    </w:p>
    <w:p w14:paraId="01956BEC" w14:textId="74DDDD63" w:rsidR="00A25443" w:rsidRDefault="006B5FCB" w:rsidP="00C55D8D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57B9415" wp14:editId="610E1C24">
            <wp:simplePos x="0" y="0"/>
            <wp:positionH relativeFrom="column">
              <wp:posOffset>-146685</wp:posOffset>
            </wp:positionH>
            <wp:positionV relativeFrom="paragraph">
              <wp:posOffset>60960</wp:posOffset>
            </wp:positionV>
            <wp:extent cx="5621020" cy="2495550"/>
            <wp:effectExtent l="0" t="0" r="0" b="0"/>
            <wp:wrapThrough wrapText="bothSides">
              <wp:wrapPolygon edited="0">
                <wp:start x="2269" y="0"/>
                <wp:lineTo x="2269" y="13191"/>
                <wp:lineTo x="1464" y="13191"/>
                <wp:lineTo x="1464" y="13521"/>
                <wp:lineTo x="3660" y="18467"/>
                <wp:lineTo x="0" y="18797"/>
                <wp:lineTo x="0" y="20776"/>
                <wp:lineTo x="2562" y="21270"/>
                <wp:lineTo x="4685" y="21435"/>
                <wp:lineTo x="5417" y="21435"/>
                <wp:lineTo x="16105" y="21435"/>
                <wp:lineTo x="16910" y="21435"/>
                <wp:lineTo x="19033" y="21270"/>
                <wp:lineTo x="21522" y="20776"/>
                <wp:lineTo x="21522" y="18797"/>
                <wp:lineTo x="17862" y="18467"/>
                <wp:lineTo x="19179" y="15829"/>
                <wp:lineTo x="20131" y="13685"/>
                <wp:lineTo x="20131" y="13191"/>
                <wp:lineTo x="19326" y="13191"/>
                <wp:lineTo x="19326" y="0"/>
                <wp:lineTo x="2269" y="0"/>
              </wp:wrapPolygon>
            </wp:wrapThrough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7AE89" w14:textId="477C24D0" w:rsidR="000D6F03" w:rsidRDefault="000D6F03" w:rsidP="000D6F03">
      <w:pPr>
        <w:jc w:val="right"/>
        <w:rPr>
          <w:rFonts w:cstheme="minorHAnsi"/>
          <w:color w:val="000000" w:themeColor="text1"/>
        </w:rPr>
      </w:pPr>
    </w:p>
    <w:p w14:paraId="4EE8C5C9" w14:textId="436618F0" w:rsidR="000D6F03" w:rsidRDefault="000D6F03" w:rsidP="00C55D8D">
      <w:pPr>
        <w:jc w:val="both"/>
        <w:rPr>
          <w:rFonts w:cstheme="minorHAnsi"/>
          <w:color w:val="000000" w:themeColor="text1"/>
        </w:rPr>
      </w:pPr>
    </w:p>
    <w:p w14:paraId="2579DB53" w14:textId="621DBB78" w:rsidR="000D6F03" w:rsidRDefault="000D6F03" w:rsidP="000D6F03">
      <w:pPr>
        <w:tabs>
          <w:tab w:val="left" w:pos="3210"/>
        </w:tabs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6ED79D2E" w14:textId="18F760CB" w:rsidR="000D6F03" w:rsidRDefault="000D6F03" w:rsidP="00C55D8D">
      <w:pPr>
        <w:jc w:val="both"/>
        <w:rPr>
          <w:rFonts w:cstheme="minorHAnsi"/>
          <w:color w:val="000000" w:themeColor="text1"/>
        </w:rPr>
      </w:pPr>
    </w:p>
    <w:p w14:paraId="3E3E5E23" w14:textId="1FAEBCD4" w:rsidR="000D6F03" w:rsidRDefault="000D6F03" w:rsidP="00C55D8D">
      <w:pPr>
        <w:jc w:val="both"/>
        <w:rPr>
          <w:rFonts w:cstheme="minorHAnsi"/>
          <w:color w:val="000000" w:themeColor="text1"/>
        </w:rPr>
      </w:pPr>
    </w:p>
    <w:p w14:paraId="2CCDBD52" w14:textId="1CB45F96" w:rsidR="000D6F03" w:rsidRDefault="000D6F03" w:rsidP="00C55D8D">
      <w:pPr>
        <w:jc w:val="both"/>
        <w:rPr>
          <w:rFonts w:cstheme="minorHAnsi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7E9D" w14:paraId="5DF96DD7" w14:textId="77777777" w:rsidTr="00857E9D">
        <w:tc>
          <w:tcPr>
            <w:tcW w:w="8494" w:type="dxa"/>
          </w:tcPr>
          <w:p w14:paraId="465B3DCC" w14:textId="1FBC9E7F" w:rsidR="00857E9D" w:rsidRPr="00857E9D" w:rsidRDefault="00857E9D" w:rsidP="00857E9D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857E9D">
              <w:rPr>
                <w:rFonts w:cstheme="minorHAnsi"/>
                <w:b/>
                <w:bCs/>
                <w:color w:val="000000" w:themeColor="text1"/>
              </w:rPr>
              <w:t xml:space="preserve">Transversalidade ou </w:t>
            </w:r>
            <w:proofErr w:type="spellStart"/>
            <w:r w:rsidRPr="00857E9D">
              <w:rPr>
                <w:rFonts w:cstheme="minorHAnsi"/>
                <w:b/>
                <w:bCs/>
                <w:color w:val="000000" w:themeColor="text1"/>
              </w:rPr>
              <w:t>Multissetorialidade</w:t>
            </w:r>
            <w:proofErr w:type="spellEnd"/>
            <w:r w:rsidRPr="00857E9D">
              <w:rPr>
                <w:rFonts w:cstheme="minorHAnsi"/>
                <w:b/>
                <w:bCs/>
                <w:color w:val="000000" w:themeColor="text1"/>
              </w:rPr>
              <w:t xml:space="preserve">?  </w:t>
            </w:r>
          </w:p>
          <w:p w14:paraId="355EA6C8" w14:textId="62981816" w:rsidR="00857E9D" w:rsidRPr="00857E9D" w:rsidRDefault="00857E9D" w:rsidP="00857E9D">
            <w:pPr>
              <w:jc w:val="both"/>
              <w:rPr>
                <w:rFonts w:cstheme="minorHAnsi"/>
                <w:color w:val="000000" w:themeColor="text1"/>
              </w:rPr>
            </w:pPr>
            <w:r w:rsidRPr="00857E9D">
              <w:rPr>
                <w:rFonts w:cstheme="minorHAnsi"/>
                <w:color w:val="000000" w:themeColor="text1"/>
              </w:rPr>
              <w:t xml:space="preserve">Uma questão de natureza complexa pode ser enfrentada pela estratégia da transversalidade, em que um ou mais órgãos fixa em seus programas finalísticos como contribuirá para sua solução; ou por meio de um programa </w:t>
            </w:r>
            <w:r w:rsidR="00A35FD7" w:rsidRPr="00857E9D">
              <w:rPr>
                <w:rFonts w:cstheme="minorHAnsi"/>
                <w:color w:val="000000" w:themeColor="text1"/>
              </w:rPr>
              <w:t>multissetorial,</w:t>
            </w:r>
            <w:r w:rsidRPr="00857E9D">
              <w:rPr>
                <w:rFonts w:cstheme="minorHAnsi"/>
                <w:color w:val="000000" w:themeColor="text1"/>
              </w:rPr>
              <w:t xml:space="preserve"> em que um órgão </w:t>
            </w:r>
            <w:r w:rsidR="00E331FD" w:rsidRPr="00857E9D">
              <w:rPr>
                <w:rFonts w:cstheme="minorHAnsi"/>
                <w:color w:val="000000" w:themeColor="text1"/>
              </w:rPr>
              <w:t>setorial coordena</w:t>
            </w:r>
            <w:r w:rsidRPr="00857E9D">
              <w:rPr>
                <w:rFonts w:cstheme="minorHAnsi"/>
                <w:color w:val="000000" w:themeColor="text1"/>
              </w:rPr>
              <w:t xml:space="preserve"> a intervenção dos demais órgãos setoriais.</w:t>
            </w:r>
          </w:p>
          <w:p w14:paraId="0CFCEC14" w14:textId="0B31212C" w:rsidR="00857E9D" w:rsidRDefault="00857E9D" w:rsidP="00857E9D">
            <w:pPr>
              <w:jc w:val="both"/>
              <w:rPr>
                <w:rFonts w:cstheme="minorHAnsi"/>
                <w:color w:val="000000" w:themeColor="text1"/>
              </w:rPr>
            </w:pPr>
            <w:r w:rsidRPr="00857E9D">
              <w:rPr>
                <w:rFonts w:cstheme="minorHAnsi"/>
                <w:color w:val="000000" w:themeColor="text1"/>
              </w:rPr>
              <w:t>O principal desafio de executar Agendas Transversais e Multissetoriais de governo é que o Estado se organiza por setores, fato que também se reflete nos instrumentos de planejamento e orçamento.</w:t>
            </w:r>
          </w:p>
        </w:tc>
      </w:tr>
    </w:tbl>
    <w:p w14:paraId="18479239" w14:textId="77777777" w:rsidR="00857E9D" w:rsidRDefault="00857E9D" w:rsidP="00C55D8D">
      <w:pPr>
        <w:jc w:val="both"/>
        <w:rPr>
          <w:rFonts w:cstheme="minorHAnsi"/>
          <w:color w:val="000000" w:themeColor="text1"/>
        </w:rPr>
      </w:pPr>
    </w:p>
    <w:p w14:paraId="05ABA9BE" w14:textId="7F12FB6F" w:rsidR="00C55D8D" w:rsidRPr="00A8631E" w:rsidRDefault="00C55D8D" w:rsidP="00C55D8D">
      <w:pPr>
        <w:jc w:val="both"/>
        <w:rPr>
          <w:rFonts w:cstheme="minorHAnsi"/>
          <w:color w:val="000000" w:themeColor="text1"/>
        </w:rPr>
      </w:pPr>
      <w:r w:rsidRPr="00A8631E">
        <w:rPr>
          <w:rFonts w:cstheme="minorHAnsi"/>
          <w:color w:val="000000" w:themeColor="text1"/>
        </w:rPr>
        <w:t xml:space="preserve">Como explica o Manual de Elaboração do PPA 2024-2027, o tratamento </w:t>
      </w:r>
      <w:r w:rsidR="00A630FE">
        <w:rPr>
          <w:rFonts w:cstheme="minorHAnsi"/>
          <w:color w:val="000000" w:themeColor="text1"/>
        </w:rPr>
        <w:t>de</w:t>
      </w:r>
      <w:r w:rsidRPr="00A8631E">
        <w:rPr>
          <w:rFonts w:cstheme="minorHAnsi"/>
          <w:color w:val="000000" w:themeColor="text1"/>
        </w:rPr>
        <w:t xml:space="preserve"> problemas</w:t>
      </w:r>
      <w:r w:rsidR="00A630FE">
        <w:rPr>
          <w:rFonts w:cstheme="minorHAnsi"/>
          <w:color w:val="000000" w:themeColor="text1"/>
        </w:rPr>
        <w:t xml:space="preserve"> públicos</w:t>
      </w:r>
      <w:r w:rsidRPr="00A8631E">
        <w:rPr>
          <w:rFonts w:cstheme="minorHAnsi"/>
          <w:color w:val="000000" w:themeColor="text1"/>
        </w:rPr>
        <w:t xml:space="preserve"> complexos</w:t>
      </w:r>
      <w:r w:rsidR="006D3839">
        <w:rPr>
          <w:rFonts w:cstheme="minorHAnsi"/>
          <w:color w:val="000000" w:themeColor="text1"/>
        </w:rPr>
        <w:t xml:space="preserve"> no Plano</w:t>
      </w:r>
      <w:r w:rsidRPr="00A8631E">
        <w:rPr>
          <w:rFonts w:cstheme="minorHAnsi"/>
          <w:color w:val="000000" w:themeColor="text1"/>
        </w:rPr>
        <w:t xml:space="preserve"> se </w:t>
      </w:r>
      <w:r w:rsidR="00A35FD7">
        <w:rPr>
          <w:rFonts w:cstheme="minorHAnsi"/>
          <w:color w:val="000000" w:themeColor="text1"/>
        </w:rPr>
        <w:t>deu</w:t>
      </w:r>
      <w:r w:rsidR="00A35FD7" w:rsidRPr="00A8631E">
        <w:rPr>
          <w:rFonts w:cstheme="minorHAnsi"/>
          <w:color w:val="000000" w:themeColor="text1"/>
        </w:rPr>
        <w:t xml:space="preserve"> </w:t>
      </w:r>
      <w:r w:rsidRPr="00A8631E">
        <w:rPr>
          <w:rFonts w:cstheme="minorHAnsi"/>
          <w:color w:val="000000" w:themeColor="text1"/>
        </w:rPr>
        <w:t>em três passos:</w:t>
      </w:r>
    </w:p>
    <w:p w14:paraId="259B8510" w14:textId="00C09411" w:rsidR="00C55D8D" w:rsidRPr="00A8631E" w:rsidRDefault="00C55D8D" w:rsidP="25B3180E">
      <w:pPr>
        <w:jc w:val="both"/>
        <w:rPr>
          <w:color w:val="000000" w:themeColor="text1"/>
        </w:rPr>
      </w:pPr>
      <w:r w:rsidRPr="25B3180E">
        <w:rPr>
          <w:color w:val="000000" w:themeColor="text1"/>
        </w:rPr>
        <w:t>1.</w:t>
      </w:r>
      <w:r>
        <w:tab/>
      </w:r>
      <w:r w:rsidRPr="009B3D03">
        <w:rPr>
          <w:i/>
          <w:iCs/>
          <w:color w:val="000000" w:themeColor="text1"/>
          <w:shd w:val="clear" w:color="auto" w:fill="E6E6E6"/>
        </w:rPr>
        <w:t>Definição</w:t>
      </w:r>
      <w:r w:rsidR="0015740A" w:rsidRPr="009B3D03">
        <w:rPr>
          <w:i/>
          <w:iCs/>
          <w:color w:val="000000" w:themeColor="text1"/>
          <w:shd w:val="clear" w:color="auto" w:fill="E6E6E6"/>
        </w:rPr>
        <w:t xml:space="preserve"> </w:t>
      </w:r>
      <w:r w:rsidRPr="009B3D03">
        <w:rPr>
          <w:i/>
          <w:iCs/>
          <w:color w:val="000000" w:themeColor="text1"/>
          <w:shd w:val="clear" w:color="auto" w:fill="E6E6E6"/>
        </w:rPr>
        <w:t>das Agendas Transversais e Multissetoriais</w:t>
      </w:r>
      <w:r w:rsidR="00FB760E" w:rsidRPr="009B3D03">
        <w:rPr>
          <w:i/>
          <w:iCs/>
          <w:color w:val="000000" w:themeColor="text1"/>
          <w:shd w:val="clear" w:color="auto" w:fill="E6E6E6"/>
        </w:rPr>
        <w:t>:</w:t>
      </w:r>
      <w:r w:rsidR="00FB760E" w:rsidRPr="25B3180E">
        <w:rPr>
          <w:color w:val="000000" w:themeColor="text1"/>
        </w:rPr>
        <w:t xml:space="preserve"> </w:t>
      </w:r>
      <w:r w:rsidR="00C22BFF" w:rsidRPr="25B3180E">
        <w:rPr>
          <w:color w:val="000000" w:themeColor="text1"/>
        </w:rPr>
        <w:t>identificação e seleção</w:t>
      </w:r>
      <w:r w:rsidRPr="25B3180E">
        <w:rPr>
          <w:color w:val="000000" w:themeColor="text1"/>
        </w:rPr>
        <w:t xml:space="preserve"> dos problemas </w:t>
      </w:r>
      <w:r w:rsidR="00C22BFF" w:rsidRPr="25B3180E">
        <w:rPr>
          <w:color w:val="000000" w:themeColor="text1"/>
        </w:rPr>
        <w:t>públicos</w:t>
      </w:r>
      <w:r w:rsidRPr="25B3180E">
        <w:rPr>
          <w:color w:val="000000" w:themeColor="text1"/>
        </w:rPr>
        <w:t xml:space="preserve"> que necessitam de atuação transversal e multissetorial para serem enfrentados</w:t>
      </w:r>
      <w:r w:rsidR="0015740A" w:rsidRPr="25B3180E">
        <w:rPr>
          <w:color w:val="000000" w:themeColor="text1"/>
        </w:rPr>
        <w:t xml:space="preserve"> e monitorados</w:t>
      </w:r>
      <w:r w:rsidR="00695022" w:rsidRPr="25B3180E">
        <w:rPr>
          <w:color w:val="000000" w:themeColor="text1"/>
        </w:rPr>
        <w:t xml:space="preserve"> no âmbito do PPA</w:t>
      </w:r>
      <w:r w:rsidRPr="25B3180E">
        <w:rPr>
          <w:color w:val="000000" w:themeColor="text1"/>
        </w:rPr>
        <w:t xml:space="preserve">. Esta decisão </w:t>
      </w:r>
      <w:r w:rsidR="00A35FD7">
        <w:rPr>
          <w:color w:val="000000" w:themeColor="text1"/>
        </w:rPr>
        <w:t>foi</w:t>
      </w:r>
      <w:r w:rsidRPr="25B3180E">
        <w:rPr>
          <w:color w:val="000000" w:themeColor="text1"/>
        </w:rPr>
        <w:t xml:space="preserve"> tomada pelo nível estratégico do Governo Federal, ouvindo-se a sociedade civil e estados e municípios, em um contexto de </w:t>
      </w:r>
      <w:r w:rsidR="002B33C5" w:rsidRPr="25B3180E">
        <w:rPr>
          <w:color w:val="000000" w:themeColor="text1"/>
        </w:rPr>
        <w:t>planejamento</w:t>
      </w:r>
      <w:r w:rsidRPr="25B3180E">
        <w:rPr>
          <w:color w:val="000000" w:themeColor="text1"/>
        </w:rPr>
        <w:t xml:space="preserve"> participativo.</w:t>
      </w:r>
    </w:p>
    <w:p w14:paraId="5A4C82A3" w14:textId="50B05DE0" w:rsidR="00C55D8D" w:rsidRPr="00A8631E" w:rsidRDefault="00C55D8D" w:rsidP="25B3180E">
      <w:pPr>
        <w:jc w:val="both"/>
        <w:rPr>
          <w:color w:val="000000" w:themeColor="text1"/>
        </w:rPr>
      </w:pPr>
      <w:r w:rsidRPr="25B3180E">
        <w:rPr>
          <w:color w:val="000000" w:themeColor="text1"/>
        </w:rPr>
        <w:t>2.</w:t>
      </w:r>
      <w:r>
        <w:tab/>
      </w:r>
      <w:r w:rsidRPr="009B3D03">
        <w:rPr>
          <w:i/>
          <w:iCs/>
          <w:color w:val="000000" w:themeColor="text1"/>
          <w:shd w:val="clear" w:color="auto" w:fill="E6E6E6"/>
        </w:rPr>
        <w:t xml:space="preserve">Definição das políticas públicas </w:t>
      </w:r>
      <w:r w:rsidR="009D1428" w:rsidRPr="009B3D03">
        <w:rPr>
          <w:i/>
          <w:iCs/>
          <w:color w:val="000000" w:themeColor="text1"/>
          <w:shd w:val="clear" w:color="auto" w:fill="E6E6E6"/>
        </w:rPr>
        <w:t>que compõem</w:t>
      </w:r>
      <w:r w:rsidRPr="009B3D03">
        <w:rPr>
          <w:i/>
          <w:iCs/>
          <w:color w:val="000000" w:themeColor="text1"/>
          <w:shd w:val="clear" w:color="auto" w:fill="E6E6E6"/>
        </w:rPr>
        <w:t xml:space="preserve"> cada Agenda Transversal e Multissetorial</w:t>
      </w:r>
      <w:r w:rsidRPr="25B3180E">
        <w:rPr>
          <w:color w:val="000000" w:themeColor="text1"/>
        </w:rPr>
        <w:t xml:space="preserve">, isto é, definição do que precisa ser feito pelos Ministérios (e de que forma) a fim de encaminhar os problemas complexos selecionados. </w:t>
      </w:r>
    </w:p>
    <w:p w14:paraId="443CA086" w14:textId="2B335C6E" w:rsidR="00C55D8D" w:rsidRPr="00A8631E" w:rsidRDefault="00C55D8D" w:rsidP="25B3180E">
      <w:pPr>
        <w:jc w:val="both"/>
        <w:rPr>
          <w:color w:val="000000" w:themeColor="text1"/>
        </w:rPr>
      </w:pPr>
      <w:r w:rsidRPr="25B3180E">
        <w:rPr>
          <w:color w:val="000000" w:themeColor="text1"/>
        </w:rPr>
        <w:t>3.</w:t>
      </w:r>
      <w:r>
        <w:tab/>
      </w:r>
      <w:r w:rsidRPr="009B3D03">
        <w:rPr>
          <w:i/>
          <w:iCs/>
          <w:color w:val="000000" w:themeColor="text1"/>
          <w:shd w:val="clear" w:color="auto" w:fill="E6E6E6"/>
        </w:rPr>
        <w:t>Tradução das Agendas Transversais e Multissetoriais nos atributos do Plano</w:t>
      </w:r>
      <w:r w:rsidRPr="25B3180E">
        <w:rPr>
          <w:color w:val="000000" w:themeColor="text1"/>
        </w:rPr>
        <w:t xml:space="preserve">, ou seja, definição </w:t>
      </w:r>
      <w:r w:rsidR="00174752">
        <w:rPr>
          <w:color w:val="000000" w:themeColor="text1"/>
        </w:rPr>
        <w:t xml:space="preserve">dos </w:t>
      </w:r>
      <w:r w:rsidRPr="25B3180E">
        <w:rPr>
          <w:color w:val="000000" w:themeColor="text1"/>
        </w:rPr>
        <w:t xml:space="preserve">atributos </w:t>
      </w:r>
      <w:r w:rsidR="00310E31">
        <w:rPr>
          <w:color w:val="000000" w:themeColor="text1"/>
        </w:rPr>
        <w:t>d</w:t>
      </w:r>
      <w:r w:rsidR="00310E31" w:rsidRPr="25B3180E">
        <w:rPr>
          <w:color w:val="000000" w:themeColor="text1"/>
        </w:rPr>
        <w:t xml:space="preserve">os </w:t>
      </w:r>
      <w:r w:rsidRPr="25B3180E">
        <w:rPr>
          <w:color w:val="000000" w:themeColor="text1"/>
        </w:rPr>
        <w:t>programas do PPA</w:t>
      </w:r>
      <w:r w:rsidR="00174752">
        <w:rPr>
          <w:color w:val="000000" w:themeColor="text1"/>
        </w:rPr>
        <w:t xml:space="preserve"> a elas associados: objetivos,</w:t>
      </w:r>
      <w:r w:rsidR="00174752" w:rsidRPr="25B3180E">
        <w:rPr>
          <w:color w:val="000000" w:themeColor="text1"/>
        </w:rPr>
        <w:t xml:space="preserve"> objetivos específicos, indicadores, metas</w:t>
      </w:r>
      <w:r w:rsidR="00174752">
        <w:rPr>
          <w:color w:val="000000" w:themeColor="text1"/>
        </w:rPr>
        <w:t xml:space="preserve"> e</w:t>
      </w:r>
      <w:r w:rsidR="00174752" w:rsidRPr="25B3180E">
        <w:rPr>
          <w:color w:val="000000" w:themeColor="text1"/>
        </w:rPr>
        <w:t xml:space="preserve"> entregas</w:t>
      </w:r>
      <w:r w:rsidR="00174752">
        <w:rPr>
          <w:color w:val="000000" w:themeColor="text1"/>
        </w:rPr>
        <w:t>.</w:t>
      </w:r>
    </w:p>
    <w:p w14:paraId="2BB50719" w14:textId="7CB1E1BB" w:rsidR="006D3839" w:rsidRPr="006D3839" w:rsidRDefault="006D3839" w:rsidP="006D383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Assim, o </w:t>
      </w:r>
      <w:r w:rsidRPr="006D3839">
        <w:rPr>
          <w:rFonts w:cstheme="minorHAnsi"/>
          <w:color w:val="000000" w:themeColor="text1"/>
        </w:rPr>
        <w:t>Plano Plurianual Anual 2024-2027</w:t>
      </w:r>
      <w:r>
        <w:rPr>
          <w:rFonts w:cstheme="minorHAnsi"/>
          <w:color w:val="000000" w:themeColor="text1"/>
        </w:rPr>
        <w:t xml:space="preserve"> (</w:t>
      </w:r>
      <w:r w:rsidRPr="006D3839">
        <w:rPr>
          <w:rFonts w:cstheme="minorHAnsi"/>
          <w:color w:val="000000" w:themeColor="text1"/>
        </w:rPr>
        <w:t>Lei 14.802/2024</w:t>
      </w:r>
      <w:r>
        <w:rPr>
          <w:rFonts w:cstheme="minorHAnsi"/>
          <w:color w:val="000000" w:themeColor="text1"/>
        </w:rPr>
        <w:t xml:space="preserve">) estabeleceu </w:t>
      </w:r>
      <w:r w:rsidRPr="006D3839">
        <w:rPr>
          <w:rFonts w:cstheme="minorHAnsi"/>
          <w:color w:val="000000" w:themeColor="text1"/>
        </w:rPr>
        <w:t>cinco Agendas Transversais e Multissetoriais:</w:t>
      </w:r>
    </w:p>
    <w:p w14:paraId="5ADE14DC" w14:textId="2BE99E38" w:rsidR="006D3839" w:rsidRPr="006D3839" w:rsidRDefault="006D3839" w:rsidP="6A41E360">
      <w:pPr>
        <w:ind w:left="708"/>
        <w:jc w:val="both"/>
        <w:rPr>
          <w:color w:val="000000" w:themeColor="text1"/>
        </w:rPr>
      </w:pPr>
      <w:r w:rsidRPr="6A41E360">
        <w:rPr>
          <w:color w:val="000000" w:themeColor="text1"/>
        </w:rPr>
        <w:t xml:space="preserve">a. </w:t>
      </w:r>
      <w:r w:rsidR="00FF529F" w:rsidRPr="6A41E360">
        <w:rPr>
          <w:color w:val="000000" w:themeColor="text1"/>
        </w:rPr>
        <w:t>Meio Ambiente</w:t>
      </w:r>
      <w:r w:rsidRPr="6A41E360">
        <w:rPr>
          <w:color w:val="000000" w:themeColor="text1"/>
        </w:rPr>
        <w:t>;</w:t>
      </w:r>
    </w:p>
    <w:p w14:paraId="14D32067" w14:textId="77777777" w:rsidR="006D3839" w:rsidRPr="006D3839" w:rsidRDefault="006D3839" w:rsidP="00A32975">
      <w:pPr>
        <w:ind w:left="708"/>
        <w:jc w:val="both"/>
        <w:rPr>
          <w:rFonts w:cstheme="minorHAnsi"/>
          <w:color w:val="000000" w:themeColor="text1"/>
        </w:rPr>
      </w:pPr>
      <w:r w:rsidRPr="006D3839">
        <w:rPr>
          <w:rFonts w:cstheme="minorHAnsi"/>
          <w:color w:val="000000" w:themeColor="text1"/>
        </w:rPr>
        <w:t>b. Igualdade Racial;</w:t>
      </w:r>
    </w:p>
    <w:p w14:paraId="3D2D5674" w14:textId="335CEFBE" w:rsidR="006D3839" w:rsidRPr="006D3839" w:rsidRDefault="006D3839" w:rsidP="00A32975">
      <w:pPr>
        <w:ind w:left="708"/>
        <w:jc w:val="both"/>
        <w:rPr>
          <w:rFonts w:cstheme="minorHAnsi"/>
          <w:color w:val="000000" w:themeColor="text1"/>
        </w:rPr>
      </w:pPr>
      <w:r w:rsidRPr="006D3839">
        <w:rPr>
          <w:rFonts w:cstheme="minorHAnsi"/>
          <w:color w:val="000000" w:themeColor="text1"/>
        </w:rPr>
        <w:t>c. Crianças e Adolescentes (inclui a Primeira Infância</w:t>
      </w:r>
      <w:r>
        <w:rPr>
          <w:rFonts w:cstheme="minorHAnsi"/>
          <w:color w:val="000000" w:themeColor="text1"/>
        </w:rPr>
        <w:t>)</w:t>
      </w:r>
      <w:r w:rsidRPr="006D3839">
        <w:rPr>
          <w:rFonts w:cstheme="minorHAnsi"/>
          <w:color w:val="000000" w:themeColor="text1"/>
        </w:rPr>
        <w:t>;</w:t>
      </w:r>
    </w:p>
    <w:p w14:paraId="64E71170" w14:textId="0F5A7D35" w:rsidR="00C55D8D" w:rsidRDefault="006D3839" w:rsidP="006D3839">
      <w:pPr>
        <w:ind w:left="708"/>
        <w:jc w:val="both"/>
        <w:rPr>
          <w:rFonts w:cstheme="minorHAnsi"/>
          <w:color w:val="000000" w:themeColor="text1"/>
        </w:rPr>
      </w:pPr>
      <w:r w:rsidRPr="006D3839">
        <w:rPr>
          <w:rFonts w:cstheme="minorHAnsi"/>
          <w:color w:val="000000" w:themeColor="text1"/>
        </w:rPr>
        <w:t>d. Povos Indígenas; e</w:t>
      </w:r>
    </w:p>
    <w:p w14:paraId="05FD1854" w14:textId="7762144D" w:rsidR="006D3839" w:rsidRDefault="006D3839" w:rsidP="006D3839">
      <w:pPr>
        <w:ind w:left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e. Mulheres.</w:t>
      </w:r>
    </w:p>
    <w:p w14:paraId="02F2FC9B" w14:textId="687B42E3" w:rsidR="00A32975" w:rsidRDefault="00A32975" w:rsidP="00A32975">
      <w:pPr>
        <w:jc w:val="both"/>
        <w:rPr>
          <w:rFonts w:cstheme="minorHAnsi"/>
          <w:color w:val="000000" w:themeColor="text1"/>
        </w:rPr>
      </w:pPr>
      <w:r w:rsidRPr="00A8631E">
        <w:rPr>
          <w:rFonts w:cstheme="minorHAnsi"/>
          <w:color w:val="000000" w:themeColor="text1"/>
        </w:rPr>
        <w:t>O conjunto de atributos que traduzem as Agendas Transversais e Multissetoriais no Plano</w:t>
      </w:r>
      <w:r w:rsidR="00174752">
        <w:rPr>
          <w:rFonts w:cstheme="minorHAnsi"/>
          <w:color w:val="000000" w:themeColor="text1"/>
        </w:rPr>
        <w:t xml:space="preserve"> foi marcado</w:t>
      </w:r>
      <w:r w:rsidR="00F97873">
        <w:rPr>
          <w:rFonts w:cstheme="minorHAnsi"/>
          <w:color w:val="000000" w:themeColor="text1"/>
        </w:rPr>
        <w:t xml:space="preserve"> gerencialmente</w:t>
      </w:r>
      <w:r w:rsidR="00174752">
        <w:rPr>
          <w:rFonts w:cstheme="minorHAnsi"/>
          <w:color w:val="000000" w:themeColor="text1"/>
        </w:rPr>
        <w:t xml:space="preserve"> na base de dados do Sistema Integrado de Planejamento e Orçamento (SIOP) e encaminhado no Anexo V do Projeto de Lei do PPA 2024-2027 ao Congresso Nacional.</w:t>
      </w:r>
      <w:r w:rsidRPr="00A8631E">
        <w:rPr>
          <w:rFonts w:cstheme="minorHAnsi"/>
          <w:color w:val="000000" w:themeColor="text1"/>
        </w:rPr>
        <w:t xml:space="preserve"> </w:t>
      </w:r>
    </w:p>
    <w:p w14:paraId="65B7A993" w14:textId="24FDE3BF" w:rsidR="001345D5" w:rsidRDefault="00756BCB" w:rsidP="001345D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Também</w:t>
      </w:r>
      <w:r w:rsidR="00310E3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</w:t>
      </w:r>
      <w:r w:rsidR="006D3839">
        <w:rPr>
          <w:rFonts w:cstheme="minorHAnsi"/>
          <w:color w:val="000000" w:themeColor="text1"/>
        </w:rPr>
        <w:t xml:space="preserve">s ações orçamentárias </w:t>
      </w:r>
      <w:r>
        <w:rPr>
          <w:rFonts w:cstheme="minorHAnsi"/>
          <w:color w:val="000000" w:themeColor="text1"/>
        </w:rPr>
        <w:t>d</w:t>
      </w:r>
      <w:r w:rsidR="006D3839">
        <w:rPr>
          <w:rFonts w:cstheme="minorHAnsi"/>
          <w:color w:val="000000" w:themeColor="text1"/>
        </w:rPr>
        <w:t>o Projeto de Lei Orçamentária Anual (PLOA) de 2024</w:t>
      </w:r>
      <w:r>
        <w:rPr>
          <w:rFonts w:cstheme="minorHAnsi"/>
          <w:color w:val="000000" w:themeColor="text1"/>
        </w:rPr>
        <w:t xml:space="preserve"> foram associadas às cinco Agendas Transversais e Multissetoriais e marcadas</w:t>
      </w:r>
      <w:r w:rsidR="00F97873">
        <w:rPr>
          <w:rFonts w:cstheme="minorHAnsi"/>
          <w:color w:val="000000" w:themeColor="text1"/>
        </w:rPr>
        <w:t xml:space="preserve"> gerencialmente</w:t>
      </w:r>
      <w:r>
        <w:rPr>
          <w:rFonts w:cstheme="minorHAnsi"/>
          <w:color w:val="000000" w:themeColor="text1"/>
        </w:rPr>
        <w:t xml:space="preserve"> na base de dados do SIOP</w:t>
      </w:r>
      <w:r w:rsidR="006D3839">
        <w:rPr>
          <w:rFonts w:cstheme="minorHAnsi"/>
          <w:color w:val="000000" w:themeColor="text1"/>
        </w:rPr>
        <w:t xml:space="preserve">. </w:t>
      </w:r>
      <w:r w:rsidR="001345D5">
        <w:rPr>
          <w:rFonts w:cstheme="minorHAnsi"/>
          <w:color w:val="000000" w:themeColor="text1"/>
        </w:rPr>
        <w:t xml:space="preserve">Os passos metodológicos seguidos nesse processo de associação estão explicados na </w:t>
      </w:r>
      <w:r w:rsidR="001345D5" w:rsidRPr="00766B83">
        <w:rPr>
          <w:rFonts w:cstheme="minorHAnsi"/>
          <w:b/>
          <w:bCs/>
          <w:color w:val="000000" w:themeColor="text1"/>
        </w:rPr>
        <w:t>Nota Metodológica do Demonstrativo das Agendas Transversais e Multissetoriais do PLOA 2024</w:t>
      </w:r>
      <w:r w:rsidR="001345D5">
        <w:rPr>
          <w:rStyle w:val="Refdenotaderodap"/>
          <w:rFonts w:cstheme="minorHAnsi"/>
          <w:color w:val="000000" w:themeColor="text1"/>
        </w:rPr>
        <w:footnoteReference w:id="1"/>
      </w:r>
      <w:r w:rsidR="001345D5">
        <w:rPr>
          <w:rFonts w:cstheme="minorHAnsi"/>
          <w:color w:val="000000" w:themeColor="text1"/>
        </w:rPr>
        <w:t xml:space="preserve">. </w:t>
      </w:r>
    </w:p>
    <w:p w14:paraId="58E26CAD" w14:textId="51F15441" w:rsidR="001345D5" w:rsidRDefault="00756BCB" w:rsidP="00B55C1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Assim, </w:t>
      </w:r>
      <w:r w:rsidR="00B55C12">
        <w:rPr>
          <w:rFonts w:cstheme="minorHAnsi"/>
          <w:color w:val="000000" w:themeColor="text1"/>
        </w:rPr>
        <w:t xml:space="preserve">como </w:t>
      </w:r>
      <w:r w:rsidR="00B55C12" w:rsidRPr="00B55C12">
        <w:rPr>
          <w:rFonts w:cstheme="minorHAnsi"/>
          <w:color w:val="000000" w:themeColor="text1"/>
        </w:rPr>
        <w:t>previsto no Anexo II do Projeto de Lei de Diretrizes Orçamentárias</w:t>
      </w:r>
      <w:r w:rsidR="00B55C12">
        <w:rPr>
          <w:rFonts w:cstheme="minorHAnsi"/>
          <w:color w:val="000000" w:themeColor="text1"/>
        </w:rPr>
        <w:t xml:space="preserve"> </w:t>
      </w:r>
      <w:r w:rsidR="00B55C12" w:rsidRPr="00B55C12">
        <w:rPr>
          <w:rFonts w:cstheme="minorHAnsi"/>
          <w:color w:val="000000" w:themeColor="text1"/>
        </w:rPr>
        <w:t xml:space="preserve">(PLDO) de 2024, o </w:t>
      </w:r>
      <w:r w:rsidR="00B55C12">
        <w:rPr>
          <w:rFonts w:cstheme="minorHAnsi"/>
          <w:color w:val="000000" w:themeColor="text1"/>
        </w:rPr>
        <w:t>PLOA</w:t>
      </w:r>
      <w:r w:rsidR="00B55C12" w:rsidRPr="00B55C12">
        <w:rPr>
          <w:rFonts w:cstheme="minorHAnsi"/>
          <w:color w:val="000000" w:themeColor="text1"/>
        </w:rPr>
        <w:t xml:space="preserve"> de 2024 </w:t>
      </w:r>
      <w:r w:rsidR="001345D5">
        <w:rPr>
          <w:rFonts w:cstheme="minorHAnsi"/>
          <w:color w:val="000000" w:themeColor="text1"/>
        </w:rPr>
        <w:t>foi acompanhado</w:t>
      </w:r>
      <w:r w:rsidR="00B55C12" w:rsidRPr="00B55C12">
        <w:rPr>
          <w:rFonts w:cstheme="minorHAnsi"/>
          <w:color w:val="000000" w:themeColor="text1"/>
        </w:rPr>
        <w:t xml:space="preserve"> por </w:t>
      </w:r>
      <w:r w:rsidR="001345D5" w:rsidRPr="00F97873">
        <w:rPr>
          <w:rFonts w:cstheme="minorHAnsi"/>
          <w:b/>
          <w:bCs/>
          <w:color w:val="000000" w:themeColor="text1"/>
        </w:rPr>
        <w:t>R</w:t>
      </w:r>
      <w:r w:rsidR="00B55C12" w:rsidRPr="00F97873">
        <w:rPr>
          <w:rFonts w:cstheme="minorHAnsi"/>
          <w:b/>
          <w:bCs/>
          <w:color w:val="000000" w:themeColor="text1"/>
        </w:rPr>
        <w:t xml:space="preserve">esumo e </w:t>
      </w:r>
      <w:r w:rsidR="001345D5" w:rsidRPr="00F97873">
        <w:rPr>
          <w:rFonts w:cstheme="minorHAnsi"/>
          <w:b/>
          <w:bCs/>
          <w:color w:val="000000" w:themeColor="text1"/>
        </w:rPr>
        <w:t>D</w:t>
      </w:r>
      <w:r w:rsidR="00B55C12" w:rsidRPr="00F97873">
        <w:rPr>
          <w:rFonts w:cstheme="minorHAnsi"/>
          <w:b/>
          <w:bCs/>
          <w:color w:val="000000" w:themeColor="text1"/>
        </w:rPr>
        <w:t xml:space="preserve">emonstrativo das </w:t>
      </w:r>
      <w:r w:rsidR="001345D5" w:rsidRPr="00F97873">
        <w:rPr>
          <w:rFonts w:cstheme="minorHAnsi"/>
          <w:b/>
          <w:bCs/>
          <w:color w:val="000000" w:themeColor="text1"/>
        </w:rPr>
        <w:t>P</w:t>
      </w:r>
      <w:r w:rsidR="00B55C12" w:rsidRPr="00F97873">
        <w:rPr>
          <w:rFonts w:cstheme="minorHAnsi"/>
          <w:b/>
          <w:bCs/>
          <w:color w:val="000000" w:themeColor="text1"/>
        </w:rPr>
        <w:t xml:space="preserve">rogramações </w:t>
      </w:r>
      <w:r w:rsidR="001345D5" w:rsidRPr="00F97873">
        <w:rPr>
          <w:rFonts w:cstheme="minorHAnsi"/>
          <w:b/>
          <w:bCs/>
          <w:color w:val="000000" w:themeColor="text1"/>
        </w:rPr>
        <w:t>V</w:t>
      </w:r>
      <w:r w:rsidR="00B55C12" w:rsidRPr="00F97873">
        <w:rPr>
          <w:rFonts w:cstheme="minorHAnsi"/>
          <w:b/>
          <w:bCs/>
          <w:color w:val="000000" w:themeColor="text1"/>
        </w:rPr>
        <w:t xml:space="preserve">inculadas às Agendas Transversais e Multissetoriais </w:t>
      </w:r>
      <w:r w:rsidR="001345D5" w:rsidRPr="00F97873">
        <w:rPr>
          <w:rFonts w:cstheme="minorHAnsi"/>
          <w:b/>
          <w:bCs/>
          <w:color w:val="000000" w:themeColor="text1"/>
        </w:rPr>
        <w:t>S</w:t>
      </w:r>
      <w:r w:rsidR="00B55C12" w:rsidRPr="00F97873">
        <w:rPr>
          <w:rFonts w:cstheme="minorHAnsi"/>
          <w:b/>
          <w:bCs/>
          <w:color w:val="000000" w:themeColor="text1"/>
        </w:rPr>
        <w:t>elecionadas</w:t>
      </w:r>
      <w:r w:rsidR="00B55C12" w:rsidRPr="00B55C12">
        <w:rPr>
          <w:rFonts w:cstheme="minorHAnsi"/>
          <w:color w:val="000000" w:themeColor="text1"/>
        </w:rPr>
        <w:t>, contemplando</w:t>
      </w:r>
      <w:r w:rsidR="001345D5">
        <w:rPr>
          <w:rFonts w:cstheme="minorHAnsi"/>
          <w:color w:val="000000" w:themeColor="text1"/>
        </w:rPr>
        <w:t xml:space="preserve"> </w:t>
      </w:r>
      <w:r w:rsidR="00B55C12" w:rsidRPr="00B55C12">
        <w:rPr>
          <w:rFonts w:cstheme="minorHAnsi"/>
          <w:color w:val="000000" w:themeColor="text1"/>
        </w:rPr>
        <w:t>no mínimo a participação da mulher nas despesas do orçamento e</w:t>
      </w:r>
      <w:r w:rsidR="00B55C12">
        <w:rPr>
          <w:rFonts w:cstheme="minorHAnsi"/>
          <w:color w:val="000000" w:themeColor="text1"/>
        </w:rPr>
        <w:t xml:space="preserve"> </w:t>
      </w:r>
      <w:r w:rsidR="00B55C12" w:rsidRPr="00B55C12">
        <w:rPr>
          <w:rFonts w:cstheme="minorHAnsi"/>
          <w:color w:val="000000" w:themeColor="text1"/>
        </w:rPr>
        <w:t>a Agenda Transversal e Multissetorial da Primeira Infância. Trata</w:t>
      </w:r>
      <w:r w:rsidR="001345D5">
        <w:rPr>
          <w:rFonts w:cstheme="minorHAnsi"/>
          <w:color w:val="000000" w:themeColor="text1"/>
        </w:rPr>
        <w:t>va</w:t>
      </w:r>
      <w:r w:rsidR="00B55C12" w:rsidRPr="00B55C12">
        <w:rPr>
          <w:rFonts w:cstheme="minorHAnsi"/>
          <w:color w:val="000000" w:themeColor="text1"/>
        </w:rPr>
        <w:t>-se de</w:t>
      </w:r>
      <w:r w:rsidR="00B55C12">
        <w:rPr>
          <w:rFonts w:cstheme="minorHAnsi"/>
          <w:color w:val="000000" w:themeColor="text1"/>
        </w:rPr>
        <w:t xml:space="preserve"> </w:t>
      </w:r>
      <w:r w:rsidR="00B55C12" w:rsidRPr="00B55C12">
        <w:rPr>
          <w:rFonts w:cstheme="minorHAnsi"/>
          <w:color w:val="000000" w:themeColor="text1"/>
        </w:rPr>
        <w:t>uma inovação nos Orçamentos da União, que visa</w:t>
      </w:r>
      <w:r w:rsidR="001345D5">
        <w:rPr>
          <w:rFonts w:cstheme="minorHAnsi"/>
          <w:color w:val="000000" w:themeColor="text1"/>
        </w:rPr>
        <w:t>va</w:t>
      </w:r>
      <w:r w:rsidR="00B55C12" w:rsidRPr="00B55C12">
        <w:rPr>
          <w:rFonts w:cstheme="minorHAnsi"/>
          <w:color w:val="000000" w:themeColor="text1"/>
        </w:rPr>
        <w:t xml:space="preserve"> ampliar a transparência</w:t>
      </w:r>
      <w:r w:rsidR="00B55C12">
        <w:rPr>
          <w:rFonts w:cstheme="minorHAnsi"/>
          <w:color w:val="000000" w:themeColor="text1"/>
        </w:rPr>
        <w:t xml:space="preserve"> </w:t>
      </w:r>
      <w:r w:rsidR="00B55C12" w:rsidRPr="00B55C12">
        <w:rPr>
          <w:rFonts w:cstheme="minorHAnsi"/>
          <w:color w:val="000000" w:themeColor="text1"/>
        </w:rPr>
        <w:t>quanto às despesas programadas pelo Governo Federal para o</w:t>
      </w:r>
      <w:r w:rsidR="00B55C12">
        <w:rPr>
          <w:rFonts w:cstheme="minorHAnsi"/>
          <w:color w:val="000000" w:themeColor="text1"/>
        </w:rPr>
        <w:t xml:space="preserve"> </w:t>
      </w:r>
      <w:r w:rsidR="00B55C12" w:rsidRPr="00B55C12">
        <w:rPr>
          <w:rFonts w:cstheme="minorHAnsi"/>
          <w:color w:val="000000" w:themeColor="text1"/>
        </w:rPr>
        <w:t>enfrentamento dos problemas complexos anteriormente mencionados,</w:t>
      </w:r>
      <w:r w:rsidR="00B55C12">
        <w:rPr>
          <w:rFonts w:cstheme="minorHAnsi"/>
          <w:color w:val="000000" w:themeColor="text1"/>
        </w:rPr>
        <w:t xml:space="preserve"> </w:t>
      </w:r>
      <w:r w:rsidR="00B55C12" w:rsidRPr="00B55C12">
        <w:rPr>
          <w:rFonts w:cstheme="minorHAnsi"/>
          <w:color w:val="000000" w:themeColor="text1"/>
        </w:rPr>
        <w:t>aportando um novo subsídio ao processo de apreciação do PLOA 2024</w:t>
      </w:r>
      <w:r w:rsidR="00B55C12">
        <w:rPr>
          <w:rFonts w:cstheme="minorHAnsi"/>
          <w:color w:val="000000" w:themeColor="text1"/>
        </w:rPr>
        <w:t xml:space="preserve"> </w:t>
      </w:r>
      <w:r w:rsidR="00B55C12" w:rsidRPr="00B55C12">
        <w:rPr>
          <w:rFonts w:cstheme="minorHAnsi"/>
          <w:color w:val="000000" w:themeColor="text1"/>
        </w:rPr>
        <w:t>no Parlamento.</w:t>
      </w:r>
      <w:r w:rsidR="00B55C12">
        <w:rPr>
          <w:rFonts w:cstheme="minorHAnsi"/>
          <w:color w:val="000000" w:themeColor="text1"/>
        </w:rPr>
        <w:t xml:space="preserve"> </w:t>
      </w:r>
    </w:p>
    <w:p w14:paraId="423BB69D" w14:textId="37977C1F" w:rsidR="00B67A14" w:rsidRDefault="00A32975" w:rsidP="6A41E360">
      <w:pPr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O mesmo processo </w:t>
      </w:r>
      <w:r w:rsidR="001345D5" w:rsidRPr="45A1BA1F">
        <w:rPr>
          <w:color w:val="000000" w:themeColor="text1"/>
        </w:rPr>
        <w:t>de</w:t>
      </w:r>
      <w:r w:rsidRPr="45A1BA1F">
        <w:rPr>
          <w:color w:val="000000" w:themeColor="text1"/>
        </w:rPr>
        <w:t xml:space="preserve"> associação</w:t>
      </w:r>
      <w:r w:rsidR="001345D5" w:rsidRPr="45A1BA1F">
        <w:rPr>
          <w:color w:val="000000" w:themeColor="text1"/>
        </w:rPr>
        <w:t xml:space="preserve"> entre Agendas Transversais e Multissetoriais e ações orçamentárias </w:t>
      </w:r>
      <w:r w:rsidR="00E44B80" w:rsidRPr="45A1BA1F">
        <w:rPr>
          <w:color w:val="000000" w:themeColor="text1"/>
        </w:rPr>
        <w:t xml:space="preserve">foi </w:t>
      </w:r>
      <w:r w:rsidR="001345D5" w:rsidRPr="45A1BA1F">
        <w:rPr>
          <w:color w:val="000000" w:themeColor="text1"/>
        </w:rPr>
        <w:t>seguido para a elaboração</w:t>
      </w:r>
      <w:r w:rsidRPr="45A1BA1F">
        <w:rPr>
          <w:color w:val="000000" w:themeColor="text1"/>
        </w:rPr>
        <w:t xml:space="preserve"> do</w:t>
      </w:r>
      <w:r w:rsidR="00501CD1" w:rsidRPr="45A1BA1F">
        <w:rPr>
          <w:color w:val="000000" w:themeColor="text1"/>
        </w:rPr>
        <w:t xml:space="preserve"> Resumo e</w:t>
      </w:r>
      <w:r w:rsidRPr="45A1BA1F">
        <w:rPr>
          <w:color w:val="000000" w:themeColor="text1"/>
        </w:rPr>
        <w:t xml:space="preserve"> Demonstrativo das Agendas Transversais e Multissetoriais </w:t>
      </w:r>
      <w:r w:rsidR="001345D5" w:rsidRPr="45A1BA1F">
        <w:rPr>
          <w:color w:val="000000" w:themeColor="text1"/>
        </w:rPr>
        <w:t>n</w:t>
      </w:r>
      <w:r w:rsidRPr="45A1BA1F">
        <w:rPr>
          <w:color w:val="000000" w:themeColor="text1"/>
        </w:rPr>
        <w:t>o PLOA 2025.</w:t>
      </w:r>
      <w:r w:rsidR="00501CD1" w:rsidRPr="45A1BA1F">
        <w:rPr>
          <w:color w:val="000000" w:themeColor="text1"/>
        </w:rPr>
        <w:t xml:space="preserve"> </w:t>
      </w:r>
    </w:p>
    <w:p w14:paraId="253423B1" w14:textId="47133CA2" w:rsidR="7968422C" w:rsidRDefault="7968422C" w:rsidP="45A1BA1F">
      <w:pPr>
        <w:jc w:val="both"/>
        <w:rPr>
          <w:b/>
          <w:bCs/>
          <w:color w:val="FF0000"/>
        </w:rPr>
      </w:pPr>
      <w:r w:rsidRPr="45A1BA1F">
        <w:rPr>
          <w:b/>
          <w:bCs/>
          <w:color w:val="FF0000"/>
        </w:rPr>
        <w:t>Atenção!</w:t>
      </w:r>
    </w:p>
    <w:p w14:paraId="1B391F4B" w14:textId="0AB2FCA7" w:rsidR="00C55D8D" w:rsidRPr="00A8631E" w:rsidRDefault="725E0B1B" w:rsidP="5DC4548E">
      <w:pPr>
        <w:jc w:val="both"/>
        <w:rPr>
          <w:color w:val="000000" w:themeColor="text1"/>
        </w:rPr>
      </w:pPr>
      <w:r w:rsidRPr="0556DAA7">
        <w:rPr>
          <w:color w:val="000000" w:themeColor="text1"/>
        </w:rPr>
        <w:t>Para</w:t>
      </w:r>
      <w:r w:rsidR="4AC87FB8" w:rsidRPr="0556DAA7">
        <w:rPr>
          <w:color w:val="000000" w:themeColor="text1"/>
        </w:rPr>
        <w:t xml:space="preserve"> o PLOA</w:t>
      </w:r>
      <w:r w:rsidRPr="0556DAA7">
        <w:rPr>
          <w:color w:val="000000" w:themeColor="text1"/>
        </w:rPr>
        <w:t xml:space="preserve"> 2026,</w:t>
      </w:r>
      <w:r w:rsidR="6626613A" w:rsidRPr="0556DAA7">
        <w:rPr>
          <w:color w:val="000000" w:themeColor="text1"/>
        </w:rPr>
        <w:t xml:space="preserve"> o processo de identificação e marcação gerencial das Agendas Transversais será alterado.</w:t>
      </w:r>
      <w:r w:rsidR="0BF953A0" w:rsidRPr="0556DAA7">
        <w:rPr>
          <w:color w:val="000000" w:themeColor="text1"/>
        </w:rPr>
        <w:t xml:space="preserve"> </w:t>
      </w:r>
      <w:r w:rsidR="7B8F4608" w:rsidRPr="0556DAA7">
        <w:rPr>
          <w:color w:val="000000" w:themeColor="text1"/>
        </w:rPr>
        <w:t>As programações orçamentárias já associadas às Agendas Transversais na LOA 2025 aparecerão marcadas na base de partida da LOA 2026</w:t>
      </w:r>
      <w:r w:rsidR="1963C829" w:rsidRPr="0556DAA7">
        <w:rPr>
          <w:color w:val="000000" w:themeColor="text1"/>
        </w:rPr>
        <w:t xml:space="preserve"> no SIOP. Assim, </w:t>
      </w:r>
      <w:r w:rsidR="6C42EED7" w:rsidRPr="0556DAA7">
        <w:rPr>
          <w:color w:val="000000" w:themeColor="text1"/>
        </w:rPr>
        <w:t>caberá a</w:t>
      </w:r>
      <w:r w:rsidR="1963C829" w:rsidRPr="0556DAA7">
        <w:rPr>
          <w:color w:val="000000" w:themeColor="text1"/>
        </w:rPr>
        <w:t xml:space="preserve">os órgãos setoriais tanto manter quanto excluir a marcação gerencial </w:t>
      </w:r>
      <w:r w:rsidR="58EB79F1" w:rsidRPr="0556DAA7">
        <w:rPr>
          <w:color w:val="000000" w:themeColor="text1"/>
        </w:rPr>
        <w:t xml:space="preserve">inicialmente </w:t>
      </w:r>
      <w:r w:rsidR="1963C829" w:rsidRPr="0556DAA7">
        <w:rPr>
          <w:color w:val="000000" w:themeColor="text1"/>
        </w:rPr>
        <w:t>feita pela SOF</w:t>
      </w:r>
      <w:r w:rsidR="6D9817FD" w:rsidRPr="0556DAA7">
        <w:rPr>
          <w:color w:val="000000" w:themeColor="text1"/>
        </w:rPr>
        <w:t>.</w:t>
      </w:r>
      <w:r w:rsidR="7643466E" w:rsidRPr="0556DAA7">
        <w:rPr>
          <w:color w:val="000000" w:themeColor="text1"/>
        </w:rPr>
        <w:t xml:space="preserve"> </w:t>
      </w:r>
    </w:p>
    <w:p w14:paraId="1F4B080E" w14:textId="7F5A7659" w:rsidR="00C55D8D" w:rsidRPr="00A8631E" w:rsidRDefault="7643466E" w:rsidP="4DBA2FEA">
      <w:pPr>
        <w:jc w:val="both"/>
        <w:rPr>
          <w:color w:val="000000" w:themeColor="text1"/>
        </w:rPr>
      </w:pPr>
      <w:r w:rsidRPr="63BC3E93">
        <w:rPr>
          <w:color w:val="000000" w:themeColor="text1"/>
        </w:rPr>
        <w:t>Vale explicar que tal marcação gerencial é</w:t>
      </w:r>
      <w:r w:rsidR="702472FE" w:rsidRPr="63BC3E93">
        <w:rPr>
          <w:color w:val="000000" w:themeColor="text1"/>
        </w:rPr>
        <w:t xml:space="preserve"> realizada ao nível de Plano Orçamentário (PO),</w:t>
      </w:r>
      <w:r w:rsidRPr="63BC3E93">
        <w:rPr>
          <w:color w:val="000000" w:themeColor="text1"/>
        </w:rPr>
        <w:t xml:space="preserve"> </w:t>
      </w:r>
      <w:r w:rsidR="702472FE" w:rsidRPr="63BC3E93">
        <w:rPr>
          <w:color w:val="000000" w:themeColor="text1"/>
        </w:rPr>
        <w:t>sendo</w:t>
      </w:r>
      <w:r w:rsidRPr="63BC3E93">
        <w:rPr>
          <w:color w:val="000000" w:themeColor="text1"/>
        </w:rPr>
        <w:t xml:space="preserve"> conformada por duas informações: (1) A Agenda Transversal a que a programação orçamentária está associada; e (2) A categori</w:t>
      </w:r>
      <w:r w:rsidR="62869858" w:rsidRPr="63BC3E93">
        <w:rPr>
          <w:color w:val="000000" w:themeColor="text1"/>
        </w:rPr>
        <w:t>a</w:t>
      </w:r>
      <w:r w:rsidRPr="63BC3E93">
        <w:rPr>
          <w:color w:val="000000" w:themeColor="text1"/>
        </w:rPr>
        <w:t xml:space="preserve"> do gasto </w:t>
      </w:r>
      <w:r w:rsidR="14CBA016" w:rsidRPr="63BC3E93">
        <w:rPr>
          <w:color w:val="000000" w:themeColor="text1"/>
        </w:rPr>
        <w:t>na Agenda Transversal</w:t>
      </w:r>
      <w:r w:rsidR="433DE0CF" w:rsidRPr="63BC3E93">
        <w:rPr>
          <w:color w:val="000000" w:themeColor="text1"/>
        </w:rPr>
        <w:t>, se</w:t>
      </w:r>
      <w:r w:rsidR="336DCACD" w:rsidRPr="63BC3E93">
        <w:rPr>
          <w:color w:val="000000" w:themeColor="text1"/>
        </w:rPr>
        <w:t xml:space="preserve"> exclusivo (quando beneficia </w:t>
      </w:r>
      <w:r w:rsidR="4EA4EDB2" w:rsidRPr="63BC3E93">
        <w:rPr>
          <w:color w:val="000000" w:themeColor="text1"/>
        </w:rPr>
        <w:t>tão-somente</w:t>
      </w:r>
      <w:r w:rsidR="336DCACD" w:rsidRPr="63BC3E93">
        <w:rPr>
          <w:color w:val="000000" w:themeColor="text1"/>
        </w:rPr>
        <w:t xml:space="preserve"> o público ou tema da Agenda Transversal) </w:t>
      </w:r>
      <w:r w:rsidR="5B4E80E5" w:rsidRPr="63BC3E93">
        <w:rPr>
          <w:color w:val="000000" w:themeColor="text1"/>
        </w:rPr>
        <w:t>ou</w:t>
      </w:r>
      <w:r w:rsidR="336DCACD" w:rsidRPr="63BC3E93">
        <w:rPr>
          <w:color w:val="000000" w:themeColor="text1"/>
        </w:rPr>
        <w:t xml:space="preserve"> não exclusivo (quando beneficia o público ou tema da Agenda Transversal e outros públicos e tem</w:t>
      </w:r>
      <w:r w:rsidR="660609CD" w:rsidRPr="63BC3E93">
        <w:rPr>
          <w:color w:val="000000" w:themeColor="text1"/>
        </w:rPr>
        <w:t>as de políticas públicas).</w:t>
      </w:r>
      <w:r w:rsidRPr="63BC3E93">
        <w:rPr>
          <w:color w:val="000000" w:themeColor="text1"/>
        </w:rPr>
        <w:t xml:space="preserve"> </w:t>
      </w:r>
    </w:p>
    <w:p w14:paraId="3C8BF7F0" w14:textId="22ED144C" w:rsidR="22D26574" w:rsidRDefault="633DBFFC" w:rsidP="0556DAA7">
      <w:pPr>
        <w:jc w:val="both"/>
        <w:rPr>
          <w:color w:val="000000" w:themeColor="text1"/>
        </w:rPr>
      </w:pPr>
      <w:r w:rsidRPr="1FD7E67C">
        <w:rPr>
          <w:color w:val="000000" w:themeColor="text1"/>
        </w:rPr>
        <w:t>A título de exemplo, a Ação Orçamentária 00PI – Programa Nacional de Alimentação Escolar</w:t>
      </w:r>
      <w:r w:rsidR="4775102B" w:rsidRPr="1FD7E67C">
        <w:rPr>
          <w:color w:val="000000" w:themeColor="text1"/>
        </w:rPr>
        <w:t xml:space="preserve"> do Ministério da Educação</w:t>
      </w:r>
      <w:r w:rsidR="36D37D8F" w:rsidRPr="1FD7E67C">
        <w:rPr>
          <w:color w:val="000000" w:themeColor="text1"/>
        </w:rPr>
        <w:t xml:space="preserve"> (MEC)</w:t>
      </w:r>
      <w:r w:rsidR="4775102B" w:rsidRPr="1FD7E67C">
        <w:rPr>
          <w:color w:val="000000" w:themeColor="text1"/>
        </w:rPr>
        <w:t xml:space="preserve"> na LOA 2025</w:t>
      </w:r>
      <w:r w:rsidRPr="1FD7E67C">
        <w:rPr>
          <w:color w:val="000000" w:themeColor="text1"/>
        </w:rPr>
        <w:t xml:space="preserve"> </w:t>
      </w:r>
      <w:r w:rsidR="571DF782" w:rsidRPr="1FD7E67C">
        <w:rPr>
          <w:color w:val="000000" w:themeColor="text1"/>
        </w:rPr>
        <w:t xml:space="preserve">possui dois PO: 0000 - Apoio ao Programa Nacional de Alimentação Escolar (PNAE) - Despesas Diversas e </w:t>
      </w:r>
      <w:r w:rsidR="3334C0FB" w:rsidRPr="1FD7E67C">
        <w:rPr>
          <w:color w:val="000000" w:themeColor="text1"/>
        </w:rPr>
        <w:t>0001 - PNAE – Primeira Infância. Na base de partida do PLOA 2026,</w:t>
      </w:r>
      <w:r w:rsidRPr="1FD7E67C">
        <w:rPr>
          <w:color w:val="000000" w:themeColor="text1"/>
        </w:rPr>
        <w:t xml:space="preserve"> </w:t>
      </w:r>
      <w:r w:rsidR="0C370F38" w:rsidRPr="1FD7E67C">
        <w:rPr>
          <w:color w:val="000000" w:themeColor="text1"/>
        </w:rPr>
        <w:t>o PO 000</w:t>
      </w:r>
      <w:r w:rsidR="24C2608E" w:rsidRPr="1FD7E67C">
        <w:rPr>
          <w:color w:val="000000" w:themeColor="text1"/>
        </w:rPr>
        <w:t>1</w:t>
      </w:r>
      <w:r w:rsidR="0C370F38" w:rsidRPr="1FD7E67C">
        <w:rPr>
          <w:color w:val="000000" w:themeColor="text1"/>
        </w:rPr>
        <w:t xml:space="preserve"> aparecerá com o marcador gerencial</w:t>
      </w:r>
      <w:r w:rsidRPr="1FD7E67C">
        <w:rPr>
          <w:color w:val="000000" w:themeColor="text1"/>
        </w:rPr>
        <w:t xml:space="preserve"> "Crianças e Adolescentes – Exclusivo" e </w:t>
      </w:r>
      <w:r w:rsidR="7AC2C26A" w:rsidRPr="1FD7E67C">
        <w:rPr>
          <w:color w:val="000000" w:themeColor="text1"/>
        </w:rPr>
        <w:t>o PO 000</w:t>
      </w:r>
      <w:r w:rsidR="01A41716" w:rsidRPr="1FD7E67C">
        <w:rPr>
          <w:color w:val="000000" w:themeColor="text1"/>
        </w:rPr>
        <w:t>0</w:t>
      </w:r>
      <w:r w:rsidR="7AC2C26A" w:rsidRPr="1FD7E67C">
        <w:rPr>
          <w:color w:val="000000" w:themeColor="text1"/>
        </w:rPr>
        <w:t xml:space="preserve"> aparecerá com o marcador gerencial </w:t>
      </w:r>
      <w:r w:rsidRPr="1FD7E67C">
        <w:rPr>
          <w:color w:val="000000" w:themeColor="text1"/>
        </w:rPr>
        <w:t>"Crianças e Adolescentes – Não Exclusivo".</w:t>
      </w:r>
    </w:p>
    <w:p w14:paraId="490A6343" w14:textId="365A6C95" w:rsidR="22D26574" w:rsidRDefault="768429E8" w:rsidP="0556DAA7">
      <w:pPr>
        <w:jc w:val="both"/>
        <w:rPr>
          <w:color w:val="000000" w:themeColor="text1"/>
        </w:rPr>
      </w:pPr>
      <w:r w:rsidRPr="1FD7E67C">
        <w:rPr>
          <w:color w:val="000000" w:themeColor="text1"/>
        </w:rPr>
        <w:t>Desse modo, o MEC</w:t>
      </w:r>
      <w:r w:rsidR="22486725" w:rsidRPr="1FD7E67C">
        <w:rPr>
          <w:color w:val="000000" w:themeColor="text1"/>
        </w:rPr>
        <w:t xml:space="preserve"> poderá</w:t>
      </w:r>
      <w:r w:rsidR="633DBFFC" w:rsidRPr="1FD7E67C">
        <w:rPr>
          <w:color w:val="000000" w:themeColor="text1"/>
        </w:rPr>
        <w:t>:</w:t>
      </w:r>
    </w:p>
    <w:p w14:paraId="11757C7C" w14:textId="5151934B" w:rsidR="22D26574" w:rsidRDefault="78E0E72B" w:rsidP="45A1BA1F">
      <w:pPr>
        <w:pStyle w:val="PargrafodaLista"/>
        <w:numPr>
          <w:ilvl w:val="0"/>
          <w:numId w:val="1"/>
        </w:numPr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Manter os marcadores gerenciais nos PO;      </w:t>
      </w:r>
    </w:p>
    <w:p w14:paraId="450966D6" w14:textId="66983400" w:rsidR="22D26574" w:rsidRDefault="22D26574" w:rsidP="001D1911">
      <w:pPr>
        <w:pStyle w:val="PargrafodaLista"/>
        <w:numPr>
          <w:ilvl w:val="0"/>
          <w:numId w:val="1"/>
        </w:numPr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Remover </w:t>
      </w:r>
      <w:r w:rsidR="2D02436F" w:rsidRPr="45A1BA1F">
        <w:rPr>
          <w:color w:val="000000" w:themeColor="text1"/>
        </w:rPr>
        <w:t>os marcadores gerenciais nos PO</w:t>
      </w:r>
      <w:r w:rsidRPr="45A1BA1F">
        <w:rPr>
          <w:color w:val="000000" w:themeColor="text1"/>
        </w:rPr>
        <w:t>;</w:t>
      </w:r>
    </w:p>
    <w:p w14:paraId="35F9044D" w14:textId="1154175D" w:rsidR="22D26574" w:rsidRDefault="22D26574" w:rsidP="001D1911">
      <w:pPr>
        <w:pStyle w:val="PargrafodaLista"/>
        <w:numPr>
          <w:ilvl w:val="0"/>
          <w:numId w:val="1"/>
        </w:numPr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Modificar </w:t>
      </w:r>
      <w:r w:rsidR="1C67B813" w:rsidRPr="45A1BA1F">
        <w:rPr>
          <w:color w:val="000000" w:themeColor="text1"/>
        </w:rPr>
        <w:t xml:space="preserve">tanto a Agenda Transversal quanto </w:t>
      </w:r>
      <w:r w:rsidRPr="45A1BA1F">
        <w:rPr>
          <w:color w:val="000000" w:themeColor="text1"/>
        </w:rPr>
        <w:t xml:space="preserve">o tipo de gasto (Exclusivo/Não Exclusivo) </w:t>
      </w:r>
      <w:r w:rsidR="7F42190C" w:rsidRPr="45A1BA1F">
        <w:rPr>
          <w:color w:val="000000" w:themeColor="text1"/>
        </w:rPr>
        <w:t>nos PO</w:t>
      </w:r>
      <w:r w:rsidRPr="45A1BA1F">
        <w:rPr>
          <w:color w:val="000000" w:themeColor="text1"/>
        </w:rPr>
        <w:t>.</w:t>
      </w:r>
    </w:p>
    <w:p w14:paraId="55755694" w14:textId="1A6823FD" w:rsidR="22D26574" w:rsidRDefault="55CD6361" w:rsidP="45A1BA1F">
      <w:pPr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Ademais, o MEC poderá - caso decida criar um terceiro PO na ação 00PI - </w:t>
      </w:r>
      <w:r w:rsidR="042DFEEC" w:rsidRPr="45A1BA1F">
        <w:rPr>
          <w:color w:val="000000" w:themeColor="text1"/>
        </w:rPr>
        <w:t>marcá-lo</w:t>
      </w:r>
      <w:r w:rsidRPr="45A1BA1F">
        <w:rPr>
          <w:color w:val="000000" w:themeColor="text1"/>
        </w:rPr>
        <w:t xml:space="preserve"> tanto</w:t>
      </w:r>
      <w:r w:rsidR="1D07942A" w:rsidRPr="45A1BA1F">
        <w:rPr>
          <w:color w:val="000000" w:themeColor="text1"/>
        </w:rPr>
        <w:t xml:space="preserve"> como gasto exclusivo ou não exclusivo</w:t>
      </w:r>
      <w:r w:rsidRPr="45A1BA1F">
        <w:rPr>
          <w:color w:val="000000" w:themeColor="text1"/>
        </w:rPr>
        <w:t xml:space="preserve"> </w:t>
      </w:r>
      <w:r w:rsidR="417935E5" w:rsidRPr="45A1BA1F">
        <w:rPr>
          <w:color w:val="000000" w:themeColor="text1"/>
        </w:rPr>
        <w:t>da</w:t>
      </w:r>
      <w:r w:rsidRPr="45A1BA1F">
        <w:rPr>
          <w:color w:val="000000" w:themeColor="text1"/>
        </w:rPr>
        <w:t xml:space="preserve"> Agenda Transversal de Crianças e Adolescentes</w:t>
      </w:r>
      <w:r w:rsidR="4EB39B0E" w:rsidRPr="45A1BA1F">
        <w:rPr>
          <w:color w:val="000000" w:themeColor="text1"/>
        </w:rPr>
        <w:t xml:space="preserve"> </w:t>
      </w:r>
      <w:r w:rsidRPr="45A1BA1F">
        <w:rPr>
          <w:color w:val="000000" w:themeColor="text1"/>
        </w:rPr>
        <w:t xml:space="preserve">quanto </w:t>
      </w:r>
      <w:r w:rsidR="042C4E76" w:rsidRPr="45A1BA1F">
        <w:rPr>
          <w:color w:val="000000" w:themeColor="text1"/>
        </w:rPr>
        <w:t>como</w:t>
      </w:r>
      <w:r w:rsidRPr="45A1BA1F">
        <w:rPr>
          <w:color w:val="000000" w:themeColor="text1"/>
        </w:rPr>
        <w:t xml:space="preserve"> </w:t>
      </w:r>
      <w:r w:rsidR="1065EA1C" w:rsidRPr="45A1BA1F">
        <w:rPr>
          <w:color w:val="000000" w:themeColor="text1"/>
        </w:rPr>
        <w:t xml:space="preserve">gasto exclusivo ou não exclusivo de quaisquer </w:t>
      </w:r>
      <w:r w:rsidRPr="45A1BA1F">
        <w:rPr>
          <w:color w:val="000000" w:themeColor="text1"/>
        </w:rPr>
        <w:t>outra</w:t>
      </w:r>
      <w:r w:rsidR="4E5A64F6" w:rsidRPr="45A1BA1F">
        <w:rPr>
          <w:color w:val="000000" w:themeColor="text1"/>
        </w:rPr>
        <w:t>s</w:t>
      </w:r>
      <w:r w:rsidRPr="45A1BA1F">
        <w:rPr>
          <w:color w:val="000000" w:themeColor="text1"/>
        </w:rPr>
        <w:t xml:space="preserve"> </w:t>
      </w:r>
      <w:r w:rsidR="2DF64180" w:rsidRPr="45A1BA1F">
        <w:rPr>
          <w:color w:val="000000" w:themeColor="text1"/>
        </w:rPr>
        <w:t>das quatro Agendas Transversais instituídas no PPA 2024-2027 (Mulheres, Igualdade Racial, Povos Indígenas e Meio Ambiente)</w:t>
      </w:r>
      <w:r w:rsidR="71EBE865" w:rsidRPr="45A1BA1F">
        <w:rPr>
          <w:color w:val="000000" w:themeColor="text1"/>
        </w:rPr>
        <w:t xml:space="preserve">. </w:t>
      </w:r>
    </w:p>
    <w:p w14:paraId="456C2E2C" w14:textId="317FFB3E" w:rsidR="22D26574" w:rsidRDefault="22D26574" w:rsidP="0556DAA7">
      <w:pPr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Ressalta-se a importância da correta aplicação do binômio "Agenda Transversal </w:t>
      </w:r>
      <w:r w:rsidR="15424E82" w:rsidRPr="45A1BA1F">
        <w:rPr>
          <w:color w:val="000000" w:themeColor="text1"/>
        </w:rPr>
        <w:t>+</w:t>
      </w:r>
      <w:r w:rsidRPr="45A1BA1F">
        <w:rPr>
          <w:color w:val="000000" w:themeColor="text1"/>
        </w:rPr>
        <w:t xml:space="preserve"> Tipo de Gasto". Caso um PO contemple gastos direcionados exclusivamente a um público ou tema específico, recomenda-se a utilização do marcador "Exclusivo". Por exemplo: "Igualdade Racial – Exclusivo". Entretanto, se o PO abranger dois ou mais públicos ou temas, deve-se optar pelo marcador "Não Exclusivo". Dessa maneira, um mesmo PO poderá ser classificado, por exemplo, como "Mulheres – Não Exclusivo" e, simultaneamente, "Povos Indígenas – Não Exclusivo".</w:t>
      </w:r>
    </w:p>
    <w:p w14:paraId="0F94F0F3" w14:textId="1980F016" w:rsidR="00C55D8D" w:rsidRPr="00A8631E" w:rsidRDefault="77C76175" w:rsidP="2C6E9AB8">
      <w:pPr>
        <w:spacing w:after="180" w:line="288" w:lineRule="auto"/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Ainda com relação </w:t>
      </w:r>
      <w:r w:rsidR="5F15819E" w:rsidRPr="45A1BA1F">
        <w:rPr>
          <w:color w:val="000000" w:themeColor="text1"/>
        </w:rPr>
        <w:t>à</w:t>
      </w:r>
      <w:r w:rsidR="37F3D503" w:rsidRPr="45A1BA1F">
        <w:rPr>
          <w:color w:val="000000" w:themeColor="text1"/>
        </w:rPr>
        <w:t xml:space="preserve"> 2026, o</w:t>
      </w:r>
      <w:r w:rsidR="001345D5" w:rsidRPr="45A1BA1F">
        <w:rPr>
          <w:color w:val="000000" w:themeColor="text1"/>
        </w:rPr>
        <w:t xml:space="preserve"> Projeto de Lei de Diretrizes Orçamentárias (</w:t>
      </w:r>
      <w:r w:rsidR="00C55D8D" w:rsidRPr="45A1BA1F">
        <w:rPr>
          <w:color w:val="000000" w:themeColor="text1"/>
        </w:rPr>
        <w:t>PLDO</w:t>
      </w:r>
      <w:r w:rsidR="001345D5" w:rsidRPr="45A1BA1F">
        <w:rPr>
          <w:color w:val="000000" w:themeColor="text1"/>
        </w:rPr>
        <w:t>)</w:t>
      </w:r>
      <w:r w:rsidR="00C55D8D" w:rsidRPr="45A1BA1F">
        <w:rPr>
          <w:color w:val="000000" w:themeColor="text1"/>
        </w:rPr>
        <w:t xml:space="preserve"> prevê:</w:t>
      </w:r>
    </w:p>
    <w:p w14:paraId="5FEC4609" w14:textId="5B961A4F" w:rsidR="00C55D8D" w:rsidRPr="00A8631E" w:rsidRDefault="00C55D8D" w:rsidP="6A41E360">
      <w:pPr>
        <w:jc w:val="both"/>
        <w:rPr>
          <w:color w:val="000000" w:themeColor="text1"/>
        </w:rPr>
      </w:pPr>
      <w:r w:rsidRPr="45A1BA1F">
        <w:rPr>
          <w:color w:val="000000" w:themeColor="text1"/>
        </w:rPr>
        <w:t>1.</w:t>
      </w:r>
      <w:r>
        <w:tab/>
      </w:r>
      <w:r w:rsidRPr="45A1BA1F">
        <w:rPr>
          <w:color w:val="000000" w:themeColor="text1"/>
        </w:rPr>
        <w:t xml:space="preserve">A apresentação, no PLOA </w:t>
      </w:r>
      <w:r w:rsidR="00B92005" w:rsidRPr="45A1BA1F">
        <w:rPr>
          <w:color w:val="000000" w:themeColor="text1"/>
        </w:rPr>
        <w:t>2026</w:t>
      </w:r>
      <w:r w:rsidRPr="45A1BA1F">
        <w:rPr>
          <w:color w:val="000000" w:themeColor="text1"/>
        </w:rPr>
        <w:t xml:space="preserve">, de </w:t>
      </w:r>
      <w:r w:rsidR="00A74C4D" w:rsidRPr="45A1BA1F">
        <w:rPr>
          <w:color w:val="000000" w:themeColor="text1"/>
        </w:rPr>
        <w:t xml:space="preserve">Resumo </w:t>
      </w:r>
      <w:r w:rsidR="387D98CC" w:rsidRPr="45A1BA1F">
        <w:rPr>
          <w:color w:val="000000" w:themeColor="text1"/>
        </w:rPr>
        <w:t>das</w:t>
      </w:r>
      <w:r w:rsidRPr="45A1BA1F">
        <w:rPr>
          <w:color w:val="000000" w:themeColor="text1"/>
        </w:rPr>
        <w:t xml:space="preserve"> Agendas Transversais e Multissetoriais </w:t>
      </w:r>
      <w:r w:rsidR="00A74C4D" w:rsidRPr="45A1BA1F">
        <w:rPr>
          <w:color w:val="000000" w:themeColor="text1"/>
        </w:rPr>
        <w:t>Selecionadas</w:t>
      </w:r>
      <w:r w:rsidRPr="45A1BA1F">
        <w:rPr>
          <w:color w:val="000000" w:themeColor="text1"/>
        </w:rPr>
        <w:t xml:space="preserve">, contemplando no mínimo </w:t>
      </w:r>
      <w:r w:rsidR="67F640B2" w:rsidRPr="45A1BA1F">
        <w:rPr>
          <w:color w:val="000000" w:themeColor="text1"/>
        </w:rPr>
        <w:t>as agendas relativas às mulheres e à primeira infância, com o detalhamento das respectivas programações</w:t>
      </w:r>
      <w:r w:rsidR="17FE519E" w:rsidRPr="45A1BA1F">
        <w:rPr>
          <w:color w:val="000000" w:themeColor="text1"/>
        </w:rPr>
        <w:t>. Esse resumo, como já foi explicado, será elaborado a partir das programações orçamentárias marcadas gerencialmente na base de dados do SIOP</w:t>
      </w:r>
      <w:r w:rsidRPr="45A1BA1F">
        <w:rPr>
          <w:color w:val="000000" w:themeColor="text1"/>
        </w:rPr>
        <w:t>; e</w:t>
      </w:r>
    </w:p>
    <w:p w14:paraId="0647A41C" w14:textId="0E3EE13D" w:rsidR="00C55D8D" w:rsidRPr="00A8631E" w:rsidRDefault="00C55D8D" w:rsidP="6A41E360">
      <w:pPr>
        <w:jc w:val="both"/>
      </w:pPr>
      <w:r w:rsidRPr="45A1BA1F">
        <w:rPr>
          <w:color w:val="000000" w:themeColor="text1"/>
        </w:rPr>
        <w:t>2.</w:t>
      </w:r>
      <w:r>
        <w:tab/>
      </w:r>
      <w:r w:rsidRPr="45A1BA1F">
        <w:rPr>
          <w:color w:val="000000" w:themeColor="text1"/>
        </w:rPr>
        <w:t>A divulgação de relatórios anuais sobre a execução orçamentária das Agendas Transversais e Multissetoriais selecionadas</w:t>
      </w:r>
      <w:r w:rsidR="00A74C4D" w:rsidRPr="45A1BA1F">
        <w:rPr>
          <w:color w:val="000000" w:themeColor="text1"/>
        </w:rPr>
        <w:t xml:space="preserve"> no exercício de </w:t>
      </w:r>
      <w:r w:rsidR="00B933A5" w:rsidRPr="45A1BA1F">
        <w:rPr>
          <w:color w:val="000000" w:themeColor="text1"/>
        </w:rPr>
        <w:t>202</w:t>
      </w:r>
      <w:r w:rsidR="00FE2C4C" w:rsidRPr="45A1BA1F">
        <w:rPr>
          <w:color w:val="000000" w:themeColor="text1"/>
        </w:rPr>
        <w:t>6</w:t>
      </w:r>
      <w:r w:rsidR="00287B61" w:rsidRPr="45A1BA1F">
        <w:rPr>
          <w:color w:val="000000" w:themeColor="text1"/>
        </w:rPr>
        <w:t xml:space="preserve"> </w:t>
      </w:r>
      <w:r w:rsidRPr="45A1BA1F">
        <w:rPr>
          <w:color w:val="000000" w:themeColor="text1"/>
        </w:rPr>
        <w:t xml:space="preserve">até 30 de abril </w:t>
      </w:r>
      <w:r w:rsidR="00A74C4D" w:rsidRPr="45A1BA1F">
        <w:rPr>
          <w:color w:val="000000" w:themeColor="text1"/>
        </w:rPr>
        <w:t xml:space="preserve">de </w:t>
      </w:r>
      <w:r w:rsidR="00FE2C4C" w:rsidRPr="45A1BA1F">
        <w:rPr>
          <w:color w:val="000000" w:themeColor="text1"/>
        </w:rPr>
        <w:t>2027</w:t>
      </w:r>
      <w:r w:rsidRPr="45A1BA1F">
        <w:rPr>
          <w:color w:val="000000" w:themeColor="text1"/>
        </w:rPr>
        <w:t>.</w:t>
      </w:r>
      <w:r w:rsidR="00A74C4D" w:rsidRPr="45A1BA1F">
        <w:rPr>
          <w:color w:val="000000" w:themeColor="text1"/>
        </w:rPr>
        <w:t xml:space="preserve"> </w:t>
      </w:r>
      <w:r w:rsidR="66779224" w:rsidRPr="45A1BA1F">
        <w:rPr>
          <w:color w:val="000000" w:themeColor="text1"/>
        </w:rPr>
        <w:t>Ademais, o PLDO 2026 prevê que o</w:t>
      </w:r>
      <w:r w:rsidR="00A74C4D">
        <w:t xml:space="preserve"> relatório anual relativo à Agenda Transversal e Multissetorial de Crianças e Adolescentes </w:t>
      </w:r>
      <w:r w:rsidR="005E08BB">
        <w:t xml:space="preserve">deverá incluir </w:t>
      </w:r>
      <w:r w:rsidR="00A74C4D">
        <w:t xml:space="preserve">as programações orçamentárias destinadas à prevenção da violência e à </w:t>
      </w:r>
      <w:r w:rsidR="00C1446C">
        <w:t>primeira</w:t>
      </w:r>
      <w:r w:rsidR="677116BB">
        <w:t xml:space="preserve"> </w:t>
      </w:r>
      <w:r w:rsidR="0A8DEECE">
        <w:t>infância</w:t>
      </w:r>
      <w:r w:rsidR="00A74C4D">
        <w:t>.</w:t>
      </w:r>
    </w:p>
    <w:p w14:paraId="29F0BD52" w14:textId="334E813D" w:rsidR="00F97873" w:rsidRDefault="29807A77" w:rsidP="25B3180E">
      <w:pPr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Por fim, </w:t>
      </w:r>
      <w:r w:rsidR="103B10BE" w:rsidRPr="45A1BA1F">
        <w:rPr>
          <w:color w:val="000000" w:themeColor="text1"/>
        </w:rPr>
        <w:t>v</w:t>
      </w:r>
      <w:r w:rsidR="005E08BB" w:rsidRPr="45A1BA1F">
        <w:rPr>
          <w:color w:val="000000" w:themeColor="text1"/>
        </w:rPr>
        <w:t xml:space="preserve">ale </w:t>
      </w:r>
      <w:r w:rsidR="00070A8B" w:rsidRPr="45A1BA1F">
        <w:rPr>
          <w:color w:val="000000" w:themeColor="text1"/>
        </w:rPr>
        <w:t xml:space="preserve">enfatizar </w:t>
      </w:r>
      <w:r w:rsidR="005E08BB" w:rsidRPr="45A1BA1F">
        <w:rPr>
          <w:color w:val="000000" w:themeColor="text1"/>
        </w:rPr>
        <w:t>que</w:t>
      </w:r>
      <w:r w:rsidR="00F97873" w:rsidRPr="45A1BA1F">
        <w:rPr>
          <w:color w:val="000000" w:themeColor="text1"/>
        </w:rPr>
        <w:t>:</w:t>
      </w:r>
    </w:p>
    <w:p w14:paraId="05B65B78" w14:textId="736B2C60" w:rsidR="00F97873" w:rsidRDefault="00F97873" w:rsidP="00F97873">
      <w:pPr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i.</w:t>
      </w:r>
      <w:r w:rsidR="005E08BB">
        <w:rPr>
          <w:color w:val="000000" w:themeColor="text1"/>
        </w:rPr>
        <w:t xml:space="preserve"> </w:t>
      </w:r>
      <w:r w:rsidR="75F402CA" w:rsidRPr="6A41E360">
        <w:rPr>
          <w:color w:val="000000" w:themeColor="text1"/>
        </w:rPr>
        <w:t xml:space="preserve">Já se encontram disponíveis no site do Ministério do </w:t>
      </w:r>
      <w:r w:rsidR="51785A13" w:rsidRPr="6A41E360">
        <w:rPr>
          <w:color w:val="000000" w:themeColor="text1"/>
        </w:rPr>
        <w:t>Planejamento e Orçamento</w:t>
      </w:r>
      <w:r w:rsidR="75F402CA" w:rsidRPr="6A41E360">
        <w:rPr>
          <w:color w:val="000000" w:themeColor="text1"/>
        </w:rPr>
        <w:t xml:space="preserve"> </w:t>
      </w:r>
      <w:r w:rsidR="75F402CA" w:rsidRPr="000F03DE">
        <w:rPr>
          <w:b/>
          <w:color w:val="000000" w:themeColor="text1"/>
        </w:rPr>
        <w:t>os relatórios de execução das Agendas Transversais no exercício</w:t>
      </w:r>
      <w:r w:rsidR="3B808AD5" w:rsidRPr="000F03DE">
        <w:rPr>
          <w:b/>
          <w:color w:val="000000" w:themeColor="text1"/>
        </w:rPr>
        <w:t xml:space="preserve"> 2024</w:t>
      </w:r>
      <w:r w:rsidRPr="6A41E360">
        <w:rPr>
          <w:rStyle w:val="Refdenotaderodap"/>
          <w:color w:val="000000" w:themeColor="text1"/>
        </w:rPr>
        <w:footnoteReference w:id="2"/>
      </w:r>
      <w:r w:rsidR="00C55D8D" w:rsidRPr="25B3180E">
        <w:rPr>
          <w:color w:val="000000" w:themeColor="text1"/>
        </w:rPr>
        <w:t xml:space="preserve">. </w:t>
      </w:r>
      <w:r w:rsidR="09E3EB3E" w:rsidRPr="25B3180E">
        <w:rPr>
          <w:color w:val="000000" w:themeColor="text1"/>
        </w:rPr>
        <w:t>O uso dos relatórios para aperfeiçoar a proposta qualitativa e quantitativa dos órgãos setoriais no PLOA 2026</w:t>
      </w:r>
      <w:r w:rsidR="00C55D8D" w:rsidRPr="25B3180E">
        <w:rPr>
          <w:color w:val="000000" w:themeColor="text1"/>
        </w:rPr>
        <w:t xml:space="preserve"> fortalece o ciclo PDCA (</w:t>
      </w:r>
      <w:proofErr w:type="spellStart"/>
      <w:r w:rsidR="00C55D8D" w:rsidRPr="6A41E360">
        <w:rPr>
          <w:i/>
          <w:iCs/>
          <w:color w:val="000000" w:themeColor="text1"/>
          <w:shd w:val="clear" w:color="auto" w:fill="E6E6E6"/>
        </w:rPr>
        <w:t>Plan</w:t>
      </w:r>
      <w:proofErr w:type="spellEnd"/>
      <w:r w:rsidR="00C55D8D" w:rsidRPr="6A41E360">
        <w:rPr>
          <w:i/>
          <w:iCs/>
          <w:color w:val="000000" w:themeColor="text1"/>
          <w:shd w:val="clear" w:color="auto" w:fill="E6E6E6"/>
        </w:rPr>
        <w:t>-Do-</w:t>
      </w:r>
      <w:proofErr w:type="spellStart"/>
      <w:r w:rsidR="00C55D8D" w:rsidRPr="6A41E360">
        <w:rPr>
          <w:i/>
          <w:iCs/>
          <w:color w:val="000000" w:themeColor="text1"/>
          <w:shd w:val="clear" w:color="auto" w:fill="E6E6E6"/>
        </w:rPr>
        <w:t>Control</w:t>
      </w:r>
      <w:proofErr w:type="spellEnd"/>
      <w:r w:rsidR="00C55D8D" w:rsidRPr="6A41E360">
        <w:rPr>
          <w:i/>
          <w:iCs/>
          <w:color w:val="000000" w:themeColor="text1"/>
          <w:shd w:val="clear" w:color="auto" w:fill="E6E6E6"/>
        </w:rPr>
        <w:t>-</w:t>
      </w:r>
      <w:proofErr w:type="spellStart"/>
      <w:r w:rsidR="00C55D8D" w:rsidRPr="6A41E360">
        <w:rPr>
          <w:i/>
          <w:iCs/>
          <w:color w:val="000000" w:themeColor="text1"/>
          <w:shd w:val="clear" w:color="auto" w:fill="E6E6E6"/>
        </w:rPr>
        <w:t>Act</w:t>
      </w:r>
      <w:proofErr w:type="spellEnd"/>
      <w:r w:rsidR="00C55D8D" w:rsidRPr="25B3180E">
        <w:rPr>
          <w:color w:val="000000" w:themeColor="text1"/>
        </w:rPr>
        <w:t>) no âmbito da administração pública federal</w:t>
      </w:r>
      <w:r>
        <w:rPr>
          <w:color w:val="000000" w:themeColor="text1"/>
        </w:rPr>
        <w:t>; e</w:t>
      </w:r>
    </w:p>
    <w:p w14:paraId="11A4A1C9" w14:textId="2861B143" w:rsidR="00F97873" w:rsidRDefault="00F97873" w:rsidP="6A41E360">
      <w:pPr>
        <w:ind w:left="708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ii</w:t>
      </w:r>
      <w:proofErr w:type="spellEnd"/>
      <w:r>
        <w:rPr>
          <w:color w:val="000000" w:themeColor="text1"/>
        </w:rPr>
        <w:t xml:space="preserve">. </w:t>
      </w:r>
      <w:r w:rsidRPr="6A41E360">
        <w:rPr>
          <w:color w:val="000000" w:themeColor="text1"/>
        </w:rPr>
        <w:t xml:space="preserve"> </w:t>
      </w:r>
      <w:r w:rsidR="00714AB5" w:rsidRPr="6A41E360">
        <w:rPr>
          <w:color w:val="000000" w:themeColor="text1"/>
        </w:rPr>
        <w:t>E</w:t>
      </w:r>
      <w:r w:rsidRPr="6A41E360">
        <w:rPr>
          <w:color w:val="000000" w:themeColor="text1"/>
        </w:rPr>
        <w:t xml:space="preserve">stá disponível para consulta livre no Painel do Orçamento Federal no SIOP, o </w:t>
      </w:r>
      <w:proofErr w:type="spellStart"/>
      <w:r w:rsidR="74D58545" w:rsidRPr="6A41E360">
        <w:rPr>
          <w:b/>
          <w:bCs/>
          <w:color w:val="000000" w:themeColor="text1"/>
        </w:rPr>
        <w:t>Subp</w:t>
      </w:r>
      <w:r w:rsidRPr="6A41E360">
        <w:rPr>
          <w:b/>
          <w:bCs/>
          <w:color w:val="000000" w:themeColor="text1"/>
        </w:rPr>
        <w:t>ainel</w:t>
      </w:r>
      <w:proofErr w:type="spellEnd"/>
      <w:r w:rsidRPr="6A41E360">
        <w:rPr>
          <w:b/>
          <w:bCs/>
          <w:color w:val="000000" w:themeColor="text1"/>
        </w:rPr>
        <w:t xml:space="preserve"> das Agendas Transversais</w:t>
      </w:r>
      <w:r w:rsidR="00070A8B" w:rsidRPr="6A41E360">
        <w:rPr>
          <w:rStyle w:val="Refdenotaderodap"/>
          <w:color w:val="000000" w:themeColor="text1"/>
        </w:rPr>
        <w:footnoteReference w:id="3"/>
      </w:r>
      <w:r w:rsidRPr="6A41E360">
        <w:rPr>
          <w:color w:val="000000" w:themeColor="text1"/>
        </w:rPr>
        <w:t xml:space="preserve">, que mostra as ações orçamentárias associadas a cada uma das Agendas Transversais e Multissetoriais na LOA </w:t>
      </w:r>
      <w:r w:rsidR="47B328BE" w:rsidRPr="6A41E360">
        <w:rPr>
          <w:color w:val="000000" w:themeColor="text1"/>
        </w:rPr>
        <w:t xml:space="preserve">2024 e </w:t>
      </w:r>
      <w:r w:rsidRPr="6A41E360">
        <w:rPr>
          <w:color w:val="000000" w:themeColor="text1"/>
        </w:rPr>
        <w:t>202</w:t>
      </w:r>
      <w:r w:rsidR="0099302F" w:rsidRPr="6A41E360">
        <w:rPr>
          <w:color w:val="000000" w:themeColor="text1"/>
        </w:rPr>
        <w:t>5</w:t>
      </w:r>
      <w:r w:rsidR="00070A8B" w:rsidRPr="6A41E360">
        <w:rPr>
          <w:color w:val="000000" w:themeColor="text1"/>
        </w:rPr>
        <w:t>, bem como</w:t>
      </w:r>
      <w:r w:rsidR="00FE607D" w:rsidRPr="6A41E360">
        <w:rPr>
          <w:color w:val="000000" w:themeColor="text1"/>
        </w:rPr>
        <w:t xml:space="preserve"> </w:t>
      </w:r>
      <w:r w:rsidR="00070A8B" w:rsidRPr="6A41E360">
        <w:rPr>
          <w:color w:val="000000" w:themeColor="text1"/>
        </w:rPr>
        <w:t>os dados de execução orçamentário-financeira no</w:t>
      </w:r>
      <w:r w:rsidR="65B81B00" w:rsidRPr="6A41E360">
        <w:rPr>
          <w:color w:val="000000" w:themeColor="text1"/>
        </w:rPr>
        <w:t>s</w:t>
      </w:r>
      <w:r w:rsidR="00070A8B" w:rsidRPr="6A41E360">
        <w:rPr>
          <w:color w:val="000000" w:themeColor="text1"/>
        </w:rPr>
        <w:t xml:space="preserve"> exercício</w:t>
      </w:r>
      <w:r w:rsidR="05A4BB7D" w:rsidRPr="6A41E360">
        <w:rPr>
          <w:color w:val="000000" w:themeColor="text1"/>
        </w:rPr>
        <w:t>s</w:t>
      </w:r>
      <w:r w:rsidRPr="6A41E360">
        <w:rPr>
          <w:color w:val="000000" w:themeColor="text1"/>
        </w:rPr>
        <w:t xml:space="preserve">. </w:t>
      </w:r>
    </w:p>
    <w:p w14:paraId="660EDDA5" w14:textId="7706D76F" w:rsidR="00ED5D78" w:rsidRDefault="00ED5D78" w:rsidP="45A1BA1F">
      <w:pPr>
        <w:spacing w:after="180" w:line="288" w:lineRule="auto"/>
        <w:rPr>
          <w:color w:val="000000" w:themeColor="text1"/>
        </w:rPr>
      </w:pPr>
    </w:p>
    <w:p w14:paraId="699B5674" w14:textId="04BD1D04" w:rsidR="00D659EF" w:rsidRPr="005748C9" w:rsidRDefault="00D659EF" w:rsidP="009B3D03">
      <w:pPr>
        <w:pStyle w:val="Ttulo2"/>
        <w:rPr>
          <w:b/>
          <w:bCs/>
          <w:color w:val="000000" w:themeColor="text1"/>
        </w:rPr>
      </w:pPr>
      <w:r w:rsidRPr="009B3D03">
        <w:rPr>
          <w:color w:val="2B579A"/>
          <w:shd w:val="clear" w:color="auto" w:fill="E6E6E6"/>
        </w:rPr>
        <w:t>Canais de Suporte</w:t>
      </w:r>
    </w:p>
    <w:p w14:paraId="07509CFA" w14:textId="6916CF43" w:rsidR="00D659EF" w:rsidRPr="00D659EF" w:rsidRDefault="00D659EF" w:rsidP="45A1BA1F">
      <w:pPr>
        <w:spacing w:after="180" w:line="288" w:lineRule="auto"/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Dúvidas gerais sobre </w:t>
      </w:r>
      <w:r w:rsidR="00ED6BC6" w:rsidRPr="45A1BA1F">
        <w:rPr>
          <w:color w:val="000000" w:themeColor="text1"/>
        </w:rPr>
        <w:t>a associação das ações orçamentárias</w:t>
      </w:r>
      <w:r w:rsidR="00105987" w:rsidRPr="45A1BA1F">
        <w:rPr>
          <w:color w:val="000000" w:themeColor="text1"/>
        </w:rPr>
        <w:t xml:space="preserve"> </w:t>
      </w:r>
      <w:r w:rsidR="00ED6BC6" w:rsidRPr="45A1BA1F">
        <w:rPr>
          <w:color w:val="000000" w:themeColor="text1"/>
        </w:rPr>
        <w:t>à</w:t>
      </w:r>
      <w:r w:rsidR="00105987" w:rsidRPr="45A1BA1F">
        <w:rPr>
          <w:color w:val="000000" w:themeColor="text1"/>
        </w:rPr>
        <w:t xml:space="preserve">s </w:t>
      </w:r>
      <w:r w:rsidR="00ED6BC6" w:rsidRPr="45A1BA1F">
        <w:rPr>
          <w:color w:val="000000" w:themeColor="text1"/>
        </w:rPr>
        <w:t xml:space="preserve">Agendas Transversais </w:t>
      </w:r>
      <w:r w:rsidR="00105987" w:rsidRPr="45A1BA1F">
        <w:rPr>
          <w:color w:val="000000" w:themeColor="text1"/>
        </w:rPr>
        <w:t xml:space="preserve">e </w:t>
      </w:r>
      <w:r w:rsidR="00ED6BC6" w:rsidRPr="45A1BA1F">
        <w:rPr>
          <w:color w:val="000000" w:themeColor="text1"/>
        </w:rPr>
        <w:t>Multissetoriais</w:t>
      </w:r>
      <w:r w:rsidRPr="45A1BA1F">
        <w:rPr>
          <w:color w:val="000000" w:themeColor="text1"/>
        </w:rPr>
        <w:t>: enviar e-mail para “</w:t>
      </w:r>
      <w:r w:rsidR="00205D86" w:rsidRPr="45A1BA1F">
        <w:rPr>
          <w:color w:val="000000" w:themeColor="text1"/>
        </w:rPr>
        <w:t>setra</w:t>
      </w:r>
      <w:r w:rsidRPr="45A1BA1F">
        <w:rPr>
          <w:color w:val="000000" w:themeColor="text1"/>
        </w:rPr>
        <w:t>.sof@</w:t>
      </w:r>
      <w:r w:rsidR="00A85CE5" w:rsidRPr="45A1BA1F">
        <w:rPr>
          <w:color w:val="000000" w:themeColor="text1"/>
        </w:rPr>
        <w:t>planejamento</w:t>
      </w:r>
      <w:r w:rsidRPr="45A1BA1F">
        <w:rPr>
          <w:color w:val="000000" w:themeColor="text1"/>
        </w:rPr>
        <w:t>.gov.br”.</w:t>
      </w:r>
    </w:p>
    <w:p w14:paraId="3AA2C776" w14:textId="7CF50192" w:rsidR="00D659EF" w:rsidRPr="00D659EF" w:rsidRDefault="00D659EF" w:rsidP="45A1BA1F">
      <w:pPr>
        <w:spacing w:after="180" w:line="288" w:lineRule="auto"/>
        <w:jc w:val="both"/>
        <w:rPr>
          <w:color w:val="000000" w:themeColor="text1"/>
        </w:rPr>
      </w:pPr>
      <w:r w:rsidRPr="45A1BA1F">
        <w:rPr>
          <w:color w:val="000000" w:themeColor="text1"/>
        </w:rPr>
        <w:t xml:space="preserve">Dúvidas específicas relacionadas a seu Órgão: entrar em contato com a </w:t>
      </w:r>
      <w:r w:rsidR="00205D86" w:rsidRPr="45A1BA1F">
        <w:rPr>
          <w:color w:val="000000" w:themeColor="text1"/>
        </w:rPr>
        <w:t xml:space="preserve">Subsecretaria </w:t>
      </w:r>
      <w:r w:rsidRPr="45A1BA1F">
        <w:rPr>
          <w:color w:val="000000" w:themeColor="text1"/>
        </w:rPr>
        <w:t>ou área responsável da SOF.</w:t>
      </w:r>
    </w:p>
    <w:p w14:paraId="19FA5F03" w14:textId="22AEFA3C" w:rsidR="00ED5D78" w:rsidRDefault="00D659EF" w:rsidP="00A8631E">
      <w:pPr>
        <w:spacing w:after="180" w:line="288" w:lineRule="auto"/>
        <w:jc w:val="both"/>
        <w:rPr>
          <w:rFonts w:cstheme="minorHAnsi"/>
          <w:color w:val="000000" w:themeColor="text1"/>
        </w:rPr>
      </w:pPr>
      <w:r w:rsidRPr="00D659EF">
        <w:rPr>
          <w:rFonts w:cstheme="minorHAnsi"/>
          <w:color w:val="000000" w:themeColor="text1"/>
        </w:rPr>
        <w:t xml:space="preserve">Problemas </w:t>
      </w:r>
      <w:r w:rsidR="00ED6BC6">
        <w:rPr>
          <w:rFonts w:cstheme="minorHAnsi"/>
          <w:color w:val="000000" w:themeColor="text1"/>
        </w:rPr>
        <w:t>no funcionamento</w:t>
      </w:r>
      <w:r w:rsidRPr="00D659EF">
        <w:rPr>
          <w:rFonts w:cstheme="minorHAnsi"/>
          <w:color w:val="000000" w:themeColor="text1"/>
        </w:rPr>
        <w:t xml:space="preserve"> </w:t>
      </w:r>
      <w:r w:rsidR="00ED6BC6">
        <w:rPr>
          <w:rFonts w:cstheme="minorHAnsi"/>
          <w:color w:val="000000" w:themeColor="text1"/>
        </w:rPr>
        <w:t>d</w:t>
      </w:r>
      <w:r w:rsidRPr="00D659EF">
        <w:rPr>
          <w:rFonts w:cstheme="minorHAnsi"/>
          <w:color w:val="000000" w:themeColor="text1"/>
        </w:rPr>
        <w:t>o SIOP</w:t>
      </w:r>
      <w:r w:rsidR="00ED6BC6">
        <w:rPr>
          <w:rFonts w:cstheme="minorHAnsi"/>
          <w:color w:val="000000" w:themeColor="text1"/>
        </w:rPr>
        <w:t xml:space="preserve">: </w:t>
      </w:r>
      <w:r w:rsidRPr="00D659EF">
        <w:rPr>
          <w:rFonts w:cstheme="minorHAnsi"/>
          <w:color w:val="000000" w:themeColor="text1"/>
        </w:rPr>
        <w:t>utilizar o portal de atendimento</w:t>
      </w:r>
      <w:r w:rsidR="00ED6BC6">
        <w:rPr>
          <w:rFonts w:cstheme="minorHAnsi"/>
          <w:color w:val="000000" w:themeColor="text1"/>
        </w:rPr>
        <w:t xml:space="preserve"> do</w:t>
      </w:r>
      <w:r w:rsidRPr="00D659EF">
        <w:rPr>
          <w:rFonts w:cstheme="minorHAnsi"/>
          <w:color w:val="000000" w:themeColor="text1"/>
        </w:rPr>
        <w:t xml:space="preserve"> SIOP</w:t>
      </w:r>
      <w:r w:rsidR="00B01734">
        <w:rPr>
          <w:rFonts w:cstheme="minorHAnsi"/>
          <w:color w:val="000000" w:themeColor="text1"/>
        </w:rPr>
        <w:t xml:space="preserve"> (</w:t>
      </w:r>
      <w:r w:rsidR="00B01734" w:rsidRPr="00B01734">
        <w:rPr>
          <w:rFonts w:cstheme="minorHAnsi"/>
          <w:color w:val="000000" w:themeColor="text1"/>
        </w:rPr>
        <w:t>https://www.siop.gov.br/atendimento/</w:t>
      </w:r>
      <w:r w:rsidR="00B01734">
        <w:rPr>
          <w:rFonts w:cstheme="minorHAnsi"/>
          <w:color w:val="000000" w:themeColor="text1"/>
        </w:rPr>
        <w:t>)</w:t>
      </w:r>
      <w:r w:rsidRPr="00D659EF">
        <w:rPr>
          <w:rFonts w:cstheme="minorHAnsi"/>
          <w:color w:val="000000" w:themeColor="text1"/>
        </w:rPr>
        <w:t>.</w:t>
      </w:r>
    </w:p>
    <w:sectPr w:rsidR="00ED5D78" w:rsidSect="001D1911">
      <w:footerReference w:type="default" r:id="rId12"/>
      <w:pgSz w:w="11906" w:h="16838"/>
      <w:pgMar w:top="1361" w:right="1531" w:bottom="136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E59F" w14:textId="77777777" w:rsidR="00AD045E" w:rsidRDefault="00AD045E" w:rsidP="00E94A0B">
      <w:pPr>
        <w:spacing w:before="0" w:after="0" w:line="240" w:lineRule="auto"/>
      </w:pPr>
      <w:r>
        <w:separator/>
      </w:r>
    </w:p>
  </w:endnote>
  <w:endnote w:type="continuationSeparator" w:id="0">
    <w:p w14:paraId="6D4BA369" w14:textId="77777777" w:rsidR="00AD045E" w:rsidRDefault="00AD045E" w:rsidP="00E94A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1715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D17ABE" w14:textId="7658E300" w:rsidR="000970BB" w:rsidRDefault="000970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E5DFB" w14:textId="77777777" w:rsidR="000970BB" w:rsidRDefault="000970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910D5" w14:textId="77777777" w:rsidR="00AD045E" w:rsidRDefault="00AD045E" w:rsidP="00E94A0B">
      <w:pPr>
        <w:spacing w:before="0" w:after="0" w:line="240" w:lineRule="auto"/>
      </w:pPr>
      <w:r>
        <w:separator/>
      </w:r>
    </w:p>
  </w:footnote>
  <w:footnote w:type="continuationSeparator" w:id="0">
    <w:p w14:paraId="33E7FFE2" w14:textId="77777777" w:rsidR="00AD045E" w:rsidRDefault="00AD045E" w:rsidP="00E94A0B">
      <w:pPr>
        <w:spacing w:before="0" w:after="0" w:line="240" w:lineRule="auto"/>
      </w:pPr>
      <w:r>
        <w:continuationSeparator/>
      </w:r>
    </w:p>
  </w:footnote>
  <w:footnote w:id="1">
    <w:p w14:paraId="323A1203" w14:textId="77777777" w:rsidR="001345D5" w:rsidRDefault="001345D5" w:rsidP="001345D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Disponível em: &lt;</w:t>
      </w:r>
      <w:hyperlink r:id="rId1" w:history="1">
        <w:r w:rsidRPr="005417B8">
          <w:rPr>
            <w:rStyle w:val="Hyperlink"/>
          </w:rPr>
          <w:t>https://www.gov.br/planejamento/pt-br/assuntos/orcamento/arquivos/sof_nota_metodologica_agendas_ploa.pdf</w:t>
        </w:r>
      </w:hyperlink>
      <w:r>
        <w:t>&gt;. Acesso em 22 MAI 2024.</w:t>
      </w:r>
    </w:p>
  </w:footnote>
  <w:footnote w:id="2">
    <w:p w14:paraId="66B372BF" w14:textId="18B208F3" w:rsidR="6A41E360" w:rsidRDefault="6A41E360" w:rsidP="000F03DE">
      <w:pPr>
        <w:pStyle w:val="Textodenotaderodap"/>
      </w:pPr>
      <w:r w:rsidRPr="6A41E360">
        <w:rPr>
          <w:rStyle w:val="Refdenotaderodap"/>
        </w:rPr>
        <w:footnoteRef/>
      </w:r>
      <w:r>
        <w:t xml:space="preserve"> Disponível em: &lt;</w:t>
      </w:r>
      <w:hyperlink r:id="rId2" w:history="1">
        <w:r w:rsidRPr="6A41E360">
          <w:rPr>
            <w:rStyle w:val="Hyperlink"/>
          </w:rPr>
          <w:t>Agendas Transversais e Multissetoriais — Ministério do Planejamento e Orçamento</w:t>
        </w:r>
      </w:hyperlink>
    </w:p>
  </w:footnote>
  <w:footnote w:id="3">
    <w:p w14:paraId="5C2FAD6A" w14:textId="77777777" w:rsidR="00070A8B" w:rsidRDefault="00070A8B" w:rsidP="00070A8B">
      <w:pPr>
        <w:pStyle w:val="Textodenotaderodap"/>
      </w:pPr>
      <w:r>
        <w:rPr>
          <w:rStyle w:val="Refdenotaderodap"/>
        </w:rPr>
        <w:footnoteRef/>
      </w:r>
      <w:r>
        <w:t xml:space="preserve"> Disponível em: &lt;</w:t>
      </w:r>
      <w:r w:rsidRPr="00F97873">
        <w:t xml:space="preserve"> </w:t>
      </w:r>
      <w:hyperlink r:id="rId3" w:history="1">
        <w:r w:rsidRPr="005417B8">
          <w:rPr>
            <w:rStyle w:val="Hyperlink"/>
          </w:rPr>
          <w:t>https://www1.siop.planejamento.gov.br/QvAJAXZfc/opendoc.htm?document=IAS%2FExecucao_Orcamentaria.qvw&amp;host=QVS%40pqlk04&amp;anonymous=true&amp;sheet=SH06</w:t>
        </w:r>
      </w:hyperlink>
      <w:r>
        <w:t>&gt;. Acesso 22 MAI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22A7"/>
    <w:multiLevelType w:val="hybridMultilevel"/>
    <w:tmpl w:val="2856C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F5835"/>
    <w:multiLevelType w:val="hybridMultilevel"/>
    <w:tmpl w:val="FFFFFFFF"/>
    <w:lvl w:ilvl="0" w:tplc="AD4CD9A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52603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0909E3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000A91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9AEE26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B4C4BB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BBC433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5DCEA3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E48B7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9719313">
    <w:abstractNumId w:val="1"/>
  </w:num>
  <w:num w:numId="2" w16cid:durableId="84968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1E"/>
    <w:rsid w:val="00004664"/>
    <w:rsid w:val="00025081"/>
    <w:rsid w:val="00034FB5"/>
    <w:rsid w:val="0004324D"/>
    <w:rsid w:val="00050081"/>
    <w:rsid w:val="00050774"/>
    <w:rsid w:val="00070A8B"/>
    <w:rsid w:val="000714AE"/>
    <w:rsid w:val="000929B0"/>
    <w:rsid w:val="000970BB"/>
    <w:rsid w:val="000A3AA1"/>
    <w:rsid w:val="000B2F57"/>
    <w:rsid w:val="000C0EDC"/>
    <w:rsid w:val="000C59A9"/>
    <w:rsid w:val="000C75AD"/>
    <w:rsid w:val="000D0FE5"/>
    <w:rsid w:val="000D6F03"/>
    <w:rsid w:val="000E2667"/>
    <w:rsid w:val="000F03DE"/>
    <w:rsid w:val="00102916"/>
    <w:rsid w:val="001052DD"/>
    <w:rsid w:val="00105987"/>
    <w:rsid w:val="00120E70"/>
    <w:rsid w:val="001227B8"/>
    <w:rsid w:val="00122EBE"/>
    <w:rsid w:val="00124206"/>
    <w:rsid w:val="00131BB5"/>
    <w:rsid w:val="001345D5"/>
    <w:rsid w:val="00134906"/>
    <w:rsid w:val="001467F0"/>
    <w:rsid w:val="0015101A"/>
    <w:rsid w:val="001548ED"/>
    <w:rsid w:val="00155D63"/>
    <w:rsid w:val="0015740A"/>
    <w:rsid w:val="00165A4B"/>
    <w:rsid w:val="00167216"/>
    <w:rsid w:val="00170ABF"/>
    <w:rsid w:val="0017444F"/>
    <w:rsid w:val="00174752"/>
    <w:rsid w:val="00196A52"/>
    <w:rsid w:val="001A6A5D"/>
    <w:rsid w:val="001A7755"/>
    <w:rsid w:val="001B17A6"/>
    <w:rsid w:val="001B448D"/>
    <w:rsid w:val="001B517E"/>
    <w:rsid w:val="001B68BE"/>
    <w:rsid w:val="001C0612"/>
    <w:rsid w:val="001C4B1A"/>
    <w:rsid w:val="001D1911"/>
    <w:rsid w:val="001D1BA3"/>
    <w:rsid w:val="001D2438"/>
    <w:rsid w:val="001D2970"/>
    <w:rsid w:val="001D72F3"/>
    <w:rsid w:val="001E3D7C"/>
    <w:rsid w:val="001E42D4"/>
    <w:rsid w:val="0020016B"/>
    <w:rsid w:val="00202620"/>
    <w:rsid w:val="00205D86"/>
    <w:rsid w:val="002107B7"/>
    <w:rsid w:val="00216351"/>
    <w:rsid w:val="002179D7"/>
    <w:rsid w:val="00220AE9"/>
    <w:rsid w:val="00222731"/>
    <w:rsid w:val="00223EA2"/>
    <w:rsid w:val="002242C3"/>
    <w:rsid w:val="002243D3"/>
    <w:rsid w:val="0022538A"/>
    <w:rsid w:val="00241F0D"/>
    <w:rsid w:val="002421B8"/>
    <w:rsid w:val="00243A49"/>
    <w:rsid w:val="002447F7"/>
    <w:rsid w:val="00245C27"/>
    <w:rsid w:val="00251A26"/>
    <w:rsid w:val="00256CF9"/>
    <w:rsid w:val="0027407A"/>
    <w:rsid w:val="002759B1"/>
    <w:rsid w:val="00275C08"/>
    <w:rsid w:val="002772FA"/>
    <w:rsid w:val="00282FED"/>
    <w:rsid w:val="00283BDB"/>
    <w:rsid w:val="00287B61"/>
    <w:rsid w:val="002A0870"/>
    <w:rsid w:val="002B33C5"/>
    <w:rsid w:val="002B3B95"/>
    <w:rsid w:val="002C35BA"/>
    <w:rsid w:val="002D0E35"/>
    <w:rsid w:val="002D28CC"/>
    <w:rsid w:val="002D6AA5"/>
    <w:rsid w:val="002D7F72"/>
    <w:rsid w:val="002E323D"/>
    <w:rsid w:val="002E3DD0"/>
    <w:rsid w:val="002F2DDA"/>
    <w:rsid w:val="003005EA"/>
    <w:rsid w:val="0030111C"/>
    <w:rsid w:val="00310543"/>
    <w:rsid w:val="00310E31"/>
    <w:rsid w:val="003300F4"/>
    <w:rsid w:val="003445C4"/>
    <w:rsid w:val="00344F88"/>
    <w:rsid w:val="00354898"/>
    <w:rsid w:val="00362E8D"/>
    <w:rsid w:val="0036357E"/>
    <w:rsid w:val="00365EF6"/>
    <w:rsid w:val="0036729B"/>
    <w:rsid w:val="003925DD"/>
    <w:rsid w:val="003A1967"/>
    <w:rsid w:val="003A6B74"/>
    <w:rsid w:val="003A6C0B"/>
    <w:rsid w:val="003C621A"/>
    <w:rsid w:val="003D01A5"/>
    <w:rsid w:val="003E21CF"/>
    <w:rsid w:val="003E50F1"/>
    <w:rsid w:val="003F3507"/>
    <w:rsid w:val="003F763A"/>
    <w:rsid w:val="00403F39"/>
    <w:rsid w:val="00404041"/>
    <w:rsid w:val="004071B8"/>
    <w:rsid w:val="00413CE6"/>
    <w:rsid w:val="004201B4"/>
    <w:rsid w:val="0042310B"/>
    <w:rsid w:val="00425993"/>
    <w:rsid w:val="00442E48"/>
    <w:rsid w:val="004702D2"/>
    <w:rsid w:val="00473E8F"/>
    <w:rsid w:val="00476B2C"/>
    <w:rsid w:val="00484E08"/>
    <w:rsid w:val="0049401A"/>
    <w:rsid w:val="004955E8"/>
    <w:rsid w:val="00495FF8"/>
    <w:rsid w:val="004A22FC"/>
    <w:rsid w:val="004A36EE"/>
    <w:rsid w:val="004A5631"/>
    <w:rsid w:val="004B5149"/>
    <w:rsid w:val="004C01D6"/>
    <w:rsid w:val="004C2EEC"/>
    <w:rsid w:val="004D0180"/>
    <w:rsid w:val="004D1A9E"/>
    <w:rsid w:val="004E74AE"/>
    <w:rsid w:val="004F4FEE"/>
    <w:rsid w:val="00501C47"/>
    <w:rsid w:val="00501CD1"/>
    <w:rsid w:val="00502CC6"/>
    <w:rsid w:val="00505F4C"/>
    <w:rsid w:val="005142A9"/>
    <w:rsid w:val="00523AFA"/>
    <w:rsid w:val="005246C5"/>
    <w:rsid w:val="00525C6D"/>
    <w:rsid w:val="00527D5F"/>
    <w:rsid w:val="0053694F"/>
    <w:rsid w:val="00542A49"/>
    <w:rsid w:val="00552D6D"/>
    <w:rsid w:val="00553B80"/>
    <w:rsid w:val="00556E4A"/>
    <w:rsid w:val="00564694"/>
    <w:rsid w:val="005748C9"/>
    <w:rsid w:val="00574DB8"/>
    <w:rsid w:val="00574DFE"/>
    <w:rsid w:val="0057718A"/>
    <w:rsid w:val="00591470"/>
    <w:rsid w:val="00597B0B"/>
    <w:rsid w:val="005A4D56"/>
    <w:rsid w:val="005B38E0"/>
    <w:rsid w:val="005B5805"/>
    <w:rsid w:val="005D6ACA"/>
    <w:rsid w:val="005E08BB"/>
    <w:rsid w:val="005E12B5"/>
    <w:rsid w:val="005E1F65"/>
    <w:rsid w:val="005E6D3A"/>
    <w:rsid w:val="005F3749"/>
    <w:rsid w:val="006018AC"/>
    <w:rsid w:val="00612D76"/>
    <w:rsid w:val="00617350"/>
    <w:rsid w:val="006225A0"/>
    <w:rsid w:val="006276D8"/>
    <w:rsid w:val="00632590"/>
    <w:rsid w:val="006327B7"/>
    <w:rsid w:val="00634792"/>
    <w:rsid w:val="006374D0"/>
    <w:rsid w:val="00655BCD"/>
    <w:rsid w:val="00660E0E"/>
    <w:rsid w:val="0066762C"/>
    <w:rsid w:val="00670FD5"/>
    <w:rsid w:val="00673120"/>
    <w:rsid w:val="00684F01"/>
    <w:rsid w:val="00691E04"/>
    <w:rsid w:val="00693724"/>
    <w:rsid w:val="00695022"/>
    <w:rsid w:val="006B3A84"/>
    <w:rsid w:val="006B5FCB"/>
    <w:rsid w:val="006B7965"/>
    <w:rsid w:val="006C61BB"/>
    <w:rsid w:val="006D3839"/>
    <w:rsid w:val="006D427C"/>
    <w:rsid w:val="006D5784"/>
    <w:rsid w:val="006F7137"/>
    <w:rsid w:val="00700EB3"/>
    <w:rsid w:val="00705C6A"/>
    <w:rsid w:val="00706091"/>
    <w:rsid w:val="007115FB"/>
    <w:rsid w:val="00714AB5"/>
    <w:rsid w:val="00715A2B"/>
    <w:rsid w:val="00720B81"/>
    <w:rsid w:val="00745C96"/>
    <w:rsid w:val="007471A3"/>
    <w:rsid w:val="00751F76"/>
    <w:rsid w:val="00755637"/>
    <w:rsid w:val="00756792"/>
    <w:rsid w:val="00756BCB"/>
    <w:rsid w:val="00766B83"/>
    <w:rsid w:val="00773D9F"/>
    <w:rsid w:val="007778EC"/>
    <w:rsid w:val="00777F3F"/>
    <w:rsid w:val="00792807"/>
    <w:rsid w:val="007A37D2"/>
    <w:rsid w:val="007A3EB4"/>
    <w:rsid w:val="007A56A5"/>
    <w:rsid w:val="007A6AEE"/>
    <w:rsid w:val="007A79F1"/>
    <w:rsid w:val="007A7D18"/>
    <w:rsid w:val="007B19D8"/>
    <w:rsid w:val="007B29E3"/>
    <w:rsid w:val="007C6DF2"/>
    <w:rsid w:val="007C7B5E"/>
    <w:rsid w:val="007D496C"/>
    <w:rsid w:val="007D49A5"/>
    <w:rsid w:val="007E0CA4"/>
    <w:rsid w:val="007E39CD"/>
    <w:rsid w:val="007F1C6D"/>
    <w:rsid w:val="007F3BB4"/>
    <w:rsid w:val="007F69A4"/>
    <w:rsid w:val="0081197D"/>
    <w:rsid w:val="00826AD4"/>
    <w:rsid w:val="0084119F"/>
    <w:rsid w:val="00845AB2"/>
    <w:rsid w:val="00857E9D"/>
    <w:rsid w:val="00857EEB"/>
    <w:rsid w:val="00897CF6"/>
    <w:rsid w:val="008A074F"/>
    <w:rsid w:val="008A124C"/>
    <w:rsid w:val="008B167D"/>
    <w:rsid w:val="008B4505"/>
    <w:rsid w:val="008C0269"/>
    <w:rsid w:val="008C3712"/>
    <w:rsid w:val="008C79A2"/>
    <w:rsid w:val="008D18FF"/>
    <w:rsid w:val="008D5616"/>
    <w:rsid w:val="008D6DA4"/>
    <w:rsid w:val="008DC681"/>
    <w:rsid w:val="008E03E1"/>
    <w:rsid w:val="008E3E76"/>
    <w:rsid w:val="008E6A05"/>
    <w:rsid w:val="008F206C"/>
    <w:rsid w:val="008F2908"/>
    <w:rsid w:val="008F77A4"/>
    <w:rsid w:val="0090264F"/>
    <w:rsid w:val="00911252"/>
    <w:rsid w:val="009162A4"/>
    <w:rsid w:val="0093037C"/>
    <w:rsid w:val="00941713"/>
    <w:rsid w:val="009445DC"/>
    <w:rsid w:val="009454DC"/>
    <w:rsid w:val="0095397B"/>
    <w:rsid w:val="00961EA8"/>
    <w:rsid w:val="00970A4F"/>
    <w:rsid w:val="009713C5"/>
    <w:rsid w:val="00972150"/>
    <w:rsid w:val="0098171D"/>
    <w:rsid w:val="00990023"/>
    <w:rsid w:val="0099302F"/>
    <w:rsid w:val="009967B9"/>
    <w:rsid w:val="009A051A"/>
    <w:rsid w:val="009A0FF5"/>
    <w:rsid w:val="009A1F09"/>
    <w:rsid w:val="009A2ED8"/>
    <w:rsid w:val="009A5832"/>
    <w:rsid w:val="009B2E88"/>
    <w:rsid w:val="009B3882"/>
    <w:rsid w:val="009B3D03"/>
    <w:rsid w:val="009B556A"/>
    <w:rsid w:val="009B7346"/>
    <w:rsid w:val="009C2514"/>
    <w:rsid w:val="009D1428"/>
    <w:rsid w:val="009D4D6E"/>
    <w:rsid w:val="009E6242"/>
    <w:rsid w:val="00A005EA"/>
    <w:rsid w:val="00A006AC"/>
    <w:rsid w:val="00A02428"/>
    <w:rsid w:val="00A1557C"/>
    <w:rsid w:val="00A25443"/>
    <w:rsid w:val="00A32975"/>
    <w:rsid w:val="00A34223"/>
    <w:rsid w:val="00A35FD7"/>
    <w:rsid w:val="00A4484D"/>
    <w:rsid w:val="00A53DE1"/>
    <w:rsid w:val="00A630FE"/>
    <w:rsid w:val="00A709C6"/>
    <w:rsid w:val="00A74C4D"/>
    <w:rsid w:val="00A85CE5"/>
    <w:rsid w:val="00A8631E"/>
    <w:rsid w:val="00A965FA"/>
    <w:rsid w:val="00AA1D90"/>
    <w:rsid w:val="00AA60AF"/>
    <w:rsid w:val="00AB0B5E"/>
    <w:rsid w:val="00AB7D15"/>
    <w:rsid w:val="00AD045E"/>
    <w:rsid w:val="00AD45BD"/>
    <w:rsid w:val="00AE3102"/>
    <w:rsid w:val="00AF4F22"/>
    <w:rsid w:val="00B01734"/>
    <w:rsid w:val="00B0465B"/>
    <w:rsid w:val="00B1139C"/>
    <w:rsid w:val="00B27C47"/>
    <w:rsid w:val="00B42966"/>
    <w:rsid w:val="00B45ACA"/>
    <w:rsid w:val="00B51ACC"/>
    <w:rsid w:val="00B53233"/>
    <w:rsid w:val="00B55C12"/>
    <w:rsid w:val="00B63063"/>
    <w:rsid w:val="00B67A14"/>
    <w:rsid w:val="00B70793"/>
    <w:rsid w:val="00B778A8"/>
    <w:rsid w:val="00B80CDC"/>
    <w:rsid w:val="00B830DF"/>
    <w:rsid w:val="00B867A7"/>
    <w:rsid w:val="00B87EAB"/>
    <w:rsid w:val="00B90D32"/>
    <w:rsid w:val="00B919B1"/>
    <w:rsid w:val="00B92005"/>
    <w:rsid w:val="00B929F4"/>
    <w:rsid w:val="00B933A5"/>
    <w:rsid w:val="00BB62E9"/>
    <w:rsid w:val="00BC1A02"/>
    <w:rsid w:val="00BC360B"/>
    <w:rsid w:val="00BC54C0"/>
    <w:rsid w:val="00BF0679"/>
    <w:rsid w:val="00BF0AF3"/>
    <w:rsid w:val="00BF1A78"/>
    <w:rsid w:val="00BF6332"/>
    <w:rsid w:val="00C01A9F"/>
    <w:rsid w:val="00C06C99"/>
    <w:rsid w:val="00C1446C"/>
    <w:rsid w:val="00C155EC"/>
    <w:rsid w:val="00C17D0B"/>
    <w:rsid w:val="00C2167E"/>
    <w:rsid w:val="00C22BFF"/>
    <w:rsid w:val="00C40436"/>
    <w:rsid w:val="00C55D8D"/>
    <w:rsid w:val="00C7209F"/>
    <w:rsid w:val="00C739B0"/>
    <w:rsid w:val="00C745C6"/>
    <w:rsid w:val="00C802EA"/>
    <w:rsid w:val="00C80402"/>
    <w:rsid w:val="00C90A4C"/>
    <w:rsid w:val="00C91886"/>
    <w:rsid w:val="00C93DFE"/>
    <w:rsid w:val="00CA2DA2"/>
    <w:rsid w:val="00CB2284"/>
    <w:rsid w:val="00CB292D"/>
    <w:rsid w:val="00CB4248"/>
    <w:rsid w:val="00CC08DA"/>
    <w:rsid w:val="00CC1D08"/>
    <w:rsid w:val="00CC3971"/>
    <w:rsid w:val="00CC5DB1"/>
    <w:rsid w:val="00CC7D63"/>
    <w:rsid w:val="00CD3026"/>
    <w:rsid w:val="00CD3F41"/>
    <w:rsid w:val="00CD520E"/>
    <w:rsid w:val="00CE24FB"/>
    <w:rsid w:val="00CF14B5"/>
    <w:rsid w:val="00D00888"/>
    <w:rsid w:val="00D019BA"/>
    <w:rsid w:val="00D22D68"/>
    <w:rsid w:val="00D2660A"/>
    <w:rsid w:val="00D30348"/>
    <w:rsid w:val="00D322A9"/>
    <w:rsid w:val="00D41157"/>
    <w:rsid w:val="00D42860"/>
    <w:rsid w:val="00D46F80"/>
    <w:rsid w:val="00D47F50"/>
    <w:rsid w:val="00D6476C"/>
    <w:rsid w:val="00D659EF"/>
    <w:rsid w:val="00D83A13"/>
    <w:rsid w:val="00D96C44"/>
    <w:rsid w:val="00D97202"/>
    <w:rsid w:val="00DA3632"/>
    <w:rsid w:val="00DA4874"/>
    <w:rsid w:val="00DD6260"/>
    <w:rsid w:val="00DF24AB"/>
    <w:rsid w:val="00DF65CF"/>
    <w:rsid w:val="00E000EC"/>
    <w:rsid w:val="00E042C1"/>
    <w:rsid w:val="00E27DDD"/>
    <w:rsid w:val="00E3111F"/>
    <w:rsid w:val="00E331FD"/>
    <w:rsid w:val="00E36707"/>
    <w:rsid w:val="00E4322D"/>
    <w:rsid w:val="00E44B80"/>
    <w:rsid w:val="00E4597F"/>
    <w:rsid w:val="00E632DB"/>
    <w:rsid w:val="00E802EE"/>
    <w:rsid w:val="00E826AE"/>
    <w:rsid w:val="00E94A0B"/>
    <w:rsid w:val="00E95E74"/>
    <w:rsid w:val="00EB452D"/>
    <w:rsid w:val="00EB5A44"/>
    <w:rsid w:val="00EC1730"/>
    <w:rsid w:val="00EC77BF"/>
    <w:rsid w:val="00ED0914"/>
    <w:rsid w:val="00ED553E"/>
    <w:rsid w:val="00ED5D78"/>
    <w:rsid w:val="00ED6BC6"/>
    <w:rsid w:val="00F0225B"/>
    <w:rsid w:val="00F11FC8"/>
    <w:rsid w:val="00F1503A"/>
    <w:rsid w:val="00F20336"/>
    <w:rsid w:val="00F21B24"/>
    <w:rsid w:val="00F249CC"/>
    <w:rsid w:val="00F30446"/>
    <w:rsid w:val="00F347B9"/>
    <w:rsid w:val="00F42195"/>
    <w:rsid w:val="00F533A6"/>
    <w:rsid w:val="00F66CCE"/>
    <w:rsid w:val="00F71172"/>
    <w:rsid w:val="00F84ABF"/>
    <w:rsid w:val="00F9463D"/>
    <w:rsid w:val="00F97873"/>
    <w:rsid w:val="00FA0C6B"/>
    <w:rsid w:val="00FA2F2B"/>
    <w:rsid w:val="00FB5C07"/>
    <w:rsid w:val="00FB6CA5"/>
    <w:rsid w:val="00FB760E"/>
    <w:rsid w:val="00FC05C0"/>
    <w:rsid w:val="00FC2611"/>
    <w:rsid w:val="00FC7543"/>
    <w:rsid w:val="00FD0365"/>
    <w:rsid w:val="00FE2C4C"/>
    <w:rsid w:val="00FE607D"/>
    <w:rsid w:val="00FE68AC"/>
    <w:rsid w:val="00FF529F"/>
    <w:rsid w:val="012448BF"/>
    <w:rsid w:val="01261020"/>
    <w:rsid w:val="0187F8AA"/>
    <w:rsid w:val="01A41716"/>
    <w:rsid w:val="02697914"/>
    <w:rsid w:val="029A1C9E"/>
    <w:rsid w:val="03D02CDF"/>
    <w:rsid w:val="03F702FB"/>
    <w:rsid w:val="042C4E76"/>
    <w:rsid w:val="042DFEEC"/>
    <w:rsid w:val="047F4A19"/>
    <w:rsid w:val="048B2906"/>
    <w:rsid w:val="0556DAA7"/>
    <w:rsid w:val="05A4BB7D"/>
    <w:rsid w:val="0627BCE9"/>
    <w:rsid w:val="077C26C0"/>
    <w:rsid w:val="07F78DC2"/>
    <w:rsid w:val="0848A5D2"/>
    <w:rsid w:val="093D2779"/>
    <w:rsid w:val="096D2DFC"/>
    <w:rsid w:val="09E3EB3E"/>
    <w:rsid w:val="0A8DEECE"/>
    <w:rsid w:val="0BF953A0"/>
    <w:rsid w:val="0C370F38"/>
    <w:rsid w:val="0C4B0C13"/>
    <w:rsid w:val="0D17ABFD"/>
    <w:rsid w:val="0DFA3E25"/>
    <w:rsid w:val="0F0911C3"/>
    <w:rsid w:val="0FF7FBD1"/>
    <w:rsid w:val="103B10BE"/>
    <w:rsid w:val="1065EA1C"/>
    <w:rsid w:val="108AA719"/>
    <w:rsid w:val="10B8C734"/>
    <w:rsid w:val="11442170"/>
    <w:rsid w:val="1321B5FF"/>
    <w:rsid w:val="13C65A05"/>
    <w:rsid w:val="13D3D9C9"/>
    <w:rsid w:val="13E101B7"/>
    <w:rsid w:val="13EA1DE4"/>
    <w:rsid w:val="13EA9769"/>
    <w:rsid w:val="13FD9024"/>
    <w:rsid w:val="14108A00"/>
    <w:rsid w:val="14154ECB"/>
    <w:rsid w:val="144C60FF"/>
    <w:rsid w:val="147BC232"/>
    <w:rsid w:val="14948AE3"/>
    <w:rsid w:val="14CBA016"/>
    <w:rsid w:val="14CFA4D7"/>
    <w:rsid w:val="15424E82"/>
    <w:rsid w:val="158ECE7F"/>
    <w:rsid w:val="15BF2B26"/>
    <w:rsid w:val="15ED033C"/>
    <w:rsid w:val="15FF4DBB"/>
    <w:rsid w:val="167DC753"/>
    <w:rsid w:val="177F279E"/>
    <w:rsid w:val="178F946D"/>
    <w:rsid w:val="179D4C26"/>
    <w:rsid w:val="17A3F56C"/>
    <w:rsid w:val="17B641C2"/>
    <w:rsid w:val="17FE519E"/>
    <w:rsid w:val="1834BFA0"/>
    <w:rsid w:val="19499382"/>
    <w:rsid w:val="194F3355"/>
    <w:rsid w:val="1962E2B0"/>
    <w:rsid w:val="1963C829"/>
    <w:rsid w:val="1B5542D5"/>
    <w:rsid w:val="1B57E54C"/>
    <w:rsid w:val="1C053846"/>
    <w:rsid w:val="1C67B813"/>
    <w:rsid w:val="1C8CE60C"/>
    <w:rsid w:val="1D07942A"/>
    <w:rsid w:val="1D70EA59"/>
    <w:rsid w:val="1EF50D4D"/>
    <w:rsid w:val="1F470B3C"/>
    <w:rsid w:val="1FD7E67C"/>
    <w:rsid w:val="20083F73"/>
    <w:rsid w:val="2033571E"/>
    <w:rsid w:val="20A0D71A"/>
    <w:rsid w:val="20E59122"/>
    <w:rsid w:val="2178D3DE"/>
    <w:rsid w:val="22486725"/>
    <w:rsid w:val="226BF0E2"/>
    <w:rsid w:val="22D0D3E2"/>
    <w:rsid w:val="22D26574"/>
    <w:rsid w:val="23832AA7"/>
    <w:rsid w:val="238B6606"/>
    <w:rsid w:val="23F550EE"/>
    <w:rsid w:val="245440CD"/>
    <w:rsid w:val="24B7895D"/>
    <w:rsid w:val="24C2608E"/>
    <w:rsid w:val="2504F350"/>
    <w:rsid w:val="25548568"/>
    <w:rsid w:val="257CCC40"/>
    <w:rsid w:val="25B3180E"/>
    <w:rsid w:val="25C68F26"/>
    <w:rsid w:val="25CA868D"/>
    <w:rsid w:val="265DE26B"/>
    <w:rsid w:val="267488F3"/>
    <w:rsid w:val="2702331D"/>
    <w:rsid w:val="2705F2B5"/>
    <w:rsid w:val="278AFA30"/>
    <w:rsid w:val="27BE5B11"/>
    <w:rsid w:val="28569BCA"/>
    <w:rsid w:val="289527DE"/>
    <w:rsid w:val="28A31FC7"/>
    <w:rsid w:val="28DDB354"/>
    <w:rsid w:val="294FE48B"/>
    <w:rsid w:val="29807A77"/>
    <w:rsid w:val="2A127D2A"/>
    <w:rsid w:val="2B42E533"/>
    <w:rsid w:val="2BE766B6"/>
    <w:rsid w:val="2BF52126"/>
    <w:rsid w:val="2C6E9AB8"/>
    <w:rsid w:val="2CE9F0B8"/>
    <w:rsid w:val="2D02436F"/>
    <w:rsid w:val="2D4210F2"/>
    <w:rsid w:val="2D9B0E0D"/>
    <w:rsid w:val="2D9DCF28"/>
    <w:rsid w:val="2DBAC8B1"/>
    <w:rsid w:val="2DD91F66"/>
    <w:rsid w:val="2DF64180"/>
    <w:rsid w:val="2E023E3A"/>
    <w:rsid w:val="2E7A85F5"/>
    <w:rsid w:val="2F1FC9CE"/>
    <w:rsid w:val="303DA36F"/>
    <w:rsid w:val="304069BA"/>
    <w:rsid w:val="3073CFBE"/>
    <w:rsid w:val="319C73BE"/>
    <w:rsid w:val="31D973D0"/>
    <w:rsid w:val="32032108"/>
    <w:rsid w:val="32490189"/>
    <w:rsid w:val="3334C0FB"/>
    <w:rsid w:val="336DCACD"/>
    <w:rsid w:val="3473E76C"/>
    <w:rsid w:val="34DA3247"/>
    <w:rsid w:val="35E0D17F"/>
    <w:rsid w:val="36000A02"/>
    <w:rsid w:val="36ACE4F3"/>
    <w:rsid w:val="36B4FA09"/>
    <w:rsid w:val="36D37D8F"/>
    <w:rsid w:val="37A01611"/>
    <w:rsid w:val="37F3D503"/>
    <w:rsid w:val="3848B554"/>
    <w:rsid w:val="387D98CC"/>
    <w:rsid w:val="38C8321D"/>
    <w:rsid w:val="3A0DBC81"/>
    <w:rsid w:val="3B808AD5"/>
    <w:rsid w:val="3BC335C1"/>
    <w:rsid w:val="3CD81287"/>
    <w:rsid w:val="3D1C2677"/>
    <w:rsid w:val="3D793F5B"/>
    <w:rsid w:val="3E581A54"/>
    <w:rsid w:val="3EB97AAE"/>
    <w:rsid w:val="3EE3C2B5"/>
    <w:rsid w:val="3F6F9898"/>
    <w:rsid w:val="3FBBAE2C"/>
    <w:rsid w:val="3FC92DF0"/>
    <w:rsid w:val="4077166D"/>
    <w:rsid w:val="409FC8D1"/>
    <w:rsid w:val="40D36479"/>
    <w:rsid w:val="414B5DDC"/>
    <w:rsid w:val="414C6386"/>
    <w:rsid w:val="417935E5"/>
    <w:rsid w:val="423DAA04"/>
    <w:rsid w:val="427C0BFE"/>
    <w:rsid w:val="42AA3B25"/>
    <w:rsid w:val="42B6DDFE"/>
    <w:rsid w:val="42F61BF4"/>
    <w:rsid w:val="431300D2"/>
    <w:rsid w:val="433DE0CF"/>
    <w:rsid w:val="43D97A65"/>
    <w:rsid w:val="43F60A07"/>
    <w:rsid w:val="450CB9EB"/>
    <w:rsid w:val="453910BF"/>
    <w:rsid w:val="45A1BA1F"/>
    <w:rsid w:val="45D213D6"/>
    <w:rsid w:val="45DA85D9"/>
    <w:rsid w:val="46902636"/>
    <w:rsid w:val="4733A95E"/>
    <w:rsid w:val="4755B219"/>
    <w:rsid w:val="4775102B"/>
    <w:rsid w:val="47B328BE"/>
    <w:rsid w:val="47ED0E49"/>
    <w:rsid w:val="48529675"/>
    <w:rsid w:val="48877943"/>
    <w:rsid w:val="48991A97"/>
    <w:rsid w:val="48FEEC7E"/>
    <w:rsid w:val="49220D8A"/>
    <w:rsid w:val="49FD71F2"/>
    <w:rsid w:val="4ABFEE75"/>
    <w:rsid w:val="4AC87FB8"/>
    <w:rsid w:val="4B409F02"/>
    <w:rsid w:val="4B91676A"/>
    <w:rsid w:val="4CCA6083"/>
    <w:rsid w:val="4D444335"/>
    <w:rsid w:val="4DB4860E"/>
    <w:rsid w:val="4DBA2FEA"/>
    <w:rsid w:val="4E37BBE0"/>
    <w:rsid w:val="4E5A64F6"/>
    <w:rsid w:val="4EA4EDB2"/>
    <w:rsid w:val="4EB39B0E"/>
    <w:rsid w:val="5172D933"/>
    <w:rsid w:val="51785A13"/>
    <w:rsid w:val="51D3B957"/>
    <w:rsid w:val="51FED590"/>
    <w:rsid w:val="52B0AE6F"/>
    <w:rsid w:val="53222159"/>
    <w:rsid w:val="5326A777"/>
    <w:rsid w:val="538A5F13"/>
    <w:rsid w:val="545CC6C8"/>
    <w:rsid w:val="552EF497"/>
    <w:rsid w:val="554538B2"/>
    <w:rsid w:val="55CD6361"/>
    <w:rsid w:val="55F89729"/>
    <w:rsid w:val="56BCF1AB"/>
    <w:rsid w:val="571DF782"/>
    <w:rsid w:val="5763BC75"/>
    <w:rsid w:val="5794678A"/>
    <w:rsid w:val="57AF2D6B"/>
    <w:rsid w:val="57B49073"/>
    <w:rsid w:val="57F97E19"/>
    <w:rsid w:val="58C78079"/>
    <w:rsid w:val="58EB79F1"/>
    <w:rsid w:val="5A66CD39"/>
    <w:rsid w:val="5AB27ED8"/>
    <w:rsid w:val="5B16B57F"/>
    <w:rsid w:val="5B4E80E5"/>
    <w:rsid w:val="5C37D6F1"/>
    <w:rsid w:val="5CF7AE15"/>
    <w:rsid w:val="5DC4548E"/>
    <w:rsid w:val="5E05E530"/>
    <w:rsid w:val="5E9C85F1"/>
    <w:rsid w:val="5F15819E"/>
    <w:rsid w:val="5F9A67E5"/>
    <w:rsid w:val="60A7ABEC"/>
    <w:rsid w:val="613D85F2"/>
    <w:rsid w:val="61624E31"/>
    <w:rsid w:val="616296E9"/>
    <w:rsid w:val="62869858"/>
    <w:rsid w:val="6325E7D6"/>
    <w:rsid w:val="633DBFFC"/>
    <w:rsid w:val="63B194F5"/>
    <w:rsid w:val="63BC3E93"/>
    <w:rsid w:val="644EC777"/>
    <w:rsid w:val="6503076C"/>
    <w:rsid w:val="6519A84D"/>
    <w:rsid w:val="6526CB90"/>
    <w:rsid w:val="65B03633"/>
    <w:rsid w:val="65B81B00"/>
    <w:rsid w:val="660609CD"/>
    <w:rsid w:val="6626613A"/>
    <w:rsid w:val="66779224"/>
    <w:rsid w:val="66B578AE"/>
    <w:rsid w:val="673E4F83"/>
    <w:rsid w:val="675B2484"/>
    <w:rsid w:val="676CA3E9"/>
    <w:rsid w:val="677116BB"/>
    <w:rsid w:val="67E459C2"/>
    <w:rsid w:val="67F4C9BC"/>
    <w:rsid w:val="67F562C3"/>
    <w:rsid w:val="67F640B2"/>
    <w:rsid w:val="687E7536"/>
    <w:rsid w:val="695F6254"/>
    <w:rsid w:val="6A3BC6FF"/>
    <w:rsid w:val="6A416FD5"/>
    <w:rsid w:val="6A41E360"/>
    <w:rsid w:val="6AB96E87"/>
    <w:rsid w:val="6B9B598A"/>
    <w:rsid w:val="6C3C76CB"/>
    <w:rsid w:val="6C42EED7"/>
    <w:rsid w:val="6C51A4DE"/>
    <w:rsid w:val="6C730CB8"/>
    <w:rsid w:val="6C8AC608"/>
    <w:rsid w:val="6CB6A25F"/>
    <w:rsid w:val="6CC03BC7"/>
    <w:rsid w:val="6D79BDE9"/>
    <w:rsid w:val="6D9817FD"/>
    <w:rsid w:val="6DEFC194"/>
    <w:rsid w:val="702472FE"/>
    <w:rsid w:val="70D0AD45"/>
    <w:rsid w:val="7117B400"/>
    <w:rsid w:val="71EBE865"/>
    <w:rsid w:val="71FE5A05"/>
    <w:rsid w:val="72249F50"/>
    <w:rsid w:val="72335E3E"/>
    <w:rsid w:val="725E0B1B"/>
    <w:rsid w:val="72F686E6"/>
    <w:rsid w:val="7372E832"/>
    <w:rsid w:val="737A7207"/>
    <w:rsid w:val="738B0C16"/>
    <w:rsid w:val="74933804"/>
    <w:rsid w:val="74D58545"/>
    <w:rsid w:val="74E628A4"/>
    <w:rsid w:val="752169B9"/>
    <w:rsid w:val="7569B54A"/>
    <w:rsid w:val="75744392"/>
    <w:rsid w:val="75B2643B"/>
    <w:rsid w:val="75F402CA"/>
    <w:rsid w:val="761BC054"/>
    <w:rsid w:val="7643466E"/>
    <w:rsid w:val="76804CAD"/>
    <w:rsid w:val="768429E8"/>
    <w:rsid w:val="76D80467"/>
    <w:rsid w:val="77126190"/>
    <w:rsid w:val="77C76175"/>
    <w:rsid w:val="77CAD8C6"/>
    <w:rsid w:val="77D97C71"/>
    <w:rsid w:val="78897765"/>
    <w:rsid w:val="78B8813A"/>
    <w:rsid w:val="78E0E72B"/>
    <w:rsid w:val="791AFE3A"/>
    <w:rsid w:val="7968422C"/>
    <w:rsid w:val="796CB1CC"/>
    <w:rsid w:val="7A08254D"/>
    <w:rsid w:val="7A0F8B5D"/>
    <w:rsid w:val="7A2F2EBB"/>
    <w:rsid w:val="7AB6CE9B"/>
    <w:rsid w:val="7AC2C26A"/>
    <w:rsid w:val="7AC51E37"/>
    <w:rsid w:val="7AC74066"/>
    <w:rsid w:val="7AD30927"/>
    <w:rsid w:val="7B3C8407"/>
    <w:rsid w:val="7B8F4608"/>
    <w:rsid w:val="7B9646DE"/>
    <w:rsid w:val="7BC81507"/>
    <w:rsid w:val="7C838957"/>
    <w:rsid w:val="7DEE6F5D"/>
    <w:rsid w:val="7EC87CE4"/>
    <w:rsid w:val="7F42190C"/>
    <w:rsid w:val="7F859803"/>
    <w:rsid w:val="7FB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AFE4"/>
  <w15:chartTrackingRefBased/>
  <w15:docId w15:val="{1B6CF723-844C-45F0-A003-A42AC75B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1E"/>
    <w:pPr>
      <w:spacing w:before="200" w:after="200" w:line="269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15FB"/>
    <w:pPr>
      <w:ind w:left="720"/>
      <w:contextualSpacing/>
    </w:p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6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679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paragraph" w:styleId="Reviso">
    <w:name w:val="Revision"/>
    <w:hidden/>
    <w:uiPriority w:val="99"/>
    <w:semiHidden/>
    <w:rsid w:val="00220AE9"/>
    <w:pPr>
      <w:spacing w:after="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customStyle="1" w:styleId="pf0">
    <w:name w:val="pf0"/>
    <w:basedOn w:val="Normal"/>
    <w:rsid w:val="008F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8F2908"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uiPriority w:val="39"/>
    <w:rsid w:val="0055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4A0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A0B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94A0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A0B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Hyperlink">
    <w:name w:val="Hyperlink"/>
    <w:basedOn w:val="Fontepargpadro"/>
    <w:uiPriority w:val="99"/>
    <w:unhideWhenUsed/>
    <w:rsid w:val="009026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264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5FD7"/>
    <w:pPr>
      <w:spacing w:before="0"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5FD7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A35FD7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EB5A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1.siop.planejamento.gov.br/QvAJAXZfc/opendoc.htm?document=IAS%2FExecucao_Orcamentaria.qvw&amp;host=QVS%40pqlk04&amp;anonymous=true&amp;sheet=SH06" TargetMode="External"/><Relationship Id="rId2" Type="http://schemas.openxmlformats.org/officeDocument/2006/relationships/hyperlink" Target="https://www.gov.br/planejamento/pt-br/assuntos/orcamento/paginas/agendas-transversais-e-multissetoriais" TargetMode="External"/><Relationship Id="rId1" Type="http://schemas.openxmlformats.org/officeDocument/2006/relationships/hyperlink" Target="https://www.gov.br/planejamento/pt-br/assuntos/orcamento/arquivos/sof_nota_metodologica_agendas_plo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f825e-d284-4e86-ae9b-448c8e7a12c8" xsi:nil="true"/>
    <lcf76f155ced4ddcb4097134ff3c332f xmlns="6ade6551-29d1-4f87-9430-cb44f82e3359">
      <Terms xmlns="http://schemas.microsoft.com/office/infopath/2007/PartnerControls"/>
    </lcf76f155ced4ddcb4097134ff3c332f>
    <SharedWithUsers xmlns="920f825e-d284-4e86-ae9b-448c8e7a12c8">
      <UserInfo>
        <DisplayName>MARCELO AUGUSTO PRUDENTE LIMA</DisplayName>
        <AccountId>10</AccountId>
        <AccountType/>
      </UserInfo>
      <UserInfo>
        <DisplayName>CLARICE FERNANDES MARINHO</DisplayName>
        <AccountId>222</AccountId>
        <AccountType/>
      </UserInfo>
      <UserInfo>
        <DisplayName>ELISA AKEMI NAGATANI</DisplayName>
        <AccountId>18</AccountId>
        <AccountType/>
      </UserInfo>
      <UserInfo>
        <DisplayName>FELIPE JOSÉ PILETTI</DisplayName>
        <AccountId>12</AccountId>
        <AccountType/>
      </UserInfo>
      <UserInfo>
        <DisplayName>REJANE RODRIGUES DE CARVALHO PEREIRA</DisplayName>
        <AccountId>17</AccountId>
        <AccountType/>
      </UserInfo>
      <UserInfo>
        <DisplayName>ELAINE DE MELO XAVIER</DisplayName>
        <AccountId>220</AccountId>
        <AccountType/>
      </UserInfo>
      <UserInfo>
        <DisplayName>CLARA MARIA GUIMARÃES MARINHO PEREIRA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8108253013444B6E52E0047578D7E" ma:contentTypeVersion="16" ma:contentTypeDescription="Create a new document." ma:contentTypeScope="" ma:versionID="0bf52b2d1a7376e75e16b20f372d1ee1">
  <xsd:schema xmlns:xsd="http://www.w3.org/2001/XMLSchema" xmlns:xs="http://www.w3.org/2001/XMLSchema" xmlns:p="http://schemas.microsoft.com/office/2006/metadata/properties" xmlns:ns2="6ade6551-29d1-4f87-9430-cb44f82e3359" xmlns:ns3="920f825e-d284-4e86-ae9b-448c8e7a12c8" targetNamespace="http://schemas.microsoft.com/office/2006/metadata/properties" ma:root="true" ma:fieldsID="c0c05b3b1942e147427ec5ed67138662" ns2:_="" ns3:_="">
    <xsd:import namespace="6ade6551-29d1-4f87-9430-cb44f82e3359"/>
    <xsd:import namespace="920f825e-d284-4e86-ae9b-448c8e7a1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6551-29d1-4f87-9430-cb44f82e3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f825e-d284-4e86-ae9b-448c8e7a1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7d00e1-eefa-4ad0-bf41-196a849ea754}" ma:internalName="TaxCatchAll" ma:showField="CatchAllData" ma:web="920f825e-d284-4e86-ae9b-448c8e7a1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B0704-FC33-4C7F-9880-A953F17049CA}">
  <ds:schemaRefs>
    <ds:schemaRef ds:uri="http://schemas.microsoft.com/office/2006/metadata/properties"/>
    <ds:schemaRef ds:uri="http://schemas.microsoft.com/office/infopath/2007/PartnerControls"/>
    <ds:schemaRef ds:uri="920f825e-d284-4e86-ae9b-448c8e7a12c8"/>
    <ds:schemaRef ds:uri="6ade6551-29d1-4f87-9430-cb44f82e3359"/>
  </ds:schemaRefs>
</ds:datastoreItem>
</file>

<file path=customXml/itemProps2.xml><?xml version="1.0" encoding="utf-8"?>
<ds:datastoreItem xmlns:ds="http://schemas.openxmlformats.org/officeDocument/2006/customXml" ds:itemID="{C6B6DF5D-BF81-48AB-B4E3-05054FF7D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4DFBD-E5D0-44E5-82DC-F4ED0E40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6551-29d1-4f87-9430-cb44f82e3359"/>
    <ds:schemaRef ds:uri="920f825e-d284-4e86-ae9b-448c8e7a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1446</Words>
  <Characters>7813</Characters>
  <Application>Microsoft Office Word</Application>
  <DocSecurity>4</DocSecurity>
  <Lines>65</Lines>
  <Paragraphs>18</Paragraphs>
  <ScaleCrop>false</ScaleCrop>
  <Company/>
  <LinksUpToDate>false</LinksUpToDate>
  <CharactersWithSpaces>9241</CharactersWithSpaces>
  <SharedDoc>false</SharedDoc>
  <HLinks>
    <vt:vector size="18" baseType="variant">
      <vt:variant>
        <vt:i4>3276879</vt:i4>
      </vt:variant>
      <vt:variant>
        <vt:i4>6</vt:i4>
      </vt:variant>
      <vt:variant>
        <vt:i4>0</vt:i4>
      </vt:variant>
      <vt:variant>
        <vt:i4>5</vt:i4>
      </vt:variant>
      <vt:variant>
        <vt:lpwstr>https://www1.siop.planejamento.gov.br/QvAJAXZfc/opendoc.htm?document=IAS%2FExecucao_Orcamentaria.qvw&amp;host=QVS%40pqlk04&amp;anonymous=true&amp;sheet=SH06</vt:lpwstr>
      </vt:variant>
      <vt:variant>
        <vt:lpwstr/>
      </vt:variant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https://www.gov.br/planejamento/pt-br/assuntos/orcamento/paginas/agendas-transversais-e-multissetoriais</vt:lpwstr>
      </vt:variant>
      <vt:variant>
        <vt:lpwstr/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https://www.gov.br/planejamento/pt-br/assuntos/orcamento/arquivos/sof_nota_metodologica_agendas_ploa.pdf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GUIMARÃES MARINHO PEREIRA</dc:creator>
  <cp:keywords/>
  <dc:description/>
  <cp:lastModifiedBy>Samantha Lemos Turte Cavadinha</cp:lastModifiedBy>
  <cp:revision>60</cp:revision>
  <dcterms:created xsi:type="dcterms:W3CDTF">2025-05-25T01:46:00Z</dcterms:created>
  <dcterms:modified xsi:type="dcterms:W3CDTF">2025-05-26T16:40:00Z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0x0101001DB8108253013444B6E52E0047578D7E</vt:lpwstr>
  </property>
  <property fmtid="{D5CDD505-2E9C-101B-9397-08002B2CF9AE}" pid="3" name="MediaServiceImageTags">
    <vt:lpwstr/>
  </property>
</Properties>
</file>